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26.xml" ContentType="application/vnd.openxmlformats-officedocument.wordprocessingml.footer+xml"/>
  <Override PartName="/word/footer127.xml" ContentType="application/vnd.openxmlformats-officedocument.wordprocessingml.footer+xml"/>
  <Override PartName="/word/footer128.xml" ContentType="application/vnd.openxmlformats-officedocument.wordprocessingml.footer+xml"/>
  <Override PartName="/word/footer129.xml" ContentType="application/vnd.openxmlformats-officedocument.wordprocessingml.footer+xml"/>
  <Override PartName="/word/footer13.xml" ContentType="application/vnd.openxmlformats-officedocument.wordprocessingml.footer+xml"/>
  <Override PartName="/word/footer130.xml" ContentType="application/vnd.openxmlformats-officedocument.wordprocessingml.footer+xml"/>
  <Override PartName="/word/footer131.xml" ContentType="application/vnd.openxmlformats-officedocument.wordprocessingml.footer+xml"/>
  <Override PartName="/word/footer132.xml" ContentType="application/vnd.openxmlformats-officedocument.wordprocessingml.footer+xml"/>
  <Override PartName="/word/footer133.xml" ContentType="application/vnd.openxmlformats-officedocument.wordprocessingml.footer+xml"/>
  <Override PartName="/word/footer134.xml" ContentType="application/vnd.openxmlformats-officedocument.wordprocessingml.footer+xml"/>
  <Override PartName="/word/footer135.xml" ContentType="application/vnd.openxmlformats-officedocument.wordprocessingml.footer+xml"/>
  <Override PartName="/word/footer136.xml" ContentType="application/vnd.openxmlformats-officedocument.wordprocessingml.footer+xml"/>
  <Override PartName="/word/footer137.xml" ContentType="application/vnd.openxmlformats-officedocument.wordprocessingml.footer+xml"/>
  <Override PartName="/word/footer138.xml" ContentType="application/vnd.openxmlformats-officedocument.wordprocessingml.footer+xml"/>
  <Override PartName="/word/footer139.xml" ContentType="application/vnd.openxmlformats-officedocument.wordprocessingml.footer+xml"/>
  <Override PartName="/word/footer14.xml" ContentType="application/vnd.openxmlformats-officedocument.wordprocessingml.footer+xml"/>
  <Override PartName="/word/footer140.xml" ContentType="application/vnd.openxmlformats-officedocument.wordprocessingml.footer+xml"/>
  <Override PartName="/word/footer141.xml" ContentType="application/vnd.openxmlformats-officedocument.wordprocessingml.footer+xml"/>
  <Override PartName="/word/footer142.xml" ContentType="application/vnd.openxmlformats-officedocument.wordprocessingml.footer+xml"/>
  <Override PartName="/word/footer143.xml" ContentType="application/vnd.openxmlformats-officedocument.wordprocessingml.footer+xml"/>
  <Override PartName="/word/footer144.xml" ContentType="application/vnd.openxmlformats-officedocument.wordprocessingml.footer+xml"/>
  <Override PartName="/word/footer145.xml" ContentType="application/vnd.openxmlformats-officedocument.wordprocessingml.footer+xml"/>
  <Override PartName="/word/footer146.xml" ContentType="application/vnd.openxmlformats-officedocument.wordprocessingml.footer+xml"/>
  <Override PartName="/word/footer147.xml" ContentType="application/vnd.openxmlformats-officedocument.wordprocessingml.footer+xml"/>
  <Override PartName="/word/footer148.xml" ContentType="application/vnd.openxmlformats-officedocument.wordprocessingml.footer+xml"/>
  <Override PartName="/word/footer149.xml" ContentType="application/vnd.openxmlformats-officedocument.wordprocessingml.footer+xml"/>
  <Override PartName="/word/footer15.xml" ContentType="application/vnd.openxmlformats-officedocument.wordprocessingml.footer+xml"/>
  <Override PartName="/word/footer150.xml" ContentType="application/vnd.openxmlformats-officedocument.wordprocessingml.footer+xml"/>
  <Override PartName="/word/footer151.xml" ContentType="application/vnd.openxmlformats-officedocument.wordprocessingml.footer+xml"/>
  <Override PartName="/word/footer152.xml" ContentType="application/vnd.openxmlformats-officedocument.wordprocessingml.footer+xml"/>
  <Override PartName="/word/footer153.xml" ContentType="application/vnd.openxmlformats-officedocument.wordprocessingml.footer+xml"/>
  <Override PartName="/word/footer154.xml" ContentType="application/vnd.openxmlformats-officedocument.wordprocessingml.footer+xml"/>
  <Override PartName="/word/footer155.xml" ContentType="application/vnd.openxmlformats-officedocument.wordprocessingml.footer+xml"/>
  <Override PartName="/word/footer156.xml" ContentType="application/vnd.openxmlformats-officedocument.wordprocessingml.footer+xml"/>
  <Override PartName="/word/footer157.xml" ContentType="application/vnd.openxmlformats-officedocument.wordprocessingml.footer+xml"/>
  <Override PartName="/word/footer158.xml" ContentType="application/vnd.openxmlformats-officedocument.wordprocessingml.footer+xml"/>
  <Override PartName="/word/footer159.xml" ContentType="application/vnd.openxmlformats-officedocument.wordprocessingml.footer+xml"/>
  <Override PartName="/word/footer16.xml" ContentType="application/vnd.openxmlformats-officedocument.wordprocessingml.footer+xml"/>
  <Override PartName="/word/footer160.xml" ContentType="application/vnd.openxmlformats-officedocument.wordprocessingml.footer+xml"/>
  <Override PartName="/word/footer161.xml" ContentType="application/vnd.openxmlformats-officedocument.wordprocessingml.footer+xml"/>
  <Override PartName="/word/footer162.xml" ContentType="application/vnd.openxmlformats-officedocument.wordprocessingml.footer+xml"/>
  <Override PartName="/word/footer163.xml" ContentType="application/vnd.openxmlformats-officedocument.wordprocessingml.footer+xml"/>
  <Override PartName="/word/footer164.xml" ContentType="application/vnd.openxmlformats-officedocument.wordprocessingml.footer+xml"/>
  <Override PartName="/word/footer165.xml" ContentType="application/vnd.openxmlformats-officedocument.wordprocessingml.footer+xml"/>
  <Override PartName="/word/footer166.xml" ContentType="application/vnd.openxmlformats-officedocument.wordprocessingml.footer+xml"/>
  <Override PartName="/word/footer167.xml" ContentType="application/vnd.openxmlformats-officedocument.wordprocessingml.footer+xml"/>
  <Override PartName="/word/footer168.xml" ContentType="application/vnd.openxmlformats-officedocument.wordprocessingml.footer+xml"/>
  <Override PartName="/word/footer169.xml" ContentType="application/vnd.openxmlformats-officedocument.wordprocessingml.footer+xml"/>
  <Override PartName="/word/footer17.xml" ContentType="application/vnd.openxmlformats-officedocument.wordprocessingml.footer+xml"/>
  <Override PartName="/word/footer170.xml" ContentType="application/vnd.openxmlformats-officedocument.wordprocessingml.footer+xml"/>
  <Override PartName="/word/footer171.xml" ContentType="application/vnd.openxmlformats-officedocument.wordprocessingml.footer+xml"/>
  <Override PartName="/word/footer172.xml" ContentType="application/vnd.openxmlformats-officedocument.wordprocessingml.footer+xml"/>
  <Override PartName="/word/footer173.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header132.xml" ContentType="application/vnd.openxmlformats-officedocument.wordprocessingml.header+xml"/>
  <Override PartName="/word/header13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05699B">
      <w:pPr>
        <w:spacing w:before="131" w:line="225" w:lineRule="auto"/>
        <w:ind w:left="3387"/>
        <w:rPr>
          <w:rFonts w:hint="eastAsia" w:ascii="宋体" w:hAnsi="宋体" w:eastAsia="宋体" w:cs="宋体"/>
          <w:color w:val="auto"/>
          <w:sz w:val="35"/>
          <w:szCs w:val="35"/>
          <w:highlight w:val="none"/>
        </w:rPr>
      </w:pPr>
      <w:bookmarkStart w:id="1055" w:name="_GoBack"/>
      <w:bookmarkEnd w:id="1055"/>
      <w:r>
        <w:rPr>
          <w:rFonts w:hint="eastAsia" w:ascii="宋体" w:hAnsi="宋体" w:eastAsia="宋体" w:cs="宋体"/>
          <w:b/>
          <w:bCs/>
          <w:color w:val="auto"/>
          <w:spacing w:val="5"/>
          <w:sz w:val="35"/>
          <w:szCs w:val="35"/>
          <w:highlight w:val="none"/>
        </w:rPr>
        <w:t>广西壮族自治区</w:t>
      </w:r>
    </w:p>
    <w:p w14:paraId="4534A2F5">
      <w:pPr>
        <w:pStyle w:val="4"/>
        <w:spacing w:line="268" w:lineRule="auto"/>
        <w:rPr>
          <w:rFonts w:hint="eastAsia" w:ascii="宋体" w:hAnsi="宋体" w:eastAsia="宋体" w:cs="宋体"/>
          <w:color w:val="auto"/>
          <w:highlight w:val="none"/>
        </w:rPr>
      </w:pPr>
    </w:p>
    <w:p w14:paraId="79D7CD5C">
      <w:pPr>
        <w:pStyle w:val="4"/>
        <w:spacing w:line="268" w:lineRule="auto"/>
        <w:rPr>
          <w:rFonts w:hint="eastAsia" w:ascii="宋体" w:hAnsi="宋体" w:eastAsia="宋体" w:cs="宋体"/>
          <w:color w:val="auto"/>
          <w:highlight w:val="none"/>
        </w:rPr>
      </w:pPr>
    </w:p>
    <w:p w14:paraId="7659DD14">
      <w:pPr>
        <w:pStyle w:val="4"/>
        <w:spacing w:line="269" w:lineRule="auto"/>
        <w:rPr>
          <w:rFonts w:hint="eastAsia" w:ascii="宋体" w:hAnsi="宋体" w:eastAsia="宋体" w:cs="宋体"/>
          <w:color w:val="auto"/>
          <w:highlight w:val="none"/>
        </w:rPr>
      </w:pPr>
    </w:p>
    <w:p w14:paraId="43B8ABEB">
      <w:pPr>
        <w:pStyle w:val="4"/>
        <w:spacing w:line="269" w:lineRule="auto"/>
        <w:rPr>
          <w:rFonts w:hint="eastAsia" w:ascii="宋体" w:hAnsi="宋体" w:eastAsia="宋体" w:cs="宋体"/>
          <w:color w:val="auto"/>
          <w:highlight w:val="none"/>
        </w:rPr>
      </w:pPr>
    </w:p>
    <w:p w14:paraId="08DE7FD0">
      <w:pPr>
        <w:spacing w:before="114" w:line="286" w:lineRule="auto"/>
        <w:ind w:left="1542" w:hanging="1039"/>
        <w:rPr>
          <w:rFonts w:hint="eastAsia" w:ascii="宋体" w:hAnsi="宋体" w:eastAsia="宋体" w:cs="宋体"/>
          <w:color w:val="auto"/>
          <w:sz w:val="35"/>
          <w:szCs w:val="35"/>
          <w:highlight w:val="none"/>
        </w:rPr>
      </w:pPr>
      <w:r>
        <w:rPr>
          <w:rFonts w:hint="eastAsia" w:ascii="宋体" w:hAnsi="宋体" w:eastAsia="宋体" w:cs="宋体"/>
          <w:b/>
          <w:bCs/>
          <w:color w:val="auto"/>
          <w:spacing w:val="6"/>
          <w:sz w:val="35"/>
          <w:szCs w:val="35"/>
          <w:highlight w:val="none"/>
          <w:u w:val="single" w:color="auto"/>
          <w:lang w:eastAsia="zh-CN"/>
        </w:rPr>
        <w:t>2025年兴业县石南镇、葵阳镇、山心镇、沙塘镇、龙安镇农村公路安全生命防护工程</w:t>
      </w:r>
      <w:r>
        <w:rPr>
          <w:rFonts w:hint="eastAsia" w:ascii="宋体" w:hAnsi="宋体" w:eastAsia="宋体" w:cs="宋体"/>
          <w:b/>
          <w:bCs/>
          <w:color w:val="auto"/>
          <w:spacing w:val="6"/>
          <w:sz w:val="35"/>
          <w:szCs w:val="35"/>
          <w:highlight w:val="none"/>
        </w:rPr>
        <w:t>标段施工招标</w:t>
      </w:r>
    </w:p>
    <w:p w14:paraId="1884C912">
      <w:pPr>
        <w:pStyle w:val="4"/>
        <w:spacing w:line="254" w:lineRule="auto"/>
        <w:rPr>
          <w:rFonts w:hint="eastAsia" w:ascii="宋体" w:hAnsi="宋体" w:eastAsia="宋体" w:cs="宋体"/>
          <w:color w:val="auto"/>
          <w:highlight w:val="none"/>
        </w:rPr>
      </w:pPr>
    </w:p>
    <w:p w14:paraId="3D7BAD57">
      <w:pPr>
        <w:pStyle w:val="4"/>
        <w:spacing w:line="254" w:lineRule="auto"/>
        <w:rPr>
          <w:rFonts w:hint="eastAsia" w:ascii="宋体" w:hAnsi="宋体" w:eastAsia="宋体" w:cs="宋体"/>
          <w:color w:val="auto"/>
          <w:highlight w:val="none"/>
        </w:rPr>
      </w:pPr>
    </w:p>
    <w:p w14:paraId="6A93F0FF">
      <w:pPr>
        <w:spacing w:before="91" w:line="220" w:lineRule="auto"/>
        <w:ind w:left="2262"/>
        <w:rPr>
          <w:rFonts w:hint="eastAsia" w:ascii="宋体" w:hAnsi="宋体" w:eastAsia="宋体" w:cs="宋体"/>
          <w:color w:val="auto"/>
          <w:sz w:val="28"/>
          <w:szCs w:val="28"/>
          <w:highlight w:val="none"/>
        </w:rPr>
      </w:pPr>
      <w:r>
        <w:rPr>
          <w:rFonts w:hint="eastAsia" w:ascii="宋体" w:hAnsi="宋体" w:eastAsia="宋体" w:cs="宋体"/>
          <w:color w:val="auto"/>
          <w:spacing w:val="-1"/>
          <w:sz w:val="28"/>
          <w:szCs w:val="28"/>
          <w:highlight w:val="none"/>
        </w:rPr>
        <w:t>（招标编号：E4509002856026726001001）</w:t>
      </w:r>
    </w:p>
    <w:p w14:paraId="4B6D2CF1">
      <w:pPr>
        <w:pStyle w:val="4"/>
        <w:spacing w:line="348" w:lineRule="auto"/>
        <w:rPr>
          <w:rFonts w:hint="eastAsia" w:ascii="宋体" w:hAnsi="宋体" w:eastAsia="宋体" w:cs="宋体"/>
          <w:color w:val="auto"/>
          <w:highlight w:val="none"/>
        </w:rPr>
      </w:pPr>
    </w:p>
    <w:p w14:paraId="130F3EAB">
      <w:pPr>
        <w:pStyle w:val="4"/>
        <w:spacing w:line="349" w:lineRule="auto"/>
        <w:rPr>
          <w:rFonts w:hint="eastAsia" w:ascii="宋体" w:hAnsi="宋体" w:eastAsia="宋体" w:cs="宋体"/>
          <w:color w:val="auto"/>
          <w:highlight w:val="none"/>
        </w:rPr>
      </w:pPr>
    </w:p>
    <w:p w14:paraId="168F0939">
      <w:pPr>
        <w:spacing w:before="179" w:line="222" w:lineRule="auto"/>
        <w:ind w:left="2898"/>
        <w:rPr>
          <w:rFonts w:hint="eastAsia" w:ascii="宋体" w:hAnsi="宋体" w:eastAsia="宋体" w:cs="宋体"/>
          <w:b/>
          <w:bCs/>
          <w:color w:val="auto"/>
          <w:spacing w:val="-18"/>
          <w:sz w:val="55"/>
          <w:szCs w:val="55"/>
          <w:highlight w:val="none"/>
        </w:rPr>
      </w:pPr>
    </w:p>
    <w:p w14:paraId="2933F952">
      <w:pPr>
        <w:spacing w:before="179" w:line="222" w:lineRule="auto"/>
        <w:ind w:left="2898"/>
        <w:rPr>
          <w:rFonts w:hint="eastAsia" w:ascii="宋体" w:hAnsi="宋体" w:eastAsia="宋体" w:cs="宋体"/>
          <w:b/>
          <w:bCs/>
          <w:color w:val="auto"/>
          <w:spacing w:val="-18"/>
          <w:sz w:val="55"/>
          <w:szCs w:val="55"/>
          <w:highlight w:val="none"/>
        </w:rPr>
      </w:pPr>
    </w:p>
    <w:p w14:paraId="1658FED3">
      <w:pPr>
        <w:spacing w:before="179" w:line="222" w:lineRule="auto"/>
        <w:ind w:left="2898"/>
        <w:rPr>
          <w:rFonts w:hint="eastAsia" w:ascii="宋体" w:hAnsi="宋体" w:eastAsia="宋体" w:cs="宋体"/>
          <w:color w:val="auto"/>
          <w:sz w:val="55"/>
          <w:szCs w:val="55"/>
          <w:highlight w:val="none"/>
        </w:rPr>
      </w:pPr>
      <w:r>
        <w:rPr>
          <w:rFonts w:hint="eastAsia" w:ascii="宋体" w:hAnsi="宋体" w:eastAsia="宋体" w:cs="宋体"/>
          <w:b/>
          <w:bCs/>
          <w:color w:val="auto"/>
          <w:spacing w:val="-18"/>
          <w:sz w:val="55"/>
          <w:szCs w:val="55"/>
          <w:highlight w:val="none"/>
        </w:rPr>
        <w:t>招标文件</w:t>
      </w:r>
    </w:p>
    <w:p w14:paraId="2E1EFF3F">
      <w:pPr>
        <w:pStyle w:val="4"/>
        <w:spacing w:line="251" w:lineRule="auto"/>
        <w:rPr>
          <w:rFonts w:hint="eastAsia" w:ascii="宋体" w:hAnsi="宋体" w:eastAsia="宋体" w:cs="宋体"/>
          <w:color w:val="auto"/>
          <w:highlight w:val="none"/>
        </w:rPr>
      </w:pPr>
    </w:p>
    <w:p w14:paraId="40C47FB6">
      <w:pPr>
        <w:pStyle w:val="4"/>
        <w:spacing w:line="251" w:lineRule="auto"/>
        <w:rPr>
          <w:rFonts w:hint="eastAsia" w:ascii="宋体" w:hAnsi="宋体" w:eastAsia="宋体" w:cs="宋体"/>
          <w:color w:val="auto"/>
          <w:highlight w:val="none"/>
        </w:rPr>
      </w:pPr>
    </w:p>
    <w:p w14:paraId="3C80D0BA">
      <w:pPr>
        <w:pStyle w:val="4"/>
        <w:spacing w:line="251" w:lineRule="auto"/>
        <w:rPr>
          <w:rFonts w:hint="eastAsia" w:ascii="宋体" w:hAnsi="宋体" w:eastAsia="宋体" w:cs="宋体"/>
          <w:color w:val="auto"/>
          <w:highlight w:val="none"/>
        </w:rPr>
      </w:pPr>
    </w:p>
    <w:p w14:paraId="69C1142D">
      <w:pPr>
        <w:pStyle w:val="4"/>
        <w:spacing w:line="251" w:lineRule="auto"/>
        <w:rPr>
          <w:rFonts w:hint="eastAsia" w:ascii="宋体" w:hAnsi="宋体" w:eastAsia="宋体" w:cs="宋体"/>
          <w:color w:val="auto"/>
          <w:highlight w:val="none"/>
        </w:rPr>
      </w:pPr>
    </w:p>
    <w:p w14:paraId="3D63464E">
      <w:pPr>
        <w:pStyle w:val="4"/>
        <w:spacing w:line="251" w:lineRule="auto"/>
        <w:rPr>
          <w:rFonts w:hint="eastAsia" w:ascii="宋体" w:hAnsi="宋体" w:eastAsia="宋体" w:cs="宋体"/>
          <w:color w:val="auto"/>
          <w:highlight w:val="none"/>
        </w:rPr>
      </w:pPr>
    </w:p>
    <w:p w14:paraId="6D139B1C">
      <w:pPr>
        <w:pStyle w:val="4"/>
        <w:spacing w:line="251" w:lineRule="auto"/>
        <w:rPr>
          <w:rFonts w:hint="eastAsia" w:ascii="宋体" w:hAnsi="宋体" w:eastAsia="宋体" w:cs="宋体"/>
          <w:color w:val="auto"/>
          <w:highlight w:val="none"/>
        </w:rPr>
      </w:pPr>
    </w:p>
    <w:p w14:paraId="1C8808E1">
      <w:pPr>
        <w:pStyle w:val="4"/>
        <w:spacing w:line="251" w:lineRule="auto"/>
        <w:rPr>
          <w:rFonts w:hint="eastAsia" w:ascii="宋体" w:hAnsi="宋体" w:eastAsia="宋体" w:cs="宋体"/>
          <w:color w:val="auto"/>
          <w:highlight w:val="none"/>
        </w:rPr>
      </w:pPr>
    </w:p>
    <w:p w14:paraId="0D2B35A7">
      <w:pPr>
        <w:pStyle w:val="4"/>
        <w:spacing w:line="251" w:lineRule="auto"/>
        <w:rPr>
          <w:rFonts w:hint="eastAsia" w:ascii="宋体" w:hAnsi="宋体" w:eastAsia="宋体" w:cs="宋体"/>
          <w:color w:val="auto"/>
          <w:highlight w:val="none"/>
        </w:rPr>
      </w:pPr>
    </w:p>
    <w:p w14:paraId="48D50BC0">
      <w:pPr>
        <w:pStyle w:val="4"/>
        <w:spacing w:line="251" w:lineRule="auto"/>
        <w:rPr>
          <w:rFonts w:hint="eastAsia" w:ascii="宋体" w:hAnsi="宋体" w:eastAsia="宋体" w:cs="宋体"/>
          <w:color w:val="auto"/>
          <w:highlight w:val="none"/>
        </w:rPr>
      </w:pPr>
    </w:p>
    <w:p w14:paraId="16E940F4">
      <w:pPr>
        <w:pStyle w:val="4"/>
        <w:spacing w:line="251" w:lineRule="auto"/>
        <w:rPr>
          <w:rFonts w:hint="eastAsia" w:ascii="宋体" w:hAnsi="宋体" w:eastAsia="宋体" w:cs="宋体"/>
          <w:color w:val="auto"/>
          <w:highlight w:val="none"/>
        </w:rPr>
      </w:pPr>
    </w:p>
    <w:p w14:paraId="78F27DC8">
      <w:pPr>
        <w:pStyle w:val="4"/>
        <w:spacing w:line="251" w:lineRule="auto"/>
        <w:rPr>
          <w:rFonts w:hint="eastAsia" w:ascii="宋体" w:hAnsi="宋体" w:eastAsia="宋体" w:cs="宋体"/>
          <w:color w:val="auto"/>
          <w:highlight w:val="none"/>
        </w:rPr>
      </w:pPr>
    </w:p>
    <w:p w14:paraId="1F2EFE86">
      <w:pPr>
        <w:pStyle w:val="4"/>
        <w:spacing w:line="251" w:lineRule="auto"/>
        <w:rPr>
          <w:rFonts w:hint="eastAsia" w:ascii="宋体" w:hAnsi="宋体" w:eastAsia="宋体" w:cs="宋体"/>
          <w:color w:val="auto"/>
          <w:highlight w:val="none"/>
        </w:rPr>
      </w:pPr>
    </w:p>
    <w:p w14:paraId="7F56F0F4">
      <w:pPr>
        <w:pStyle w:val="4"/>
        <w:spacing w:line="252" w:lineRule="auto"/>
        <w:rPr>
          <w:rFonts w:hint="eastAsia" w:ascii="宋体" w:hAnsi="宋体" w:eastAsia="宋体" w:cs="宋体"/>
          <w:color w:val="auto"/>
          <w:highlight w:val="none"/>
        </w:rPr>
      </w:pPr>
    </w:p>
    <w:p w14:paraId="56201F77">
      <w:pPr>
        <w:pStyle w:val="4"/>
        <w:spacing w:line="252" w:lineRule="auto"/>
        <w:rPr>
          <w:rFonts w:hint="eastAsia" w:ascii="宋体" w:hAnsi="宋体" w:eastAsia="宋体" w:cs="宋体"/>
          <w:color w:val="auto"/>
          <w:highlight w:val="none"/>
        </w:rPr>
      </w:pPr>
    </w:p>
    <w:p w14:paraId="79CE9982">
      <w:pPr>
        <w:spacing w:before="91" w:line="219" w:lineRule="auto"/>
        <w:ind w:left="863"/>
        <w:rPr>
          <w:rFonts w:hint="eastAsia" w:ascii="宋体" w:hAnsi="宋体" w:eastAsia="宋体" w:cs="宋体"/>
          <w:color w:val="auto"/>
          <w:sz w:val="28"/>
          <w:szCs w:val="28"/>
          <w:highlight w:val="none"/>
        </w:rPr>
      </w:pPr>
      <w:r>
        <w:rPr>
          <w:rFonts w:hint="eastAsia" w:ascii="宋体" w:hAnsi="宋体" w:eastAsia="宋体" w:cs="宋体"/>
          <w:color w:val="auto"/>
          <w:spacing w:val="-1"/>
          <w:sz w:val="28"/>
          <w:szCs w:val="28"/>
          <w:highlight w:val="none"/>
        </w:rPr>
        <w:t>招标人：兴业县公路建设养护中心（盖单位公章）</w:t>
      </w:r>
    </w:p>
    <w:p w14:paraId="04BFC1D6">
      <w:pPr>
        <w:pStyle w:val="4"/>
        <w:spacing w:line="326" w:lineRule="auto"/>
        <w:rPr>
          <w:rFonts w:hint="eastAsia" w:ascii="宋体" w:hAnsi="宋体" w:eastAsia="宋体" w:cs="宋体"/>
          <w:color w:val="auto"/>
          <w:highlight w:val="none"/>
        </w:rPr>
      </w:pPr>
    </w:p>
    <w:p w14:paraId="4C174E8A">
      <w:pPr>
        <w:pStyle w:val="4"/>
        <w:spacing w:line="326" w:lineRule="auto"/>
        <w:rPr>
          <w:rFonts w:hint="eastAsia" w:ascii="宋体" w:hAnsi="宋体" w:eastAsia="宋体" w:cs="宋体"/>
          <w:color w:val="auto"/>
          <w:highlight w:val="none"/>
        </w:rPr>
      </w:pPr>
    </w:p>
    <w:p w14:paraId="1CCE1FC1">
      <w:pPr>
        <w:spacing w:before="92" w:line="219" w:lineRule="auto"/>
        <w:ind w:left="863"/>
        <w:rPr>
          <w:rFonts w:hint="eastAsia" w:ascii="宋体" w:hAnsi="宋体" w:eastAsia="宋体" w:cs="宋体"/>
          <w:color w:val="auto"/>
          <w:sz w:val="28"/>
          <w:szCs w:val="28"/>
          <w:highlight w:val="none"/>
        </w:rPr>
      </w:pPr>
      <w:r>
        <w:rPr>
          <w:rFonts w:hint="eastAsia" w:ascii="宋体" w:hAnsi="宋体" w:eastAsia="宋体" w:cs="宋体"/>
          <w:color w:val="auto"/>
          <w:spacing w:val="-1"/>
          <w:sz w:val="28"/>
          <w:szCs w:val="28"/>
          <w:highlight w:val="none"/>
        </w:rPr>
        <w:t>招标代理机构：</w:t>
      </w:r>
      <w:r>
        <w:rPr>
          <w:rFonts w:hint="eastAsia" w:ascii="宋体" w:hAnsi="宋体" w:eastAsia="宋体" w:cs="宋体"/>
          <w:color w:val="auto"/>
          <w:spacing w:val="-1"/>
          <w:sz w:val="28"/>
          <w:szCs w:val="28"/>
          <w:highlight w:val="none"/>
          <w:lang w:eastAsia="zh-CN"/>
        </w:rPr>
        <w:t>广西建能建设工程咨询有限公司</w:t>
      </w:r>
      <w:r>
        <w:rPr>
          <w:rFonts w:hint="eastAsia" w:ascii="宋体" w:hAnsi="宋体" w:eastAsia="宋体" w:cs="宋体"/>
          <w:color w:val="auto"/>
          <w:spacing w:val="-1"/>
          <w:sz w:val="28"/>
          <w:szCs w:val="28"/>
          <w:highlight w:val="none"/>
        </w:rPr>
        <w:t>（盖单位公章）</w:t>
      </w:r>
    </w:p>
    <w:p w14:paraId="3D81CBE6">
      <w:pPr>
        <w:pStyle w:val="4"/>
        <w:spacing w:line="326" w:lineRule="auto"/>
        <w:rPr>
          <w:rFonts w:hint="eastAsia" w:ascii="宋体" w:hAnsi="宋体" w:eastAsia="宋体" w:cs="宋体"/>
          <w:color w:val="auto"/>
          <w:highlight w:val="none"/>
        </w:rPr>
      </w:pPr>
    </w:p>
    <w:p w14:paraId="0C44DE72">
      <w:pPr>
        <w:pStyle w:val="4"/>
        <w:spacing w:line="326" w:lineRule="auto"/>
        <w:rPr>
          <w:rFonts w:hint="eastAsia" w:ascii="宋体" w:hAnsi="宋体" w:eastAsia="宋体" w:cs="宋体"/>
          <w:color w:val="auto"/>
          <w:highlight w:val="none"/>
        </w:rPr>
      </w:pPr>
    </w:p>
    <w:p w14:paraId="46B04D3B">
      <w:pPr>
        <w:spacing w:before="92" w:line="219" w:lineRule="auto"/>
        <w:ind w:left="1707"/>
        <w:rPr>
          <w:rFonts w:hint="eastAsia" w:ascii="宋体" w:hAnsi="宋体" w:eastAsia="宋体" w:cs="宋体"/>
          <w:color w:val="auto"/>
          <w:sz w:val="28"/>
          <w:szCs w:val="28"/>
          <w:highlight w:val="none"/>
        </w:rPr>
      </w:pPr>
      <w:r>
        <w:rPr>
          <w:rFonts w:hint="eastAsia" w:ascii="宋体" w:hAnsi="宋体" w:eastAsia="宋体" w:cs="宋体"/>
          <w:color w:val="auto"/>
          <w:spacing w:val="-4"/>
          <w:sz w:val="28"/>
          <w:szCs w:val="28"/>
          <w:highlight w:val="none"/>
        </w:rPr>
        <w:t>发布日期：202</w:t>
      </w:r>
      <w:r>
        <w:rPr>
          <w:rFonts w:hint="eastAsia" w:ascii="宋体" w:hAnsi="宋体" w:eastAsia="宋体" w:cs="宋体"/>
          <w:color w:val="auto"/>
          <w:spacing w:val="-4"/>
          <w:sz w:val="28"/>
          <w:szCs w:val="28"/>
          <w:highlight w:val="none"/>
          <w:lang w:val="en-US" w:eastAsia="zh-CN"/>
        </w:rPr>
        <w:t>6</w:t>
      </w:r>
      <w:r>
        <w:rPr>
          <w:rFonts w:hint="eastAsia" w:ascii="宋体" w:hAnsi="宋体" w:eastAsia="宋体" w:cs="宋体"/>
          <w:color w:val="auto"/>
          <w:spacing w:val="-4"/>
          <w:sz w:val="28"/>
          <w:szCs w:val="28"/>
          <w:highlight w:val="none"/>
        </w:rPr>
        <w:t>年</w:t>
      </w:r>
      <w:r>
        <w:rPr>
          <w:rFonts w:hint="eastAsia" w:ascii="宋体" w:hAnsi="宋体" w:eastAsia="宋体" w:cs="宋体"/>
          <w:color w:val="auto"/>
          <w:spacing w:val="-4"/>
          <w:sz w:val="28"/>
          <w:szCs w:val="28"/>
          <w:highlight w:val="none"/>
          <w:lang w:val="en-US" w:eastAsia="zh-CN"/>
        </w:rPr>
        <w:t>02</w:t>
      </w:r>
      <w:r>
        <w:rPr>
          <w:rFonts w:hint="eastAsia" w:ascii="宋体" w:hAnsi="宋体" w:eastAsia="宋体" w:cs="宋体"/>
          <w:color w:val="auto"/>
          <w:spacing w:val="-4"/>
          <w:sz w:val="28"/>
          <w:szCs w:val="28"/>
          <w:highlight w:val="none"/>
        </w:rPr>
        <w:t>月</w:t>
      </w:r>
      <w:r>
        <w:rPr>
          <w:rFonts w:hint="eastAsia" w:ascii="宋体" w:hAnsi="宋体" w:eastAsia="宋体" w:cs="宋体"/>
          <w:color w:val="auto"/>
          <w:spacing w:val="-4"/>
          <w:sz w:val="28"/>
          <w:szCs w:val="28"/>
          <w:highlight w:val="none"/>
          <w:lang w:val="en-US" w:eastAsia="zh-CN"/>
        </w:rPr>
        <w:t xml:space="preserve">   </w:t>
      </w:r>
      <w:r>
        <w:rPr>
          <w:rFonts w:hint="eastAsia" w:ascii="宋体" w:hAnsi="宋体" w:eastAsia="宋体" w:cs="宋体"/>
          <w:color w:val="auto"/>
          <w:spacing w:val="-4"/>
          <w:sz w:val="28"/>
          <w:szCs w:val="28"/>
          <w:highlight w:val="none"/>
        </w:rPr>
        <w:t>日</w:t>
      </w:r>
    </w:p>
    <w:p w14:paraId="7452DC62">
      <w:pPr>
        <w:spacing w:line="219" w:lineRule="auto"/>
        <w:rPr>
          <w:rFonts w:hint="eastAsia" w:ascii="宋体" w:hAnsi="宋体" w:eastAsia="宋体" w:cs="宋体"/>
          <w:color w:val="auto"/>
          <w:sz w:val="28"/>
          <w:szCs w:val="28"/>
          <w:highlight w:val="none"/>
        </w:rPr>
        <w:sectPr>
          <w:footerReference r:id="rId5" w:type="default"/>
          <w:pgSz w:w="11907" w:h="16840"/>
          <w:pgMar w:top="1431" w:right="1325" w:bottom="0" w:left="1786" w:header="0" w:footer="0" w:gutter="0"/>
          <w:pgNumType w:fmt="decimal"/>
          <w:cols w:space="720" w:num="1"/>
        </w:sectPr>
      </w:pPr>
    </w:p>
    <w:sdt>
      <w:sdtPr>
        <w:rPr>
          <w:rFonts w:ascii="宋体" w:hAnsi="宋体" w:eastAsia="宋体" w:cs="Arial"/>
          <w:snapToGrid w:val="0"/>
          <w:color w:val="000000"/>
          <w:kern w:val="0"/>
          <w:sz w:val="21"/>
          <w:szCs w:val="21"/>
          <w:lang w:val="en-US" w:eastAsia="en-US" w:bidi="ar-SA"/>
        </w:rPr>
        <w:id w:val="147463241"/>
        <w15:color w:val="DBDBDB"/>
        <w:docPartObj>
          <w:docPartGallery w:val="Table of Contents"/>
          <w:docPartUnique/>
        </w:docPartObj>
      </w:sdtPr>
      <w:sdtEndPr>
        <w:rPr>
          <w:rFonts w:hint="eastAsia" w:ascii="Arial" w:hAnsi="Arial" w:eastAsia="Arial" w:cs="Arial"/>
          <w:snapToGrid w:val="0"/>
          <w:color w:val="000000"/>
          <w:kern w:val="0"/>
          <w:sz w:val="21"/>
          <w:szCs w:val="21"/>
          <w:lang w:val="en-US" w:eastAsia="en-US" w:bidi="ar-SA"/>
        </w:rPr>
      </w:sdtEndPr>
      <w:sdtContent>
        <w:p w14:paraId="4C419498">
          <w:pPr>
            <w:spacing w:before="0" w:beforeLines="0" w:after="0" w:afterLines="0" w:line="240" w:lineRule="auto"/>
            <w:ind w:left="0" w:leftChars="0" w:right="0" w:rightChars="0" w:firstLine="0" w:firstLineChars="0"/>
            <w:jc w:val="center"/>
          </w:pPr>
          <w:r>
            <w:rPr>
              <w:rFonts w:ascii="宋体" w:hAnsi="宋体" w:eastAsia="宋体"/>
              <w:sz w:val="21"/>
            </w:rPr>
            <w:t>目录</w:t>
          </w:r>
        </w:p>
        <w:p w14:paraId="17D6D544">
          <w:pPr>
            <w:pStyle w:val="7"/>
            <w:tabs>
              <w:tab w:val="right" w:leader="dot" w:pos="8831"/>
            </w:tabs>
          </w:pPr>
          <w:r>
            <w:rPr>
              <w:rFonts w:hint="eastAsia"/>
            </w:rPr>
            <w:fldChar w:fldCharType="begin"/>
          </w:r>
          <w:r>
            <w:rPr>
              <w:rFonts w:hint="eastAsia"/>
            </w:rPr>
            <w:instrText xml:space="preserve">TOC \o "1-3" \h \u </w:instrText>
          </w:r>
          <w:r>
            <w:rPr>
              <w:rFonts w:hint="eastAsia"/>
            </w:rPr>
            <w:fldChar w:fldCharType="separate"/>
          </w:r>
          <w:r>
            <w:rPr>
              <w:rFonts w:hint="eastAsia"/>
            </w:rPr>
            <w:fldChar w:fldCharType="begin"/>
          </w:r>
          <w:r>
            <w:rPr>
              <w:rFonts w:hint="eastAsia"/>
            </w:rPr>
            <w:instrText xml:space="preserve"> HYPERLINK \l _Toc17571 </w:instrText>
          </w:r>
          <w:r>
            <w:rPr>
              <w:rFonts w:hint="eastAsia"/>
            </w:rPr>
            <w:fldChar w:fldCharType="separate"/>
          </w:r>
          <w:r>
            <w:rPr>
              <w:rFonts w:hint="eastAsia" w:ascii="宋体" w:hAnsi="宋体" w:eastAsia="宋体" w:cs="宋体"/>
              <w:bCs/>
              <w:szCs w:val="47"/>
              <w:highlight w:val="none"/>
            </w:rPr>
            <w:t>第一卷</w:t>
          </w:r>
          <w:r>
            <w:tab/>
          </w:r>
          <w:r>
            <w:fldChar w:fldCharType="begin"/>
          </w:r>
          <w:r>
            <w:instrText xml:space="preserve"> PAGEREF _Toc17571 \h </w:instrText>
          </w:r>
          <w:r>
            <w:fldChar w:fldCharType="separate"/>
          </w:r>
          <w:r>
            <w:t>7</w:t>
          </w:r>
          <w:r>
            <w:fldChar w:fldCharType="end"/>
          </w:r>
          <w:r>
            <w:rPr>
              <w:rFonts w:hint="eastAsia"/>
            </w:rPr>
            <w:fldChar w:fldCharType="end"/>
          </w:r>
        </w:p>
        <w:p w14:paraId="760B80F6">
          <w:pPr>
            <w:pStyle w:val="7"/>
            <w:tabs>
              <w:tab w:val="right" w:leader="dot" w:pos="8831"/>
            </w:tabs>
          </w:pPr>
          <w:r>
            <w:rPr>
              <w:rFonts w:hint="eastAsia"/>
            </w:rPr>
            <w:fldChar w:fldCharType="begin"/>
          </w:r>
          <w:r>
            <w:rPr>
              <w:rFonts w:hint="eastAsia"/>
            </w:rPr>
            <w:instrText xml:space="preserve"> HYPERLINK \l _Toc13131 </w:instrText>
          </w:r>
          <w:r>
            <w:rPr>
              <w:rFonts w:hint="eastAsia"/>
            </w:rPr>
            <w:fldChar w:fldCharType="separate"/>
          </w:r>
          <w:r>
            <w:rPr>
              <w:rFonts w:hint="eastAsia" w:ascii="宋体" w:hAnsi="宋体" w:eastAsia="宋体" w:cs="宋体"/>
              <w:bCs/>
              <w:spacing w:val="5"/>
              <w:szCs w:val="35"/>
              <w:highlight w:val="none"/>
            </w:rPr>
            <w:t>第一章招标公告</w:t>
          </w:r>
          <w:r>
            <w:tab/>
          </w:r>
          <w:r>
            <w:fldChar w:fldCharType="begin"/>
          </w:r>
          <w:r>
            <w:instrText xml:space="preserve"> PAGEREF _Toc13131 \h </w:instrText>
          </w:r>
          <w:r>
            <w:fldChar w:fldCharType="separate"/>
          </w:r>
          <w:r>
            <w:t>8</w:t>
          </w:r>
          <w:r>
            <w:fldChar w:fldCharType="end"/>
          </w:r>
          <w:r>
            <w:rPr>
              <w:rFonts w:hint="eastAsia"/>
            </w:rPr>
            <w:fldChar w:fldCharType="end"/>
          </w:r>
        </w:p>
        <w:p w14:paraId="18BFEAAB">
          <w:pPr>
            <w:pStyle w:val="8"/>
            <w:tabs>
              <w:tab w:val="right" w:leader="dot" w:pos="8831"/>
            </w:tabs>
          </w:pPr>
          <w:r>
            <w:rPr>
              <w:rFonts w:hint="eastAsia"/>
            </w:rPr>
            <w:fldChar w:fldCharType="begin"/>
          </w:r>
          <w:r>
            <w:rPr>
              <w:rFonts w:hint="eastAsia"/>
            </w:rPr>
            <w:instrText xml:space="preserve"> HYPERLINK \l _Toc29493 </w:instrText>
          </w:r>
          <w:r>
            <w:rPr>
              <w:rFonts w:hint="eastAsia"/>
            </w:rPr>
            <w:fldChar w:fldCharType="separate"/>
          </w:r>
          <w:r>
            <w:rPr>
              <w:rFonts w:hint="eastAsia" w:ascii="宋体" w:hAnsi="宋体" w:eastAsia="宋体" w:cs="宋体"/>
              <w:bCs/>
              <w:spacing w:val="4"/>
              <w:szCs w:val="24"/>
              <w:highlight w:val="none"/>
            </w:rPr>
            <w:t>1.招标条件</w:t>
          </w:r>
          <w:r>
            <w:tab/>
          </w:r>
          <w:r>
            <w:fldChar w:fldCharType="begin"/>
          </w:r>
          <w:r>
            <w:instrText xml:space="preserve"> PAGEREF _Toc29493 \h </w:instrText>
          </w:r>
          <w:r>
            <w:fldChar w:fldCharType="separate"/>
          </w:r>
          <w:r>
            <w:t>8</w:t>
          </w:r>
          <w:r>
            <w:fldChar w:fldCharType="end"/>
          </w:r>
          <w:r>
            <w:rPr>
              <w:rFonts w:hint="eastAsia"/>
            </w:rPr>
            <w:fldChar w:fldCharType="end"/>
          </w:r>
        </w:p>
        <w:p w14:paraId="6E9BB495">
          <w:pPr>
            <w:pStyle w:val="8"/>
            <w:tabs>
              <w:tab w:val="right" w:leader="dot" w:pos="8831"/>
            </w:tabs>
          </w:pPr>
          <w:r>
            <w:rPr>
              <w:rFonts w:hint="eastAsia"/>
            </w:rPr>
            <w:fldChar w:fldCharType="begin"/>
          </w:r>
          <w:r>
            <w:rPr>
              <w:rFonts w:hint="eastAsia"/>
            </w:rPr>
            <w:instrText xml:space="preserve"> HYPERLINK \l _Toc29505 </w:instrText>
          </w:r>
          <w:r>
            <w:rPr>
              <w:rFonts w:hint="eastAsia"/>
            </w:rPr>
            <w:fldChar w:fldCharType="separate"/>
          </w:r>
          <w:r>
            <w:rPr>
              <w:rFonts w:hint="eastAsia" w:ascii="宋体" w:hAnsi="宋体" w:eastAsia="宋体" w:cs="宋体"/>
              <w:spacing w:val="6"/>
              <w:szCs w:val="24"/>
              <w:highlight w:val="none"/>
            </w:rPr>
            <w:t>2</w:t>
          </w:r>
          <w:r>
            <w:rPr>
              <w:rFonts w:hint="eastAsia" w:ascii="宋体" w:hAnsi="宋体" w:eastAsia="宋体" w:cs="宋体"/>
              <w:bCs/>
              <w:spacing w:val="6"/>
              <w:szCs w:val="24"/>
              <w:highlight w:val="none"/>
            </w:rPr>
            <w:t>.项目概况与招标范围</w:t>
          </w:r>
          <w:r>
            <w:tab/>
          </w:r>
          <w:r>
            <w:fldChar w:fldCharType="begin"/>
          </w:r>
          <w:r>
            <w:instrText xml:space="preserve"> PAGEREF _Toc29505 \h </w:instrText>
          </w:r>
          <w:r>
            <w:fldChar w:fldCharType="separate"/>
          </w:r>
          <w:r>
            <w:t>8</w:t>
          </w:r>
          <w:r>
            <w:fldChar w:fldCharType="end"/>
          </w:r>
          <w:r>
            <w:rPr>
              <w:rFonts w:hint="eastAsia"/>
            </w:rPr>
            <w:fldChar w:fldCharType="end"/>
          </w:r>
        </w:p>
        <w:p w14:paraId="1C58C330">
          <w:pPr>
            <w:pStyle w:val="8"/>
            <w:tabs>
              <w:tab w:val="right" w:leader="dot" w:pos="8831"/>
            </w:tabs>
          </w:pPr>
          <w:r>
            <w:rPr>
              <w:rFonts w:hint="eastAsia"/>
            </w:rPr>
            <w:fldChar w:fldCharType="begin"/>
          </w:r>
          <w:r>
            <w:rPr>
              <w:rFonts w:hint="eastAsia"/>
            </w:rPr>
            <w:instrText xml:space="preserve"> HYPERLINK \l _Toc18802 </w:instrText>
          </w:r>
          <w:r>
            <w:rPr>
              <w:rFonts w:hint="eastAsia"/>
            </w:rPr>
            <w:fldChar w:fldCharType="separate"/>
          </w:r>
          <w:r>
            <w:rPr>
              <w:rFonts w:hint="eastAsia" w:ascii="宋体" w:hAnsi="宋体" w:eastAsia="宋体" w:cs="宋体"/>
              <w:bCs/>
              <w:spacing w:val="5"/>
              <w:szCs w:val="24"/>
              <w:highlight w:val="none"/>
            </w:rPr>
            <w:t>3.投标人资格要求</w:t>
          </w:r>
          <w:r>
            <w:tab/>
          </w:r>
          <w:r>
            <w:fldChar w:fldCharType="begin"/>
          </w:r>
          <w:r>
            <w:instrText xml:space="preserve"> PAGEREF _Toc18802 \h </w:instrText>
          </w:r>
          <w:r>
            <w:fldChar w:fldCharType="separate"/>
          </w:r>
          <w:r>
            <w:t>9</w:t>
          </w:r>
          <w:r>
            <w:fldChar w:fldCharType="end"/>
          </w:r>
          <w:r>
            <w:rPr>
              <w:rFonts w:hint="eastAsia"/>
            </w:rPr>
            <w:fldChar w:fldCharType="end"/>
          </w:r>
        </w:p>
        <w:p w14:paraId="0A5F2BF0">
          <w:pPr>
            <w:pStyle w:val="8"/>
            <w:tabs>
              <w:tab w:val="right" w:leader="dot" w:pos="8831"/>
            </w:tabs>
          </w:pPr>
          <w:r>
            <w:rPr>
              <w:rFonts w:hint="eastAsia"/>
            </w:rPr>
            <w:fldChar w:fldCharType="begin"/>
          </w:r>
          <w:r>
            <w:rPr>
              <w:rFonts w:hint="eastAsia"/>
            </w:rPr>
            <w:instrText xml:space="preserve"> HYPERLINK \l _Toc17108 </w:instrText>
          </w:r>
          <w:r>
            <w:rPr>
              <w:rFonts w:hint="eastAsia"/>
            </w:rPr>
            <w:fldChar w:fldCharType="separate"/>
          </w:r>
          <w:r>
            <w:rPr>
              <w:rFonts w:hint="eastAsia" w:ascii="宋体" w:hAnsi="宋体" w:eastAsia="宋体" w:cs="宋体"/>
              <w:bCs/>
              <w:spacing w:val="5"/>
              <w:szCs w:val="24"/>
              <w:highlight w:val="none"/>
            </w:rPr>
            <w:t>4.评标办法</w:t>
          </w:r>
          <w:r>
            <w:tab/>
          </w:r>
          <w:r>
            <w:fldChar w:fldCharType="begin"/>
          </w:r>
          <w:r>
            <w:instrText xml:space="preserve"> PAGEREF _Toc17108 \h </w:instrText>
          </w:r>
          <w:r>
            <w:fldChar w:fldCharType="separate"/>
          </w:r>
          <w:r>
            <w:t>10</w:t>
          </w:r>
          <w:r>
            <w:fldChar w:fldCharType="end"/>
          </w:r>
          <w:r>
            <w:rPr>
              <w:rFonts w:hint="eastAsia"/>
            </w:rPr>
            <w:fldChar w:fldCharType="end"/>
          </w:r>
        </w:p>
        <w:p w14:paraId="5FD2C896">
          <w:pPr>
            <w:pStyle w:val="8"/>
            <w:tabs>
              <w:tab w:val="right" w:leader="dot" w:pos="8831"/>
            </w:tabs>
          </w:pPr>
          <w:r>
            <w:rPr>
              <w:rFonts w:hint="eastAsia"/>
            </w:rPr>
            <w:fldChar w:fldCharType="begin"/>
          </w:r>
          <w:r>
            <w:rPr>
              <w:rFonts w:hint="eastAsia"/>
            </w:rPr>
            <w:instrText xml:space="preserve"> HYPERLINK \l _Toc9721 </w:instrText>
          </w:r>
          <w:r>
            <w:rPr>
              <w:rFonts w:hint="eastAsia"/>
            </w:rPr>
            <w:fldChar w:fldCharType="separate"/>
          </w:r>
          <w:r>
            <w:rPr>
              <w:rFonts w:hint="eastAsia" w:ascii="宋体" w:hAnsi="宋体" w:eastAsia="宋体" w:cs="宋体"/>
              <w:bCs/>
              <w:spacing w:val="5"/>
              <w:szCs w:val="24"/>
              <w:highlight w:val="none"/>
            </w:rPr>
            <w:t>5.招标文件获取</w:t>
          </w:r>
          <w:r>
            <w:tab/>
          </w:r>
          <w:r>
            <w:fldChar w:fldCharType="begin"/>
          </w:r>
          <w:r>
            <w:instrText xml:space="preserve"> PAGEREF _Toc9721 \h </w:instrText>
          </w:r>
          <w:r>
            <w:fldChar w:fldCharType="separate"/>
          </w:r>
          <w:r>
            <w:t>10</w:t>
          </w:r>
          <w:r>
            <w:fldChar w:fldCharType="end"/>
          </w:r>
          <w:r>
            <w:rPr>
              <w:rFonts w:hint="eastAsia"/>
            </w:rPr>
            <w:fldChar w:fldCharType="end"/>
          </w:r>
        </w:p>
        <w:p w14:paraId="627E743A">
          <w:pPr>
            <w:pStyle w:val="8"/>
            <w:tabs>
              <w:tab w:val="right" w:leader="dot" w:pos="8831"/>
            </w:tabs>
          </w:pPr>
          <w:r>
            <w:rPr>
              <w:rFonts w:hint="eastAsia"/>
            </w:rPr>
            <w:fldChar w:fldCharType="begin"/>
          </w:r>
          <w:r>
            <w:rPr>
              <w:rFonts w:hint="eastAsia"/>
            </w:rPr>
            <w:instrText xml:space="preserve"> HYPERLINK \l _Toc1308 </w:instrText>
          </w:r>
          <w:r>
            <w:rPr>
              <w:rFonts w:hint="eastAsia"/>
            </w:rPr>
            <w:fldChar w:fldCharType="separate"/>
          </w:r>
          <w:r>
            <w:rPr>
              <w:rFonts w:hint="eastAsia" w:ascii="宋体" w:hAnsi="宋体" w:eastAsia="宋体" w:cs="宋体"/>
              <w:bCs/>
              <w:spacing w:val="7"/>
              <w:szCs w:val="24"/>
              <w:highlight w:val="none"/>
            </w:rPr>
            <w:t>6.投标文件的递交及电子化开标说明</w:t>
          </w:r>
          <w:r>
            <w:tab/>
          </w:r>
          <w:r>
            <w:fldChar w:fldCharType="begin"/>
          </w:r>
          <w:r>
            <w:instrText xml:space="preserve"> PAGEREF _Toc1308 \h </w:instrText>
          </w:r>
          <w:r>
            <w:fldChar w:fldCharType="separate"/>
          </w:r>
          <w:r>
            <w:t>10</w:t>
          </w:r>
          <w:r>
            <w:fldChar w:fldCharType="end"/>
          </w:r>
          <w:r>
            <w:rPr>
              <w:rFonts w:hint="eastAsia"/>
            </w:rPr>
            <w:fldChar w:fldCharType="end"/>
          </w:r>
        </w:p>
        <w:p w14:paraId="2742E8C7">
          <w:pPr>
            <w:pStyle w:val="8"/>
            <w:tabs>
              <w:tab w:val="right" w:leader="dot" w:pos="8831"/>
            </w:tabs>
          </w:pPr>
          <w:r>
            <w:rPr>
              <w:rFonts w:hint="eastAsia"/>
            </w:rPr>
            <w:fldChar w:fldCharType="begin"/>
          </w:r>
          <w:r>
            <w:rPr>
              <w:rFonts w:hint="eastAsia"/>
            </w:rPr>
            <w:instrText xml:space="preserve"> HYPERLINK \l _Toc10932 </w:instrText>
          </w:r>
          <w:r>
            <w:rPr>
              <w:rFonts w:hint="eastAsia"/>
            </w:rPr>
            <w:fldChar w:fldCharType="separate"/>
          </w:r>
          <w:r>
            <w:rPr>
              <w:rFonts w:hint="eastAsia" w:ascii="宋体" w:hAnsi="宋体" w:eastAsia="宋体" w:cs="宋体"/>
              <w:bCs/>
              <w:spacing w:val="5"/>
              <w:szCs w:val="24"/>
              <w:highlight w:val="none"/>
            </w:rPr>
            <w:t>7.发布公告的媒介</w:t>
          </w:r>
          <w:r>
            <w:tab/>
          </w:r>
          <w:r>
            <w:fldChar w:fldCharType="begin"/>
          </w:r>
          <w:r>
            <w:instrText xml:space="preserve"> PAGEREF _Toc10932 \h </w:instrText>
          </w:r>
          <w:r>
            <w:fldChar w:fldCharType="separate"/>
          </w:r>
          <w:r>
            <w:t>11</w:t>
          </w:r>
          <w:r>
            <w:fldChar w:fldCharType="end"/>
          </w:r>
          <w:r>
            <w:rPr>
              <w:rFonts w:hint="eastAsia"/>
            </w:rPr>
            <w:fldChar w:fldCharType="end"/>
          </w:r>
        </w:p>
        <w:p w14:paraId="644F7014">
          <w:pPr>
            <w:pStyle w:val="8"/>
            <w:tabs>
              <w:tab w:val="right" w:leader="dot" w:pos="8831"/>
            </w:tabs>
          </w:pPr>
          <w:r>
            <w:rPr>
              <w:rFonts w:hint="eastAsia"/>
            </w:rPr>
            <w:fldChar w:fldCharType="begin"/>
          </w:r>
          <w:r>
            <w:rPr>
              <w:rFonts w:hint="eastAsia"/>
            </w:rPr>
            <w:instrText xml:space="preserve"> HYPERLINK \l _Toc6869 </w:instrText>
          </w:r>
          <w:r>
            <w:rPr>
              <w:rFonts w:hint="eastAsia"/>
            </w:rPr>
            <w:fldChar w:fldCharType="separate"/>
          </w:r>
          <w:r>
            <w:rPr>
              <w:rFonts w:hint="eastAsia" w:ascii="宋体" w:hAnsi="宋体" w:eastAsia="宋体" w:cs="宋体"/>
              <w:bCs/>
              <w:spacing w:val="5"/>
              <w:szCs w:val="24"/>
              <w:highlight w:val="none"/>
            </w:rPr>
            <w:t>8.联系方式</w:t>
          </w:r>
          <w:r>
            <w:tab/>
          </w:r>
          <w:r>
            <w:fldChar w:fldCharType="begin"/>
          </w:r>
          <w:r>
            <w:instrText xml:space="preserve"> PAGEREF _Toc6869 \h </w:instrText>
          </w:r>
          <w:r>
            <w:fldChar w:fldCharType="separate"/>
          </w:r>
          <w:r>
            <w:t>11</w:t>
          </w:r>
          <w:r>
            <w:fldChar w:fldCharType="end"/>
          </w:r>
          <w:r>
            <w:rPr>
              <w:rFonts w:hint="eastAsia"/>
            </w:rPr>
            <w:fldChar w:fldCharType="end"/>
          </w:r>
        </w:p>
        <w:p w14:paraId="7F13CFB7">
          <w:pPr>
            <w:pStyle w:val="7"/>
            <w:tabs>
              <w:tab w:val="right" w:leader="dot" w:pos="8831"/>
            </w:tabs>
          </w:pPr>
          <w:r>
            <w:rPr>
              <w:rFonts w:hint="eastAsia"/>
            </w:rPr>
            <w:fldChar w:fldCharType="begin"/>
          </w:r>
          <w:r>
            <w:rPr>
              <w:rFonts w:hint="eastAsia"/>
            </w:rPr>
            <w:instrText xml:space="preserve"> HYPERLINK \l _Toc27107 </w:instrText>
          </w:r>
          <w:r>
            <w:rPr>
              <w:rFonts w:hint="eastAsia"/>
            </w:rPr>
            <w:fldChar w:fldCharType="separate"/>
          </w:r>
          <w:r>
            <w:rPr>
              <w:rFonts w:hint="eastAsia" w:ascii="宋体" w:hAnsi="宋体" w:eastAsia="宋体" w:cs="宋体"/>
              <w:bCs/>
              <w:spacing w:val="4"/>
              <w:szCs w:val="43"/>
              <w:highlight w:val="none"/>
            </w:rPr>
            <w:t>第二章投标人须知</w:t>
          </w:r>
          <w:r>
            <w:tab/>
          </w:r>
          <w:r>
            <w:fldChar w:fldCharType="begin"/>
          </w:r>
          <w:r>
            <w:instrText xml:space="preserve"> PAGEREF _Toc27107 \h </w:instrText>
          </w:r>
          <w:r>
            <w:fldChar w:fldCharType="separate"/>
          </w:r>
          <w:r>
            <w:t>13</w:t>
          </w:r>
          <w:r>
            <w:fldChar w:fldCharType="end"/>
          </w:r>
          <w:r>
            <w:rPr>
              <w:rFonts w:hint="eastAsia"/>
            </w:rPr>
            <w:fldChar w:fldCharType="end"/>
          </w:r>
        </w:p>
        <w:p w14:paraId="7E82E576">
          <w:pPr>
            <w:pStyle w:val="7"/>
            <w:tabs>
              <w:tab w:val="right" w:leader="dot" w:pos="8831"/>
            </w:tabs>
          </w:pPr>
          <w:r>
            <w:rPr>
              <w:rFonts w:hint="eastAsia"/>
            </w:rPr>
            <w:fldChar w:fldCharType="begin"/>
          </w:r>
          <w:r>
            <w:rPr>
              <w:rFonts w:hint="eastAsia"/>
            </w:rPr>
            <w:instrText xml:space="preserve"> HYPERLINK \l _Toc6106 </w:instrText>
          </w:r>
          <w:r>
            <w:rPr>
              <w:rFonts w:hint="eastAsia"/>
            </w:rPr>
            <w:fldChar w:fldCharType="separate"/>
          </w:r>
          <w:r>
            <w:rPr>
              <w:rFonts w:hint="eastAsia" w:ascii="宋体" w:hAnsi="宋体" w:eastAsia="宋体" w:cs="宋体"/>
              <w:bCs/>
              <w:spacing w:val="5"/>
              <w:szCs w:val="43"/>
              <w:highlight w:val="none"/>
            </w:rPr>
            <w:t>投标人须知前附表</w:t>
          </w:r>
          <w:r>
            <w:tab/>
          </w:r>
          <w:r>
            <w:fldChar w:fldCharType="begin"/>
          </w:r>
          <w:r>
            <w:instrText xml:space="preserve"> PAGEREF _Toc6106 \h </w:instrText>
          </w:r>
          <w:r>
            <w:fldChar w:fldCharType="separate"/>
          </w:r>
          <w:r>
            <w:t>13</w:t>
          </w:r>
          <w:r>
            <w:fldChar w:fldCharType="end"/>
          </w:r>
          <w:r>
            <w:rPr>
              <w:rFonts w:hint="eastAsia"/>
            </w:rPr>
            <w:fldChar w:fldCharType="end"/>
          </w:r>
        </w:p>
        <w:p w14:paraId="762F7126">
          <w:pPr>
            <w:pStyle w:val="8"/>
            <w:tabs>
              <w:tab w:val="right" w:leader="dot" w:pos="8831"/>
            </w:tabs>
          </w:pPr>
          <w:r>
            <w:rPr>
              <w:rFonts w:hint="eastAsia"/>
            </w:rPr>
            <w:fldChar w:fldCharType="begin"/>
          </w:r>
          <w:r>
            <w:rPr>
              <w:rFonts w:hint="eastAsia"/>
            </w:rPr>
            <w:instrText xml:space="preserve"> HYPERLINK \l _Toc4162 </w:instrText>
          </w:r>
          <w:r>
            <w:rPr>
              <w:rFonts w:hint="eastAsia"/>
            </w:rPr>
            <w:fldChar w:fldCharType="separate"/>
          </w:r>
          <w:r>
            <w:rPr>
              <w:rFonts w:hint="eastAsia" w:ascii="宋体" w:hAnsi="宋体" w:eastAsia="宋体" w:cs="宋体"/>
              <w:bCs/>
              <w:spacing w:val="-8"/>
              <w:szCs w:val="28"/>
              <w:highlight w:val="none"/>
            </w:rPr>
            <w:t>1.总则</w:t>
          </w:r>
          <w:r>
            <w:tab/>
          </w:r>
          <w:r>
            <w:fldChar w:fldCharType="begin"/>
          </w:r>
          <w:r>
            <w:instrText xml:space="preserve"> PAGEREF _Toc4162 \h </w:instrText>
          </w:r>
          <w:r>
            <w:fldChar w:fldCharType="separate"/>
          </w:r>
          <w:r>
            <w:t>38</w:t>
          </w:r>
          <w:r>
            <w:fldChar w:fldCharType="end"/>
          </w:r>
          <w:r>
            <w:rPr>
              <w:rFonts w:hint="eastAsia"/>
            </w:rPr>
            <w:fldChar w:fldCharType="end"/>
          </w:r>
        </w:p>
        <w:p w14:paraId="393F0BD3">
          <w:pPr>
            <w:pStyle w:val="5"/>
            <w:tabs>
              <w:tab w:val="right" w:leader="dot" w:pos="8831"/>
            </w:tabs>
          </w:pPr>
          <w:r>
            <w:rPr>
              <w:rFonts w:hint="eastAsia"/>
            </w:rPr>
            <w:fldChar w:fldCharType="begin"/>
          </w:r>
          <w:r>
            <w:rPr>
              <w:rFonts w:hint="eastAsia"/>
            </w:rPr>
            <w:instrText xml:space="preserve"> HYPERLINK \l _Toc25876 </w:instrText>
          </w:r>
          <w:r>
            <w:rPr>
              <w:rFonts w:hint="eastAsia"/>
            </w:rPr>
            <w:fldChar w:fldCharType="separate"/>
          </w:r>
          <w:r>
            <w:rPr>
              <w:rFonts w:hint="eastAsia" w:ascii="宋体" w:hAnsi="宋体" w:eastAsia="宋体" w:cs="宋体"/>
              <w:bCs/>
              <w:spacing w:val="-5"/>
              <w:szCs w:val="24"/>
              <w:highlight w:val="none"/>
            </w:rPr>
            <w:t>1.1项目概况</w:t>
          </w:r>
          <w:r>
            <w:tab/>
          </w:r>
          <w:r>
            <w:fldChar w:fldCharType="begin"/>
          </w:r>
          <w:r>
            <w:instrText xml:space="preserve"> PAGEREF _Toc25876 \h </w:instrText>
          </w:r>
          <w:r>
            <w:fldChar w:fldCharType="separate"/>
          </w:r>
          <w:r>
            <w:t>38</w:t>
          </w:r>
          <w:r>
            <w:fldChar w:fldCharType="end"/>
          </w:r>
          <w:r>
            <w:rPr>
              <w:rFonts w:hint="eastAsia"/>
            </w:rPr>
            <w:fldChar w:fldCharType="end"/>
          </w:r>
        </w:p>
        <w:p w14:paraId="1053A259">
          <w:pPr>
            <w:pStyle w:val="5"/>
            <w:tabs>
              <w:tab w:val="right" w:leader="dot" w:pos="8831"/>
            </w:tabs>
          </w:pPr>
          <w:r>
            <w:rPr>
              <w:rFonts w:hint="eastAsia"/>
            </w:rPr>
            <w:fldChar w:fldCharType="begin"/>
          </w:r>
          <w:r>
            <w:rPr>
              <w:rFonts w:hint="eastAsia"/>
            </w:rPr>
            <w:instrText xml:space="preserve"> HYPERLINK \l _Toc7597 </w:instrText>
          </w:r>
          <w:r>
            <w:rPr>
              <w:rFonts w:hint="eastAsia"/>
            </w:rPr>
            <w:fldChar w:fldCharType="separate"/>
          </w:r>
          <w:r>
            <w:rPr>
              <w:rFonts w:hint="eastAsia" w:ascii="宋体" w:hAnsi="宋体" w:eastAsia="宋体" w:cs="宋体"/>
              <w:bCs/>
              <w:spacing w:val="-3"/>
              <w:szCs w:val="24"/>
              <w:highlight w:val="none"/>
            </w:rPr>
            <w:t>1.2招标项目的资金来源和落实情况</w:t>
          </w:r>
          <w:r>
            <w:tab/>
          </w:r>
          <w:r>
            <w:fldChar w:fldCharType="begin"/>
          </w:r>
          <w:r>
            <w:instrText xml:space="preserve"> PAGEREF _Toc7597 \h </w:instrText>
          </w:r>
          <w:r>
            <w:fldChar w:fldCharType="separate"/>
          </w:r>
          <w:r>
            <w:t>38</w:t>
          </w:r>
          <w:r>
            <w:fldChar w:fldCharType="end"/>
          </w:r>
          <w:r>
            <w:rPr>
              <w:rFonts w:hint="eastAsia"/>
            </w:rPr>
            <w:fldChar w:fldCharType="end"/>
          </w:r>
        </w:p>
        <w:p w14:paraId="63F6F922">
          <w:pPr>
            <w:pStyle w:val="5"/>
            <w:tabs>
              <w:tab w:val="right" w:leader="dot" w:pos="8831"/>
            </w:tabs>
          </w:pPr>
          <w:r>
            <w:rPr>
              <w:rFonts w:hint="eastAsia"/>
            </w:rPr>
            <w:fldChar w:fldCharType="begin"/>
          </w:r>
          <w:r>
            <w:rPr>
              <w:rFonts w:hint="eastAsia"/>
            </w:rPr>
            <w:instrText xml:space="preserve"> HYPERLINK \l _Toc15137 </w:instrText>
          </w:r>
          <w:r>
            <w:rPr>
              <w:rFonts w:hint="eastAsia"/>
            </w:rPr>
            <w:fldChar w:fldCharType="separate"/>
          </w:r>
          <w:r>
            <w:rPr>
              <w:rFonts w:hint="eastAsia" w:ascii="宋体" w:hAnsi="宋体" w:eastAsia="宋体" w:cs="宋体"/>
              <w:bCs/>
              <w:spacing w:val="-3"/>
              <w:szCs w:val="24"/>
              <w:highlight w:val="none"/>
            </w:rPr>
            <w:t>1.3招标范围、计划工期、质量要求、安全目标</w:t>
          </w:r>
          <w:r>
            <w:tab/>
          </w:r>
          <w:r>
            <w:fldChar w:fldCharType="begin"/>
          </w:r>
          <w:r>
            <w:instrText xml:space="preserve"> PAGEREF _Toc15137 \h </w:instrText>
          </w:r>
          <w:r>
            <w:fldChar w:fldCharType="separate"/>
          </w:r>
          <w:r>
            <w:t>38</w:t>
          </w:r>
          <w:r>
            <w:fldChar w:fldCharType="end"/>
          </w:r>
          <w:r>
            <w:rPr>
              <w:rFonts w:hint="eastAsia"/>
            </w:rPr>
            <w:fldChar w:fldCharType="end"/>
          </w:r>
        </w:p>
        <w:p w14:paraId="52CD0053">
          <w:pPr>
            <w:pStyle w:val="5"/>
            <w:tabs>
              <w:tab w:val="right" w:leader="dot" w:pos="8831"/>
            </w:tabs>
          </w:pPr>
          <w:r>
            <w:rPr>
              <w:rFonts w:hint="eastAsia"/>
            </w:rPr>
            <w:fldChar w:fldCharType="begin"/>
          </w:r>
          <w:r>
            <w:rPr>
              <w:rFonts w:hint="eastAsia"/>
            </w:rPr>
            <w:instrText xml:space="preserve"> HYPERLINK \l _Toc1977 </w:instrText>
          </w:r>
          <w:r>
            <w:rPr>
              <w:rFonts w:hint="eastAsia"/>
            </w:rPr>
            <w:fldChar w:fldCharType="separate"/>
          </w:r>
          <w:r>
            <w:rPr>
              <w:rFonts w:hint="eastAsia" w:ascii="宋体" w:hAnsi="宋体" w:eastAsia="宋体" w:cs="宋体"/>
              <w:bCs/>
              <w:spacing w:val="-3"/>
              <w:szCs w:val="24"/>
              <w:highlight w:val="none"/>
            </w:rPr>
            <w:t>1.4投标人资格要求（适用于未进行资格预审的）</w:t>
          </w:r>
          <w:r>
            <w:tab/>
          </w:r>
          <w:r>
            <w:fldChar w:fldCharType="begin"/>
          </w:r>
          <w:r>
            <w:instrText xml:space="preserve"> PAGEREF _Toc1977 \h </w:instrText>
          </w:r>
          <w:r>
            <w:fldChar w:fldCharType="separate"/>
          </w:r>
          <w:r>
            <w:t>38</w:t>
          </w:r>
          <w:r>
            <w:fldChar w:fldCharType="end"/>
          </w:r>
          <w:r>
            <w:rPr>
              <w:rFonts w:hint="eastAsia"/>
            </w:rPr>
            <w:fldChar w:fldCharType="end"/>
          </w:r>
        </w:p>
        <w:p w14:paraId="1C56BF0A">
          <w:pPr>
            <w:pStyle w:val="5"/>
            <w:tabs>
              <w:tab w:val="right" w:leader="dot" w:pos="8831"/>
            </w:tabs>
          </w:pPr>
          <w:r>
            <w:rPr>
              <w:rFonts w:hint="eastAsia"/>
            </w:rPr>
            <w:fldChar w:fldCharType="begin"/>
          </w:r>
          <w:r>
            <w:rPr>
              <w:rFonts w:hint="eastAsia"/>
            </w:rPr>
            <w:instrText xml:space="preserve"> HYPERLINK \l _Toc776 </w:instrText>
          </w:r>
          <w:r>
            <w:rPr>
              <w:rFonts w:hint="eastAsia"/>
            </w:rPr>
            <w:fldChar w:fldCharType="separate"/>
          </w:r>
          <w:r>
            <w:rPr>
              <w:rFonts w:hint="eastAsia" w:ascii="宋体" w:hAnsi="宋体" w:eastAsia="宋体" w:cs="宋体"/>
              <w:spacing w:val="14"/>
              <w:szCs w:val="24"/>
              <w:highlight w:val="none"/>
            </w:rPr>
            <w:t>1.4.5投标人（包括联合体各成员）应进</w:t>
          </w:r>
          <w:r>
            <w:rPr>
              <w:rFonts w:hint="eastAsia" w:ascii="宋体" w:hAnsi="宋体" w:eastAsia="宋体" w:cs="宋体"/>
              <w:spacing w:val="13"/>
              <w:szCs w:val="24"/>
              <w:highlight w:val="none"/>
            </w:rPr>
            <w:t>入交通运输部“全国公路建设市场信用信息管理系统</w:t>
          </w:r>
          <w:r>
            <w:rPr>
              <w:rFonts w:hint="eastAsia" w:ascii="宋体" w:hAnsi="宋体" w:eastAsia="宋体" w:cs="宋体"/>
              <w:spacing w:val="8"/>
              <w:szCs w:val="24"/>
              <w:highlight w:val="none"/>
            </w:rPr>
            <w:t>（</w:t>
          </w:r>
          <w:r>
            <w:rPr>
              <w:rFonts w:hint="eastAsia" w:ascii="宋体" w:hAnsi="宋体" w:eastAsia="宋体" w:cs="宋体"/>
              <w:szCs w:val="24"/>
              <w:highlight w:val="none"/>
            </w:rPr>
            <w:t>http</w:t>
          </w:r>
          <w:r>
            <w:rPr>
              <w:rFonts w:hint="eastAsia" w:ascii="宋体" w:hAnsi="宋体" w:eastAsia="宋体" w:cs="宋体"/>
              <w:spacing w:val="8"/>
              <w:szCs w:val="24"/>
              <w:highlight w:val="none"/>
            </w:rPr>
            <w:t>：//</w:t>
          </w:r>
          <w:r>
            <w:rPr>
              <w:rFonts w:hint="eastAsia" w:ascii="宋体" w:hAnsi="宋体" w:eastAsia="宋体" w:cs="宋体"/>
              <w:szCs w:val="24"/>
              <w:highlight w:val="none"/>
            </w:rPr>
            <w:t>glxy</w:t>
          </w:r>
          <w:r>
            <w:rPr>
              <w:rFonts w:hint="eastAsia" w:ascii="宋体" w:hAnsi="宋体" w:eastAsia="宋体" w:cs="宋体"/>
              <w:spacing w:val="8"/>
              <w:szCs w:val="24"/>
              <w:highlight w:val="none"/>
            </w:rPr>
            <w:t>.</w:t>
          </w:r>
          <w:r>
            <w:rPr>
              <w:rFonts w:hint="eastAsia" w:ascii="宋体" w:hAnsi="宋体" w:eastAsia="宋体" w:cs="宋体"/>
              <w:szCs w:val="24"/>
              <w:highlight w:val="none"/>
            </w:rPr>
            <w:t>mot</w:t>
          </w:r>
          <w:r>
            <w:rPr>
              <w:rFonts w:hint="eastAsia" w:ascii="宋体" w:hAnsi="宋体" w:eastAsia="宋体" w:cs="宋体"/>
              <w:spacing w:val="8"/>
              <w:szCs w:val="24"/>
              <w:highlight w:val="none"/>
            </w:rPr>
            <w:t>.</w:t>
          </w:r>
          <w:r>
            <w:rPr>
              <w:rFonts w:hint="eastAsia" w:ascii="宋体" w:hAnsi="宋体" w:eastAsia="宋体" w:cs="宋体"/>
              <w:szCs w:val="24"/>
              <w:highlight w:val="none"/>
            </w:rPr>
            <w:t>gov</w:t>
          </w:r>
          <w:r>
            <w:rPr>
              <w:rFonts w:hint="eastAsia" w:ascii="宋体" w:hAnsi="宋体" w:eastAsia="宋体" w:cs="宋体"/>
              <w:spacing w:val="8"/>
              <w:szCs w:val="24"/>
              <w:highlight w:val="none"/>
            </w:rPr>
            <w:t>.</w:t>
          </w:r>
          <w:r>
            <w:rPr>
              <w:rFonts w:hint="eastAsia" w:ascii="宋体" w:hAnsi="宋体" w:eastAsia="宋体" w:cs="宋体"/>
              <w:szCs w:val="24"/>
              <w:highlight w:val="none"/>
            </w:rPr>
            <w:t>cn</w:t>
          </w:r>
          <w:r>
            <w:rPr>
              <w:rFonts w:hint="eastAsia" w:ascii="宋体" w:hAnsi="宋体" w:eastAsia="宋体" w:cs="宋体"/>
              <w:spacing w:val="8"/>
              <w:szCs w:val="24"/>
              <w:highlight w:val="none"/>
            </w:rPr>
            <w:t>）”中的公路工程施工资质企业名录，且投标人名称和资质与该名录</w:t>
          </w:r>
          <w:r>
            <w:rPr>
              <w:rFonts w:hint="eastAsia" w:ascii="宋体" w:hAnsi="宋体" w:eastAsia="宋体" w:cs="宋体"/>
              <w:spacing w:val="10"/>
              <w:szCs w:val="24"/>
              <w:highlight w:val="none"/>
            </w:rPr>
            <w:t>中的相应企业名称和资质完全一致。投标人不满足本项规定条件的，将</w:t>
          </w:r>
          <w:r>
            <w:rPr>
              <w:rFonts w:hint="eastAsia" w:ascii="宋体" w:hAnsi="宋体" w:eastAsia="宋体" w:cs="宋体"/>
              <w:spacing w:val="9"/>
              <w:szCs w:val="24"/>
              <w:highlight w:val="none"/>
            </w:rPr>
            <w:t>被否决投标。</w:t>
          </w:r>
          <w:r>
            <w:tab/>
          </w:r>
          <w:r>
            <w:fldChar w:fldCharType="begin"/>
          </w:r>
          <w:r>
            <w:instrText xml:space="preserve"> PAGEREF _Toc776 \h </w:instrText>
          </w:r>
          <w:r>
            <w:fldChar w:fldCharType="separate"/>
          </w:r>
          <w:r>
            <w:t>40</w:t>
          </w:r>
          <w:r>
            <w:fldChar w:fldCharType="end"/>
          </w:r>
          <w:r>
            <w:rPr>
              <w:rFonts w:hint="eastAsia"/>
            </w:rPr>
            <w:fldChar w:fldCharType="end"/>
          </w:r>
        </w:p>
        <w:p w14:paraId="41DB987D">
          <w:pPr>
            <w:pStyle w:val="5"/>
            <w:tabs>
              <w:tab w:val="right" w:leader="dot" w:pos="8831"/>
            </w:tabs>
          </w:pPr>
          <w:r>
            <w:rPr>
              <w:rFonts w:hint="eastAsia"/>
            </w:rPr>
            <w:fldChar w:fldCharType="begin"/>
          </w:r>
          <w:r>
            <w:rPr>
              <w:rFonts w:hint="eastAsia"/>
            </w:rPr>
            <w:instrText xml:space="preserve"> HYPERLINK \l _Toc15881 </w:instrText>
          </w:r>
          <w:r>
            <w:rPr>
              <w:rFonts w:hint="eastAsia"/>
            </w:rPr>
            <w:fldChar w:fldCharType="separate"/>
          </w:r>
          <w:r>
            <w:rPr>
              <w:rFonts w:hint="eastAsia" w:ascii="宋体" w:hAnsi="宋体" w:eastAsia="宋体" w:cs="宋体"/>
              <w:bCs/>
              <w:spacing w:val="-6"/>
              <w:szCs w:val="24"/>
              <w:highlight w:val="none"/>
            </w:rPr>
            <w:t>1.5费用承担</w:t>
          </w:r>
          <w:r>
            <w:tab/>
          </w:r>
          <w:r>
            <w:fldChar w:fldCharType="begin"/>
          </w:r>
          <w:r>
            <w:instrText xml:space="preserve"> PAGEREF _Toc15881 \h </w:instrText>
          </w:r>
          <w:r>
            <w:fldChar w:fldCharType="separate"/>
          </w:r>
          <w:r>
            <w:t>40</w:t>
          </w:r>
          <w:r>
            <w:fldChar w:fldCharType="end"/>
          </w:r>
          <w:r>
            <w:rPr>
              <w:rFonts w:hint="eastAsia"/>
            </w:rPr>
            <w:fldChar w:fldCharType="end"/>
          </w:r>
        </w:p>
        <w:p w14:paraId="1EC10DEE">
          <w:pPr>
            <w:pStyle w:val="5"/>
            <w:tabs>
              <w:tab w:val="right" w:leader="dot" w:pos="8831"/>
            </w:tabs>
          </w:pPr>
          <w:r>
            <w:rPr>
              <w:rFonts w:hint="eastAsia"/>
            </w:rPr>
            <w:fldChar w:fldCharType="begin"/>
          </w:r>
          <w:r>
            <w:rPr>
              <w:rFonts w:hint="eastAsia"/>
            </w:rPr>
            <w:instrText xml:space="preserve"> HYPERLINK \l _Toc21935 </w:instrText>
          </w:r>
          <w:r>
            <w:rPr>
              <w:rFonts w:hint="eastAsia"/>
            </w:rPr>
            <w:fldChar w:fldCharType="separate"/>
          </w:r>
          <w:r>
            <w:rPr>
              <w:rFonts w:hint="eastAsia" w:ascii="宋体" w:hAnsi="宋体" w:eastAsia="宋体" w:cs="宋体"/>
              <w:bCs/>
              <w:spacing w:val="-7"/>
              <w:szCs w:val="24"/>
              <w:highlight w:val="none"/>
            </w:rPr>
            <w:t>1.6保密</w:t>
          </w:r>
          <w:r>
            <w:tab/>
          </w:r>
          <w:r>
            <w:fldChar w:fldCharType="begin"/>
          </w:r>
          <w:r>
            <w:instrText xml:space="preserve"> PAGEREF _Toc21935 \h </w:instrText>
          </w:r>
          <w:r>
            <w:fldChar w:fldCharType="separate"/>
          </w:r>
          <w:r>
            <w:t>40</w:t>
          </w:r>
          <w:r>
            <w:fldChar w:fldCharType="end"/>
          </w:r>
          <w:r>
            <w:rPr>
              <w:rFonts w:hint="eastAsia"/>
            </w:rPr>
            <w:fldChar w:fldCharType="end"/>
          </w:r>
        </w:p>
        <w:p w14:paraId="1236C15A">
          <w:pPr>
            <w:pStyle w:val="5"/>
            <w:tabs>
              <w:tab w:val="right" w:leader="dot" w:pos="8831"/>
            </w:tabs>
          </w:pPr>
          <w:r>
            <w:rPr>
              <w:rFonts w:hint="eastAsia"/>
            </w:rPr>
            <w:fldChar w:fldCharType="begin"/>
          </w:r>
          <w:r>
            <w:rPr>
              <w:rFonts w:hint="eastAsia"/>
            </w:rPr>
            <w:instrText xml:space="preserve"> HYPERLINK \l _Toc1650 </w:instrText>
          </w:r>
          <w:r>
            <w:rPr>
              <w:rFonts w:hint="eastAsia"/>
            </w:rPr>
            <w:fldChar w:fldCharType="separate"/>
          </w:r>
          <w:r>
            <w:rPr>
              <w:rFonts w:hint="eastAsia" w:ascii="宋体" w:hAnsi="宋体" w:eastAsia="宋体" w:cs="宋体"/>
              <w:bCs/>
              <w:spacing w:val="-5"/>
              <w:szCs w:val="24"/>
              <w:highlight w:val="none"/>
            </w:rPr>
            <w:t>1.7语言文字</w:t>
          </w:r>
          <w:r>
            <w:tab/>
          </w:r>
          <w:r>
            <w:fldChar w:fldCharType="begin"/>
          </w:r>
          <w:r>
            <w:instrText xml:space="preserve"> PAGEREF _Toc1650 \h </w:instrText>
          </w:r>
          <w:r>
            <w:fldChar w:fldCharType="separate"/>
          </w:r>
          <w:r>
            <w:t>40</w:t>
          </w:r>
          <w:r>
            <w:fldChar w:fldCharType="end"/>
          </w:r>
          <w:r>
            <w:rPr>
              <w:rFonts w:hint="eastAsia"/>
            </w:rPr>
            <w:fldChar w:fldCharType="end"/>
          </w:r>
        </w:p>
        <w:p w14:paraId="2B73C647">
          <w:pPr>
            <w:pStyle w:val="5"/>
            <w:tabs>
              <w:tab w:val="right" w:leader="dot" w:pos="8831"/>
            </w:tabs>
          </w:pPr>
          <w:r>
            <w:rPr>
              <w:rFonts w:hint="eastAsia"/>
            </w:rPr>
            <w:fldChar w:fldCharType="begin"/>
          </w:r>
          <w:r>
            <w:rPr>
              <w:rFonts w:hint="eastAsia"/>
            </w:rPr>
            <w:instrText xml:space="preserve"> HYPERLINK \l _Toc22517 </w:instrText>
          </w:r>
          <w:r>
            <w:rPr>
              <w:rFonts w:hint="eastAsia"/>
            </w:rPr>
            <w:fldChar w:fldCharType="separate"/>
          </w:r>
          <w:r>
            <w:rPr>
              <w:rFonts w:hint="eastAsia" w:ascii="宋体" w:hAnsi="宋体" w:eastAsia="宋体" w:cs="宋体"/>
              <w:bCs/>
              <w:spacing w:val="-6"/>
              <w:szCs w:val="24"/>
              <w:highlight w:val="none"/>
            </w:rPr>
            <w:t>1.8计量单位</w:t>
          </w:r>
          <w:r>
            <w:tab/>
          </w:r>
          <w:r>
            <w:fldChar w:fldCharType="begin"/>
          </w:r>
          <w:r>
            <w:instrText xml:space="preserve"> PAGEREF _Toc22517 \h </w:instrText>
          </w:r>
          <w:r>
            <w:fldChar w:fldCharType="separate"/>
          </w:r>
          <w:r>
            <w:t>40</w:t>
          </w:r>
          <w:r>
            <w:fldChar w:fldCharType="end"/>
          </w:r>
          <w:r>
            <w:rPr>
              <w:rFonts w:hint="eastAsia"/>
            </w:rPr>
            <w:fldChar w:fldCharType="end"/>
          </w:r>
        </w:p>
        <w:p w14:paraId="38BECA11">
          <w:pPr>
            <w:pStyle w:val="5"/>
            <w:tabs>
              <w:tab w:val="right" w:leader="dot" w:pos="8831"/>
            </w:tabs>
          </w:pPr>
          <w:r>
            <w:rPr>
              <w:rFonts w:hint="eastAsia"/>
            </w:rPr>
            <w:fldChar w:fldCharType="begin"/>
          </w:r>
          <w:r>
            <w:rPr>
              <w:rFonts w:hint="eastAsia"/>
            </w:rPr>
            <w:instrText xml:space="preserve"> HYPERLINK \l _Toc5938 </w:instrText>
          </w:r>
          <w:r>
            <w:rPr>
              <w:rFonts w:hint="eastAsia"/>
            </w:rPr>
            <w:fldChar w:fldCharType="separate"/>
          </w:r>
          <w:r>
            <w:rPr>
              <w:rFonts w:hint="eastAsia" w:ascii="宋体" w:hAnsi="宋体" w:eastAsia="宋体" w:cs="宋体"/>
              <w:bCs/>
              <w:spacing w:val="-6"/>
              <w:szCs w:val="24"/>
              <w:highlight w:val="none"/>
            </w:rPr>
            <w:t>1.9踏勘现场</w:t>
          </w:r>
          <w:r>
            <w:tab/>
          </w:r>
          <w:r>
            <w:fldChar w:fldCharType="begin"/>
          </w:r>
          <w:r>
            <w:instrText xml:space="preserve"> PAGEREF _Toc5938 \h </w:instrText>
          </w:r>
          <w:r>
            <w:fldChar w:fldCharType="separate"/>
          </w:r>
          <w:r>
            <w:t>40</w:t>
          </w:r>
          <w:r>
            <w:fldChar w:fldCharType="end"/>
          </w:r>
          <w:r>
            <w:rPr>
              <w:rFonts w:hint="eastAsia"/>
            </w:rPr>
            <w:fldChar w:fldCharType="end"/>
          </w:r>
        </w:p>
        <w:p w14:paraId="67AFF99A">
          <w:pPr>
            <w:pStyle w:val="5"/>
            <w:tabs>
              <w:tab w:val="right" w:leader="dot" w:pos="8831"/>
            </w:tabs>
          </w:pPr>
          <w:r>
            <w:rPr>
              <w:rFonts w:hint="eastAsia"/>
            </w:rPr>
            <w:fldChar w:fldCharType="begin"/>
          </w:r>
          <w:r>
            <w:rPr>
              <w:rFonts w:hint="eastAsia"/>
            </w:rPr>
            <w:instrText xml:space="preserve"> HYPERLINK \l _Toc24731 </w:instrText>
          </w:r>
          <w:r>
            <w:rPr>
              <w:rFonts w:hint="eastAsia"/>
            </w:rPr>
            <w:fldChar w:fldCharType="separate"/>
          </w:r>
          <w:r>
            <w:rPr>
              <w:rFonts w:hint="eastAsia" w:ascii="宋体" w:hAnsi="宋体" w:eastAsia="宋体" w:cs="宋体"/>
              <w:spacing w:val="8"/>
              <w:szCs w:val="24"/>
              <w:highlight w:val="none"/>
            </w:rPr>
            <w:t>1.9.1第一章“招标公告”或“投标邀请书”规定组织踏</w:t>
          </w:r>
          <w:r>
            <w:rPr>
              <w:rFonts w:hint="eastAsia" w:ascii="宋体" w:hAnsi="宋体" w:eastAsia="宋体" w:cs="宋体"/>
              <w:spacing w:val="7"/>
              <w:szCs w:val="24"/>
              <w:highlight w:val="none"/>
            </w:rPr>
            <w:t>勘现场的，招标人按</w:t>
          </w:r>
          <w:r>
            <w:rPr>
              <w:rFonts w:hint="eastAsia" w:ascii="宋体" w:hAnsi="宋体" w:eastAsia="宋体" w:cs="宋体"/>
              <w:spacing w:val="-6"/>
              <w:szCs w:val="24"/>
              <w:highlight w:val="none"/>
            </w:rPr>
            <w:t>规定的时间、地点组织投标人踏勘项目现场。部分投标人未按时参加踏勘现场的，不影响踏勘现场的正常进行。招标人不得组织单个或部分投标人踏勘项目现场。</w:t>
          </w:r>
          <w:r>
            <w:tab/>
          </w:r>
          <w:r>
            <w:fldChar w:fldCharType="begin"/>
          </w:r>
          <w:r>
            <w:instrText xml:space="preserve"> PAGEREF _Toc24731 \h </w:instrText>
          </w:r>
          <w:r>
            <w:fldChar w:fldCharType="separate"/>
          </w:r>
          <w:r>
            <w:t>40</w:t>
          </w:r>
          <w:r>
            <w:fldChar w:fldCharType="end"/>
          </w:r>
          <w:r>
            <w:rPr>
              <w:rFonts w:hint="eastAsia"/>
            </w:rPr>
            <w:fldChar w:fldCharType="end"/>
          </w:r>
        </w:p>
        <w:p w14:paraId="47690844">
          <w:pPr>
            <w:pStyle w:val="5"/>
            <w:tabs>
              <w:tab w:val="right" w:leader="dot" w:pos="8831"/>
            </w:tabs>
          </w:pPr>
          <w:r>
            <w:rPr>
              <w:rFonts w:hint="eastAsia"/>
            </w:rPr>
            <w:fldChar w:fldCharType="begin"/>
          </w:r>
          <w:r>
            <w:rPr>
              <w:rFonts w:hint="eastAsia"/>
            </w:rPr>
            <w:instrText xml:space="preserve"> HYPERLINK \l _Toc18357 </w:instrText>
          </w:r>
          <w:r>
            <w:rPr>
              <w:rFonts w:hint="eastAsia"/>
            </w:rPr>
            <w:fldChar w:fldCharType="separate"/>
          </w:r>
          <w:r>
            <w:rPr>
              <w:rFonts w:hint="eastAsia" w:ascii="宋体" w:hAnsi="宋体" w:eastAsia="宋体" w:cs="宋体"/>
              <w:bCs/>
              <w:spacing w:val="-4"/>
              <w:szCs w:val="24"/>
              <w:highlight w:val="none"/>
            </w:rPr>
            <w:t>1.10投标预备会</w:t>
          </w:r>
          <w:r>
            <w:tab/>
          </w:r>
          <w:r>
            <w:fldChar w:fldCharType="begin"/>
          </w:r>
          <w:r>
            <w:instrText xml:space="preserve"> PAGEREF _Toc18357 \h </w:instrText>
          </w:r>
          <w:r>
            <w:fldChar w:fldCharType="separate"/>
          </w:r>
          <w:r>
            <w:t>41</w:t>
          </w:r>
          <w:r>
            <w:fldChar w:fldCharType="end"/>
          </w:r>
          <w:r>
            <w:rPr>
              <w:rFonts w:hint="eastAsia"/>
            </w:rPr>
            <w:fldChar w:fldCharType="end"/>
          </w:r>
        </w:p>
        <w:p w14:paraId="7101F78A">
          <w:pPr>
            <w:pStyle w:val="5"/>
            <w:tabs>
              <w:tab w:val="right" w:leader="dot" w:pos="8831"/>
            </w:tabs>
          </w:pPr>
          <w:r>
            <w:rPr>
              <w:rFonts w:hint="eastAsia"/>
            </w:rPr>
            <w:fldChar w:fldCharType="begin"/>
          </w:r>
          <w:r>
            <w:rPr>
              <w:rFonts w:hint="eastAsia"/>
            </w:rPr>
            <w:instrText xml:space="preserve"> HYPERLINK \l _Toc32345 </w:instrText>
          </w:r>
          <w:r>
            <w:rPr>
              <w:rFonts w:hint="eastAsia"/>
            </w:rPr>
            <w:fldChar w:fldCharType="separate"/>
          </w:r>
          <w:r>
            <w:rPr>
              <w:rFonts w:hint="eastAsia" w:ascii="宋体" w:hAnsi="宋体" w:eastAsia="宋体" w:cs="宋体"/>
              <w:bCs/>
              <w:spacing w:val="-7"/>
              <w:szCs w:val="24"/>
              <w:highlight w:val="none"/>
            </w:rPr>
            <w:t>1.11分包</w:t>
          </w:r>
          <w:r>
            <w:tab/>
          </w:r>
          <w:r>
            <w:fldChar w:fldCharType="begin"/>
          </w:r>
          <w:r>
            <w:instrText xml:space="preserve"> PAGEREF _Toc32345 \h </w:instrText>
          </w:r>
          <w:r>
            <w:fldChar w:fldCharType="separate"/>
          </w:r>
          <w:r>
            <w:t>41</w:t>
          </w:r>
          <w:r>
            <w:fldChar w:fldCharType="end"/>
          </w:r>
          <w:r>
            <w:rPr>
              <w:rFonts w:hint="eastAsia"/>
            </w:rPr>
            <w:fldChar w:fldCharType="end"/>
          </w:r>
        </w:p>
        <w:p w14:paraId="4F17069E">
          <w:pPr>
            <w:pStyle w:val="5"/>
            <w:tabs>
              <w:tab w:val="right" w:leader="dot" w:pos="8831"/>
            </w:tabs>
          </w:pPr>
          <w:r>
            <w:rPr>
              <w:rFonts w:hint="eastAsia"/>
            </w:rPr>
            <w:fldChar w:fldCharType="begin"/>
          </w:r>
          <w:r>
            <w:rPr>
              <w:rFonts w:hint="eastAsia"/>
            </w:rPr>
            <w:instrText xml:space="preserve"> HYPERLINK \l _Toc13511 </w:instrText>
          </w:r>
          <w:r>
            <w:rPr>
              <w:rFonts w:hint="eastAsia"/>
            </w:rPr>
            <w:fldChar w:fldCharType="separate"/>
          </w:r>
          <w:r>
            <w:rPr>
              <w:rFonts w:hint="eastAsia" w:ascii="宋体" w:hAnsi="宋体" w:eastAsia="宋体" w:cs="宋体"/>
              <w:bCs/>
              <w:spacing w:val="-4"/>
              <w:szCs w:val="24"/>
              <w:highlight w:val="none"/>
            </w:rPr>
            <w:t>1.12响应和偏差</w:t>
          </w:r>
          <w:r>
            <w:tab/>
          </w:r>
          <w:r>
            <w:fldChar w:fldCharType="begin"/>
          </w:r>
          <w:r>
            <w:instrText xml:space="preserve"> PAGEREF _Toc13511 \h </w:instrText>
          </w:r>
          <w:r>
            <w:fldChar w:fldCharType="separate"/>
          </w:r>
          <w:r>
            <w:t>41</w:t>
          </w:r>
          <w:r>
            <w:fldChar w:fldCharType="end"/>
          </w:r>
          <w:r>
            <w:rPr>
              <w:rFonts w:hint="eastAsia"/>
            </w:rPr>
            <w:fldChar w:fldCharType="end"/>
          </w:r>
        </w:p>
        <w:p w14:paraId="54D1CC63">
          <w:pPr>
            <w:pStyle w:val="8"/>
            <w:tabs>
              <w:tab w:val="right" w:leader="dot" w:pos="8831"/>
            </w:tabs>
          </w:pPr>
          <w:r>
            <w:rPr>
              <w:rFonts w:hint="eastAsia"/>
            </w:rPr>
            <w:fldChar w:fldCharType="begin"/>
          </w:r>
          <w:r>
            <w:rPr>
              <w:rFonts w:hint="eastAsia"/>
            </w:rPr>
            <w:instrText xml:space="preserve"> HYPERLINK \l _Toc26589 </w:instrText>
          </w:r>
          <w:r>
            <w:rPr>
              <w:rFonts w:hint="eastAsia"/>
            </w:rPr>
            <w:fldChar w:fldCharType="separate"/>
          </w:r>
          <w:r>
            <w:rPr>
              <w:rFonts w:hint="eastAsia" w:ascii="宋体" w:hAnsi="宋体" w:eastAsia="宋体" w:cs="宋体"/>
              <w:bCs/>
              <w:spacing w:val="-5"/>
              <w:szCs w:val="28"/>
              <w:highlight w:val="none"/>
            </w:rPr>
            <w:t>2.招标文件</w:t>
          </w:r>
          <w:r>
            <w:tab/>
          </w:r>
          <w:r>
            <w:fldChar w:fldCharType="begin"/>
          </w:r>
          <w:r>
            <w:instrText xml:space="preserve"> PAGEREF _Toc26589 \h </w:instrText>
          </w:r>
          <w:r>
            <w:fldChar w:fldCharType="separate"/>
          </w:r>
          <w:r>
            <w:t>42</w:t>
          </w:r>
          <w:r>
            <w:fldChar w:fldCharType="end"/>
          </w:r>
          <w:r>
            <w:rPr>
              <w:rFonts w:hint="eastAsia"/>
            </w:rPr>
            <w:fldChar w:fldCharType="end"/>
          </w:r>
        </w:p>
        <w:p w14:paraId="08F4D75C">
          <w:pPr>
            <w:pStyle w:val="5"/>
            <w:tabs>
              <w:tab w:val="right" w:leader="dot" w:pos="8831"/>
            </w:tabs>
          </w:pPr>
          <w:r>
            <w:rPr>
              <w:rFonts w:hint="eastAsia"/>
            </w:rPr>
            <w:fldChar w:fldCharType="begin"/>
          </w:r>
          <w:r>
            <w:rPr>
              <w:rFonts w:hint="eastAsia"/>
            </w:rPr>
            <w:instrText xml:space="preserve"> HYPERLINK \l _Toc23337 </w:instrText>
          </w:r>
          <w:r>
            <w:rPr>
              <w:rFonts w:hint="eastAsia"/>
            </w:rPr>
            <w:fldChar w:fldCharType="separate"/>
          </w:r>
          <w:r>
            <w:rPr>
              <w:rFonts w:hint="eastAsia" w:ascii="宋体" w:hAnsi="宋体" w:eastAsia="宋体" w:cs="宋体"/>
              <w:bCs/>
              <w:spacing w:val="-3"/>
              <w:szCs w:val="24"/>
              <w:highlight w:val="none"/>
            </w:rPr>
            <w:t>2.1招标文件的组成</w:t>
          </w:r>
          <w:r>
            <w:tab/>
          </w:r>
          <w:r>
            <w:fldChar w:fldCharType="begin"/>
          </w:r>
          <w:r>
            <w:instrText xml:space="preserve"> PAGEREF _Toc23337 \h </w:instrText>
          </w:r>
          <w:r>
            <w:fldChar w:fldCharType="separate"/>
          </w:r>
          <w:r>
            <w:t>42</w:t>
          </w:r>
          <w:r>
            <w:fldChar w:fldCharType="end"/>
          </w:r>
          <w:r>
            <w:rPr>
              <w:rFonts w:hint="eastAsia"/>
            </w:rPr>
            <w:fldChar w:fldCharType="end"/>
          </w:r>
        </w:p>
        <w:p w14:paraId="2C0CBB49">
          <w:pPr>
            <w:pStyle w:val="5"/>
            <w:tabs>
              <w:tab w:val="right" w:leader="dot" w:pos="8831"/>
            </w:tabs>
          </w:pPr>
          <w:r>
            <w:rPr>
              <w:rFonts w:hint="eastAsia"/>
            </w:rPr>
            <w:fldChar w:fldCharType="begin"/>
          </w:r>
          <w:r>
            <w:rPr>
              <w:rFonts w:hint="eastAsia"/>
            </w:rPr>
            <w:instrText xml:space="preserve"> HYPERLINK \l _Toc27783 </w:instrText>
          </w:r>
          <w:r>
            <w:rPr>
              <w:rFonts w:hint="eastAsia"/>
            </w:rPr>
            <w:fldChar w:fldCharType="separate"/>
          </w:r>
          <w:r>
            <w:rPr>
              <w:rFonts w:hint="eastAsia" w:ascii="宋体" w:hAnsi="宋体" w:eastAsia="宋体" w:cs="宋体"/>
              <w:bCs/>
              <w:spacing w:val="-3"/>
              <w:szCs w:val="24"/>
              <w:highlight w:val="none"/>
            </w:rPr>
            <w:t>2.2招标文件的澄清</w:t>
          </w:r>
          <w:r>
            <w:tab/>
          </w:r>
          <w:r>
            <w:fldChar w:fldCharType="begin"/>
          </w:r>
          <w:r>
            <w:instrText xml:space="preserve"> PAGEREF _Toc27783 \h </w:instrText>
          </w:r>
          <w:r>
            <w:fldChar w:fldCharType="separate"/>
          </w:r>
          <w:r>
            <w:t>43</w:t>
          </w:r>
          <w:r>
            <w:fldChar w:fldCharType="end"/>
          </w:r>
          <w:r>
            <w:rPr>
              <w:rFonts w:hint="eastAsia"/>
            </w:rPr>
            <w:fldChar w:fldCharType="end"/>
          </w:r>
        </w:p>
        <w:p w14:paraId="69BFB02E">
          <w:pPr>
            <w:pStyle w:val="5"/>
            <w:tabs>
              <w:tab w:val="right" w:leader="dot" w:pos="8831"/>
            </w:tabs>
          </w:pPr>
          <w:r>
            <w:rPr>
              <w:rFonts w:hint="eastAsia"/>
            </w:rPr>
            <w:fldChar w:fldCharType="begin"/>
          </w:r>
          <w:r>
            <w:rPr>
              <w:rFonts w:hint="eastAsia"/>
            </w:rPr>
            <w:instrText xml:space="preserve"> HYPERLINK \l _Toc985 </w:instrText>
          </w:r>
          <w:r>
            <w:rPr>
              <w:rFonts w:hint="eastAsia"/>
            </w:rPr>
            <w:fldChar w:fldCharType="separate"/>
          </w:r>
          <w:r>
            <w:rPr>
              <w:rFonts w:hint="eastAsia" w:ascii="宋体" w:hAnsi="宋体" w:eastAsia="宋体" w:cs="宋体"/>
              <w:bCs/>
              <w:spacing w:val="-3"/>
              <w:szCs w:val="24"/>
              <w:highlight w:val="none"/>
            </w:rPr>
            <w:t>2.3招标文件的修改</w:t>
          </w:r>
          <w:r>
            <w:tab/>
          </w:r>
          <w:r>
            <w:fldChar w:fldCharType="begin"/>
          </w:r>
          <w:r>
            <w:instrText xml:space="preserve"> PAGEREF _Toc985 \h </w:instrText>
          </w:r>
          <w:r>
            <w:fldChar w:fldCharType="separate"/>
          </w:r>
          <w:r>
            <w:t>43</w:t>
          </w:r>
          <w:r>
            <w:fldChar w:fldCharType="end"/>
          </w:r>
          <w:r>
            <w:rPr>
              <w:rFonts w:hint="eastAsia"/>
            </w:rPr>
            <w:fldChar w:fldCharType="end"/>
          </w:r>
        </w:p>
        <w:p w14:paraId="7E98D047">
          <w:pPr>
            <w:pStyle w:val="5"/>
            <w:tabs>
              <w:tab w:val="right" w:leader="dot" w:pos="8831"/>
            </w:tabs>
          </w:pPr>
          <w:r>
            <w:rPr>
              <w:rFonts w:hint="eastAsia"/>
            </w:rPr>
            <w:fldChar w:fldCharType="begin"/>
          </w:r>
          <w:r>
            <w:rPr>
              <w:rFonts w:hint="eastAsia"/>
            </w:rPr>
            <w:instrText xml:space="preserve"> HYPERLINK \l _Toc29713 </w:instrText>
          </w:r>
          <w:r>
            <w:rPr>
              <w:rFonts w:hint="eastAsia"/>
            </w:rPr>
            <w:fldChar w:fldCharType="separate"/>
          </w:r>
          <w:r>
            <w:rPr>
              <w:rFonts w:hint="eastAsia" w:ascii="宋体" w:hAnsi="宋体" w:eastAsia="宋体" w:cs="宋体"/>
              <w:bCs/>
              <w:spacing w:val="-3"/>
              <w:szCs w:val="24"/>
              <w:highlight w:val="none"/>
            </w:rPr>
            <w:t>2.4招标文件的异议</w:t>
          </w:r>
          <w:r>
            <w:tab/>
          </w:r>
          <w:r>
            <w:fldChar w:fldCharType="begin"/>
          </w:r>
          <w:r>
            <w:instrText xml:space="preserve"> PAGEREF _Toc29713 \h </w:instrText>
          </w:r>
          <w:r>
            <w:fldChar w:fldCharType="separate"/>
          </w:r>
          <w:r>
            <w:t>43</w:t>
          </w:r>
          <w:r>
            <w:fldChar w:fldCharType="end"/>
          </w:r>
          <w:r>
            <w:rPr>
              <w:rFonts w:hint="eastAsia"/>
            </w:rPr>
            <w:fldChar w:fldCharType="end"/>
          </w:r>
        </w:p>
        <w:p w14:paraId="20BB2A1F">
          <w:pPr>
            <w:pStyle w:val="8"/>
            <w:tabs>
              <w:tab w:val="right" w:leader="dot" w:pos="8831"/>
            </w:tabs>
          </w:pPr>
          <w:r>
            <w:rPr>
              <w:rFonts w:hint="eastAsia"/>
            </w:rPr>
            <w:fldChar w:fldCharType="begin"/>
          </w:r>
          <w:r>
            <w:rPr>
              <w:rFonts w:hint="eastAsia"/>
            </w:rPr>
            <w:instrText xml:space="preserve"> HYPERLINK \l _Toc30607 </w:instrText>
          </w:r>
          <w:r>
            <w:rPr>
              <w:rFonts w:hint="eastAsia"/>
            </w:rPr>
            <w:fldChar w:fldCharType="separate"/>
          </w:r>
          <w:r>
            <w:rPr>
              <w:rFonts w:hint="eastAsia" w:ascii="宋体" w:hAnsi="宋体" w:eastAsia="宋体" w:cs="宋体"/>
              <w:bCs/>
              <w:spacing w:val="-5"/>
              <w:szCs w:val="28"/>
              <w:highlight w:val="none"/>
            </w:rPr>
            <w:t>3.投标文件</w:t>
          </w:r>
          <w:r>
            <w:tab/>
          </w:r>
          <w:r>
            <w:fldChar w:fldCharType="begin"/>
          </w:r>
          <w:r>
            <w:instrText xml:space="preserve"> PAGEREF _Toc30607 \h </w:instrText>
          </w:r>
          <w:r>
            <w:fldChar w:fldCharType="separate"/>
          </w:r>
          <w:r>
            <w:t>44</w:t>
          </w:r>
          <w:r>
            <w:fldChar w:fldCharType="end"/>
          </w:r>
          <w:r>
            <w:rPr>
              <w:rFonts w:hint="eastAsia"/>
            </w:rPr>
            <w:fldChar w:fldCharType="end"/>
          </w:r>
        </w:p>
        <w:p w14:paraId="1023FB4D">
          <w:pPr>
            <w:pStyle w:val="5"/>
            <w:tabs>
              <w:tab w:val="right" w:leader="dot" w:pos="8831"/>
            </w:tabs>
          </w:pPr>
          <w:r>
            <w:rPr>
              <w:rFonts w:hint="eastAsia"/>
            </w:rPr>
            <w:fldChar w:fldCharType="begin"/>
          </w:r>
          <w:r>
            <w:rPr>
              <w:rFonts w:hint="eastAsia"/>
            </w:rPr>
            <w:instrText xml:space="preserve"> HYPERLINK \l _Toc19602 </w:instrText>
          </w:r>
          <w:r>
            <w:rPr>
              <w:rFonts w:hint="eastAsia"/>
            </w:rPr>
            <w:fldChar w:fldCharType="separate"/>
          </w:r>
          <w:r>
            <w:rPr>
              <w:rFonts w:hint="eastAsia" w:ascii="宋体" w:hAnsi="宋体" w:eastAsia="宋体" w:cs="宋体"/>
              <w:bCs/>
              <w:spacing w:val="-3"/>
              <w:szCs w:val="24"/>
              <w:highlight w:val="none"/>
            </w:rPr>
            <w:t>3.1投标文件的组成</w:t>
          </w:r>
          <w:r>
            <w:tab/>
          </w:r>
          <w:r>
            <w:fldChar w:fldCharType="begin"/>
          </w:r>
          <w:r>
            <w:instrText xml:space="preserve"> PAGEREF _Toc19602 \h </w:instrText>
          </w:r>
          <w:r>
            <w:fldChar w:fldCharType="separate"/>
          </w:r>
          <w:r>
            <w:t>44</w:t>
          </w:r>
          <w:r>
            <w:fldChar w:fldCharType="end"/>
          </w:r>
          <w:r>
            <w:rPr>
              <w:rFonts w:hint="eastAsia"/>
            </w:rPr>
            <w:fldChar w:fldCharType="end"/>
          </w:r>
        </w:p>
        <w:p w14:paraId="461930B0">
          <w:pPr>
            <w:pStyle w:val="5"/>
            <w:tabs>
              <w:tab w:val="right" w:leader="dot" w:pos="8831"/>
            </w:tabs>
          </w:pPr>
          <w:r>
            <w:rPr>
              <w:rFonts w:hint="eastAsia"/>
            </w:rPr>
            <w:fldChar w:fldCharType="begin"/>
          </w:r>
          <w:r>
            <w:rPr>
              <w:rFonts w:hint="eastAsia"/>
            </w:rPr>
            <w:instrText xml:space="preserve"> HYPERLINK \l _Toc23363 </w:instrText>
          </w:r>
          <w:r>
            <w:rPr>
              <w:rFonts w:hint="eastAsia"/>
            </w:rPr>
            <w:fldChar w:fldCharType="separate"/>
          </w:r>
          <w:r>
            <w:rPr>
              <w:rFonts w:hint="eastAsia" w:ascii="宋体" w:hAnsi="宋体" w:eastAsia="宋体" w:cs="宋体"/>
              <w:bCs/>
              <w:spacing w:val="-4"/>
              <w:szCs w:val="24"/>
              <w:highlight w:val="none"/>
            </w:rPr>
            <w:t>3.2投标报价</w:t>
          </w:r>
          <w:r>
            <w:tab/>
          </w:r>
          <w:r>
            <w:fldChar w:fldCharType="begin"/>
          </w:r>
          <w:r>
            <w:instrText xml:space="preserve"> PAGEREF _Toc23363 \h </w:instrText>
          </w:r>
          <w:r>
            <w:fldChar w:fldCharType="separate"/>
          </w:r>
          <w:r>
            <w:t>44</w:t>
          </w:r>
          <w:r>
            <w:fldChar w:fldCharType="end"/>
          </w:r>
          <w:r>
            <w:rPr>
              <w:rFonts w:hint="eastAsia"/>
            </w:rPr>
            <w:fldChar w:fldCharType="end"/>
          </w:r>
        </w:p>
        <w:p w14:paraId="7CD6BB3B">
          <w:pPr>
            <w:pStyle w:val="5"/>
            <w:tabs>
              <w:tab w:val="right" w:leader="dot" w:pos="8831"/>
            </w:tabs>
          </w:pPr>
          <w:r>
            <w:rPr>
              <w:rFonts w:hint="eastAsia"/>
            </w:rPr>
            <w:fldChar w:fldCharType="begin"/>
          </w:r>
          <w:r>
            <w:rPr>
              <w:rFonts w:hint="eastAsia"/>
            </w:rPr>
            <w:instrText xml:space="preserve"> HYPERLINK \l _Toc16760 </w:instrText>
          </w:r>
          <w:r>
            <w:rPr>
              <w:rFonts w:hint="eastAsia"/>
            </w:rPr>
            <w:fldChar w:fldCharType="separate"/>
          </w:r>
          <w:r>
            <w:rPr>
              <w:rFonts w:hint="eastAsia" w:ascii="宋体" w:hAnsi="宋体" w:eastAsia="宋体" w:cs="宋体"/>
              <w:bCs/>
              <w:spacing w:val="-3"/>
              <w:szCs w:val="24"/>
              <w:highlight w:val="none"/>
            </w:rPr>
            <w:t>3.3投标有效期</w:t>
          </w:r>
          <w:r>
            <w:tab/>
          </w:r>
          <w:r>
            <w:fldChar w:fldCharType="begin"/>
          </w:r>
          <w:r>
            <w:instrText xml:space="preserve"> PAGEREF _Toc16760 \h </w:instrText>
          </w:r>
          <w:r>
            <w:fldChar w:fldCharType="separate"/>
          </w:r>
          <w:r>
            <w:t>46</w:t>
          </w:r>
          <w:r>
            <w:fldChar w:fldCharType="end"/>
          </w:r>
          <w:r>
            <w:rPr>
              <w:rFonts w:hint="eastAsia"/>
            </w:rPr>
            <w:fldChar w:fldCharType="end"/>
          </w:r>
        </w:p>
        <w:p w14:paraId="1B631F9C">
          <w:pPr>
            <w:pStyle w:val="5"/>
            <w:tabs>
              <w:tab w:val="right" w:leader="dot" w:pos="8831"/>
            </w:tabs>
          </w:pPr>
          <w:r>
            <w:rPr>
              <w:rFonts w:hint="eastAsia"/>
            </w:rPr>
            <w:fldChar w:fldCharType="begin"/>
          </w:r>
          <w:r>
            <w:rPr>
              <w:rFonts w:hint="eastAsia"/>
            </w:rPr>
            <w:instrText xml:space="preserve"> HYPERLINK \l _Toc26032 </w:instrText>
          </w:r>
          <w:r>
            <w:rPr>
              <w:rFonts w:hint="eastAsia"/>
            </w:rPr>
            <w:fldChar w:fldCharType="separate"/>
          </w:r>
          <w:r>
            <w:rPr>
              <w:rFonts w:hint="eastAsia" w:ascii="宋体" w:hAnsi="宋体" w:eastAsia="宋体" w:cs="宋体"/>
              <w:bCs/>
              <w:spacing w:val="-3"/>
              <w:szCs w:val="24"/>
              <w:highlight w:val="none"/>
            </w:rPr>
            <w:t>3.4投标保证金</w:t>
          </w:r>
          <w:r>
            <w:tab/>
          </w:r>
          <w:r>
            <w:fldChar w:fldCharType="begin"/>
          </w:r>
          <w:r>
            <w:instrText xml:space="preserve"> PAGEREF _Toc26032 \h </w:instrText>
          </w:r>
          <w:r>
            <w:fldChar w:fldCharType="separate"/>
          </w:r>
          <w:r>
            <w:t>47</w:t>
          </w:r>
          <w:r>
            <w:fldChar w:fldCharType="end"/>
          </w:r>
          <w:r>
            <w:rPr>
              <w:rFonts w:hint="eastAsia"/>
            </w:rPr>
            <w:fldChar w:fldCharType="end"/>
          </w:r>
        </w:p>
        <w:p w14:paraId="5D22B0F2">
          <w:pPr>
            <w:pStyle w:val="8"/>
            <w:tabs>
              <w:tab w:val="right" w:leader="dot" w:pos="8831"/>
            </w:tabs>
          </w:pPr>
          <w:r>
            <w:rPr>
              <w:rFonts w:hint="eastAsia"/>
            </w:rPr>
            <w:fldChar w:fldCharType="begin"/>
          </w:r>
          <w:r>
            <w:rPr>
              <w:rFonts w:hint="eastAsia"/>
            </w:rPr>
            <w:instrText xml:space="preserve"> HYPERLINK \l _Toc2924 </w:instrText>
          </w:r>
          <w:r>
            <w:rPr>
              <w:rFonts w:hint="eastAsia"/>
            </w:rPr>
            <w:fldChar w:fldCharType="separate"/>
          </w:r>
          <w:r>
            <w:rPr>
              <w:rFonts w:hint="eastAsia" w:ascii="宋体" w:hAnsi="宋体" w:eastAsia="宋体" w:cs="宋体"/>
              <w:bCs/>
              <w:spacing w:val="-3"/>
              <w:szCs w:val="28"/>
              <w:highlight w:val="none"/>
            </w:rPr>
            <w:t>3.5资格审查资料（适用于已进行资格预审的）</w:t>
          </w:r>
          <w:r>
            <w:tab/>
          </w:r>
          <w:r>
            <w:fldChar w:fldCharType="begin"/>
          </w:r>
          <w:r>
            <w:instrText xml:space="preserve"> PAGEREF _Toc2924 \h </w:instrText>
          </w:r>
          <w:r>
            <w:fldChar w:fldCharType="separate"/>
          </w:r>
          <w:r>
            <w:t>49</w:t>
          </w:r>
          <w:r>
            <w:fldChar w:fldCharType="end"/>
          </w:r>
          <w:r>
            <w:rPr>
              <w:rFonts w:hint="eastAsia"/>
            </w:rPr>
            <w:fldChar w:fldCharType="end"/>
          </w:r>
        </w:p>
        <w:p w14:paraId="7E06E77C">
          <w:pPr>
            <w:pStyle w:val="8"/>
            <w:tabs>
              <w:tab w:val="right" w:leader="dot" w:pos="8831"/>
            </w:tabs>
          </w:pPr>
          <w:r>
            <w:rPr>
              <w:rFonts w:hint="eastAsia"/>
            </w:rPr>
            <w:fldChar w:fldCharType="begin"/>
          </w:r>
          <w:r>
            <w:rPr>
              <w:rFonts w:hint="eastAsia"/>
            </w:rPr>
            <w:instrText xml:space="preserve"> HYPERLINK \l _Toc24121 </w:instrText>
          </w:r>
          <w:r>
            <w:rPr>
              <w:rFonts w:hint="eastAsia"/>
            </w:rPr>
            <w:fldChar w:fldCharType="separate"/>
          </w:r>
          <w:r>
            <w:rPr>
              <w:rFonts w:hint="eastAsia" w:ascii="宋体" w:hAnsi="宋体" w:eastAsia="宋体" w:cs="宋体"/>
              <w:bCs/>
              <w:spacing w:val="-3"/>
              <w:szCs w:val="28"/>
              <w:highlight w:val="none"/>
            </w:rPr>
            <w:t>3.5资格审查资料（适用于未进行资格预审的）</w:t>
          </w:r>
          <w:r>
            <w:tab/>
          </w:r>
          <w:r>
            <w:fldChar w:fldCharType="begin"/>
          </w:r>
          <w:r>
            <w:instrText xml:space="preserve"> PAGEREF _Toc24121 \h </w:instrText>
          </w:r>
          <w:r>
            <w:fldChar w:fldCharType="separate"/>
          </w:r>
          <w:r>
            <w:t>49</w:t>
          </w:r>
          <w:r>
            <w:fldChar w:fldCharType="end"/>
          </w:r>
          <w:r>
            <w:rPr>
              <w:rFonts w:hint="eastAsia"/>
            </w:rPr>
            <w:fldChar w:fldCharType="end"/>
          </w:r>
        </w:p>
        <w:p w14:paraId="0E9E32C8">
          <w:pPr>
            <w:pStyle w:val="5"/>
            <w:tabs>
              <w:tab w:val="right" w:leader="dot" w:pos="8831"/>
            </w:tabs>
          </w:pPr>
          <w:r>
            <w:rPr>
              <w:rFonts w:hint="eastAsia"/>
            </w:rPr>
            <w:fldChar w:fldCharType="begin"/>
          </w:r>
          <w:r>
            <w:rPr>
              <w:rFonts w:hint="eastAsia"/>
            </w:rPr>
            <w:instrText xml:space="preserve"> HYPERLINK \l _Toc26688 </w:instrText>
          </w:r>
          <w:r>
            <w:rPr>
              <w:rFonts w:hint="eastAsia"/>
            </w:rPr>
            <w:fldChar w:fldCharType="separate"/>
          </w:r>
          <w:r>
            <w:rPr>
              <w:rFonts w:hint="eastAsia" w:ascii="宋体" w:hAnsi="宋体" w:eastAsia="宋体" w:cs="宋体"/>
              <w:bCs/>
              <w:spacing w:val="-4"/>
              <w:szCs w:val="24"/>
              <w:highlight w:val="none"/>
            </w:rPr>
            <w:t>3.6备选投标方案</w:t>
          </w:r>
          <w:r>
            <w:tab/>
          </w:r>
          <w:r>
            <w:fldChar w:fldCharType="begin"/>
          </w:r>
          <w:r>
            <w:instrText xml:space="preserve"> PAGEREF _Toc26688 \h </w:instrText>
          </w:r>
          <w:r>
            <w:fldChar w:fldCharType="separate"/>
          </w:r>
          <w:r>
            <w:t>53</w:t>
          </w:r>
          <w:r>
            <w:fldChar w:fldCharType="end"/>
          </w:r>
          <w:r>
            <w:rPr>
              <w:rFonts w:hint="eastAsia"/>
            </w:rPr>
            <w:fldChar w:fldCharType="end"/>
          </w:r>
        </w:p>
        <w:p w14:paraId="3538583F">
          <w:pPr>
            <w:pStyle w:val="8"/>
            <w:tabs>
              <w:tab w:val="right" w:leader="dot" w:pos="8831"/>
            </w:tabs>
          </w:pPr>
          <w:r>
            <w:rPr>
              <w:rFonts w:hint="eastAsia"/>
            </w:rPr>
            <w:fldChar w:fldCharType="begin"/>
          </w:r>
          <w:r>
            <w:rPr>
              <w:rFonts w:hint="eastAsia"/>
            </w:rPr>
            <w:instrText xml:space="preserve"> HYPERLINK \l _Toc6036 </w:instrText>
          </w:r>
          <w:r>
            <w:rPr>
              <w:rFonts w:hint="eastAsia"/>
            </w:rPr>
            <w:fldChar w:fldCharType="separate"/>
          </w:r>
          <w:r>
            <w:rPr>
              <w:rFonts w:hint="eastAsia" w:ascii="宋体" w:hAnsi="宋体" w:eastAsia="宋体" w:cs="宋体"/>
              <w:bCs/>
              <w:spacing w:val="-5"/>
              <w:szCs w:val="28"/>
              <w:highlight w:val="none"/>
            </w:rPr>
            <w:t>4.投标</w:t>
          </w:r>
          <w:r>
            <w:tab/>
          </w:r>
          <w:r>
            <w:fldChar w:fldCharType="begin"/>
          </w:r>
          <w:r>
            <w:instrText xml:space="preserve"> PAGEREF _Toc6036 \h </w:instrText>
          </w:r>
          <w:r>
            <w:fldChar w:fldCharType="separate"/>
          </w:r>
          <w:r>
            <w:t>54</w:t>
          </w:r>
          <w:r>
            <w:fldChar w:fldCharType="end"/>
          </w:r>
          <w:r>
            <w:rPr>
              <w:rFonts w:hint="eastAsia"/>
            </w:rPr>
            <w:fldChar w:fldCharType="end"/>
          </w:r>
        </w:p>
        <w:p w14:paraId="03DFD38A">
          <w:pPr>
            <w:pStyle w:val="5"/>
            <w:tabs>
              <w:tab w:val="right" w:leader="dot" w:pos="8831"/>
            </w:tabs>
          </w:pPr>
          <w:r>
            <w:rPr>
              <w:rFonts w:hint="eastAsia"/>
            </w:rPr>
            <w:fldChar w:fldCharType="begin"/>
          </w:r>
          <w:r>
            <w:rPr>
              <w:rFonts w:hint="eastAsia"/>
            </w:rPr>
            <w:instrText xml:space="preserve"> HYPERLINK \l _Toc25423 </w:instrText>
          </w:r>
          <w:r>
            <w:rPr>
              <w:rFonts w:hint="eastAsia"/>
            </w:rPr>
            <w:fldChar w:fldCharType="separate"/>
          </w:r>
          <w:r>
            <w:rPr>
              <w:rFonts w:hint="eastAsia" w:ascii="宋体" w:hAnsi="宋体" w:eastAsia="宋体" w:cs="宋体"/>
              <w:bCs/>
              <w:spacing w:val="-3"/>
              <w:szCs w:val="24"/>
              <w:highlight w:val="none"/>
            </w:rPr>
            <w:t>4.1电子投标文件的加密</w:t>
          </w:r>
          <w:r>
            <w:tab/>
          </w:r>
          <w:r>
            <w:fldChar w:fldCharType="begin"/>
          </w:r>
          <w:r>
            <w:instrText xml:space="preserve"> PAGEREF _Toc25423 \h </w:instrText>
          </w:r>
          <w:r>
            <w:fldChar w:fldCharType="separate"/>
          </w:r>
          <w:r>
            <w:t>54</w:t>
          </w:r>
          <w:r>
            <w:fldChar w:fldCharType="end"/>
          </w:r>
          <w:r>
            <w:rPr>
              <w:rFonts w:hint="eastAsia"/>
            </w:rPr>
            <w:fldChar w:fldCharType="end"/>
          </w:r>
        </w:p>
        <w:p w14:paraId="55C2A454">
          <w:pPr>
            <w:pStyle w:val="5"/>
            <w:tabs>
              <w:tab w:val="right" w:leader="dot" w:pos="8831"/>
            </w:tabs>
          </w:pPr>
          <w:r>
            <w:rPr>
              <w:rFonts w:hint="eastAsia"/>
            </w:rPr>
            <w:fldChar w:fldCharType="begin"/>
          </w:r>
          <w:r>
            <w:rPr>
              <w:rFonts w:hint="eastAsia"/>
            </w:rPr>
            <w:instrText xml:space="preserve"> HYPERLINK \l _Toc27940 </w:instrText>
          </w:r>
          <w:r>
            <w:rPr>
              <w:rFonts w:hint="eastAsia"/>
            </w:rPr>
            <w:fldChar w:fldCharType="separate"/>
          </w:r>
          <w:r>
            <w:rPr>
              <w:rFonts w:hint="eastAsia" w:ascii="宋体" w:hAnsi="宋体" w:eastAsia="宋体" w:cs="宋体"/>
              <w:bCs/>
              <w:spacing w:val="-3"/>
              <w:szCs w:val="24"/>
              <w:highlight w:val="none"/>
            </w:rPr>
            <w:t>4.2不加密的电子投标文件的密封和标识</w:t>
          </w:r>
          <w:r>
            <w:tab/>
          </w:r>
          <w:r>
            <w:fldChar w:fldCharType="begin"/>
          </w:r>
          <w:r>
            <w:instrText xml:space="preserve"> PAGEREF _Toc27940 \h </w:instrText>
          </w:r>
          <w:r>
            <w:fldChar w:fldCharType="separate"/>
          </w:r>
          <w:r>
            <w:t>54</w:t>
          </w:r>
          <w:r>
            <w:fldChar w:fldCharType="end"/>
          </w:r>
          <w:r>
            <w:rPr>
              <w:rFonts w:hint="eastAsia"/>
            </w:rPr>
            <w:fldChar w:fldCharType="end"/>
          </w:r>
        </w:p>
        <w:p w14:paraId="2CCCF5B8">
          <w:pPr>
            <w:pStyle w:val="5"/>
            <w:tabs>
              <w:tab w:val="right" w:leader="dot" w:pos="8831"/>
            </w:tabs>
          </w:pPr>
          <w:r>
            <w:rPr>
              <w:rFonts w:hint="eastAsia"/>
            </w:rPr>
            <w:fldChar w:fldCharType="begin"/>
          </w:r>
          <w:r>
            <w:rPr>
              <w:rFonts w:hint="eastAsia"/>
            </w:rPr>
            <w:instrText xml:space="preserve"> HYPERLINK \l _Toc23045 </w:instrText>
          </w:r>
          <w:r>
            <w:rPr>
              <w:rFonts w:hint="eastAsia"/>
            </w:rPr>
            <w:fldChar w:fldCharType="separate"/>
          </w:r>
          <w:r>
            <w:rPr>
              <w:rFonts w:hint="eastAsia" w:ascii="宋体" w:hAnsi="宋体" w:eastAsia="宋体" w:cs="宋体"/>
              <w:bCs/>
              <w:spacing w:val="-3"/>
              <w:szCs w:val="24"/>
              <w:highlight w:val="none"/>
            </w:rPr>
            <w:t>4.3电子投标文件的递交</w:t>
          </w:r>
          <w:r>
            <w:tab/>
          </w:r>
          <w:r>
            <w:fldChar w:fldCharType="begin"/>
          </w:r>
          <w:r>
            <w:instrText xml:space="preserve"> PAGEREF _Toc23045 \h </w:instrText>
          </w:r>
          <w:r>
            <w:fldChar w:fldCharType="separate"/>
          </w:r>
          <w:r>
            <w:t>55</w:t>
          </w:r>
          <w:r>
            <w:fldChar w:fldCharType="end"/>
          </w:r>
          <w:r>
            <w:rPr>
              <w:rFonts w:hint="eastAsia"/>
            </w:rPr>
            <w:fldChar w:fldCharType="end"/>
          </w:r>
        </w:p>
        <w:p w14:paraId="56A4BBF6">
          <w:pPr>
            <w:pStyle w:val="5"/>
            <w:tabs>
              <w:tab w:val="right" w:leader="dot" w:pos="8831"/>
            </w:tabs>
          </w:pPr>
          <w:r>
            <w:rPr>
              <w:rFonts w:hint="eastAsia"/>
            </w:rPr>
            <w:fldChar w:fldCharType="begin"/>
          </w:r>
          <w:r>
            <w:rPr>
              <w:rFonts w:hint="eastAsia"/>
            </w:rPr>
            <w:instrText xml:space="preserve"> HYPERLINK \l _Toc16373 </w:instrText>
          </w:r>
          <w:r>
            <w:rPr>
              <w:rFonts w:hint="eastAsia"/>
            </w:rPr>
            <w:fldChar w:fldCharType="separate"/>
          </w:r>
          <w:r>
            <w:rPr>
              <w:rFonts w:hint="eastAsia" w:ascii="宋体" w:hAnsi="宋体" w:eastAsia="宋体" w:cs="宋体"/>
              <w:bCs/>
              <w:spacing w:val="-3"/>
              <w:szCs w:val="24"/>
              <w:highlight w:val="none"/>
            </w:rPr>
            <w:t>4.4不加密的电子投标文件的递交</w:t>
          </w:r>
          <w:r>
            <w:tab/>
          </w:r>
          <w:r>
            <w:fldChar w:fldCharType="begin"/>
          </w:r>
          <w:r>
            <w:instrText xml:space="preserve"> PAGEREF _Toc16373 \h </w:instrText>
          </w:r>
          <w:r>
            <w:fldChar w:fldCharType="separate"/>
          </w:r>
          <w:r>
            <w:t>55</w:t>
          </w:r>
          <w:r>
            <w:fldChar w:fldCharType="end"/>
          </w:r>
          <w:r>
            <w:rPr>
              <w:rFonts w:hint="eastAsia"/>
            </w:rPr>
            <w:fldChar w:fldCharType="end"/>
          </w:r>
        </w:p>
        <w:p w14:paraId="7EB8F195">
          <w:pPr>
            <w:pStyle w:val="5"/>
            <w:tabs>
              <w:tab w:val="right" w:leader="dot" w:pos="8831"/>
            </w:tabs>
          </w:pPr>
          <w:r>
            <w:rPr>
              <w:rFonts w:hint="eastAsia"/>
            </w:rPr>
            <w:fldChar w:fldCharType="begin"/>
          </w:r>
          <w:r>
            <w:rPr>
              <w:rFonts w:hint="eastAsia"/>
            </w:rPr>
            <w:instrText xml:space="preserve"> HYPERLINK \l _Toc25948 </w:instrText>
          </w:r>
          <w:r>
            <w:rPr>
              <w:rFonts w:hint="eastAsia"/>
            </w:rPr>
            <w:fldChar w:fldCharType="separate"/>
          </w:r>
          <w:r>
            <w:rPr>
              <w:rFonts w:hint="eastAsia" w:ascii="宋体" w:hAnsi="宋体" w:eastAsia="宋体" w:cs="宋体"/>
              <w:bCs/>
              <w:spacing w:val="-3"/>
              <w:szCs w:val="24"/>
              <w:highlight w:val="none"/>
            </w:rPr>
            <w:t>4.5投标文件的修改与撤回</w:t>
          </w:r>
          <w:r>
            <w:tab/>
          </w:r>
          <w:r>
            <w:fldChar w:fldCharType="begin"/>
          </w:r>
          <w:r>
            <w:instrText xml:space="preserve"> PAGEREF _Toc25948 \h </w:instrText>
          </w:r>
          <w:r>
            <w:fldChar w:fldCharType="separate"/>
          </w:r>
          <w:r>
            <w:t>55</w:t>
          </w:r>
          <w:r>
            <w:fldChar w:fldCharType="end"/>
          </w:r>
          <w:r>
            <w:rPr>
              <w:rFonts w:hint="eastAsia"/>
            </w:rPr>
            <w:fldChar w:fldCharType="end"/>
          </w:r>
        </w:p>
        <w:p w14:paraId="05A332E6">
          <w:pPr>
            <w:pStyle w:val="8"/>
            <w:tabs>
              <w:tab w:val="right" w:leader="dot" w:pos="8831"/>
            </w:tabs>
          </w:pPr>
          <w:r>
            <w:rPr>
              <w:rFonts w:hint="eastAsia"/>
            </w:rPr>
            <w:fldChar w:fldCharType="begin"/>
          </w:r>
          <w:r>
            <w:rPr>
              <w:rFonts w:hint="eastAsia"/>
            </w:rPr>
            <w:instrText xml:space="preserve"> HYPERLINK \l _Toc6317 </w:instrText>
          </w:r>
          <w:r>
            <w:rPr>
              <w:rFonts w:hint="eastAsia"/>
            </w:rPr>
            <w:fldChar w:fldCharType="separate"/>
          </w:r>
          <w:r>
            <w:rPr>
              <w:rFonts w:hint="eastAsia" w:ascii="宋体" w:hAnsi="宋体" w:eastAsia="宋体" w:cs="宋体"/>
              <w:bCs/>
              <w:spacing w:val="-6"/>
              <w:szCs w:val="28"/>
              <w:highlight w:val="none"/>
            </w:rPr>
            <w:t>5.开标</w:t>
          </w:r>
          <w:r>
            <w:tab/>
          </w:r>
          <w:r>
            <w:fldChar w:fldCharType="begin"/>
          </w:r>
          <w:r>
            <w:instrText xml:space="preserve"> PAGEREF _Toc6317 \h </w:instrText>
          </w:r>
          <w:r>
            <w:fldChar w:fldCharType="separate"/>
          </w:r>
          <w:r>
            <w:t>56</w:t>
          </w:r>
          <w:r>
            <w:fldChar w:fldCharType="end"/>
          </w:r>
          <w:r>
            <w:rPr>
              <w:rFonts w:hint="eastAsia"/>
            </w:rPr>
            <w:fldChar w:fldCharType="end"/>
          </w:r>
        </w:p>
        <w:p w14:paraId="48D6B2DC">
          <w:pPr>
            <w:pStyle w:val="5"/>
            <w:tabs>
              <w:tab w:val="right" w:leader="dot" w:pos="8831"/>
            </w:tabs>
          </w:pPr>
          <w:r>
            <w:rPr>
              <w:rFonts w:hint="eastAsia"/>
            </w:rPr>
            <w:fldChar w:fldCharType="begin"/>
          </w:r>
          <w:r>
            <w:rPr>
              <w:rFonts w:hint="eastAsia"/>
            </w:rPr>
            <w:instrText xml:space="preserve"> HYPERLINK \l _Toc22679 </w:instrText>
          </w:r>
          <w:r>
            <w:rPr>
              <w:rFonts w:hint="eastAsia"/>
            </w:rPr>
            <w:fldChar w:fldCharType="separate"/>
          </w:r>
          <w:r>
            <w:rPr>
              <w:rFonts w:hint="eastAsia" w:ascii="宋体" w:hAnsi="宋体" w:eastAsia="宋体" w:cs="宋体"/>
              <w:bCs/>
              <w:spacing w:val="-4"/>
              <w:szCs w:val="24"/>
              <w:highlight w:val="none"/>
            </w:rPr>
            <w:t>5.1开标时间和地点</w:t>
          </w:r>
          <w:r>
            <w:tab/>
          </w:r>
          <w:r>
            <w:fldChar w:fldCharType="begin"/>
          </w:r>
          <w:r>
            <w:instrText xml:space="preserve"> PAGEREF _Toc22679 \h </w:instrText>
          </w:r>
          <w:r>
            <w:fldChar w:fldCharType="separate"/>
          </w:r>
          <w:r>
            <w:t>56</w:t>
          </w:r>
          <w:r>
            <w:fldChar w:fldCharType="end"/>
          </w:r>
          <w:r>
            <w:rPr>
              <w:rFonts w:hint="eastAsia"/>
            </w:rPr>
            <w:fldChar w:fldCharType="end"/>
          </w:r>
        </w:p>
        <w:p w14:paraId="7868B974">
          <w:pPr>
            <w:pStyle w:val="5"/>
            <w:tabs>
              <w:tab w:val="right" w:leader="dot" w:pos="8831"/>
            </w:tabs>
          </w:pPr>
          <w:r>
            <w:rPr>
              <w:rFonts w:hint="eastAsia"/>
            </w:rPr>
            <w:fldChar w:fldCharType="begin"/>
          </w:r>
          <w:r>
            <w:rPr>
              <w:rFonts w:hint="eastAsia"/>
            </w:rPr>
            <w:instrText xml:space="preserve"> HYPERLINK \l _Toc32243 </w:instrText>
          </w:r>
          <w:r>
            <w:rPr>
              <w:rFonts w:hint="eastAsia"/>
            </w:rPr>
            <w:fldChar w:fldCharType="separate"/>
          </w:r>
          <w:r>
            <w:rPr>
              <w:rFonts w:hint="eastAsia" w:ascii="宋体" w:hAnsi="宋体" w:eastAsia="宋体" w:cs="宋体"/>
              <w:bCs/>
              <w:spacing w:val="-5"/>
              <w:szCs w:val="24"/>
              <w:highlight w:val="none"/>
            </w:rPr>
            <w:t>5.2开标程序</w:t>
          </w:r>
          <w:r>
            <w:tab/>
          </w:r>
          <w:r>
            <w:fldChar w:fldCharType="begin"/>
          </w:r>
          <w:r>
            <w:instrText xml:space="preserve"> PAGEREF _Toc32243 \h </w:instrText>
          </w:r>
          <w:r>
            <w:fldChar w:fldCharType="separate"/>
          </w:r>
          <w:r>
            <w:t>56</w:t>
          </w:r>
          <w:r>
            <w:fldChar w:fldCharType="end"/>
          </w:r>
          <w:r>
            <w:rPr>
              <w:rFonts w:hint="eastAsia"/>
            </w:rPr>
            <w:fldChar w:fldCharType="end"/>
          </w:r>
        </w:p>
        <w:p w14:paraId="0ED7B957">
          <w:pPr>
            <w:pStyle w:val="5"/>
            <w:tabs>
              <w:tab w:val="right" w:leader="dot" w:pos="8831"/>
            </w:tabs>
          </w:pPr>
          <w:r>
            <w:rPr>
              <w:rFonts w:hint="eastAsia"/>
            </w:rPr>
            <w:fldChar w:fldCharType="begin"/>
          </w:r>
          <w:r>
            <w:rPr>
              <w:rFonts w:hint="eastAsia"/>
            </w:rPr>
            <w:instrText xml:space="preserve"> HYPERLINK \l _Toc18051 </w:instrText>
          </w:r>
          <w:r>
            <w:rPr>
              <w:rFonts w:hint="eastAsia"/>
            </w:rPr>
            <w:fldChar w:fldCharType="separate"/>
          </w:r>
          <w:r>
            <w:rPr>
              <w:rFonts w:hint="eastAsia" w:ascii="宋体" w:hAnsi="宋体" w:eastAsia="宋体" w:cs="宋体"/>
              <w:bCs/>
              <w:spacing w:val="-3"/>
              <w:szCs w:val="24"/>
              <w:highlight w:val="none"/>
            </w:rPr>
            <w:t>5.3电子开标的应急措施</w:t>
          </w:r>
          <w:r>
            <w:tab/>
          </w:r>
          <w:r>
            <w:fldChar w:fldCharType="begin"/>
          </w:r>
          <w:r>
            <w:instrText xml:space="preserve"> PAGEREF _Toc18051 \h </w:instrText>
          </w:r>
          <w:r>
            <w:fldChar w:fldCharType="separate"/>
          </w:r>
          <w:r>
            <w:t>58</w:t>
          </w:r>
          <w:r>
            <w:fldChar w:fldCharType="end"/>
          </w:r>
          <w:r>
            <w:rPr>
              <w:rFonts w:hint="eastAsia"/>
            </w:rPr>
            <w:fldChar w:fldCharType="end"/>
          </w:r>
        </w:p>
        <w:p w14:paraId="040110D7">
          <w:pPr>
            <w:pStyle w:val="5"/>
            <w:tabs>
              <w:tab w:val="right" w:leader="dot" w:pos="8831"/>
            </w:tabs>
          </w:pPr>
          <w:r>
            <w:rPr>
              <w:rFonts w:hint="eastAsia"/>
            </w:rPr>
            <w:fldChar w:fldCharType="begin"/>
          </w:r>
          <w:r>
            <w:rPr>
              <w:rFonts w:hint="eastAsia"/>
            </w:rPr>
            <w:instrText xml:space="preserve"> HYPERLINK \l _Toc19224 </w:instrText>
          </w:r>
          <w:r>
            <w:rPr>
              <w:rFonts w:hint="eastAsia"/>
            </w:rPr>
            <w:fldChar w:fldCharType="separate"/>
          </w:r>
          <w:r>
            <w:rPr>
              <w:rFonts w:hint="eastAsia" w:ascii="宋体" w:hAnsi="宋体" w:eastAsia="宋体" w:cs="宋体"/>
              <w:bCs/>
              <w:spacing w:val="-5"/>
              <w:szCs w:val="24"/>
              <w:highlight w:val="none"/>
            </w:rPr>
            <w:t>5.4不予开标</w:t>
          </w:r>
          <w:r>
            <w:tab/>
          </w:r>
          <w:r>
            <w:fldChar w:fldCharType="begin"/>
          </w:r>
          <w:r>
            <w:instrText xml:space="preserve"> PAGEREF _Toc19224 \h </w:instrText>
          </w:r>
          <w:r>
            <w:fldChar w:fldCharType="separate"/>
          </w:r>
          <w:r>
            <w:t>59</w:t>
          </w:r>
          <w:r>
            <w:fldChar w:fldCharType="end"/>
          </w:r>
          <w:r>
            <w:rPr>
              <w:rFonts w:hint="eastAsia"/>
            </w:rPr>
            <w:fldChar w:fldCharType="end"/>
          </w:r>
        </w:p>
        <w:p w14:paraId="5EECC0DF">
          <w:pPr>
            <w:pStyle w:val="5"/>
            <w:tabs>
              <w:tab w:val="right" w:leader="dot" w:pos="8831"/>
            </w:tabs>
          </w:pPr>
          <w:r>
            <w:rPr>
              <w:rFonts w:hint="eastAsia"/>
            </w:rPr>
            <w:fldChar w:fldCharType="begin"/>
          </w:r>
          <w:r>
            <w:rPr>
              <w:rFonts w:hint="eastAsia"/>
            </w:rPr>
            <w:instrText xml:space="preserve"> HYPERLINK \l _Toc18942 </w:instrText>
          </w:r>
          <w:r>
            <w:rPr>
              <w:rFonts w:hint="eastAsia"/>
            </w:rPr>
            <w:fldChar w:fldCharType="separate"/>
          </w:r>
          <w:r>
            <w:rPr>
              <w:rFonts w:hint="eastAsia" w:ascii="宋体" w:hAnsi="宋体" w:eastAsia="宋体" w:cs="宋体"/>
              <w:bCs/>
              <w:spacing w:val="-5"/>
              <w:szCs w:val="24"/>
              <w:highlight w:val="none"/>
            </w:rPr>
            <w:t>5.4开标异议</w:t>
          </w:r>
          <w:r>
            <w:tab/>
          </w:r>
          <w:r>
            <w:fldChar w:fldCharType="begin"/>
          </w:r>
          <w:r>
            <w:instrText xml:space="preserve"> PAGEREF _Toc18942 \h </w:instrText>
          </w:r>
          <w:r>
            <w:fldChar w:fldCharType="separate"/>
          </w:r>
          <w:r>
            <w:t>59</w:t>
          </w:r>
          <w:r>
            <w:fldChar w:fldCharType="end"/>
          </w:r>
          <w:r>
            <w:rPr>
              <w:rFonts w:hint="eastAsia"/>
            </w:rPr>
            <w:fldChar w:fldCharType="end"/>
          </w:r>
        </w:p>
        <w:p w14:paraId="752AE44E">
          <w:pPr>
            <w:pStyle w:val="5"/>
            <w:tabs>
              <w:tab w:val="right" w:leader="dot" w:pos="8831"/>
            </w:tabs>
          </w:pPr>
          <w:r>
            <w:rPr>
              <w:rFonts w:hint="eastAsia"/>
            </w:rPr>
            <w:fldChar w:fldCharType="begin"/>
          </w:r>
          <w:r>
            <w:rPr>
              <w:rFonts w:hint="eastAsia"/>
            </w:rPr>
            <w:instrText xml:space="preserve"> HYPERLINK \l _Toc28938 </w:instrText>
          </w:r>
          <w:r>
            <w:rPr>
              <w:rFonts w:hint="eastAsia"/>
            </w:rPr>
            <w:fldChar w:fldCharType="separate"/>
          </w:r>
          <w:r>
            <w:rPr>
              <w:rFonts w:hint="eastAsia" w:ascii="宋体" w:hAnsi="宋体" w:eastAsia="宋体" w:cs="宋体"/>
              <w:spacing w:val="9"/>
              <w:szCs w:val="24"/>
              <w:highlight w:val="none"/>
            </w:rPr>
            <w:t>投标人对开标有异议的，应当在开标现场提出，招标人应当场作出答复，并记录。</w:t>
          </w:r>
          <w:r>
            <w:tab/>
          </w:r>
          <w:r>
            <w:fldChar w:fldCharType="begin"/>
          </w:r>
          <w:r>
            <w:instrText xml:space="preserve"> PAGEREF _Toc28938 \h </w:instrText>
          </w:r>
          <w:r>
            <w:fldChar w:fldCharType="separate"/>
          </w:r>
          <w:r>
            <w:t>59</w:t>
          </w:r>
          <w:r>
            <w:fldChar w:fldCharType="end"/>
          </w:r>
          <w:r>
            <w:rPr>
              <w:rFonts w:hint="eastAsia"/>
            </w:rPr>
            <w:fldChar w:fldCharType="end"/>
          </w:r>
        </w:p>
        <w:p w14:paraId="15F3150C">
          <w:pPr>
            <w:pStyle w:val="8"/>
            <w:tabs>
              <w:tab w:val="right" w:leader="dot" w:pos="8831"/>
            </w:tabs>
          </w:pPr>
          <w:r>
            <w:rPr>
              <w:rFonts w:hint="eastAsia"/>
            </w:rPr>
            <w:fldChar w:fldCharType="begin"/>
          </w:r>
          <w:r>
            <w:rPr>
              <w:rFonts w:hint="eastAsia"/>
            </w:rPr>
            <w:instrText xml:space="preserve"> HYPERLINK \l _Toc29602 </w:instrText>
          </w:r>
          <w:r>
            <w:rPr>
              <w:rFonts w:hint="eastAsia"/>
            </w:rPr>
            <w:fldChar w:fldCharType="separate"/>
          </w:r>
          <w:r>
            <w:rPr>
              <w:rFonts w:hint="eastAsia" w:ascii="宋体" w:hAnsi="宋体" w:eastAsia="宋体" w:cs="宋体"/>
              <w:bCs/>
              <w:spacing w:val="-7"/>
              <w:szCs w:val="28"/>
              <w:highlight w:val="none"/>
            </w:rPr>
            <w:t>6.评标</w:t>
          </w:r>
          <w:r>
            <w:tab/>
          </w:r>
          <w:r>
            <w:fldChar w:fldCharType="begin"/>
          </w:r>
          <w:r>
            <w:instrText xml:space="preserve"> PAGEREF _Toc29602 \h </w:instrText>
          </w:r>
          <w:r>
            <w:fldChar w:fldCharType="separate"/>
          </w:r>
          <w:r>
            <w:t>59</w:t>
          </w:r>
          <w:r>
            <w:fldChar w:fldCharType="end"/>
          </w:r>
          <w:r>
            <w:rPr>
              <w:rFonts w:hint="eastAsia"/>
            </w:rPr>
            <w:fldChar w:fldCharType="end"/>
          </w:r>
        </w:p>
        <w:p w14:paraId="45E34204">
          <w:pPr>
            <w:pStyle w:val="5"/>
            <w:tabs>
              <w:tab w:val="right" w:leader="dot" w:pos="8831"/>
            </w:tabs>
          </w:pPr>
          <w:r>
            <w:rPr>
              <w:rFonts w:hint="eastAsia"/>
            </w:rPr>
            <w:fldChar w:fldCharType="begin"/>
          </w:r>
          <w:r>
            <w:rPr>
              <w:rFonts w:hint="eastAsia"/>
            </w:rPr>
            <w:instrText xml:space="preserve"> HYPERLINK \l _Toc7124 </w:instrText>
          </w:r>
          <w:r>
            <w:rPr>
              <w:rFonts w:hint="eastAsia"/>
            </w:rPr>
            <w:fldChar w:fldCharType="separate"/>
          </w:r>
          <w:r>
            <w:rPr>
              <w:rFonts w:hint="eastAsia" w:ascii="宋体" w:hAnsi="宋体" w:eastAsia="宋体" w:cs="宋体"/>
              <w:bCs/>
              <w:spacing w:val="-4"/>
              <w:szCs w:val="24"/>
              <w:highlight w:val="none"/>
            </w:rPr>
            <w:t>6.1评标委员会</w:t>
          </w:r>
          <w:r>
            <w:tab/>
          </w:r>
          <w:r>
            <w:fldChar w:fldCharType="begin"/>
          </w:r>
          <w:r>
            <w:instrText xml:space="preserve"> PAGEREF _Toc7124 \h </w:instrText>
          </w:r>
          <w:r>
            <w:fldChar w:fldCharType="separate"/>
          </w:r>
          <w:r>
            <w:t>59</w:t>
          </w:r>
          <w:r>
            <w:fldChar w:fldCharType="end"/>
          </w:r>
          <w:r>
            <w:rPr>
              <w:rFonts w:hint="eastAsia"/>
            </w:rPr>
            <w:fldChar w:fldCharType="end"/>
          </w:r>
        </w:p>
        <w:p w14:paraId="3D97CE8A">
          <w:pPr>
            <w:pStyle w:val="5"/>
            <w:tabs>
              <w:tab w:val="right" w:leader="dot" w:pos="8831"/>
            </w:tabs>
          </w:pPr>
          <w:r>
            <w:rPr>
              <w:rFonts w:hint="eastAsia"/>
            </w:rPr>
            <w:fldChar w:fldCharType="begin"/>
          </w:r>
          <w:r>
            <w:rPr>
              <w:rFonts w:hint="eastAsia"/>
            </w:rPr>
            <w:instrText xml:space="preserve"> HYPERLINK \l _Toc3515 </w:instrText>
          </w:r>
          <w:r>
            <w:rPr>
              <w:rFonts w:hint="eastAsia"/>
            </w:rPr>
            <w:fldChar w:fldCharType="separate"/>
          </w:r>
          <w:r>
            <w:rPr>
              <w:rFonts w:hint="eastAsia" w:ascii="宋体" w:hAnsi="宋体" w:eastAsia="宋体" w:cs="宋体"/>
              <w:bCs/>
              <w:spacing w:val="-4"/>
              <w:szCs w:val="24"/>
              <w:highlight w:val="none"/>
            </w:rPr>
            <w:t>6.2评标原则</w:t>
          </w:r>
          <w:r>
            <w:tab/>
          </w:r>
          <w:r>
            <w:fldChar w:fldCharType="begin"/>
          </w:r>
          <w:r>
            <w:instrText xml:space="preserve"> PAGEREF _Toc3515 \h </w:instrText>
          </w:r>
          <w:r>
            <w:fldChar w:fldCharType="separate"/>
          </w:r>
          <w:r>
            <w:t>60</w:t>
          </w:r>
          <w:r>
            <w:fldChar w:fldCharType="end"/>
          </w:r>
          <w:r>
            <w:rPr>
              <w:rFonts w:hint="eastAsia"/>
            </w:rPr>
            <w:fldChar w:fldCharType="end"/>
          </w:r>
        </w:p>
        <w:p w14:paraId="3AC932BA">
          <w:pPr>
            <w:pStyle w:val="5"/>
            <w:tabs>
              <w:tab w:val="right" w:leader="dot" w:pos="8831"/>
            </w:tabs>
          </w:pPr>
          <w:r>
            <w:rPr>
              <w:rFonts w:hint="eastAsia"/>
            </w:rPr>
            <w:fldChar w:fldCharType="begin"/>
          </w:r>
          <w:r>
            <w:rPr>
              <w:rFonts w:hint="eastAsia"/>
            </w:rPr>
            <w:instrText xml:space="preserve"> HYPERLINK \l _Toc18752 </w:instrText>
          </w:r>
          <w:r>
            <w:rPr>
              <w:rFonts w:hint="eastAsia"/>
            </w:rPr>
            <w:fldChar w:fldCharType="separate"/>
          </w:r>
          <w:r>
            <w:rPr>
              <w:rFonts w:hint="eastAsia" w:ascii="宋体" w:hAnsi="宋体" w:eastAsia="宋体" w:cs="宋体"/>
              <w:bCs/>
              <w:spacing w:val="-5"/>
              <w:szCs w:val="24"/>
              <w:highlight w:val="none"/>
            </w:rPr>
            <w:t>6.3评标</w:t>
          </w:r>
          <w:r>
            <w:tab/>
          </w:r>
          <w:r>
            <w:fldChar w:fldCharType="begin"/>
          </w:r>
          <w:r>
            <w:instrText xml:space="preserve"> PAGEREF _Toc18752 \h </w:instrText>
          </w:r>
          <w:r>
            <w:fldChar w:fldCharType="separate"/>
          </w:r>
          <w:r>
            <w:t>60</w:t>
          </w:r>
          <w:r>
            <w:fldChar w:fldCharType="end"/>
          </w:r>
          <w:r>
            <w:rPr>
              <w:rFonts w:hint="eastAsia"/>
            </w:rPr>
            <w:fldChar w:fldCharType="end"/>
          </w:r>
        </w:p>
        <w:p w14:paraId="226C44BD">
          <w:pPr>
            <w:pStyle w:val="8"/>
            <w:tabs>
              <w:tab w:val="right" w:leader="dot" w:pos="8831"/>
            </w:tabs>
          </w:pPr>
          <w:r>
            <w:rPr>
              <w:rFonts w:hint="eastAsia"/>
            </w:rPr>
            <w:fldChar w:fldCharType="begin"/>
          </w:r>
          <w:r>
            <w:rPr>
              <w:rFonts w:hint="eastAsia"/>
            </w:rPr>
            <w:instrText xml:space="preserve"> HYPERLINK \l _Toc12529 </w:instrText>
          </w:r>
          <w:r>
            <w:rPr>
              <w:rFonts w:hint="eastAsia"/>
            </w:rPr>
            <w:fldChar w:fldCharType="separate"/>
          </w:r>
          <w:r>
            <w:rPr>
              <w:rFonts w:hint="eastAsia" w:ascii="宋体" w:hAnsi="宋体" w:eastAsia="宋体" w:cs="宋体"/>
              <w:bCs/>
              <w:spacing w:val="-6"/>
              <w:szCs w:val="28"/>
              <w:highlight w:val="none"/>
            </w:rPr>
            <w:t>7.合同授予</w:t>
          </w:r>
          <w:r>
            <w:tab/>
          </w:r>
          <w:r>
            <w:fldChar w:fldCharType="begin"/>
          </w:r>
          <w:r>
            <w:instrText xml:space="preserve"> PAGEREF _Toc12529 \h </w:instrText>
          </w:r>
          <w:r>
            <w:fldChar w:fldCharType="separate"/>
          </w:r>
          <w:r>
            <w:t>60</w:t>
          </w:r>
          <w:r>
            <w:fldChar w:fldCharType="end"/>
          </w:r>
          <w:r>
            <w:rPr>
              <w:rFonts w:hint="eastAsia"/>
            </w:rPr>
            <w:fldChar w:fldCharType="end"/>
          </w:r>
        </w:p>
        <w:p w14:paraId="37D5E622">
          <w:pPr>
            <w:pStyle w:val="5"/>
            <w:tabs>
              <w:tab w:val="right" w:leader="dot" w:pos="8831"/>
            </w:tabs>
          </w:pPr>
          <w:r>
            <w:rPr>
              <w:rFonts w:hint="eastAsia"/>
            </w:rPr>
            <w:fldChar w:fldCharType="begin"/>
          </w:r>
          <w:r>
            <w:rPr>
              <w:rFonts w:hint="eastAsia"/>
            </w:rPr>
            <w:instrText xml:space="preserve"> HYPERLINK \l _Toc336 </w:instrText>
          </w:r>
          <w:r>
            <w:rPr>
              <w:rFonts w:hint="eastAsia"/>
            </w:rPr>
            <w:fldChar w:fldCharType="separate"/>
          </w:r>
          <w:r>
            <w:rPr>
              <w:rFonts w:hint="eastAsia" w:ascii="宋体" w:hAnsi="宋体" w:eastAsia="宋体" w:cs="宋体"/>
              <w:bCs/>
              <w:spacing w:val="-4"/>
              <w:szCs w:val="24"/>
              <w:highlight w:val="none"/>
            </w:rPr>
            <w:t>7.1中标候选人公示</w:t>
          </w:r>
          <w:r>
            <w:tab/>
          </w:r>
          <w:r>
            <w:fldChar w:fldCharType="begin"/>
          </w:r>
          <w:r>
            <w:instrText xml:space="preserve"> PAGEREF _Toc336 \h </w:instrText>
          </w:r>
          <w:r>
            <w:fldChar w:fldCharType="separate"/>
          </w:r>
          <w:r>
            <w:t>60</w:t>
          </w:r>
          <w:r>
            <w:fldChar w:fldCharType="end"/>
          </w:r>
          <w:r>
            <w:rPr>
              <w:rFonts w:hint="eastAsia"/>
            </w:rPr>
            <w:fldChar w:fldCharType="end"/>
          </w:r>
        </w:p>
        <w:p w14:paraId="4B4ABA96">
          <w:pPr>
            <w:pStyle w:val="5"/>
            <w:tabs>
              <w:tab w:val="right" w:leader="dot" w:pos="8831"/>
            </w:tabs>
          </w:pPr>
          <w:r>
            <w:rPr>
              <w:rFonts w:hint="eastAsia"/>
            </w:rPr>
            <w:fldChar w:fldCharType="begin"/>
          </w:r>
          <w:r>
            <w:rPr>
              <w:rFonts w:hint="eastAsia"/>
            </w:rPr>
            <w:instrText xml:space="preserve"> HYPERLINK \l _Toc14161 </w:instrText>
          </w:r>
          <w:r>
            <w:rPr>
              <w:rFonts w:hint="eastAsia"/>
            </w:rPr>
            <w:fldChar w:fldCharType="separate"/>
          </w:r>
          <w:r>
            <w:rPr>
              <w:rFonts w:hint="eastAsia" w:ascii="宋体" w:hAnsi="宋体" w:eastAsia="宋体" w:cs="宋体"/>
              <w:bCs/>
              <w:spacing w:val="-4"/>
              <w:szCs w:val="24"/>
              <w:highlight w:val="none"/>
            </w:rPr>
            <w:t>7.2评标结果异议</w:t>
          </w:r>
          <w:r>
            <w:tab/>
          </w:r>
          <w:r>
            <w:fldChar w:fldCharType="begin"/>
          </w:r>
          <w:r>
            <w:instrText xml:space="preserve"> PAGEREF _Toc14161 \h </w:instrText>
          </w:r>
          <w:r>
            <w:fldChar w:fldCharType="separate"/>
          </w:r>
          <w:r>
            <w:t>61</w:t>
          </w:r>
          <w:r>
            <w:fldChar w:fldCharType="end"/>
          </w:r>
          <w:r>
            <w:rPr>
              <w:rFonts w:hint="eastAsia"/>
            </w:rPr>
            <w:fldChar w:fldCharType="end"/>
          </w:r>
        </w:p>
        <w:p w14:paraId="6DB787EF">
          <w:pPr>
            <w:pStyle w:val="5"/>
            <w:tabs>
              <w:tab w:val="right" w:leader="dot" w:pos="8831"/>
            </w:tabs>
          </w:pPr>
          <w:r>
            <w:rPr>
              <w:rFonts w:hint="eastAsia"/>
            </w:rPr>
            <w:fldChar w:fldCharType="begin"/>
          </w:r>
          <w:r>
            <w:rPr>
              <w:rFonts w:hint="eastAsia"/>
            </w:rPr>
            <w:instrText xml:space="preserve"> HYPERLINK \l _Toc10147 </w:instrText>
          </w:r>
          <w:r>
            <w:rPr>
              <w:rFonts w:hint="eastAsia"/>
            </w:rPr>
            <w:fldChar w:fldCharType="separate"/>
          </w:r>
          <w:r>
            <w:rPr>
              <w:rFonts w:hint="eastAsia" w:ascii="宋体" w:hAnsi="宋体" w:eastAsia="宋体" w:cs="宋体"/>
              <w:bCs/>
              <w:spacing w:val="-3"/>
              <w:szCs w:val="24"/>
              <w:highlight w:val="none"/>
            </w:rPr>
            <w:t>7.3中标候选人履约能力审查</w:t>
          </w:r>
          <w:r>
            <w:tab/>
          </w:r>
          <w:r>
            <w:fldChar w:fldCharType="begin"/>
          </w:r>
          <w:r>
            <w:instrText xml:space="preserve"> PAGEREF _Toc10147 \h </w:instrText>
          </w:r>
          <w:r>
            <w:fldChar w:fldCharType="separate"/>
          </w:r>
          <w:r>
            <w:t>61</w:t>
          </w:r>
          <w:r>
            <w:fldChar w:fldCharType="end"/>
          </w:r>
          <w:r>
            <w:rPr>
              <w:rFonts w:hint="eastAsia"/>
            </w:rPr>
            <w:fldChar w:fldCharType="end"/>
          </w:r>
        </w:p>
        <w:p w14:paraId="73A0EFFB">
          <w:pPr>
            <w:pStyle w:val="5"/>
            <w:tabs>
              <w:tab w:val="right" w:leader="dot" w:pos="8831"/>
            </w:tabs>
          </w:pPr>
          <w:r>
            <w:rPr>
              <w:rFonts w:hint="eastAsia"/>
            </w:rPr>
            <w:fldChar w:fldCharType="begin"/>
          </w:r>
          <w:r>
            <w:rPr>
              <w:rFonts w:hint="eastAsia"/>
            </w:rPr>
            <w:instrText xml:space="preserve"> HYPERLINK \l _Toc18589 </w:instrText>
          </w:r>
          <w:r>
            <w:rPr>
              <w:rFonts w:hint="eastAsia"/>
            </w:rPr>
            <w:fldChar w:fldCharType="separate"/>
          </w:r>
          <w:r>
            <w:rPr>
              <w:rFonts w:hint="eastAsia" w:ascii="宋体" w:hAnsi="宋体" w:eastAsia="宋体" w:cs="宋体"/>
              <w:bCs/>
              <w:spacing w:val="-5"/>
              <w:szCs w:val="24"/>
              <w:highlight w:val="none"/>
            </w:rPr>
            <w:t>7.4定标</w:t>
          </w:r>
          <w:r>
            <w:tab/>
          </w:r>
          <w:r>
            <w:fldChar w:fldCharType="begin"/>
          </w:r>
          <w:r>
            <w:instrText xml:space="preserve"> PAGEREF _Toc18589 \h </w:instrText>
          </w:r>
          <w:r>
            <w:fldChar w:fldCharType="separate"/>
          </w:r>
          <w:r>
            <w:t>61</w:t>
          </w:r>
          <w:r>
            <w:fldChar w:fldCharType="end"/>
          </w:r>
          <w:r>
            <w:rPr>
              <w:rFonts w:hint="eastAsia"/>
            </w:rPr>
            <w:fldChar w:fldCharType="end"/>
          </w:r>
        </w:p>
        <w:p w14:paraId="29400DD0">
          <w:pPr>
            <w:pStyle w:val="5"/>
            <w:tabs>
              <w:tab w:val="right" w:leader="dot" w:pos="8831"/>
            </w:tabs>
          </w:pPr>
          <w:r>
            <w:rPr>
              <w:rFonts w:hint="eastAsia"/>
            </w:rPr>
            <w:fldChar w:fldCharType="begin"/>
          </w:r>
          <w:r>
            <w:rPr>
              <w:rFonts w:hint="eastAsia"/>
            </w:rPr>
            <w:instrText xml:space="preserve"> HYPERLINK \l _Toc21776 </w:instrText>
          </w:r>
          <w:r>
            <w:rPr>
              <w:rFonts w:hint="eastAsia"/>
            </w:rPr>
            <w:fldChar w:fldCharType="separate"/>
          </w:r>
          <w:r>
            <w:rPr>
              <w:rFonts w:hint="eastAsia" w:ascii="宋体" w:hAnsi="宋体" w:eastAsia="宋体" w:cs="宋体"/>
              <w:bCs/>
              <w:spacing w:val="-7"/>
              <w:szCs w:val="24"/>
              <w:highlight w:val="none"/>
            </w:rPr>
            <w:t>7.5中标通知</w:t>
          </w:r>
          <w:r>
            <w:tab/>
          </w:r>
          <w:r>
            <w:fldChar w:fldCharType="begin"/>
          </w:r>
          <w:r>
            <w:instrText xml:space="preserve"> PAGEREF _Toc21776 \h </w:instrText>
          </w:r>
          <w:r>
            <w:fldChar w:fldCharType="separate"/>
          </w:r>
          <w:r>
            <w:t>61</w:t>
          </w:r>
          <w:r>
            <w:fldChar w:fldCharType="end"/>
          </w:r>
          <w:r>
            <w:rPr>
              <w:rFonts w:hint="eastAsia"/>
            </w:rPr>
            <w:fldChar w:fldCharType="end"/>
          </w:r>
        </w:p>
        <w:p w14:paraId="0455287C">
          <w:pPr>
            <w:pStyle w:val="5"/>
            <w:tabs>
              <w:tab w:val="right" w:leader="dot" w:pos="8831"/>
            </w:tabs>
          </w:pPr>
          <w:r>
            <w:rPr>
              <w:rFonts w:hint="eastAsia"/>
            </w:rPr>
            <w:fldChar w:fldCharType="begin"/>
          </w:r>
          <w:r>
            <w:rPr>
              <w:rFonts w:hint="eastAsia"/>
            </w:rPr>
            <w:instrText xml:space="preserve"> HYPERLINK \l _Toc20996 </w:instrText>
          </w:r>
          <w:r>
            <w:rPr>
              <w:rFonts w:hint="eastAsia"/>
            </w:rPr>
            <w:fldChar w:fldCharType="separate"/>
          </w:r>
          <w:r>
            <w:rPr>
              <w:rFonts w:hint="eastAsia" w:ascii="宋体" w:hAnsi="宋体" w:eastAsia="宋体" w:cs="宋体"/>
              <w:bCs/>
              <w:spacing w:val="-4"/>
              <w:szCs w:val="24"/>
              <w:highlight w:val="none"/>
            </w:rPr>
            <w:t>7.6中标结果公告</w:t>
          </w:r>
          <w:r>
            <w:tab/>
          </w:r>
          <w:r>
            <w:fldChar w:fldCharType="begin"/>
          </w:r>
          <w:r>
            <w:instrText xml:space="preserve"> PAGEREF _Toc20996 \h </w:instrText>
          </w:r>
          <w:r>
            <w:fldChar w:fldCharType="separate"/>
          </w:r>
          <w:r>
            <w:t>61</w:t>
          </w:r>
          <w:r>
            <w:fldChar w:fldCharType="end"/>
          </w:r>
          <w:r>
            <w:rPr>
              <w:rFonts w:hint="eastAsia"/>
            </w:rPr>
            <w:fldChar w:fldCharType="end"/>
          </w:r>
        </w:p>
        <w:p w14:paraId="26606A51">
          <w:pPr>
            <w:pStyle w:val="5"/>
            <w:tabs>
              <w:tab w:val="right" w:leader="dot" w:pos="8831"/>
            </w:tabs>
          </w:pPr>
          <w:r>
            <w:rPr>
              <w:rFonts w:hint="eastAsia"/>
            </w:rPr>
            <w:fldChar w:fldCharType="begin"/>
          </w:r>
          <w:r>
            <w:rPr>
              <w:rFonts w:hint="eastAsia"/>
            </w:rPr>
            <w:instrText xml:space="preserve"> HYPERLINK \l _Toc25330 </w:instrText>
          </w:r>
          <w:r>
            <w:rPr>
              <w:rFonts w:hint="eastAsia"/>
            </w:rPr>
            <w:fldChar w:fldCharType="separate"/>
          </w:r>
          <w:r>
            <w:rPr>
              <w:rFonts w:hint="eastAsia" w:ascii="宋体" w:hAnsi="宋体" w:eastAsia="宋体" w:cs="宋体"/>
              <w:bCs/>
              <w:spacing w:val="-4"/>
              <w:szCs w:val="24"/>
              <w:highlight w:val="none"/>
            </w:rPr>
            <w:t>7.7履约保证金</w:t>
          </w:r>
          <w:r>
            <w:tab/>
          </w:r>
          <w:r>
            <w:fldChar w:fldCharType="begin"/>
          </w:r>
          <w:r>
            <w:instrText xml:space="preserve"> PAGEREF _Toc25330 \h </w:instrText>
          </w:r>
          <w:r>
            <w:fldChar w:fldCharType="separate"/>
          </w:r>
          <w:r>
            <w:t>61</w:t>
          </w:r>
          <w:r>
            <w:fldChar w:fldCharType="end"/>
          </w:r>
          <w:r>
            <w:rPr>
              <w:rFonts w:hint="eastAsia"/>
            </w:rPr>
            <w:fldChar w:fldCharType="end"/>
          </w:r>
        </w:p>
        <w:p w14:paraId="2E04C766">
          <w:pPr>
            <w:pStyle w:val="5"/>
            <w:tabs>
              <w:tab w:val="right" w:leader="dot" w:pos="8831"/>
            </w:tabs>
          </w:pPr>
          <w:r>
            <w:rPr>
              <w:rFonts w:hint="eastAsia"/>
            </w:rPr>
            <w:fldChar w:fldCharType="begin"/>
          </w:r>
          <w:r>
            <w:rPr>
              <w:rFonts w:hint="eastAsia"/>
            </w:rPr>
            <w:instrText xml:space="preserve"> HYPERLINK \l _Toc3251 </w:instrText>
          </w:r>
          <w:r>
            <w:rPr>
              <w:rFonts w:hint="eastAsia"/>
            </w:rPr>
            <w:fldChar w:fldCharType="separate"/>
          </w:r>
          <w:r>
            <w:rPr>
              <w:rFonts w:hint="eastAsia" w:ascii="宋体" w:hAnsi="宋体" w:eastAsia="宋体" w:cs="宋体"/>
              <w:bCs/>
              <w:spacing w:val="-4"/>
              <w:szCs w:val="24"/>
              <w:highlight w:val="none"/>
            </w:rPr>
            <w:t>7.8签订合同</w:t>
          </w:r>
          <w:r>
            <w:tab/>
          </w:r>
          <w:r>
            <w:fldChar w:fldCharType="begin"/>
          </w:r>
          <w:r>
            <w:instrText xml:space="preserve"> PAGEREF _Toc3251 \h </w:instrText>
          </w:r>
          <w:r>
            <w:fldChar w:fldCharType="separate"/>
          </w:r>
          <w:r>
            <w:t>62</w:t>
          </w:r>
          <w:r>
            <w:fldChar w:fldCharType="end"/>
          </w:r>
          <w:r>
            <w:rPr>
              <w:rFonts w:hint="eastAsia"/>
            </w:rPr>
            <w:fldChar w:fldCharType="end"/>
          </w:r>
        </w:p>
        <w:p w14:paraId="3D0F19C6">
          <w:pPr>
            <w:pStyle w:val="8"/>
            <w:tabs>
              <w:tab w:val="right" w:leader="dot" w:pos="8831"/>
            </w:tabs>
          </w:pPr>
          <w:r>
            <w:rPr>
              <w:rFonts w:hint="eastAsia"/>
            </w:rPr>
            <w:fldChar w:fldCharType="begin"/>
          </w:r>
          <w:r>
            <w:rPr>
              <w:rFonts w:hint="eastAsia"/>
            </w:rPr>
            <w:instrText xml:space="preserve"> HYPERLINK \l _Toc24063 </w:instrText>
          </w:r>
          <w:r>
            <w:rPr>
              <w:rFonts w:hint="eastAsia"/>
            </w:rPr>
            <w:fldChar w:fldCharType="separate"/>
          </w:r>
          <w:r>
            <w:rPr>
              <w:rFonts w:hint="eastAsia" w:ascii="宋体" w:hAnsi="宋体" w:eastAsia="宋体" w:cs="宋体"/>
              <w:bCs/>
              <w:spacing w:val="-5"/>
              <w:szCs w:val="28"/>
              <w:highlight w:val="none"/>
            </w:rPr>
            <w:t>8.纪律和监督</w:t>
          </w:r>
          <w:r>
            <w:tab/>
          </w:r>
          <w:r>
            <w:fldChar w:fldCharType="begin"/>
          </w:r>
          <w:r>
            <w:instrText xml:space="preserve"> PAGEREF _Toc24063 \h </w:instrText>
          </w:r>
          <w:r>
            <w:fldChar w:fldCharType="separate"/>
          </w:r>
          <w:r>
            <w:t>62</w:t>
          </w:r>
          <w:r>
            <w:fldChar w:fldCharType="end"/>
          </w:r>
          <w:r>
            <w:rPr>
              <w:rFonts w:hint="eastAsia"/>
            </w:rPr>
            <w:fldChar w:fldCharType="end"/>
          </w:r>
        </w:p>
        <w:p w14:paraId="4B143166">
          <w:pPr>
            <w:pStyle w:val="5"/>
            <w:tabs>
              <w:tab w:val="right" w:leader="dot" w:pos="8831"/>
            </w:tabs>
          </w:pPr>
          <w:r>
            <w:rPr>
              <w:rFonts w:hint="eastAsia"/>
            </w:rPr>
            <w:fldChar w:fldCharType="begin"/>
          </w:r>
          <w:r>
            <w:rPr>
              <w:rFonts w:hint="eastAsia"/>
            </w:rPr>
            <w:instrText xml:space="preserve"> HYPERLINK \l _Toc4577 </w:instrText>
          </w:r>
          <w:r>
            <w:rPr>
              <w:rFonts w:hint="eastAsia"/>
            </w:rPr>
            <w:fldChar w:fldCharType="separate"/>
          </w:r>
          <w:r>
            <w:rPr>
              <w:rFonts w:hint="eastAsia" w:ascii="宋体" w:hAnsi="宋体" w:eastAsia="宋体" w:cs="宋体"/>
              <w:bCs/>
              <w:spacing w:val="-3"/>
              <w:szCs w:val="24"/>
              <w:highlight w:val="none"/>
            </w:rPr>
            <w:t>8.1对招标人的纪律要求</w:t>
          </w:r>
          <w:r>
            <w:tab/>
          </w:r>
          <w:r>
            <w:fldChar w:fldCharType="begin"/>
          </w:r>
          <w:r>
            <w:instrText xml:space="preserve"> PAGEREF _Toc4577 \h </w:instrText>
          </w:r>
          <w:r>
            <w:fldChar w:fldCharType="separate"/>
          </w:r>
          <w:r>
            <w:t>62</w:t>
          </w:r>
          <w:r>
            <w:fldChar w:fldCharType="end"/>
          </w:r>
          <w:r>
            <w:rPr>
              <w:rFonts w:hint="eastAsia"/>
            </w:rPr>
            <w:fldChar w:fldCharType="end"/>
          </w:r>
        </w:p>
        <w:p w14:paraId="32B81948">
          <w:pPr>
            <w:pStyle w:val="5"/>
            <w:tabs>
              <w:tab w:val="right" w:leader="dot" w:pos="8831"/>
            </w:tabs>
          </w:pPr>
          <w:r>
            <w:rPr>
              <w:rFonts w:hint="eastAsia"/>
            </w:rPr>
            <w:fldChar w:fldCharType="begin"/>
          </w:r>
          <w:r>
            <w:rPr>
              <w:rFonts w:hint="eastAsia"/>
            </w:rPr>
            <w:instrText xml:space="preserve"> HYPERLINK \l _Toc1179 </w:instrText>
          </w:r>
          <w:r>
            <w:rPr>
              <w:rFonts w:hint="eastAsia"/>
            </w:rPr>
            <w:fldChar w:fldCharType="separate"/>
          </w:r>
          <w:r>
            <w:rPr>
              <w:rFonts w:hint="eastAsia" w:ascii="宋体" w:hAnsi="宋体" w:eastAsia="宋体" w:cs="宋体"/>
              <w:bCs/>
              <w:spacing w:val="-3"/>
              <w:szCs w:val="24"/>
              <w:highlight w:val="none"/>
            </w:rPr>
            <w:t>8.2对投标人的纪律要求</w:t>
          </w:r>
          <w:r>
            <w:tab/>
          </w:r>
          <w:r>
            <w:fldChar w:fldCharType="begin"/>
          </w:r>
          <w:r>
            <w:instrText xml:space="preserve"> PAGEREF _Toc1179 \h </w:instrText>
          </w:r>
          <w:r>
            <w:fldChar w:fldCharType="separate"/>
          </w:r>
          <w:r>
            <w:t>62</w:t>
          </w:r>
          <w:r>
            <w:fldChar w:fldCharType="end"/>
          </w:r>
          <w:r>
            <w:rPr>
              <w:rFonts w:hint="eastAsia"/>
            </w:rPr>
            <w:fldChar w:fldCharType="end"/>
          </w:r>
        </w:p>
        <w:p w14:paraId="3EEEA739">
          <w:pPr>
            <w:pStyle w:val="5"/>
            <w:tabs>
              <w:tab w:val="right" w:leader="dot" w:pos="8831"/>
            </w:tabs>
          </w:pPr>
          <w:r>
            <w:rPr>
              <w:rFonts w:hint="eastAsia"/>
            </w:rPr>
            <w:fldChar w:fldCharType="begin"/>
          </w:r>
          <w:r>
            <w:rPr>
              <w:rFonts w:hint="eastAsia"/>
            </w:rPr>
            <w:instrText xml:space="preserve"> HYPERLINK \l _Toc12352 </w:instrText>
          </w:r>
          <w:r>
            <w:rPr>
              <w:rFonts w:hint="eastAsia"/>
            </w:rPr>
            <w:fldChar w:fldCharType="separate"/>
          </w:r>
          <w:r>
            <w:rPr>
              <w:rFonts w:hint="eastAsia" w:ascii="宋体" w:hAnsi="宋体" w:eastAsia="宋体" w:cs="宋体"/>
              <w:bCs/>
              <w:spacing w:val="-3"/>
              <w:szCs w:val="24"/>
              <w:highlight w:val="none"/>
            </w:rPr>
            <w:t>8.3对评标委员会成员的纪律要求</w:t>
          </w:r>
          <w:r>
            <w:tab/>
          </w:r>
          <w:r>
            <w:fldChar w:fldCharType="begin"/>
          </w:r>
          <w:r>
            <w:instrText xml:space="preserve"> PAGEREF _Toc12352 \h </w:instrText>
          </w:r>
          <w:r>
            <w:fldChar w:fldCharType="separate"/>
          </w:r>
          <w:r>
            <w:t>63</w:t>
          </w:r>
          <w:r>
            <w:fldChar w:fldCharType="end"/>
          </w:r>
          <w:r>
            <w:rPr>
              <w:rFonts w:hint="eastAsia"/>
            </w:rPr>
            <w:fldChar w:fldCharType="end"/>
          </w:r>
        </w:p>
        <w:p w14:paraId="2AAC11C5">
          <w:pPr>
            <w:pStyle w:val="5"/>
            <w:tabs>
              <w:tab w:val="right" w:leader="dot" w:pos="8831"/>
            </w:tabs>
          </w:pPr>
          <w:r>
            <w:rPr>
              <w:rFonts w:hint="eastAsia"/>
            </w:rPr>
            <w:fldChar w:fldCharType="begin"/>
          </w:r>
          <w:r>
            <w:rPr>
              <w:rFonts w:hint="eastAsia"/>
            </w:rPr>
            <w:instrText xml:space="preserve"> HYPERLINK \l _Toc21767 </w:instrText>
          </w:r>
          <w:r>
            <w:rPr>
              <w:rFonts w:hint="eastAsia"/>
            </w:rPr>
            <w:fldChar w:fldCharType="separate"/>
          </w:r>
          <w:r>
            <w:rPr>
              <w:rFonts w:hint="eastAsia" w:ascii="宋体" w:hAnsi="宋体" w:eastAsia="宋体" w:cs="宋体"/>
              <w:bCs/>
              <w:spacing w:val="-3"/>
              <w:szCs w:val="24"/>
              <w:highlight w:val="none"/>
            </w:rPr>
            <w:t>8.4对与评标活动有关的工作人员的纪律要求</w:t>
          </w:r>
          <w:r>
            <w:tab/>
          </w:r>
          <w:r>
            <w:fldChar w:fldCharType="begin"/>
          </w:r>
          <w:r>
            <w:instrText xml:space="preserve"> PAGEREF _Toc21767 \h </w:instrText>
          </w:r>
          <w:r>
            <w:fldChar w:fldCharType="separate"/>
          </w:r>
          <w:r>
            <w:t>63</w:t>
          </w:r>
          <w:r>
            <w:fldChar w:fldCharType="end"/>
          </w:r>
          <w:r>
            <w:rPr>
              <w:rFonts w:hint="eastAsia"/>
            </w:rPr>
            <w:fldChar w:fldCharType="end"/>
          </w:r>
        </w:p>
        <w:p w14:paraId="409A3188">
          <w:pPr>
            <w:pStyle w:val="5"/>
            <w:tabs>
              <w:tab w:val="right" w:leader="dot" w:pos="8831"/>
            </w:tabs>
          </w:pPr>
          <w:r>
            <w:rPr>
              <w:rFonts w:hint="eastAsia"/>
            </w:rPr>
            <w:fldChar w:fldCharType="begin"/>
          </w:r>
          <w:r>
            <w:rPr>
              <w:rFonts w:hint="eastAsia"/>
            </w:rPr>
            <w:instrText xml:space="preserve"> HYPERLINK \l _Toc5630 </w:instrText>
          </w:r>
          <w:r>
            <w:rPr>
              <w:rFonts w:hint="eastAsia"/>
            </w:rPr>
            <w:fldChar w:fldCharType="separate"/>
          </w:r>
          <w:r>
            <w:rPr>
              <w:rFonts w:hint="eastAsia" w:ascii="宋体" w:hAnsi="宋体" w:eastAsia="宋体" w:cs="宋体"/>
              <w:bCs/>
              <w:spacing w:val="-5"/>
              <w:szCs w:val="24"/>
              <w:highlight w:val="none"/>
            </w:rPr>
            <w:t>8.5投诉</w:t>
          </w:r>
          <w:r>
            <w:tab/>
          </w:r>
          <w:r>
            <w:fldChar w:fldCharType="begin"/>
          </w:r>
          <w:r>
            <w:instrText xml:space="preserve"> PAGEREF _Toc5630 \h </w:instrText>
          </w:r>
          <w:r>
            <w:fldChar w:fldCharType="separate"/>
          </w:r>
          <w:r>
            <w:t>63</w:t>
          </w:r>
          <w:r>
            <w:fldChar w:fldCharType="end"/>
          </w:r>
          <w:r>
            <w:rPr>
              <w:rFonts w:hint="eastAsia"/>
            </w:rPr>
            <w:fldChar w:fldCharType="end"/>
          </w:r>
        </w:p>
        <w:p w14:paraId="56D49D6D">
          <w:pPr>
            <w:pStyle w:val="8"/>
            <w:tabs>
              <w:tab w:val="right" w:leader="dot" w:pos="8831"/>
            </w:tabs>
          </w:pPr>
          <w:r>
            <w:rPr>
              <w:rFonts w:hint="eastAsia"/>
            </w:rPr>
            <w:fldChar w:fldCharType="begin"/>
          </w:r>
          <w:r>
            <w:rPr>
              <w:rFonts w:hint="eastAsia"/>
            </w:rPr>
            <w:instrText xml:space="preserve"> HYPERLINK \l _Toc4581 </w:instrText>
          </w:r>
          <w:r>
            <w:rPr>
              <w:rFonts w:hint="eastAsia"/>
            </w:rPr>
            <w:fldChar w:fldCharType="separate"/>
          </w:r>
          <w:r>
            <w:rPr>
              <w:rFonts w:hint="eastAsia" w:ascii="宋体" w:hAnsi="宋体" w:eastAsia="宋体" w:cs="宋体"/>
              <w:bCs/>
              <w:spacing w:val="-4"/>
              <w:szCs w:val="24"/>
              <w:highlight w:val="none"/>
            </w:rPr>
            <w:t>9.是否采用电子招标投标</w:t>
          </w:r>
          <w:r>
            <w:tab/>
          </w:r>
          <w:r>
            <w:fldChar w:fldCharType="begin"/>
          </w:r>
          <w:r>
            <w:instrText xml:space="preserve"> PAGEREF _Toc4581 \h </w:instrText>
          </w:r>
          <w:r>
            <w:fldChar w:fldCharType="separate"/>
          </w:r>
          <w:r>
            <w:t>63</w:t>
          </w:r>
          <w:r>
            <w:fldChar w:fldCharType="end"/>
          </w:r>
          <w:r>
            <w:rPr>
              <w:rFonts w:hint="eastAsia"/>
            </w:rPr>
            <w:fldChar w:fldCharType="end"/>
          </w:r>
        </w:p>
        <w:p w14:paraId="38F9CC2F">
          <w:pPr>
            <w:pStyle w:val="8"/>
            <w:tabs>
              <w:tab w:val="right" w:leader="dot" w:pos="8831"/>
            </w:tabs>
          </w:pPr>
          <w:r>
            <w:rPr>
              <w:rFonts w:hint="eastAsia"/>
            </w:rPr>
            <w:fldChar w:fldCharType="begin"/>
          </w:r>
          <w:r>
            <w:rPr>
              <w:rFonts w:hint="eastAsia"/>
            </w:rPr>
            <w:instrText xml:space="preserve"> HYPERLINK \l _Toc6111 </w:instrText>
          </w:r>
          <w:r>
            <w:rPr>
              <w:rFonts w:hint="eastAsia"/>
            </w:rPr>
            <w:fldChar w:fldCharType="separate"/>
          </w:r>
          <w:r>
            <w:rPr>
              <w:rFonts w:hint="eastAsia" w:ascii="宋体" w:hAnsi="宋体" w:eastAsia="宋体" w:cs="宋体"/>
              <w:bCs/>
              <w:spacing w:val="4"/>
              <w:szCs w:val="24"/>
              <w:highlight w:val="none"/>
            </w:rPr>
            <w:t>10.需要补充的其他内容</w:t>
          </w:r>
          <w:r>
            <w:tab/>
          </w:r>
          <w:r>
            <w:fldChar w:fldCharType="begin"/>
          </w:r>
          <w:r>
            <w:instrText xml:space="preserve"> PAGEREF _Toc6111 \h </w:instrText>
          </w:r>
          <w:r>
            <w:fldChar w:fldCharType="separate"/>
          </w:r>
          <w:r>
            <w:t>63</w:t>
          </w:r>
          <w:r>
            <w:fldChar w:fldCharType="end"/>
          </w:r>
          <w:r>
            <w:rPr>
              <w:rFonts w:hint="eastAsia"/>
            </w:rPr>
            <w:fldChar w:fldCharType="end"/>
          </w:r>
        </w:p>
        <w:p w14:paraId="50201D08">
          <w:pPr>
            <w:pStyle w:val="8"/>
            <w:tabs>
              <w:tab w:val="right" w:leader="dot" w:pos="8831"/>
            </w:tabs>
          </w:pPr>
          <w:r>
            <w:rPr>
              <w:rFonts w:hint="eastAsia"/>
            </w:rPr>
            <w:fldChar w:fldCharType="begin"/>
          </w:r>
          <w:r>
            <w:rPr>
              <w:rFonts w:hint="eastAsia"/>
            </w:rPr>
            <w:instrText xml:space="preserve"> HYPERLINK \l _Toc8195 </w:instrText>
          </w:r>
          <w:r>
            <w:rPr>
              <w:rFonts w:hint="eastAsia"/>
            </w:rPr>
            <w:fldChar w:fldCharType="separate"/>
          </w:r>
          <w:r>
            <w:rPr>
              <w:rFonts w:hint="eastAsia" w:ascii="宋体" w:hAnsi="宋体" w:eastAsia="宋体" w:cs="宋体"/>
              <w:spacing w:val="-3"/>
              <w:position w:val="2"/>
              <w:szCs w:val="24"/>
              <w:highlight w:val="none"/>
            </w:rPr>
            <w:t>附件一开标记录表</w:t>
          </w:r>
          <w:r>
            <w:rPr>
              <w:rFonts w:hint="eastAsia" w:ascii="宋体" w:hAnsi="宋体" w:eastAsia="宋体" w:cs="宋体"/>
              <w:spacing w:val="-3"/>
              <w:position w:val="11"/>
              <w:szCs w:val="18"/>
              <w:highlight w:val="none"/>
            </w:rPr>
            <w:t>1</w:t>
          </w:r>
          <w:r>
            <w:tab/>
          </w:r>
          <w:r>
            <w:fldChar w:fldCharType="begin"/>
          </w:r>
          <w:r>
            <w:instrText xml:space="preserve"> PAGEREF _Toc8195 \h </w:instrText>
          </w:r>
          <w:r>
            <w:fldChar w:fldCharType="separate"/>
          </w:r>
          <w:r>
            <w:t>66</w:t>
          </w:r>
          <w:r>
            <w:fldChar w:fldCharType="end"/>
          </w:r>
          <w:r>
            <w:rPr>
              <w:rFonts w:hint="eastAsia"/>
            </w:rPr>
            <w:fldChar w:fldCharType="end"/>
          </w:r>
        </w:p>
        <w:p w14:paraId="18A65F1A">
          <w:pPr>
            <w:pStyle w:val="8"/>
            <w:tabs>
              <w:tab w:val="right" w:leader="dot" w:pos="8831"/>
            </w:tabs>
          </w:pPr>
          <w:r>
            <w:rPr>
              <w:rFonts w:hint="eastAsia"/>
            </w:rPr>
            <w:fldChar w:fldCharType="begin"/>
          </w:r>
          <w:r>
            <w:rPr>
              <w:rFonts w:hint="eastAsia"/>
            </w:rPr>
            <w:instrText xml:space="preserve"> HYPERLINK \l _Toc30063 </w:instrText>
          </w:r>
          <w:r>
            <w:rPr>
              <w:rFonts w:hint="eastAsia"/>
            </w:rPr>
            <w:fldChar w:fldCharType="separate"/>
          </w:r>
          <w:r>
            <w:rPr>
              <w:rFonts w:hint="eastAsia" w:ascii="宋体" w:hAnsi="宋体" w:eastAsia="宋体" w:cs="宋体"/>
              <w:spacing w:val="-6"/>
              <w:szCs w:val="24"/>
              <w:highlight w:val="none"/>
            </w:rPr>
            <w:t>附件二问题澄清通知</w:t>
          </w:r>
          <w:r>
            <w:tab/>
          </w:r>
          <w:r>
            <w:fldChar w:fldCharType="begin"/>
          </w:r>
          <w:r>
            <w:instrText xml:space="preserve"> PAGEREF _Toc30063 \h </w:instrText>
          </w:r>
          <w:r>
            <w:fldChar w:fldCharType="separate"/>
          </w:r>
          <w:r>
            <w:t>68</w:t>
          </w:r>
          <w:r>
            <w:fldChar w:fldCharType="end"/>
          </w:r>
          <w:r>
            <w:rPr>
              <w:rFonts w:hint="eastAsia"/>
            </w:rPr>
            <w:fldChar w:fldCharType="end"/>
          </w:r>
        </w:p>
        <w:p w14:paraId="7A8E0FAE">
          <w:pPr>
            <w:pStyle w:val="8"/>
            <w:tabs>
              <w:tab w:val="right" w:leader="dot" w:pos="8831"/>
            </w:tabs>
          </w:pPr>
          <w:r>
            <w:rPr>
              <w:rFonts w:hint="eastAsia"/>
            </w:rPr>
            <w:fldChar w:fldCharType="begin"/>
          </w:r>
          <w:r>
            <w:rPr>
              <w:rFonts w:hint="eastAsia"/>
            </w:rPr>
            <w:instrText xml:space="preserve"> HYPERLINK \l _Toc8338 </w:instrText>
          </w:r>
          <w:r>
            <w:rPr>
              <w:rFonts w:hint="eastAsia"/>
            </w:rPr>
            <w:fldChar w:fldCharType="separate"/>
          </w:r>
          <w:r>
            <w:rPr>
              <w:rFonts w:hint="eastAsia" w:ascii="宋体" w:hAnsi="宋体" w:eastAsia="宋体" w:cs="宋体"/>
              <w:spacing w:val="-9"/>
              <w:szCs w:val="24"/>
              <w:highlight w:val="none"/>
            </w:rPr>
            <w:t>年</w:t>
          </w:r>
          <w:r>
            <w:rPr>
              <w:rFonts w:hint="eastAsia" w:ascii="宋体" w:hAnsi="宋体" w:eastAsia="宋体" w:cs="宋体"/>
              <w:spacing w:val="-9"/>
              <w:szCs w:val="24"/>
              <w:highlight w:val="none"/>
              <w:lang w:val="en-US" w:eastAsia="zh-CN"/>
            </w:rPr>
            <w:t xml:space="preserve">  </w:t>
          </w:r>
          <w:r>
            <w:rPr>
              <w:rFonts w:hint="eastAsia" w:ascii="宋体" w:hAnsi="宋体" w:eastAsia="宋体" w:cs="宋体"/>
              <w:spacing w:val="-9"/>
              <w:szCs w:val="24"/>
              <w:highlight w:val="none"/>
            </w:rPr>
            <w:t>月</w:t>
          </w:r>
          <w:r>
            <w:rPr>
              <w:rFonts w:hint="eastAsia" w:ascii="宋体" w:hAnsi="宋体" w:eastAsia="宋体" w:cs="宋体"/>
              <w:spacing w:val="-9"/>
              <w:szCs w:val="24"/>
              <w:highlight w:val="none"/>
              <w:lang w:val="en-US" w:eastAsia="zh-CN"/>
            </w:rPr>
            <w:t xml:space="preserve">  </w:t>
          </w:r>
          <w:r>
            <w:rPr>
              <w:rFonts w:hint="eastAsia" w:ascii="宋体" w:hAnsi="宋体" w:eastAsia="宋体" w:cs="宋体"/>
              <w:spacing w:val="-9"/>
              <w:szCs w:val="24"/>
              <w:highlight w:val="none"/>
            </w:rPr>
            <w:t>日</w:t>
          </w:r>
          <w:r>
            <w:tab/>
          </w:r>
          <w:r>
            <w:fldChar w:fldCharType="begin"/>
          </w:r>
          <w:r>
            <w:instrText xml:space="preserve"> PAGEREF _Toc8338 \h </w:instrText>
          </w:r>
          <w:r>
            <w:fldChar w:fldCharType="separate"/>
          </w:r>
          <w:r>
            <w:t>68</w:t>
          </w:r>
          <w:r>
            <w:fldChar w:fldCharType="end"/>
          </w:r>
          <w:r>
            <w:rPr>
              <w:rFonts w:hint="eastAsia"/>
            </w:rPr>
            <w:fldChar w:fldCharType="end"/>
          </w:r>
        </w:p>
        <w:p w14:paraId="61549DDE">
          <w:pPr>
            <w:pStyle w:val="8"/>
            <w:tabs>
              <w:tab w:val="right" w:leader="dot" w:pos="8831"/>
            </w:tabs>
          </w:pPr>
          <w:r>
            <w:rPr>
              <w:rFonts w:hint="eastAsia"/>
            </w:rPr>
            <w:fldChar w:fldCharType="begin"/>
          </w:r>
          <w:r>
            <w:rPr>
              <w:rFonts w:hint="eastAsia"/>
            </w:rPr>
            <w:instrText xml:space="preserve"> HYPERLINK \l _Toc32292 </w:instrText>
          </w:r>
          <w:r>
            <w:rPr>
              <w:rFonts w:hint="eastAsia"/>
            </w:rPr>
            <w:fldChar w:fldCharType="separate"/>
          </w:r>
          <w:r>
            <w:rPr>
              <w:rFonts w:hint="eastAsia" w:ascii="宋体" w:hAnsi="宋体" w:eastAsia="宋体" w:cs="宋体"/>
              <w:spacing w:val="-6"/>
              <w:szCs w:val="24"/>
              <w:highlight w:val="none"/>
            </w:rPr>
            <w:t>附件三问题的澄清</w:t>
          </w:r>
          <w:r>
            <w:tab/>
          </w:r>
          <w:r>
            <w:fldChar w:fldCharType="begin"/>
          </w:r>
          <w:r>
            <w:instrText xml:space="preserve"> PAGEREF _Toc32292 \h </w:instrText>
          </w:r>
          <w:r>
            <w:fldChar w:fldCharType="separate"/>
          </w:r>
          <w:r>
            <w:t>69</w:t>
          </w:r>
          <w:r>
            <w:fldChar w:fldCharType="end"/>
          </w:r>
          <w:r>
            <w:rPr>
              <w:rFonts w:hint="eastAsia"/>
            </w:rPr>
            <w:fldChar w:fldCharType="end"/>
          </w:r>
        </w:p>
        <w:p w14:paraId="584109EA">
          <w:pPr>
            <w:pStyle w:val="8"/>
            <w:tabs>
              <w:tab w:val="right" w:leader="dot" w:pos="8831"/>
            </w:tabs>
          </w:pPr>
          <w:r>
            <w:rPr>
              <w:rFonts w:hint="eastAsia"/>
            </w:rPr>
            <w:fldChar w:fldCharType="begin"/>
          </w:r>
          <w:r>
            <w:rPr>
              <w:rFonts w:hint="eastAsia"/>
            </w:rPr>
            <w:instrText xml:space="preserve"> HYPERLINK \l _Toc25833 </w:instrText>
          </w:r>
          <w:r>
            <w:rPr>
              <w:rFonts w:hint="eastAsia"/>
            </w:rPr>
            <w:fldChar w:fldCharType="separate"/>
          </w:r>
          <w:r>
            <w:rPr>
              <w:rFonts w:hint="eastAsia" w:ascii="宋体" w:hAnsi="宋体" w:eastAsia="宋体" w:cs="宋体"/>
              <w:spacing w:val="-9"/>
              <w:szCs w:val="24"/>
              <w:highlight w:val="none"/>
            </w:rPr>
            <w:t>年月日</w:t>
          </w:r>
          <w:r>
            <w:tab/>
          </w:r>
          <w:r>
            <w:fldChar w:fldCharType="begin"/>
          </w:r>
          <w:r>
            <w:instrText xml:space="preserve"> PAGEREF _Toc25833 \h </w:instrText>
          </w:r>
          <w:r>
            <w:fldChar w:fldCharType="separate"/>
          </w:r>
          <w:r>
            <w:t>69</w:t>
          </w:r>
          <w:r>
            <w:fldChar w:fldCharType="end"/>
          </w:r>
          <w:r>
            <w:rPr>
              <w:rFonts w:hint="eastAsia"/>
            </w:rPr>
            <w:fldChar w:fldCharType="end"/>
          </w:r>
        </w:p>
        <w:p w14:paraId="7EBB1F67">
          <w:pPr>
            <w:pStyle w:val="8"/>
            <w:tabs>
              <w:tab w:val="right" w:leader="dot" w:pos="8831"/>
            </w:tabs>
          </w:pPr>
          <w:r>
            <w:rPr>
              <w:rFonts w:hint="eastAsia"/>
            </w:rPr>
            <w:fldChar w:fldCharType="begin"/>
          </w:r>
          <w:r>
            <w:rPr>
              <w:rFonts w:hint="eastAsia"/>
            </w:rPr>
            <w:instrText xml:space="preserve"> HYPERLINK \l _Toc7385 </w:instrText>
          </w:r>
          <w:r>
            <w:rPr>
              <w:rFonts w:hint="eastAsia"/>
            </w:rPr>
            <w:fldChar w:fldCharType="separate"/>
          </w:r>
          <w:r>
            <w:rPr>
              <w:rFonts w:hint="eastAsia" w:ascii="宋体" w:hAnsi="宋体" w:eastAsia="宋体" w:cs="宋体"/>
              <w:spacing w:val="-7"/>
              <w:szCs w:val="24"/>
              <w:highlight w:val="none"/>
            </w:rPr>
            <w:t>附件四中标通知书</w:t>
          </w:r>
          <w:r>
            <w:tab/>
          </w:r>
          <w:r>
            <w:fldChar w:fldCharType="begin"/>
          </w:r>
          <w:r>
            <w:instrText xml:space="preserve"> PAGEREF _Toc7385 \h </w:instrText>
          </w:r>
          <w:r>
            <w:fldChar w:fldCharType="separate"/>
          </w:r>
          <w:r>
            <w:t>71</w:t>
          </w:r>
          <w:r>
            <w:fldChar w:fldCharType="end"/>
          </w:r>
          <w:r>
            <w:rPr>
              <w:rFonts w:hint="eastAsia"/>
            </w:rPr>
            <w:fldChar w:fldCharType="end"/>
          </w:r>
        </w:p>
        <w:p w14:paraId="2989E3F9">
          <w:pPr>
            <w:pStyle w:val="8"/>
            <w:tabs>
              <w:tab w:val="right" w:leader="dot" w:pos="8831"/>
            </w:tabs>
          </w:pPr>
          <w:r>
            <w:rPr>
              <w:rFonts w:hint="eastAsia"/>
            </w:rPr>
            <w:fldChar w:fldCharType="begin"/>
          </w:r>
          <w:r>
            <w:rPr>
              <w:rFonts w:hint="eastAsia"/>
            </w:rPr>
            <w:instrText xml:space="preserve"> HYPERLINK \l _Toc1196 </w:instrText>
          </w:r>
          <w:r>
            <w:rPr>
              <w:rFonts w:hint="eastAsia"/>
            </w:rPr>
            <w:fldChar w:fldCharType="separate"/>
          </w:r>
          <w:r>
            <w:rPr>
              <w:rFonts w:hint="eastAsia" w:ascii="宋体" w:hAnsi="宋体" w:eastAsia="宋体" w:cs="宋体"/>
              <w:spacing w:val="-6"/>
              <w:szCs w:val="24"/>
              <w:highlight w:val="none"/>
            </w:rPr>
            <w:t>附件五中标结果通知书</w:t>
          </w:r>
          <w:r>
            <w:tab/>
          </w:r>
          <w:r>
            <w:fldChar w:fldCharType="begin"/>
          </w:r>
          <w:r>
            <w:instrText xml:space="preserve"> PAGEREF _Toc1196 \h </w:instrText>
          </w:r>
          <w:r>
            <w:fldChar w:fldCharType="separate"/>
          </w:r>
          <w:r>
            <w:t>72</w:t>
          </w:r>
          <w:r>
            <w:fldChar w:fldCharType="end"/>
          </w:r>
          <w:r>
            <w:rPr>
              <w:rFonts w:hint="eastAsia"/>
            </w:rPr>
            <w:fldChar w:fldCharType="end"/>
          </w:r>
        </w:p>
        <w:p w14:paraId="3CA907F3">
          <w:pPr>
            <w:pStyle w:val="7"/>
            <w:tabs>
              <w:tab w:val="right" w:leader="dot" w:pos="8831"/>
            </w:tabs>
          </w:pPr>
          <w:r>
            <w:rPr>
              <w:rFonts w:hint="eastAsia"/>
            </w:rPr>
            <w:fldChar w:fldCharType="begin"/>
          </w:r>
          <w:r>
            <w:rPr>
              <w:rFonts w:hint="eastAsia"/>
            </w:rPr>
            <w:instrText xml:space="preserve"> HYPERLINK \l _Toc23298 </w:instrText>
          </w:r>
          <w:r>
            <w:rPr>
              <w:rFonts w:hint="eastAsia"/>
            </w:rPr>
            <w:fldChar w:fldCharType="separate"/>
          </w:r>
          <w:r>
            <w:rPr>
              <w:rFonts w:hint="eastAsia" w:ascii="宋体" w:hAnsi="宋体" w:eastAsia="宋体" w:cs="宋体"/>
              <w:bCs/>
              <w:spacing w:val="5"/>
              <w:szCs w:val="43"/>
              <w:highlight w:val="none"/>
            </w:rPr>
            <w:t>第三章评标办法（技术评分最低标价法）</w:t>
          </w:r>
          <w:r>
            <w:tab/>
          </w:r>
          <w:r>
            <w:fldChar w:fldCharType="begin"/>
          </w:r>
          <w:r>
            <w:instrText xml:space="preserve"> PAGEREF _Toc23298 \h </w:instrText>
          </w:r>
          <w:r>
            <w:fldChar w:fldCharType="separate"/>
          </w:r>
          <w:r>
            <w:t>74</w:t>
          </w:r>
          <w:r>
            <w:fldChar w:fldCharType="end"/>
          </w:r>
          <w:r>
            <w:rPr>
              <w:rFonts w:hint="eastAsia"/>
            </w:rPr>
            <w:fldChar w:fldCharType="end"/>
          </w:r>
        </w:p>
        <w:p w14:paraId="069B123D">
          <w:pPr>
            <w:pStyle w:val="8"/>
            <w:tabs>
              <w:tab w:val="right" w:leader="dot" w:pos="8831"/>
            </w:tabs>
          </w:pPr>
          <w:r>
            <w:rPr>
              <w:rFonts w:hint="eastAsia"/>
            </w:rPr>
            <w:fldChar w:fldCharType="begin"/>
          </w:r>
          <w:r>
            <w:rPr>
              <w:rFonts w:hint="eastAsia"/>
            </w:rPr>
            <w:instrText xml:space="preserve"> HYPERLINK \l _Toc7873 </w:instrText>
          </w:r>
          <w:r>
            <w:rPr>
              <w:rFonts w:hint="eastAsia"/>
            </w:rPr>
            <w:fldChar w:fldCharType="separate"/>
          </w:r>
          <w:r>
            <w:rPr>
              <w:rFonts w:hint="eastAsia" w:ascii="宋体" w:hAnsi="宋体" w:eastAsia="宋体" w:cs="宋体"/>
              <w:bCs/>
              <w:spacing w:val="6"/>
              <w:position w:val="2"/>
              <w:szCs w:val="31"/>
              <w:highlight w:val="none"/>
            </w:rPr>
            <w:t>评标办法前附表①</w:t>
          </w:r>
          <w:r>
            <w:tab/>
          </w:r>
          <w:r>
            <w:fldChar w:fldCharType="begin"/>
          </w:r>
          <w:r>
            <w:instrText xml:space="preserve"> PAGEREF _Toc7873 \h </w:instrText>
          </w:r>
          <w:r>
            <w:fldChar w:fldCharType="separate"/>
          </w:r>
          <w:r>
            <w:t>74</w:t>
          </w:r>
          <w:r>
            <w:fldChar w:fldCharType="end"/>
          </w:r>
          <w:r>
            <w:rPr>
              <w:rFonts w:hint="eastAsia"/>
            </w:rPr>
            <w:fldChar w:fldCharType="end"/>
          </w:r>
        </w:p>
        <w:p w14:paraId="4482A09C">
          <w:pPr>
            <w:pStyle w:val="5"/>
            <w:tabs>
              <w:tab w:val="right" w:leader="dot" w:pos="8831"/>
            </w:tabs>
          </w:pPr>
          <w:r>
            <w:rPr>
              <w:rFonts w:hint="eastAsia"/>
            </w:rPr>
            <w:fldChar w:fldCharType="begin"/>
          </w:r>
          <w:r>
            <w:rPr>
              <w:rFonts w:hint="eastAsia"/>
            </w:rPr>
            <w:instrText xml:space="preserve"> HYPERLINK \l _Toc31279 </w:instrText>
          </w:r>
          <w:r>
            <w:rPr>
              <w:rFonts w:hint="eastAsia"/>
            </w:rPr>
            <w:fldChar w:fldCharType="separate"/>
          </w:r>
          <w:r>
            <w:rPr>
              <w:rFonts w:hint="eastAsia" w:ascii="宋体" w:hAnsi="宋体" w:eastAsia="宋体" w:cs="宋体"/>
              <w:bCs/>
              <w:spacing w:val="-7"/>
              <w:szCs w:val="28"/>
              <w:highlight w:val="none"/>
            </w:rPr>
            <w:t>1.评标方法</w:t>
          </w:r>
          <w:r>
            <w:tab/>
          </w:r>
          <w:r>
            <w:fldChar w:fldCharType="begin"/>
          </w:r>
          <w:r>
            <w:instrText xml:space="preserve"> PAGEREF _Toc31279 \h </w:instrText>
          </w:r>
          <w:r>
            <w:fldChar w:fldCharType="separate"/>
          </w:r>
          <w:r>
            <w:t>85</w:t>
          </w:r>
          <w:r>
            <w:fldChar w:fldCharType="end"/>
          </w:r>
          <w:r>
            <w:rPr>
              <w:rFonts w:hint="eastAsia"/>
            </w:rPr>
            <w:fldChar w:fldCharType="end"/>
          </w:r>
        </w:p>
        <w:p w14:paraId="181F42BF">
          <w:pPr>
            <w:pStyle w:val="5"/>
            <w:tabs>
              <w:tab w:val="right" w:leader="dot" w:pos="8831"/>
            </w:tabs>
          </w:pPr>
          <w:r>
            <w:rPr>
              <w:rFonts w:hint="eastAsia"/>
            </w:rPr>
            <w:fldChar w:fldCharType="begin"/>
          </w:r>
          <w:r>
            <w:rPr>
              <w:rFonts w:hint="eastAsia"/>
            </w:rPr>
            <w:instrText xml:space="preserve"> HYPERLINK \l _Toc17175 </w:instrText>
          </w:r>
          <w:r>
            <w:rPr>
              <w:rFonts w:hint="eastAsia"/>
            </w:rPr>
            <w:fldChar w:fldCharType="separate"/>
          </w:r>
          <w:r>
            <w:rPr>
              <w:rFonts w:hint="eastAsia" w:ascii="宋体" w:hAnsi="宋体" w:eastAsia="宋体" w:cs="宋体"/>
              <w:bCs/>
              <w:spacing w:val="-5"/>
              <w:szCs w:val="28"/>
              <w:highlight w:val="none"/>
            </w:rPr>
            <w:t>2.评审标准</w:t>
          </w:r>
          <w:r>
            <w:tab/>
          </w:r>
          <w:r>
            <w:fldChar w:fldCharType="begin"/>
          </w:r>
          <w:r>
            <w:instrText xml:space="preserve"> PAGEREF _Toc17175 \h </w:instrText>
          </w:r>
          <w:r>
            <w:fldChar w:fldCharType="separate"/>
          </w:r>
          <w:r>
            <w:t>85</w:t>
          </w:r>
          <w:r>
            <w:fldChar w:fldCharType="end"/>
          </w:r>
          <w:r>
            <w:rPr>
              <w:rFonts w:hint="eastAsia"/>
            </w:rPr>
            <w:fldChar w:fldCharType="end"/>
          </w:r>
        </w:p>
        <w:p w14:paraId="136545D9">
          <w:pPr>
            <w:pStyle w:val="5"/>
            <w:tabs>
              <w:tab w:val="right" w:leader="dot" w:pos="8831"/>
            </w:tabs>
          </w:pPr>
          <w:r>
            <w:rPr>
              <w:rFonts w:hint="eastAsia"/>
            </w:rPr>
            <w:fldChar w:fldCharType="begin"/>
          </w:r>
          <w:r>
            <w:rPr>
              <w:rFonts w:hint="eastAsia"/>
            </w:rPr>
            <w:instrText xml:space="preserve"> HYPERLINK \l _Toc10554 </w:instrText>
          </w:r>
          <w:r>
            <w:rPr>
              <w:rFonts w:hint="eastAsia"/>
            </w:rPr>
            <w:fldChar w:fldCharType="separate"/>
          </w:r>
          <w:r>
            <w:rPr>
              <w:rFonts w:hint="eastAsia" w:ascii="宋体" w:hAnsi="宋体" w:eastAsia="宋体" w:cs="宋体"/>
              <w:bCs/>
              <w:spacing w:val="-5"/>
              <w:szCs w:val="28"/>
              <w:highlight w:val="none"/>
            </w:rPr>
            <w:t>3.评标程序</w:t>
          </w:r>
          <w:r>
            <w:tab/>
          </w:r>
          <w:r>
            <w:fldChar w:fldCharType="begin"/>
          </w:r>
          <w:r>
            <w:instrText xml:space="preserve"> PAGEREF _Toc10554 \h </w:instrText>
          </w:r>
          <w:r>
            <w:fldChar w:fldCharType="separate"/>
          </w:r>
          <w:r>
            <w:t>85</w:t>
          </w:r>
          <w:r>
            <w:fldChar w:fldCharType="end"/>
          </w:r>
          <w:r>
            <w:rPr>
              <w:rFonts w:hint="eastAsia"/>
            </w:rPr>
            <w:fldChar w:fldCharType="end"/>
          </w:r>
        </w:p>
        <w:p w14:paraId="647A4645">
          <w:pPr>
            <w:pStyle w:val="7"/>
            <w:tabs>
              <w:tab w:val="right" w:leader="dot" w:pos="8831"/>
            </w:tabs>
          </w:pPr>
          <w:r>
            <w:rPr>
              <w:rFonts w:hint="eastAsia"/>
            </w:rPr>
            <w:fldChar w:fldCharType="begin"/>
          </w:r>
          <w:r>
            <w:rPr>
              <w:rFonts w:hint="eastAsia"/>
            </w:rPr>
            <w:instrText xml:space="preserve"> HYPERLINK \l _Toc31985 </w:instrText>
          </w:r>
          <w:r>
            <w:rPr>
              <w:rFonts w:hint="eastAsia"/>
            </w:rPr>
            <w:fldChar w:fldCharType="separate"/>
          </w:r>
          <w:r>
            <w:rPr>
              <w:rFonts w:hint="eastAsia" w:ascii="宋体" w:hAnsi="宋体" w:eastAsia="宋体" w:cs="宋体"/>
              <w:bCs/>
              <w:spacing w:val="5"/>
              <w:szCs w:val="43"/>
              <w:highlight w:val="none"/>
            </w:rPr>
            <w:t>第四章合同条款及格式</w:t>
          </w:r>
          <w:r>
            <w:tab/>
          </w:r>
          <w:r>
            <w:fldChar w:fldCharType="begin"/>
          </w:r>
          <w:r>
            <w:instrText xml:space="preserve"> PAGEREF _Toc31985 \h </w:instrText>
          </w:r>
          <w:r>
            <w:fldChar w:fldCharType="separate"/>
          </w:r>
          <w:r>
            <w:t>91</w:t>
          </w:r>
          <w:r>
            <w:fldChar w:fldCharType="end"/>
          </w:r>
          <w:r>
            <w:rPr>
              <w:rFonts w:hint="eastAsia"/>
            </w:rPr>
            <w:fldChar w:fldCharType="end"/>
          </w:r>
        </w:p>
        <w:p w14:paraId="32FE2A5E">
          <w:pPr>
            <w:pStyle w:val="8"/>
            <w:tabs>
              <w:tab w:val="right" w:leader="dot" w:pos="8831"/>
            </w:tabs>
          </w:pPr>
          <w:r>
            <w:rPr>
              <w:rFonts w:hint="eastAsia"/>
            </w:rPr>
            <w:fldChar w:fldCharType="begin"/>
          </w:r>
          <w:r>
            <w:rPr>
              <w:rFonts w:hint="eastAsia"/>
            </w:rPr>
            <w:instrText xml:space="preserve"> HYPERLINK \l _Toc21849 </w:instrText>
          </w:r>
          <w:r>
            <w:rPr>
              <w:rFonts w:hint="eastAsia"/>
            </w:rPr>
            <w:fldChar w:fldCharType="separate"/>
          </w:r>
          <w:r>
            <w:rPr>
              <w:rFonts w:hint="eastAsia" w:ascii="宋体" w:hAnsi="宋体" w:eastAsia="宋体" w:cs="宋体"/>
              <w:bCs/>
              <w:spacing w:val="4"/>
              <w:szCs w:val="43"/>
              <w:highlight w:val="none"/>
            </w:rPr>
            <w:t>第一节通用合同条款</w:t>
          </w:r>
          <w:r>
            <w:rPr>
              <w:rFonts w:hint="eastAsia" w:ascii="宋体" w:hAnsi="宋体" w:eastAsia="宋体" w:cs="宋体"/>
              <w:bCs/>
              <w:spacing w:val="4"/>
              <w:position w:val="15"/>
              <w:szCs w:val="16"/>
              <w:highlight w:val="none"/>
            </w:rPr>
            <w:t>①</w:t>
          </w:r>
          <w:r>
            <w:tab/>
          </w:r>
          <w:r>
            <w:fldChar w:fldCharType="begin"/>
          </w:r>
          <w:r>
            <w:instrText xml:space="preserve"> PAGEREF _Toc21849 \h </w:instrText>
          </w:r>
          <w:r>
            <w:fldChar w:fldCharType="separate"/>
          </w:r>
          <w:r>
            <w:t>92</w:t>
          </w:r>
          <w:r>
            <w:fldChar w:fldCharType="end"/>
          </w:r>
          <w:r>
            <w:rPr>
              <w:rFonts w:hint="eastAsia"/>
            </w:rPr>
            <w:fldChar w:fldCharType="end"/>
          </w:r>
        </w:p>
        <w:p w14:paraId="27C00079">
          <w:pPr>
            <w:pStyle w:val="5"/>
            <w:tabs>
              <w:tab w:val="right" w:leader="dot" w:pos="8831"/>
            </w:tabs>
          </w:pPr>
          <w:r>
            <w:rPr>
              <w:rFonts w:hint="eastAsia"/>
            </w:rPr>
            <w:fldChar w:fldCharType="begin"/>
          </w:r>
          <w:r>
            <w:rPr>
              <w:rFonts w:hint="eastAsia"/>
            </w:rPr>
            <w:instrText xml:space="preserve"> HYPERLINK \l _Toc24486 </w:instrText>
          </w:r>
          <w:r>
            <w:rPr>
              <w:rFonts w:hint="eastAsia"/>
            </w:rPr>
            <w:fldChar w:fldCharType="separate"/>
          </w:r>
          <w:r>
            <w:rPr>
              <w:rFonts w:hint="eastAsia" w:ascii="宋体" w:hAnsi="宋体" w:eastAsia="宋体" w:cs="宋体"/>
              <w:spacing w:val="-1"/>
              <w:szCs w:val="28"/>
              <w:highlight w:val="none"/>
            </w:rPr>
            <w:t>2.发包人义务</w:t>
          </w:r>
          <w:r>
            <w:tab/>
          </w:r>
          <w:r>
            <w:fldChar w:fldCharType="begin"/>
          </w:r>
          <w:r>
            <w:instrText xml:space="preserve"> PAGEREF _Toc24486 \h </w:instrText>
          </w:r>
          <w:r>
            <w:fldChar w:fldCharType="separate"/>
          </w:r>
          <w:r>
            <w:t>98</w:t>
          </w:r>
          <w:r>
            <w:fldChar w:fldCharType="end"/>
          </w:r>
          <w:r>
            <w:rPr>
              <w:rFonts w:hint="eastAsia"/>
            </w:rPr>
            <w:fldChar w:fldCharType="end"/>
          </w:r>
        </w:p>
        <w:p w14:paraId="18272595">
          <w:pPr>
            <w:pStyle w:val="5"/>
            <w:tabs>
              <w:tab w:val="right" w:leader="dot" w:pos="8831"/>
            </w:tabs>
          </w:pPr>
          <w:r>
            <w:rPr>
              <w:rFonts w:hint="eastAsia"/>
            </w:rPr>
            <w:fldChar w:fldCharType="begin"/>
          </w:r>
          <w:r>
            <w:rPr>
              <w:rFonts w:hint="eastAsia"/>
            </w:rPr>
            <w:instrText xml:space="preserve"> HYPERLINK \l _Toc7068 </w:instrText>
          </w:r>
          <w:r>
            <w:rPr>
              <w:rFonts w:hint="eastAsia"/>
            </w:rPr>
            <w:fldChar w:fldCharType="separate"/>
          </w:r>
          <w:r>
            <w:rPr>
              <w:rFonts w:hint="eastAsia" w:ascii="宋体" w:hAnsi="宋体" w:eastAsia="宋体" w:cs="宋体"/>
              <w:spacing w:val="-4"/>
              <w:szCs w:val="28"/>
              <w:highlight w:val="none"/>
            </w:rPr>
            <w:t>3.监理人</w:t>
          </w:r>
          <w:r>
            <w:tab/>
          </w:r>
          <w:r>
            <w:fldChar w:fldCharType="begin"/>
          </w:r>
          <w:r>
            <w:instrText xml:space="preserve"> PAGEREF _Toc7068 \h </w:instrText>
          </w:r>
          <w:r>
            <w:fldChar w:fldCharType="separate"/>
          </w:r>
          <w:r>
            <w:t>99</w:t>
          </w:r>
          <w:r>
            <w:fldChar w:fldCharType="end"/>
          </w:r>
          <w:r>
            <w:rPr>
              <w:rFonts w:hint="eastAsia"/>
            </w:rPr>
            <w:fldChar w:fldCharType="end"/>
          </w:r>
        </w:p>
        <w:p w14:paraId="21EC952E">
          <w:pPr>
            <w:pStyle w:val="5"/>
            <w:tabs>
              <w:tab w:val="right" w:leader="dot" w:pos="8831"/>
            </w:tabs>
          </w:pPr>
          <w:r>
            <w:rPr>
              <w:rFonts w:hint="eastAsia"/>
            </w:rPr>
            <w:fldChar w:fldCharType="begin"/>
          </w:r>
          <w:r>
            <w:rPr>
              <w:rFonts w:hint="eastAsia"/>
            </w:rPr>
            <w:instrText xml:space="preserve"> HYPERLINK \l _Toc22230 </w:instrText>
          </w:r>
          <w:r>
            <w:rPr>
              <w:rFonts w:hint="eastAsia"/>
            </w:rPr>
            <w:fldChar w:fldCharType="separate"/>
          </w:r>
          <w:r>
            <w:rPr>
              <w:rFonts w:hint="eastAsia" w:ascii="宋体" w:hAnsi="宋体" w:eastAsia="宋体" w:cs="宋体"/>
              <w:spacing w:val="-1"/>
              <w:szCs w:val="28"/>
              <w:highlight w:val="none"/>
            </w:rPr>
            <w:t>4.承包人</w:t>
          </w:r>
          <w:r>
            <w:tab/>
          </w:r>
          <w:r>
            <w:fldChar w:fldCharType="begin"/>
          </w:r>
          <w:r>
            <w:instrText xml:space="preserve"> PAGEREF _Toc22230 \h </w:instrText>
          </w:r>
          <w:r>
            <w:fldChar w:fldCharType="separate"/>
          </w:r>
          <w:r>
            <w:t>101</w:t>
          </w:r>
          <w:r>
            <w:fldChar w:fldCharType="end"/>
          </w:r>
          <w:r>
            <w:rPr>
              <w:rFonts w:hint="eastAsia"/>
            </w:rPr>
            <w:fldChar w:fldCharType="end"/>
          </w:r>
        </w:p>
        <w:p w14:paraId="79975994">
          <w:pPr>
            <w:pStyle w:val="5"/>
            <w:tabs>
              <w:tab w:val="right" w:leader="dot" w:pos="8831"/>
            </w:tabs>
          </w:pPr>
          <w:r>
            <w:rPr>
              <w:rFonts w:hint="eastAsia"/>
            </w:rPr>
            <w:fldChar w:fldCharType="begin"/>
          </w:r>
          <w:r>
            <w:rPr>
              <w:rFonts w:hint="eastAsia"/>
            </w:rPr>
            <w:instrText xml:space="preserve"> HYPERLINK \l _Toc6341 </w:instrText>
          </w:r>
          <w:r>
            <w:rPr>
              <w:rFonts w:hint="eastAsia"/>
            </w:rPr>
            <w:fldChar w:fldCharType="separate"/>
          </w:r>
          <w:r>
            <w:rPr>
              <w:rFonts w:hint="eastAsia" w:ascii="宋体" w:hAnsi="宋体" w:eastAsia="宋体" w:cs="宋体"/>
              <w:spacing w:val="-2"/>
              <w:szCs w:val="28"/>
              <w:highlight w:val="none"/>
            </w:rPr>
            <w:t>5.材料和工程设备</w:t>
          </w:r>
          <w:r>
            <w:tab/>
          </w:r>
          <w:r>
            <w:fldChar w:fldCharType="begin"/>
          </w:r>
          <w:r>
            <w:instrText xml:space="preserve"> PAGEREF _Toc6341 \h </w:instrText>
          </w:r>
          <w:r>
            <w:fldChar w:fldCharType="separate"/>
          </w:r>
          <w:r>
            <w:t>105</w:t>
          </w:r>
          <w:r>
            <w:fldChar w:fldCharType="end"/>
          </w:r>
          <w:r>
            <w:rPr>
              <w:rFonts w:hint="eastAsia"/>
            </w:rPr>
            <w:fldChar w:fldCharType="end"/>
          </w:r>
        </w:p>
        <w:p w14:paraId="64EABBBE">
          <w:pPr>
            <w:pStyle w:val="5"/>
            <w:tabs>
              <w:tab w:val="right" w:leader="dot" w:pos="8831"/>
            </w:tabs>
          </w:pPr>
          <w:r>
            <w:rPr>
              <w:rFonts w:hint="eastAsia"/>
            </w:rPr>
            <w:fldChar w:fldCharType="begin"/>
          </w:r>
          <w:r>
            <w:rPr>
              <w:rFonts w:hint="eastAsia"/>
            </w:rPr>
            <w:instrText xml:space="preserve"> HYPERLINK \l _Toc30033 </w:instrText>
          </w:r>
          <w:r>
            <w:rPr>
              <w:rFonts w:hint="eastAsia"/>
            </w:rPr>
            <w:fldChar w:fldCharType="separate"/>
          </w:r>
          <w:r>
            <w:rPr>
              <w:rFonts w:hint="eastAsia" w:ascii="宋体" w:hAnsi="宋体" w:eastAsia="宋体" w:cs="宋体"/>
              <w:spacing w:val="-1"/>
              <w:szCs w:val="28"/>
              <w:highlight w:val="none"/>
            </w:rPr>
            <w:t>6.施工设备和临时设施</w:t>
          </w:r>
          <w:r>
            <w:tab/>
          </w:r>
          <w:r>
            <w:fldChar w:fldCharType="begin"/>
          </w:r>
          <w:r>
            <w:instrText xml:space="preserve"> PAGEREF _Toc30033 \h </w:instrText>
          </w:r>
          <w:r>
            <w:fldChar w:fldCharType="separate"/>
          </w:r>
          <w:r>
            <w:t>106</w:t>
          </w:r>
          <w:r>
            <w:fldChar w:fldCharType="end"/>
          </w:r>
          <w:r>
            <w:rPr>
              <w:rFonts w:hint="eastAsia"/>
            </w:rPr>
            <w:fldChar w:fldCharType="end"/>
          </w:r>
        </w:p>
        <w:p w14:paraId="49E6EE34">
          <w:pPr>
            <w:pStyle w:val="5"/>
            <w:tabs>
              <w:tab w:val="right" w:leader="dot" w:pos="8831"/>
            </w:tabs>
          </w:pPr>
          <w:r>
            <w:rPr>
              <w:rFonts w:hint="eastAsia"/>
            </w:rPr>
            <w:fldChar w:fldCharType="begin"/>
          </w:r>
          <w:r>
            <w:rPr>
              <w:rFonts w:hint="eastAsia"/>
            </w:rPr>
            <w:instrText xml:space="preserve"> HYPERLINK \l _Toc16664 </w:instrText>
          </w:r>
          <w:r>
            <w:rPr>
              <w:rFonts w:hint="eastAsia"/>
            </w:rPr>
            <w:fldChar w:fldCharType="separate"/>
          </w:r>
          <w:r>
            <w:rPr>
              <w:rFonts w:hint="eastAsia" w:ascii="宋体" w:hAnsi="宋体" w:eastAsia="宋体" w:cs="宋体"/>
              <w:spacing w:val="-5"/>
              <w:szCs w:val="28"/>
              <w:highlight w:val="none"/>
            </w:rPr>
            <w:t>7.交通运输</w:t>
          </w:r>
          <w:r>
            <w:tab/>
          </w:r>
          <w:r>
            <w:fldChar w:fldCharType="begin"/>
          </w:r>
          <w:r>
            <w:instrText xml:space="preserve"> PAGEREF _Toc16664 \h </w:instrText>
          </w:r>
          <w:r>
            <w:fldChar w:fldCharType="separate"/>
          </w:r>
          <w:r>
            <w:t>107</w:t>
          </w:r>
          <w:r>
            <w:fldChar w:fldCharType="end"/>
          </w:r>
          <w:r>
            <w:rPr>
              <w:rFonts w:hint="eastAsia"/>
            </w:rPr>
            <w:fldChar w:fldCharType="end"/>
          </w:r>
        </w:p>
        <w:p w14:paraId="00AF2B2C">
          <w:pPr>
            <w:pStyle w:val="5"/>
            <w:tabs>
              <w:tab w:val="right" w:leader="dot" w:pos="8831"/>
            </w:tabs>
          </w:pPr>
          <w:r>
            <w:rPr>
              <w:rFonts w:hint="eastAsia"/>
            </w:rPr>
            <w:fldChar w:fldCharType="begin"/>
          </w:r>
          <w:r>
            <w:rPr>
              <w:rFonts w:hint="eastAsia"/>
            </w:rPr>
            <w:instrText xml:space="preserve"> HYPERLINK \l _Toc8245 </w:instrText>
          </w:r>
          <w:r>
            <w:rPr>
              <w:rFonts w:hint="eastAsia"/>
            </w:rPr>
            <w:fldChar w:fldCharType="separate"/>
          </w:r>
          <w:r>
            <w:rPr>
              <w:rFonts w:hint="eastAsia" w:ascii="宋体" w:hAnsi="宋体" w:eastAsia="宋体" w:cs="宋体"/>
              <w:spacing w:val="-2"/>
              <w:szCs w:val="28"/>
              <w:highlight w:val="none"/>
            </w:rPr>
            <w:t>8.测量放线</w:t>
          </w:r>
          <w:r>
            <w:tab/>
          </w:r>
          <w:r>
            <w:fldChar w:fldCharType="begin"/>
          </w:r>
          <w:r>
            <w:instrText xml:space="preserve"> PAGEREF _Toc8245 \h </w:instrText>
          </w:r>
          <w:r>
            <w:fldChar w:fldCharType="separate"/>
          </w:r>
          <w:r>
            <w:t>108</w:t>
          </w:r>
          <w:r>
            <w:fldChar w:fldCharType="end"/>
          </w:r>
          <w:r>
            <w:rPr>
              <w:rFonts w:hint="eastAsia"/>
            </w:rPr>
            <w:fldChar w:fldCharType="end"/>
          </w:r>
        </w:p>
        <w:p w14:paraId="275C5951">
          <w:pPr>
            <w:pStyle w:val="5"/>
            <w:tabs>
              <w:tab w:val="right" w:leader="dot" w:pos="8831"/>
            </w:tabs>
          </w:pPr>
          <w:r>
            <w:rPr>
              <w:rFonts w:hint="eastAsia"/>
            </w:rPr>
            <w:fldChar w:fldCharType="begin"/>
          </w:r>
          <w:r>
            <w:rPr>
              <w:rFonts w:hint="eastAsia"/>
            </w:rPr>
            <w:instrText xml:space="preserve"> HYPERLINK \l _Toc18295 </w:instrText>
          </w:r>
          <w:r>
            <w:rPr>
              <w:rFonts w:hint="eastAsia"/>
            </w:rPr>
            <w:fldChar w:fldCharType="separate"/>
          </w:r>
          <w:r>
            <w:rPr>
              <w:rFonts w:hint="eastAsia" w:ascii="宋体" w:hAnsi="宋体" w:eastAsia="宋体" w:cs="宋体"/>
              <w:spacing w:val="-1"/>
              <w:szCs w:val="28"/>
              <w:highlight w:val="none"/>
            </w:rPr>
            <w:t>9.施工安全、治安保卫和环境保护</w:t>
          </w:r>
          <w:r>
            <w:tab/>
          </w:r>
          <w:r>
            <w:fldChar w:fldCharType="begin"/>
          </w:r>
          <w:r>
            <w:instrText xml:space="preserve"> PAGEREF _Toc18295 \h </w:instrText>
          </w:r>
          <w:r>
            <w:fldChar w:fldCharType="separate"/>
          </w:r>
          <w:r>
            <w:t>108</w:t>
          </w:r>
          <w:r>
            <w:fldChar w:fldCharType="end"/>
          </w:r>
          <w:r>
            <w:rPr>
              <w:rFonts w:hint="eastAsia"/>
            </w:rPr>
            <w:fldChar w:fldCharType="end"/>
          </w:r>
        </w:p>
        <w:p w14:paraId="688C8C2B">
          <w:pPr>
            <w:pStyle w:val="5"/>
            <w:tabs>
              <w:tab w:val="right" w:leader="dot" w:pos="8831"/>
            </w:tabs>
          </w:pPr>
          <w:r>
            <w:rPr>
              <w:rFonts w:hint="eastAsia"/>
            </w:rPr>
            <w:fldChar w:fldCharType="begin"/>
          </w:r>
          <w:r>
            <w:rPr>
              <w:rFonts w:hint="eastAsia"/>
            </w:rPr>
            <w:instrText xml:space="preserve"> HYPERLINK \l _Toc8211 </w:instrText>
          </w:r>
          <w:r>
            <w:rPr>
              <w:rFonts w:hint="eastAsia"/>
            </w:rPr>
            <w:fldChar w:fldCharType="separate"/>
          </w:r>
          <w:r>
            <w:rPr>
              <w:rFonts w:hint="eastAsia" w:ascii="宋体" w:hAnsi="宋体" w:eastAsia="宋体" w:cs="宋体"/>
              <w:spacing w:val="-4"/>
              <w:szCs w:val="28"/>
              <w:highlight w:val="none"/>
            </w:rPr>
            <w:t>10.进度计划</w:t>
          </w:r>
          <w:r>
            <w:tab/>
          </w:r>
          <w:r>
            <w:fldChar w:fldCharType="begin"/>
          </w:r>
          <w:r>
            <w:instrText xml:space="preserve"> PAGEREF _Toc8211 \h </w:instrText>
          </w:r>
          <w:r>
            <w:fldChar w:fldCharType="separate"/>
          </w:r>
          <w:r>
            <w:t>110</w:t>
          </w:r>
          <w:r>
            <w:fldChar w:fldCharType="end"/>
          </w:r>
          <w:r>
            <w:rPr>
              <w:rFonts w:hint="eastAsia"/>
            </w:rPr>
            <w:fldChar w:fldCharType="end"/>
          </w:r>
        </w:p>
        <w:p w14:paraId="06D0857C">
          <w:pPr>
            <w:pStyle w:val="5"/>
            <w:tabs>
              <w:tab w:val="right" w:leader="dot" w:pos="8831"/>
            </w:tabs>
          </w:pPr>
          <w:r>
            <w:rPr>
              <w:rFonts w:hint="eastAsia"/>
            </w:rPr>
            <w:fldChar w:fldCharType="begin"/>
          </w:r>
          <w:r>
            <w:rPr>
              <w:rFonts w:hint="eastAsia"/>
            </w:rPr>
            <w:instrText xml:space="preserve"> HYPERLINK \l _Toc5763 </w:instrText>
          </w:r>
          <w:r>
            <w:rPr>
              <w:rFonts w:hint="eastAsia"/>
            </w:rPr>
            <w:fldChar w:fldCharType="separate"/>
          </w:r>
          <w:r>
            <w:rPr>
              <w:rFonts w:hint="eastAsia" w:ascii="宋体" w:hAnsi="宋体" w:eastAsia="宋体" w:cs="宋体"/>
              <w:spacing w:val="-6"/>
              <w:szCs w:val="28"/>
              <w:highlight w:val="none"/>
            </w:rPr>
            <w:t>11.开工和竣工</w:t>
          </w:r>
          <w:r>
            <w:tab/>
          </w:r>
          <w:r>
            <w:fldChar w:fldCharType="begin"/>
          </w:r>
          <w:r>
            <w:instrText xml:space="preserve"> PAGEREF _Toc5763 \h </w:instrText>
          </w:r>
          <w:r>
            <w:fldChar w:fldCharType="separate"/>
          </w:r>
          <w:r>
            <w:t>111</w:t>
          </w:r>
          <w:r>
            <w:fldChar w:fldCharType="end"/>
          </w:r>
          <w:r>
            <w:rPr>
              <w:rFonts w:hint="eastAsia"/>
            </w:rPr>
            <w:fldChar w:fldCharType="end"/>
          </w:r>
        </w:p>
        <w:p w14:paraId="3BA0D8E7">
          <w:pPr>
            <w:pStyle w:val="5"/>
            <w:tabs>
              <w:tab w:val="right" w:leader="dot" w:pos="8831"/>
            </w:tabs>
          </w:pPr>
          <w:r>
            <w:rPr>
              <w:rFonts w:hint="eastAsia"/>
            </w:rPr>
            <w:fldChar w:fldCharType="begin"/>
          </w:r>
          <w:r>
            <w:rPr>
              <w:rFonts w:hint="eastAsia"/>
            </w:rPr>
            <w:instrText xml:space="preserve"> HYPERLINK \l _Toc12313 </w:instrText>
          </w:r>
          <w:r>
            <w:rPr>
              <w:rFonts w:hint="eastAsia"/>
            </w:rPr>
            <w:fldChar w:fldCharType="separate"/>
          </w:r>
          <w:r>
            <w:rPr>
              <w:rFonts w:hint="eastAsia" w:ascii="宋体" w:hAnsi="宋体" w:eastAsia="宋体" w:cs="宋体"/>
              <w:spacing w:val="-8"/>
              <w:szCs w:val="28"/>
              <w:highlight w:val="none"/>
            </w:rPr>
            <w:t>12.暂停施工</w:t>
          </w:r>
          <w:r>
            <w:tab/>
          </w:r>
          <w:r>
            <w:fldChar w:fldCharType="begin"/>
          </w:r>
          <w:r>
            <w:instrText xml:space="preserve"> PAGEREF _Toc12313 \h </w:instrText>
          </w:r>
          <w:r>
            <w:fldChar w:fldCharType="separate"/>
          </w:r>
          <w:r>
            <w:t>112</w:t>
          </w:r>
          <w:r>
            <w:fldChar w:fldCharType="end"/>
          </w:r>
          <w:r>
            <w:rPr>
              <w:rFonts w:hint="eastAsia"/>
            </w:rPr>
            <w:fldChar w:fldCharType="end"/>
          </w:r>
        </w:p>
        <w:p w14:paraId="7600B2B0">
          <w:pPr>
            <w:pStyle w:val="5"/>
            <w:tabs>
              <w:tab w:val="right" w:leader="dot" w:pos="8831"/>
            </w:tabs>
          </w:pPr>
          <w:r>
            <w:rPr>
              <w:rFonts w:hint="eastAsia"/>
            </w:rPr>
            <w:fldChar w:fldCharType="begin"/>
          </w:r>
          <w:r>
            <w:rPr>
              <w:rFonts w:hint="eastAsia"/>
            </w:rPr>
            <w:instrText xml:space="preserve"> HYPERLINK \l _Toc13208 </w:instrText>
          </w:r>
          <w:r>
            <w:rPr>
              <w:rFonts w:hint="eastAsia"/>
            </w:rPr>
            <w:fldChar w:fldCharType="separate"/>
          </w:r>
          <w:r>
            <w:rPr>
              <w:rFonts w:hint="eastAsia" w:ascii="宋体" w:hAnsi="宋体" w:eastAsia="宋体" w:cs="宋体"/>
              <w:spacing w:val="-7"/>
              <w:szCs w:val="28"/>
              <w:highlight w:val="none"/>
            </w:rPr>
            <w:t>13.工程质量</w:t>
          </w:r>
          <w:r>
            <w:tab/>
          </w:r>
          <w:r>
            <w:fldChar w:fldCharType="begin"/>
          </w:r>
          <w:r>
            <w:instrText xml:space="preserve"> PAGEREF _Toc13208 \h </w:instrText>
          </w:r>
          <w:r>
            <w:fldChar w:fldCharType="separate"/>
          </w:r>
          <w:r>
            <w:t>113</w:t>
          </w:r>
          <w:r>
            <w:fldChar w:fldCharType="end"/>
          </w:r>
          <w:r>
            <w:rPr>
              <w:rFonts w:hint="eastAsia"/>
            </w:rPr>
            <w:fldChar w:fldCharType="end"/>
          </w:r>
        </w:p>
        <w:p w14:paraId="426CC3C3">
          <w:pPr>
            <w:pStyle w:val="5"/>
            <w:tabs>
              <w:tab w:val="right" w:leader="dot" w:pos="8831"/>
            </w:tabs>
          </w:pPr>
          <w:r>
            <w:rPr>
              <w:rFonts w:hint="eastAsia"/>
            </w:rPr>
            <w:fldChar w:fldCharType="begin"/>
          </w:r>
          <w:r>
            <w:rPr>
              <w:rFonts w:hint="eastAsia"/>
            </w:rPr>
            <w:instrText xml:space="preserve"> HYPERLINK \l _Toc9097 </w:instrText>
          </w:r>
          <w:r>
            <w:rPr>
              <w:rFonts w:hint="eastAsia"/>
            </w:rPr>
            <w:fldChar w:fldCharType="separate"/>
          </w:r>
          <w:r>
            <w:rPr>
              <w:rFonts w:hint="eastAsia" w:ascii="宋体" w:hAnsi="宋体" w:eastAsia="宋体" w:cs="宋体"/>
              <w:spacing w:val="-4"/>
              <w:szCs w:val="28"/>
              <w:highlight w:val="none"/>
            </w:rPr>
            <w:t>14.试验和检验</w:t>
          </w:r>
          <w:r>
            <w:tab/>
          </w:r>
          <w:r>
            <w:fldChar w:fldCharType="begin"/>
          </w:r>
          <w:r>
            <w:instrText xml:space="preserve"> PAGEREF _Toc9097 \h </w:instrText>
          </w:r>
          <w:r>
            <w:fldChar w:fldCharType="separate"/>
          </w:r>
          <w:r>
            <w:t>115</w:t>
          </w:r>
          <w:r>
            <w:fldChar w:fldCharType="end"/>
          </w:r>
          <w:r>
            <w:rPr>
              <w:rFonts w:hint="eastAsia"/>
            </w:rPr>
            <w:fldChar w:fldCharType="end"/>
          </w:r>
        </w:p>
        <w:p w14:paraId="0AE6E026">
          <w:pPr>
            <w:pStyle w:val="5"/>
            <w:tabs>
              <w:tab w:val="right" w:leader="dot" w:pos="8831"/>
            </w:tabs>
          </w:pPr>
          <w:r>
            <w:rPr>
              <w:rFonts w:hint="eastAsia"/>
            </w:rPr>
            <w:fldChar w:fldCharType="begin"/>
          </w:r>
          <w:r>
            <w:rPr>
              <w:rFonts w:hint="eastAsia"/>
            </w:rPr>
            <w:instrText xml:space="preserve"> HYPERLINK \l _Toc25311 </w:instrText>
          </w:r>
          <w:r>
            <w:rPr>
              <w:rFonts w:hint="eastAsia"/>
            </w:rPr>
            <w:fldChar w:fldCharType="separate"/>
          </w:r>
          <w:r>
            <w:rPr>
              <w:rFonts w:hint="eastAsia" w:ascii="宋体" w:hAnsi="宋体" w:eastAsia="宋体" w:cs="宋体"/>
              <w:spacing w:val="-10"/>
              <w:szCs w:val="28"/>
              <w:highlight w:val="none"/>
            </w:rPr>
            <w:t>15.变更</w:t>
          </w:r>
          <w:r>
            <w:tab/>
          </w:r>
          <w:r>
            <w:fldChar w:fldCharType="begin"/>
          </w:r>
          <w:r>
            <w:instrText xml:space="preserve"> PAGEREF _Toc25311 \h </w:instrText>
          </w:r>
          <w:r>
            <w:fldChar w:fldCharType="separate"/>
          </w:r>
          <w:r>
            <w:t>116</w:t>
          </w:r>
          <w:r>
            <w:fldChar w:fldCharType="end"/>
          </w:r>
          <w:r>
            <w:rPr>
              <w:rFonts w:hint="eastAsia"/>
            </w:rPr>
            <w:fldChar w:fldCharType="end"/>
          </w:r>
        </w:p>
        <w:p w14:paraId="7F234C79">
          <w:pPr>
            <w:pStyle w:val="5"/>
            <w:tabs>
              <w:tab w:val="right" w:leader="dot" w:pos="8831"/>
            </w:tabs>
          </w:pPr>
          <w:r>
            <w:rPr>
              <w:rFonts w:hint="eastAsia"/>
            </w:rPr>
            <w:fldChar w:fldCharType="begin"/>
          </w:r>
          <w:r>
            <w:rPr>
              <w:rFonts w:hint="eastAsia"/>
            </w:rPr>
            <w:instrText xml:space="preserve"> HYPERLINK \l _Toc15376 </w:instrText>
          </w:r>
          <w:r>
            <w:rPr>
              <w:rFonts w:hint="eastAsia"/>
            </w:rPr>
            <w:fldChar w:fldCharType="separate"/>
          </w:r>
          <w:r>
            <w:rPr>
              <w:rFonts w:hint="eastAsia" w:ascii="宋体" w:hAnsi="宋体" w:eastAsia="宋体" w:cs="宋体"/>
              <w:spacing w:val="-4"/>
              <w:szCs w:val="28"/>
              <w:highlight w:val="none"/>
            </w:rPr>
            <w:t>16.价格调整</w:t>
          </w:r>
          <w:r>
            <w:tab/>
          </w:r>
          <w:r>
            <w:fldChar w:fldCharType="begin"/>
          </w:r>
          <w:r>
            <w:instrText xml:space="preserve"> PAGEREF _Toc15376 \h </w:instrText>
          </w:r>
          <w:r>
            <w:fldChar w:fldCharType="separate"/>
          </w:r>
          <w:r>
            <w:t>119</w:t>
          </w:r>
          <w:r>
            <w:fldChar w:fldCharType="end"/>
          </w:r>
          <w:r>
            <w:rPr>
              <w:rFonts w:hint="eastAsia"/>
            </w:rPr>
            <w:fldChar w:fldCharType="end"/>
          </w:r>
        </w:p>
        <w:p w14:paraId="28DA0136">
          <w:pPr>
            <w:pStyle w:val="5"/>
            <w:tabs>
              <w:tab w:val="right" w:leader="dot" w:pos="8831"/>
            </w:tabs>
          </w:pPr>
          <w:r>
            <w:rPr>
              <w:rFonts w:hint="eastAsia"/>
            </w:rPr>
            <w:fldChar w:fldCharType="begin"/>
          </w:r>
          <w:r>
            <w:rPr>
              <w:rFonts w:hint="eastAsia"/>
            </w:rPr>
            <w:instrText xml:space="preserve"> HYPERLINK \l _Toc23763 </w:instrText>
          </w:r>
          <w:r>
            <w:rPr>
              <w:rFonts w:hint="eastAsia"/>
            </w:rPr>
            <w:fldChar w:fldCharType="separate"/>
          </w:r>
          <w:r>
            <w:rPr>
              <w:rFonts w:hint="eastAsia" w:ascii="宋体" w:hAnsi="宋体" w:eastAsia="宋体" w:cs="宋体"/>
              <w:spacing w:val="-4"/>
              <w:szCs w:val="28"/>
              <w:highlight w:val="none"/>
            </w:rPr>
            <w:t>17.计量与支付</w:t>
          </w:r>
          <w:r>
            <w:tab/>
          </w:r>
          <w:r>
            <w:fldChar w:fldCharType="begin"/>
          </w:r>
          <w:r>
            <w:instrText xml:space="preserve"> PAGEREF _Toc23763 \h </w:instrText>
          </w:r>
          <w:r>
            <w:fldChar w:fldCharType="separate"/>
          </w:r>
          <w:r>
            <w:t>120</w:t>
          </w:r>
          <w:r>
            <w:fldChar w:fldCharType="end"/>
          </w:r>
          <w:r>
            <w:rPr>
              <w:rFonts w:hint="eastAsia"/>
            </w:rPr>
            <w:fldChar w:fldCharType="end"/>
          </w:r>
        </w:p>
        <w:p w14:paraId="4CB7E615">
          <w:pPr>
            <w:pStyle w:val="5"/>
            <w:tabs>
              <w:tab w:val="right" w:leader="dot" w:pos="8831"/>
            </w:tabs>
          </w:pPr>
          <w:r>
            <w:rPr>
              <w:rFonts w:hint="eastAsia"/>
            </w:rPr>
            <w:fldChar w:fldCharType="begin"/>
          </w:r>
          <w:r>
            <w:rPr>
              <w:rFonts w:hint="eastAsia"/>
            </w:rPr>
            <w:instrText xml:space="preserve"> HYPERLINK \l _Toc24507 </w:instrText>
          </w:r>
          <w:r>
            <w:rPr>
              <w:rFonts w:hint="eastAsia"/>
            </w:rPr>
            <w:fldChar w:fldCharType="separate"/>
          </w:r>
          <w:r>
            <w:rPr>
              <w:rFonts w:hint="eastAsia" w:ascii="宋体" w:hAnsi="宋体" w:eastAsia="宋体" w:cs="宋体"/>
              <w:spacing w:val="-4"/>
              <w:szCs w:val="28"/>
              <w:highlight w:val="none"/>
            </w:rPr>
            <w:t>18.竣工验收</w:t>
          </w:r>
          <w:r>
            <w:tab/>
          </w:r>
          <w:r>
            <w:fldChar w:fldCharType="begin"/>
          </w:r>
          <w:r>
            <w:instrText xml:space="preserve"> PAGEREF _Toc24507 \h </w:instrText>
          </w:r>
          <w:r>
            <w:fldChar w:fldCharType="separate"/>
          </w:r>
          <w:r>
            <w:t>124</w:t>
          </w:r>
          <w:r>
            <w:fldChar w:fldCharType="end"/>
          </w:r>
          <w:r>
            <w:rPr>
              <w:rFonts w:hint="eastAsia"/>
            </w:rPr>
            <w:fldChar w:fldCharType="end"/>
          </w:r>
        </w:p>
        <w:p w14:paraId="6046C510">
          <w:pPr>
            <w:pStyle w:val="5"/>
            <w:tabs>
              <w:tab w:val="right" w:leader="dot" w:pos="8831"/>
            </w:tabs>
          </w:pPr>
          <w:r>
            <w:rPr>
              <w:rFonts w:hint="eastAsia"/>
            </w:rPr>
            <w:fldChar w:fldCharType="begin"/>
          </w:r>
          <w:r>
            <w:rPr>
              <w:rFonts w:hint="eastAsia"/>
            </w:rPr>
            <w:instrText xml:space="preserve"> HYPERLINK \l _Toc10461 </w:instrText>
          </w:r>
          <w:r>
            <w:rPr>
              <w:rFonts w:hint="eastAsia"/>
            </w:rPr>
            <w:fldChar w:fldCharType="separate"/>
          </w:r>
          <w:r>
            <w:rPr>
              <w:rFonts w:hint="eastAsia" w:ascii="宋体" w:hAnsi="宋体" w:eastAsia="宋体" w:cs="宋体"/>
              <w:spacing w:val="-3"/>
              <w:szCs w:val="28"/>
              <w:highlight w:val="none"/>
            </w:rPr>
            <w:t>19.缺陷责任与保修责任</w:t>
          </w:r>
          <w:r>
            <w:tab/>
          </w:r>
          <w:r>
            <w:fldChar w:fldCharType="begin"/>
          </w:r>
          <w:r>
            <w:instrText xml:space="preserve"> PAGEREF _Toc10461 \h </w:instrText>
          </w:r>
          <w:r>
            <w:fldChar w:fldCharType="separate"/>
          </w:r>
          <w:r>
            <w:t>127</w:t>
          </w:r>
          <w:r>
            <w:fldChar w:fldCharType="end"/>
          </w:r>
          <w:r>
            <w:rPr>
              <w:rFonts w:hint="eastAsia"/>
            </w:rPr>
            <w:fldChar w:fldCharType="end"/>
          </w:r>
        </w:p>
        <w:p w14:paraId="1B6EAAC0">
          <w:pPr>
            <w:pStyle w:val="5"/>
            <w:tabs>
              <w:tab w:val="right" w:leader="dot" w:pos="8831"/>
            </w:tabs>
          </w:pPr>
          <w:r>
            <w:rPr>
              <w:rFonts w:hint="eastAsia"/>
            </w:rPr>
            <w:fldChar w:fldCharType="begin"/>
          </w:r>
          <w:r>
            <w:rPr>
              <w:rFonts w:hint="eastAsia"/>
            </w:rPr>
            <w:instrText xml:space="preserve"> HYPERLINK \l _Toc3582 </w:instrText>
          </w:r>
          <w:r>
            <w:rPr>
              <w:rFonts w:hint="eastAsia"/>
            </w:rPr>
            <w:fldChar w:fldCharType="separate"/>
          </w:r>
          <w:r>
            <w:rPr>
              <w:rFonts w:hint="eastAsia" w:ascii="宋体" w:hAnsi="宋体" w:eastAsia="宋体" w:cs="宋体"/>
              <w:spacing w:val="-1"/>
              <w:szCs w:val="28"/>
              <w:highlight w:val="none"/>
            </w:rPr>
            <w:t>20.保险</w:t>
          </w:r>
          <w:r>
            <w:tab/>
          </w:r>
          <w:r>
            <w:fldChar w:fldCharType="begin"/>
          </w:r>
          <w:r>
            <w:instrText xml:space="preserve"> PAGEREF _Toc3582 \h </w:instrText>
          </w:r>
          <w:r>
            <w:fldChar w:fldCharType="separate"/>
          </w:r>
          <w:r>
            <w:t>128</w:t>
          </w:r>
          <w:r>
            <w:fldChar w:fldCharType="end"/>
          </w:r>
          <w:r>
            <w:rPr>
              <w:rFonts w:hint="eastAsia"/>
            </w:rPr>
            <w:fldChar w:fldCharType="end"/>
          </w:r>
        </w:p>
        <w:p w14:paraId="138F2512">
          <w:pPr>
            <w:pStyle w:val="5"/>
            <w:tabs>
              <w:tab w:val="right" w:leader="dot" w:pos="8831"/>
            </w:tabs>
          </w:pPr>
          <w:r>
            <w:rPr>
              <w:rFonts w:hint="eastAsia"/>
            </w:rPr>
            <w:fldChar w:fldCharType="begin"/>
          </w:r>
          <w:r>
            <w:rPr>
              <w:rFonts w:hint="eastAsia"/>
            </w:rPr>
            <w:instrText xml:space="preserve"> HYPERLINK \l _Toc2106 </w:instrText>
          </w:r>
          <w:r>
            <w:rPr>
              <w:rFonts w:hint="eastAsia"/>
            </w:rPr>
            <w:fldChar w:fldCharType="separate"/>
          </w:r>
          <w:r>
            <w:rPr>
              <w:rFonts w:hint="eastAsia" w:ascii="宋体" w:hAnsi="宋体" w:eastAsia="宋体" w:cs="宋体"/>
              <w:spacing w:val="-3"/>
              <w:szCs w:val="28"/>
              <w:highlight w:val="none"/>
            </w:rPr>
            <w:t>21.不可抗力</w:t>
          </w:r>
          <w:r>
            <w:tab/>
          </w:r>
          <w:r>
            <w:fldChar w:fldCharType="begin"/>
          </w:r>
          <w:r>
            <w:instrText xml:space="preserve"> PAGEREF _Toc2106 \h </w:instrText>
          </w:r>
          <w:r>
            <w:fldChar w:fldCharType="separate"/>
          </w:r>
          <w:r>
            <w:t>130</w:t>
          </w:r>
          <w:r>
            <w:fldChar w:fldCharType="end"/>
          </w:r>
          <w:r>
            <w:rPr>
              <w:rFonts w:hint="eastAsia"/>
            </w:rPr>
            <w:fldChar w:fldCharType="end"/>
          </w:r>
        </w:p>
        <w:p w14:paraId="60E6602C">
          <w:pPr>
            <w:pStyle w:val="5"/>
            <w:tabs>
              <w:tab w:val="right" w:leader="dot" w:pos="8831"/>
            </w:tabs>
          </w:pPr>
          <w:r>
            <w:rPr>
              <w:rFonts w:hint="eastAsia"/>
            </w:rPr>
            <w:fldChar w:fldCharType="begin"/>
          </w:r>
          <w:r>
            <w:rPr>
              <w:rFonts w:hint="eastAsia"/>
            </w:rPr>
            <w:instrText xml:space="preserve"> HYPERLINK \l _Toc20896 </w:instrText>
          </w:r>
          <w:r>
            <w:rPr>
              <w:rFonts w:hint="eastAsia"/>
            </w:rPr>
            <w:fldChar w:fldCharType="separate"/>
          </w:r>
          <w:r>
            <w:rPr>
              <w:rFonts w:hint="eastAsia" w:ascii="宋体" w:hAnsi="宋体" w:eastAsia="宋体" w:cs="宋体"/>
              <w:spacing w:val="-3"/>
              <w:szCs w:val="28"/>
              <w:highlight w:val="none"/>
            </w:rPr>
            <w:t>22.违约</w:t>
          </w:r>
          <w:r>
            <w:tab/>
          </w:r>
          <w:r>
            <w:fldChar w:fldCharType="begin"/>
          </w:r>
          <w:r>
            <w:instrText xml:space="preserve"> PAGEREF _Toc20896 \h </w:instrText>
          </w:r>
          <w:r>
            <w:fldChar w:fldCharType="separate"/>
          </w:r>
          <w:r>
            <w:t>131</w:t>
          </w:r>
          <w:r>
            <w:fldChar w:fldCharType="end"/>
          </w:r>
          <w:r>
            <w:rPr>
              <w:rFonts w:hint="eastAsia"/>
            </w:rPr>
            <w:fldChar w:fldCharType="end"/>
          </w:r>
        </w:p>
        <w:p w14:paraId="13387154">
          <w:pPr>
            <w:pStyle w:val="5"/>
            <w:tabs>
              <w:tab w:val="right" w:leader="dot" w:pos="8831"/>
            </w:tabs>
          </w:pPr>
          <w:r>
            <w:rPr>
              <w:rFonts w:hint="eastAsia"/>
            </w:rPr>
            <w:fldChar w:fldCharType="begin"/>
          </w:r>
          <w:r>
            <w:rPr>
              <w:rFonts w:hint="eastAsia"/>
            </w:rPr>
            <w:instrText xml:space="preserve"> HYPERLINK \l _Toc12242 </w:instrText>
          </w:r>
          <w:r>
            <w:rPr>
              <w:rFonts w:hint="eastAsia"/>
            </w:rPr>
            <w:fldChar w:fldCharType="separate"/>
          </w:r>
          <w:r>
            <w:rPr>
              <w:rFonts w:hint="eastAsia" w:ascii="宋体" w:hAnsi="宋体" w:eastAsia="宋体" w:cs="宋体"/>
              <w:spacing w:val="-4"/>
              <w:szCs w:val="28"/>
              <w:highlight w:val="none"/>
            </w:rPr>
            <w:t>23.索赔</w:t>
          </w:r>
          <w:r>
            <w:tab/>
          </w:r>
          <w:r>
            <w:fldChar w:fldCharType="begin"/>
          </w:r>
          <w:r>
            <w:instrText xml:space="preserve"> PAGEREF _Toc12242 \h </w:instrText>
          </w:r>
          <w:r>
            <w:fldChar w:fldCharType="separate"/>
          </w:r>
          <w:r>
            <w:t>134</w:t>
          </w:r>
          <w:r>
            <w:fldChar w:fldCharType="end"/>
          </w:r>
          <w:r>
            <w:rPr>
              <w:rFonts w:hint="eastAsia"/>
            </w:rPr>
            <w:fldChar w:fldCharType="end"/>
          </w:r>
        </w:p>
        <w:p w14:paraId="0071F57A">
          <w:pPr>
            <w:pStyle w:val="5"/>
            <w:tabs>
              <w:tab w:val="right" w:leader="dot" w:pos="8831"/>
            </w:tabs>
          </w:pPr>
          <w:r>
            <w:rPr>
              <w:rFonts w:hint="eastAsia"/>
            </w:rPr>
            <w:fldChar w:fldCharType="begin"/>
          </w:r>
          <w:r>
            <w:rPr>
              <w:rFonts w:hint="eastAsia"/>
            </w:rPr>
            <w:instrText xml:space="preserve"> HYPERLINK \l _Toc32253 </w:instrText>
          </w:r>
          <w:r>
            <w:rPr>
              <w:rFonts w:hint="eastAsia"/>
            </w:rPr>
            <w:fldChar w:fldCharType="separate"/>
          </w:r>
          <w:r>
            <w:rPr>
              <w:rFonts w:hint="eastAsia" w:ascii="宋体" w:hAnsi="宋体" w:eastAsia="宋体" w:cs="宋体"/>
              <w:spacing w:val="-3"/>
              <w:szCs w:val="28"/>
              <w:highlight w:val="none"/>
            </w:rPr>
            <w:t>24.争议的解决</w:t>
          </w:r>
          <w:r>
            <w:tab/>
          </w:r>
          <w:r>
            <w:fldChar w:fldCharType="begin"/>
          </w:r>
          <w:r>
            <w:instrText xml:space="preserve"> PAGEREF _Toc32253 \h </w:instrText>
          </w:r>
          <w:r>
            <w:fldChar w:fldCharType="separate"/>
          </w:r>
          <w:r>
            <w:t>135</w:t>
          </w:r>
          <w:r>
            <w:fldChar w:fldCharType="end"/>
          </w:r>
          <w:r>
            <w:rPr>
              <w:rFonts w:hint="eastAsia"/>
            </w:rPr>
            <w:fldChar w:fldCharType="end"/>
          </w:r>
        </w:p>
        <w:p w14:paraId="05A6967C">
          <w:pPr>
            <w:pStyle w:val="8"/>
            <w:tabs>
              <w:tab w:val="right" w:leader="dot" w:pos="8831"/>
            </w:tabs>
          </w:pPr>
          <w:r>
            <w:rPr>
              <w:rFonts w:hint="eastAsia"/>
            </w:rPr>
            <w:fldChar w:fldCharType="begin"/>
          </w:r>
          <w:r>
            <w:rPr>
              <w:rFonts w:hint="eastAsia"/>
            </w:rPr>
            <w:instrText xml:space="preserve"> HYPERLINK \l _Toc20843 </w:instrText>
          </w:r>
          <w:r>
            <w:rPr>
              <w:rFonts w:hint="eastAsia"/>
            </w:rPr>
            <w:fldChar w:fldCharType="separate"/>
          </w:r>
          <w:r>
            <w:rPr>
              <w:rFonts w:hint="eastAsia" w:ascii="宋体" w:hAnsi="宋体" w:eastAsia="宋体" w:cs="宋体"/>
              <w:bCs/>
              <w:spacing w:val="4"/>
              <w:szCs w:val="43"/>
              <w:highlight w:val="none"/>
            </w:rPr>
            <w:t>第二节专用合同条款</w:t>
          </w:r>
          <w:r>
            <w:tab/>
          </w:r>
          <w:r>
            <w:fldChar w:fldCharType="begin"/>
          </w:r>
          <w:r>
            <w:instrText xml:space="preserve"> PAGEREF _Toc20843 \h </w:instrText>
          </w:r>
          <w:r>
            <w:fldChar w:fldCharType="separate"/>
          </w:r>
          <w:r>
            <w:t>137</w:t>
          </w:r>
          <w:r>
            <w:fldChar w:fldCharType="end"/>
          </w:r>
          <w:r>
            <w:rPr>
              <w:rFonts w:hint="eastAsia"/>
            </w:rPr>
            <w:fldChar w:fldCharType="end"/>
          </w:r>
        </w:p>
        <w:p w14:paraId="3AB07619">
          <w:pPr>
            <w:pStyle w:val="5"/>
            <w:tabs>
              <w:tab w:val="right" w:leader="dot" w:pos="8831"/>
            </w:tabs>
          </w:pPr>
          <w:r>
            <w:rPr>
              <w:rFonts w:hint="eastAsia"/>
            </w:rPr>
            <w:fldChar w:fldCharType="begin"/>
          </w:r>
          <w:r>
            <w:rPr>
              <w:rFonts w:hint="eastAsia"/>
            </w:rPr>
            <w:instrText xml:space="preserve"> HYPERLINK \l _Toc29892 </w:instrText>
          </w:r>
          <w:r>
            <w:rPr>
              <w:rFonts w:hint="eastAsia"/>
            </w:rPr>
            <w:fldChar w:fldCharType="separate"/>
          </w:r>
          <w:r>
            <w:rPr>
              <w:rFonts w:hint="eastAsia" w:ascii="宋体" w:hAnsi="宋体" w:eastAsia="宋体" w:cs="宋体"/>
              <w:spacing w:val="8"/>
              <w:szCs w:val="31"/>
              <w:highlight w:val="none"/>
            </w:rPr>
            <w:t>A.公路工程专用合同条款</w:t>
          </w:r>
          <w:r>
            <w:tab/>
          </w:r>
          <w:r>
            <w:fldChar w:fldCharType="begin"/>
          </w:r>
          <w:r>
            <w:instrText xml:space="preserve"> PAGEREF _Toc29892 \h </w:instrText>
          </w:r>
          <w:r>
            <w:fldChar w:fldCharType="separate"/>
          </w:r>
          <w:r>
            <w:t>138</w:t>
          </w:r>
          <w:r>
            <w:fldChar w:fldCharType="end"/>
          </w:r>
          <w:r>
            <w:rPr>
              <w:rFonts w:hint="eastAsia"/>
            </w:rPr>
            <w:fldChar w:fldCharType="end"/>
          </w:r>
        </w:p>
        <w:p w14:paraId="56FB8DDF">
          <w:pPr>
            <w:pStyle w:val="5"/>
            <w:tabs>
              <w:tab w:val="right" w:leader="dot" w:pos="8831"/>
            </w:tabs>
          </w:pPr>
          <w:r>
            <w:rPr>
              <w:rFonts w:hint="eastAsia"/>
            </w:rPr>
            <w:fldChar w:fldCharType="begin"/>
          </w:r>
          <w:r>
            <w:rPr>
              <w:rFonts w:hint="eastAsia"/>
            </w:rPr>
            <w:instrText xml:space="preserve"> HYPERLINK \l _Toc27520 </w:instrText>
          </w:r>
          <w:r>
            <w:rPr>
              <w:rFonts w:hint="eastAsia"/>
            </w:rPr>
            <w:fldChar w:fldCharType="separate"/>
          </w:r>
          <w:r>
            <w:rPr>
              <w:rFonts w:hint="eastAsia" w:ascii="宋体" w:hAnsi="宋体" w:eastAsia="宋体" w:cs="宋体"/>
              <w:spacing w:val="-7"/>
              <w:szCs w:val="28"/>
              <w:highlight w:val="none"/>
            </w:rPr>
            <w:t>1.一般约定</w:t>
          </w:r>
          <w:r>
            <w:tab/>
          </w:r>
          <w:r>
            <w:fldChar w:fldCharType="begin"/>
          </w:r>
          <w:r>
            <w:instrText xml:space="preserve"> PAGEREF _Toc27520 \h </w:instrText>
          </w:r>
          <w:r>
            <w:fldChar w:fldCharType="separate"/>
          </w:r>
          <w:r>
            <w:t>138</w:t>
          </w:r>
          <w:r>
            <w:fldChar w:fldCharType="end"/>
          </w:r>
          <w:r>
            <w:rPr>
              <w:rFonts w:hint="eastAsia"/>
            </w:rPr>
            <w:fldChar w:fldCharType="end"/>
          </w:r>
        </w:p>
        <w:p w14:paraId="3339FAFF">
          <w:pPr>
            <w:pStyle w:val="5"/>
            <w:tabs>
              <w:tab w:val="right" w:leader="dot" w:pos="8831"/>
            </w:tabs>
          </w:pPr>
          <w:r>
            <w:rPr>
              <w:rFonts w:hint="eastAsia"/>
            </w:rPr>
            <w:fldChar w:fldCharType="begin"/>
          </w:r>
          <w:r>
            <w:rPr>
              <w:rFonts w:hint="eastAsia"/>
            </w:rPr>
            <w:instrText xml:space="preserve"> HYPERLINK \l _Toc30691 </w:instrText>
          </w:r>
          <w:r>
            <w:rPr>
              <w:rFonts w:hint="eastAsia"/>
            </w:rPr>
            <w:fldChar w:fldCharType="separate"/>
          </w:r>
          <w:r>
            <w:rPr>
              <w:rFonts w:hint="eastAsia" w:ascii="宋体" w:hAnsi="宋体" w:eastAsia="宋体" w:cs="宋体"/>
              <w:spacing w:val="-2"/>
              <w:szCs w:val="28"/>
              <w:highlight w:val="none"/>
            </w:rPr>
            <w:t>2.发包人义务</w:t>
          </w:r>
          <w:r>
            <w:tab/>
          </w:r>
          <w:r>
            <w:fldChar w:fldCharType="begin"/>
          </w:r>
          <w:r>
            <w:instrText xml:space="preserve"> PAGEREF _Toc30691 \h </w:instrText>
          </w:r>
          <w:r>
            <w:fldChar w:fldCharType="separate"/>
          </w:r>
          <w:r>
            <w:t>141</w:t>
          </w:r>
          <w:r>
            <w:fldChar w:fldCharType="end"/>
          </w:r>
          <w:r>
            <w:rPr>
              <w:rFonts w:hint="eastAsia"/>
            </w:rPr>
            <w:fldChar w:fldCharType="end"/>
          </w:r>
        </w:p>
        <w:p w14:paraId="216D129D">
          <w:pPr>
            <w:pStyle w:val="5"/>
            <w:tabs>
              <w:tab w:val="right" w:leader="dot" w:pos="8831"/>
            </w:tabs>
          </w:pPr>
          <w:r>
            <w:rPr>
              <w:rFonts w:hint="eastAsia"/>
            </w:rPr>
            <w:fldChar w:fldCharType="begin"/>
          </w:r>
          <w:r>
            <w:rPr>
              <w:rFonts w:hint="eastAsia"/>
            </w:rPr>
            <w:instrText xml:space="preserve"> HYPERLINK \l _Toc2082 </w:instrText>
          </w:r>
          <w:r>
            <w:rPr>
              <w:rFonts w:hint="eastAsia"/>
            </w:rPr>
            <w:fldChar w:fldCharType="separate"/>
          </w:r>
          <w:r>
            <w:rPr>
              <w:rFonts w:hint="eastAsia" w:ascii="宋体" w:hAnsi="宋体" w:eastAsia="宋体" w:cs="宋体"/>
              <w:spacing w:val="-3"/>
              <w:szCs w:val="28"/>
              <w:highlight w:val="none"/>
            </w:rPr>
            <w:t>3.监理人</w:t>
          </w:r>
          <w:r>
            <w:tab/>
          </w:r>
          <w:r>
            <w:fldChar w:fldCharType="begin"/>
          </w:r>
          <w:r>
            <w:instrText xml:space="preserve"> PAGEREF _Toc2082 \h </w:instrText>
          </w:r>
          <w:r>
            <w:fldChar w:fldCharType="separate"/>
          </w:r>
          <w:r>
            <w:t>142</w:t>
          </w:r>
          <w:r>
            <w:fldChar w:fldCharType="end"/>
          </w:r>
          <w:r>
            <w:rPr>
              <w:rFonts w:hint="eastAsia"/>
            </w:rPr>
            <w:fldChar w:fldCharType="end"/>
          </w:r>
        </w:p>
        <w:p w14:paraId="7E73074C">
          <w:pPr>
            <w:pStyle w:val="5"/>
            <w:tabs>
              <w:tab w:val="right" w:leader="dot" w:pos="8831"/>
            </w:tabs>
          </w:pPr>
          <w:r>
            <w:rPr>
              <w:rFonts w:hint="eastAsia"/>
            </w:rPr>
            <w:fldChar w:fldCharType="begin"/>
          </w:r>
          <w:r>
            <w:rPr>
              <w:rFonts w:hint="eastAsia"/>
            </w:rPr>
            <w:instrText xml:space="preserve"> HYPERLINK \l _Toc24991 </w:instrText>
          </w:r>
          <w:r>
            <w:rPr>
              <w:rFonts w:hint="eastAsia"/>
            </w:rPr>
            <w:fldChar w:fldCharType="separate"/>
          </w:r>
          <w:r>
            <w:rPr>
              <w:rFonts w:hint="eastAsia" w:ascii="宋体" w:hAnsi="宋体" w:eastAsia="宋体" w:cs="宋体"/>
              <w:spacing w:val="-1"/>
              <w:szCs w:val="28"/>
              <w:highlight w:val="none"/>
            </w:rPr>
            <w:t>4.承包人</w:t>
          </w:r>
          <w:r>
            <w:tab/>
          </w:r>
          <w:r>
            <w:fldChar w:fldCharType="begin"/>
          </w:r>
          <w:r>
            <w:instrText xml:space="preserve"> PAGEREF _Toc24991 \h </w:instrText>
          </w:r>
          <w:r>
            <w:fldChar w:fldCharType="separate"/>
          </w:r>
          <w:r>
            <w:t>143</w:t>
          </w:r>
          <w:r>
            <w:fldChar w:fldCharType="end"/>
          </w:r>
          <w:r>
            <w:rPr>
              <w:rFonts w:hint="eastAsia"/>
            </w:rPr>
            <w:fldChar w:fldCharType="end"/>
          </w:r>
        </w:p>
        <w:p w14:paraId="02D6EADD">
          <w:pPr>
            <w:pStyle w:val="5"/>
            <w:tabs>
              <w:tab w:val="right" w:leader="dot" w:pos="8831"/>
            </w:tabs>
          </w:pPr>
          <w:r>
            <w:rPr>
              <w:rFonts w:hint="eastAsia"/>
            </w:rPr>
            <w:fldChar w:fldCharType="begin"/>
          </w:r>
          <w:r>
            <w:rPr>
              <w:rFonts w:hint="eastAsia"/>
            </w:rPr>
            <w:instrText xml:space="preserve"> HYPERLINK \l _Toc30511 </w:instrText>
          </w:r>
          <w:r>
            <w:rPr>
              <w:rFonts w:hint="eastAsia"/>
            </w:rPr>
            <w:fldChar w:fldCharType="separate"/>
          </w:r>
          <w:r>
            <w:rPr>
              <w:rFonts w:hint="eastAsia" w:ascii="宋体" w:hAnsi="宋体" w:eastAsia="宋体" w:cs="宋体"/>
              <w:spacing w:val="-3"/>
              <w:szCs w:val="28"/>
              <w:highlight w:val="none"/>
            </w:rPr>
            <w:t>5.材料和工程设备</w:t>
          </w:r>
          <w:r>
            <w:tab/>
          </w:r>
          <w:r>
            <w:fldChar w:fldCharType="begin"/>
          </w:r>
          <w:r>
            <w:instrText xml:space="preserve"> PAGEREF _Toc30511 \h </w:instrText>
          </w:r>
          <w:r>
            <w:fldChar w:fldCharType="separate"/>
          </w:r>
          <w:r>
            <w:t>148</w:t>
          </w:r>
          <w:r>
            <w:fldChar w:fldCharType="end"/>
          </w:r>
          <w:r>
            <w:rPr>
              <w:rFonts w:hint="eastAsia"/>
            </w:rPr>
            <w:fldChar w:fldCharType="end"/>
          </w:r>
        </w:p>
        <w:p w14:paraId="2B68BB9F">
          <w:pPr>
            <w:pStyle w:val="5"/>
            <w:tabs>
              <w:tab w:val="right" w:leader="dot" w:pos="8831"/>
            </w:tabs>
          </w:pPr>
          <w:r>
            <w:rPr>
              <w:rFonts w:hint="eastAsia"/>
            </w:rPr>
            <w:fldChar w:fldCharType="begin"/>
          </w:r>
          <w:r>
            <w:rPr>
              <w:rFonts w:hint="eastAsia"/>
            </w:rPr>
            <w:instrText xml:space="preserve"> HYPERLINK \l _Toc20059 </w:instrText>
          </w:r>
          <w:r>
            <w:rPr>
              <w:rFonts w:hint="eastAsia"/>
            </w:rPr>
            <w:fldChar w:fldCharType="separate"/>
          </w:r>
          <w:r>
            <w:rPr>
              <w:rFonts w:hint="eastAsia" w:ascii="宋体" w:hAnsi="宋体" w:eastAsia="宋体" w:cs="宋体"/>
              <w:spacing w:val="-4"/>
              <w:szCs w:val="28"/>
              <w:highlight w:val="none"/>
            </w:rPr>
            <w:t>6.施工设备和临时设施</w:t>
          </w:r>
          <w:r>
            <w:tab/>
          </w:r>
          <w:r>
            <w:fldChar w:fldCharType="begin"/>
          </w:r>
          <w:r>
            <w:instrText xml:space="preserve"> PAGEREF _Toc20059 \h </w:instrText>
          </w:r>
          <w:r>
            <w:fldChar w:fldCharType="separate"/>
          </w:r>
          <w:r>
            <w:t>149</w:t>
          </w:r>
          <w:r>
            <w:fldChar w:fldCharType="end"/>
          </w:r>
          <w:r>
            <w:rPr>
              <w:rFonts w:hint="eastAsia"/>
            </w:rPr>
            <w:fldChar w:fldCharType="end"/>
          </w:r>
        </w:p>
        <w:p w14:paraId="3E15288F">
          <w:pPr>
            <w:pStyle w:val="5"/>
            <w:tabs>
              <w:tab w:val="right" w:leader="dot" w:pos="8831"/>
            </w:tabs>
          </w:pPr>
          <w:r>
            <w:rPr>
              <w:rFonts w:hint="eastAsia"/>
            </w:rPr>
            <w:fldChar w:fldCharType="begin"/>
          </w:r>
          <w:r>
            <w:rPr>
              <w:rFonts w:hint="eastAsia"/>
            </w:rPr>
            <w:instrText xml:space="preserve"> HYPERLINK \l _Toc18290 </w:instrText>
          </w:r>
          <w:r>
            <w:rPr>
              <w:rFonts w:hint="eastAsia"/>
            </w:rPr>
            <w:fldChar w:fldCharType="separate"/>
          </w:r>
          <w:r>
            <w:rPr>
              <w:rFonts w:hint="eastAsia" w:ascii="宋体" w:hAnsi="宋体" w:eastAsia="宋体" w:cs="宋体"/>
              <w:spacing w:val="-5"/>
              <w:szCs w:val="28"/>
              <w:highlight w:val="none"/>
            </w:rPr>
            <w:t>7.交通运输</w:t>
          </w:r>
          <w:r>
            <w:tab/>
          </w:r>
          <w:r>
            <w:fldChar w:fldCharType="begin"/>
          </w:r>
          <w:r>
            <w:instrText xml:space="preserve"> PAGEREF _Toc18290 \h </w:instrText>
          </w:r>
          <w:r>
            <w:fldChar w:fldCharType="separate"/>
          </w:r>
          <w:r>
            <w:t>149</w:t>
          </w:r>
          <w:r>
            <w:fldChar w:fldCharType="end"/>
          </w:r>
          <w:r>
            <w:rPr>
              <w:rFonts w:hint="eastAsia"/>
            </w:rPr>
            <w:fldChar w:fldCharType="end"/>
          </w:r>
        </w:p>
        <w:p w14:paraId="47444045">
          <w:pPr>
            <w:pStyle w:val="5"/>
            <w:tabs>
              <w:tab w:val="right" w:leader="dot" w:pos="8831"/>
            </w:tabs>
          </w:pPr>
          <w:r>
            <w:rPr>
              <w:rFonts w:hint="eastAsia"/>
            </w:rPr>
            <w:fldChar w:fldCharType="begin"/>
          </w:r>
          <w:r>
            <w:rPr>
              <w:rFonts w:hint="eastAsia"/>
            </w:rPr>
            <w:instrText xml:space="preserve"> HYPERLINK \l _Toc19910 </w:instrText>
          </w:r>
          <w:r>
            <w:rPr>
              <w:rFonts w:hint="eastAsia"/>
            </w:rPr>
            <w:fldChar w:fldCharType="separate"/>
          </w:r>
          <w:r>
            <w:rPr>
              <w:rFonts w:hint="eastAsia" w:ascii="宋体" w:hAnsi="宋体" w:eastAsia="宋体" w:cs="宋体"/>
              <w:spacing w:val="-4"/>
              <w:szCs w:val="28"/>
              <w:highlight w:val="none"/>
            </w:rPr>
            <w:t>8.测量放线</w:t>
          </w:r>
          <w:r>
            <w:tab/>
          </w:r>
          <w:r>
            <w:fldChar w:fldCharType="begin"/>
          </w:r>
          <w:r>
            <w:instrText xml:space="preserve"> PAGEREF _Toc19910 \h </w:instrText>
          </w:r>
          <w:r>
            <w:fldChar w:fldCharType="separate"/>
          </w:r>
          <w:r>
            <w:t>149</w:t>
          </w:r>
          <w:r>
            <w:fldChar w:fldCharType="end"/>
          </w:r>
          <w:r>
            <w:rPr>
              <w:rFonts w:hint="eastAsia"/>
            </w:rPr>
            <w:fldChar w:fldCharType="end"/>
          </w:r>
        </w:p>
        <w:p w14:paraId="0BA05E6F">
          <w:pPr>
            <w:pStyle w:val="5"/>
            <w:tabs>
              <w:tab w:val="right" w:leader="dot" w:pos="8831"/>
            </w:tabs>
          </w:pPr>
          <w:r>
            <w:rPr>
              <w:rFonts w:hint="eastAsia"/>
            </w:rPr>
            <w:fldChar w:fldCharType="begin"/>
          </w:r>
          <w:r>
            <w:rPr>
              <w:rFonts w:hint="eastAsia"/>
            </w:rPr>
            <w:instrText xml:space="preserve"> HYPERLINK \l _Toc23980 </w:instrText>
          </w:r>
          <w:r>
            <w:rPr>
              <w:rFonts w:hint="eastAsia"/>
            </w:rPr>
            <w:fldChar w:fldCharType="separate"/>
          </w:r>
          <w:r>
            <w:rPr>
              <w:rFonts w:hint="eastAsia" w:ascii="宋体" w:hAnsi="宋体" w:eastAsia="宋体" w:cs="宋体"/>
              <w:spacing w:val="-5"/>
              <w:szCs w:val="28"/>
              <w:highlight w:val="none"/>
            </w:rPr>
            <w:t>9.施工安全、治安保卫和环境保护</w:t>
          </w:r>
          <w:r>
            <w:tab/>
          </w:r>
          <w:r>
            <w:fldChar w:fldCharType="begin"/>
          </w:r>
          <w:r>
            <w:instrText xml:space="preserve"> PAGEREF _Toc23980 \h </w:instrText>
          </w:r>
          <w:r>
            <w:fldChar w:fldCharType="separate"/>
          </w:r>
          <w:r>
            <w:t>150</w:t>
          </w:r>
          <w:r>
            <w:fldChar w:fldCharType="end"/>
          </w:r>
          <w:r>
            <w:rPr>
              <w:rFonts w:hint="eastAsia"/>
            </w:rPr>
            <w:fldChar w:fldCharType="end"/>
          </w:r>
        </w:p>
        <w:p w14:paraId="7F4CAD4F">
          <w:pPr>
            <w:pStyle w:val="5"/>
            <w:tabs>
              <w:tab w:val="right" w:leader="dot" w:pos="8831"/>
            </w:tabs>
          </w:pPr>
          <w:r>
            <w:rPr>
              <w:rFonts w:hint="eastAsia"/>
            </w:rPr>
            <w:fldChar w:fldCharType="begin"/>
          </w:r>
          <w:r>
            <w:rPr>
              <w:rFonts w:hint="eastAsia"/>
            </w:rPr>
            <w:instrText xml:space="preserve"> HYPERLINK \l _Toc7751 </w:instrText>
          </w:r>
          <w:r>
            <w:rPr>
              <w:rFonts w:hint="eastAsia"/>
            </w:rPr>
            <w:fldChar w:fldCharType="separate"/>
          </w:r>
          <w:r>
            <w:rPr>
              <w:rFonts w:hint="eastAsia" w:ascii="宋体" w:hAnsi="宋体" w:eastAsia="宋体" w:cs="宋体"/>
              <w:spacing w:val="-7"/>
              <w:szCs w:val="28"/>
              <w:highlight w:val="none"/>
            </w:rPr>
            <w:t>10.进度计划</w:t>
          </w:r>
          <w:r>
            <w:tab/>
          </w:r>
          <w:r>
            <w:fldChar w:fldCharType="begin"/>
          </w:r>
          <w:r>
            <w:instrText xml:space="preserve"> PAGEREF _Toc7751 \h </w:instrText>
          </w:r>
          <w:r>
            <w:fldChar w:fldCharType="separate"/>
          </w:r>
          <w:r>
            <w:t>153</w:t>
          </w:r>
          <w:r>
            <w:fldChar w:fldCharType="end"/>
          </w:r>
          <w:r>
            <w:rPr>
              <w:rFonts w:hint="eastAsia"/>
            </w:rPr>
            <w:fldChar w:fldCharType="end"/>
          </w:r>
        </w:p>
        <w:p w14:paraId="00D46D3E">
          <w:pPr>
            <w:pStyle w:val="5"/>
            <w:tabs>
              <w:tab w:val="right" w:leader="dot" w:pos="8831"/>
            </w:tabs>
          </w:pPr>
          <w:r>
            <w:rPr>
              <w:rFonts w:hint="eastAsia"/>
            </w:rPr>
            <w:fldChar w:fldCharType="begin"/>
          </w:r>
          <w:r>
            <w:rPr>
              <w:rFonts w:hint="eastAsia"/>
            </w:rPr>
            <w:instrText xml:space="preserve"> HYPERLINK \l _Toc16580 </w:instrText>
          </w:r>
          <w:r>
            <w:rPr>
              <w:rFonts w:hint="eastAsia"/>
            </w:rPr>
            <w:fldChar w:fldCharType="separate"/>
          </w:r>
          <w:r>
            <w:rPr>
              <w:rFonts w:hint="eastAsia" w:ascii="宋体" w:hAnsi="宋体" w:eastAsia="宋体" w:cs="宋体"/>
              <w:spacing w:val="-9"/>
              <w:szCs w:val="24"/>
              <w:highlight w:val="none"/>
            </w:rPr>
            <w:t>本款补充：</w:t>
          </w:r>
          <w:r>
            <w:tab/>
          </w:r>
          <w:r>
            <w:fldChar w:fldCharType="begin"/>
          </w:r>
          <w:r>
            <w:instrText xml:space="preserve"> PAGEREF _Toc16580 \h </w:instrText>
          </w:r>
          <w:r>
            <w:fldChar w:fldCharType="separate"/>
          </w:r>
          <w:r>
            <w:t>153</w:t>
          </w:r>
          <w:r>
            <w:fldChar w:fldCharType="end"/>
          </w:r>
          <w:r>
            <w:rPr>
              <w:rFonts w:hint="eastAsia"/>
            </w:rPr>
            <w:fldChar w:fldCharType="end"/>
          </w:r>
        </w:p>
        <w:p w14:paraId="15128600">
          <w:pPr>
            <w:pStyle w:val="5"/>
            <w:tabs>
              <w:tab w:val="right" w:leader="dot" w:pos="8831"/>
            </w:tabs>
          </w:pPr>
          <w:r>
            <w:rPr>
              <w:rFonts w:hint="eastAsia"/>
            </w:rPr>
            <w:fldChar w:fldCharType="begin"/>
          </w:r>
          <w:r>
            <w:rPr>
              <w:rFonts w:hint="eastAsia"/>
            </w:rPr>
            <w:instrText xml:space="preserve"> HYPERLINK \l _Toc19667 </w:instrText>
          </w:r>
          <w:r>
            <w:rPr>
              <w:rFonts w:hint="eastAsia"/>
            </w:rPr>
            <w:fldChar w:fldCharType="separate"/>
          </w:r>
          <w:r>
            <w:rPr>
              <w:rFonts w:hint="eastAsia" w:ascii="宋体" w:hAnsi="宋体" w:eastAsia="宋体" w:cs="宋体"/>
              <w:spacing w:val="-12"/>
              <w:szCs w:val="28"/>
              <w:highlight w:val="none"/>
            </w:rPr>
            <w:t>11.开工和交工</w:t>
          </w:r>
          <w:r>
            <w:tab/>
          </w:r>
          <w:r>
            <w:fldChar w:fldCharType="begin"/>
          </w:r>
          <w:r>
            <w:instrText xml:space="preserve"> PAGEREF _Toc19667 \h </w:instrText>
          </w:r>
          <w:r>
            <w:fldChar w:fldCharType="separate"/>
          </w:r>
          <w:r>
            <w:t>154</w:t>
          </w:r>
          <w:r>
            <w:fldChar w:fldCharType="end"/>
          </w:r>
          <w:r>
            <w:rPr>
              <w:rFonts w:hint="eastAsia"/>
            </w:rPr>
            <w:fldChar w:fldCharType="end"/>
          </w:r>
        </w:p>
        <w:p w14:paraId="7AA5CEE4">
          <w:pPr>
            <w:pStyle w:val="5"/>
            <w:tabs>
              <w:tab w:val="right" w:leader="dot" w:pos="8831"/>
            </w:tabs>
          </w:pPr>
          <w:r>
            <w:rPr>
              <w:rFonts w:hint="eastAsia"/>
            </w:rPr>
            <w:fldChar w:fldCharType="begin"/>
          </w:r>
          <w:r>
            <w:rPr>
              <w:rFonts w:hint="eastAsia"/>
            </w:rPr>
            <w:instrText xml:space="preserve"> HYPERLINK \l _Toc11454 </w:instrText>
          </w:r>
          <w:r>
            <w:rPr>
              <w:rFonts w:hint="eastAsia"/>
            </w:rPr>
            <w:fldChar w:fldCharType="separate"/>
          </w:r>
          <w:r>
            <w:rPr>
              <w:rFonts w:hint="eastAsia" w:ascii="宋体" w:hAnsi="宋体" w:eastAsia="宋体" w:cs="宋体"/>
              <w:spacing w:val="-7"/>
              <w:szCs w:val="28"/>
              <w:highlight w:val="none"/>
            </w:rPr>
            <w:t>12.暂停施工</w:t>
          </w:r>
          <w:r>
            <w:tab/>
          </w:r>
          <w:r>
            <w:fldChar w:fldCharType="begin"/>
          </w:r>
          <w:r>
            <w:instrText xml:space="preserve"> PAGEREF _Toc11454 \h </w:instrText>
          </w:r>
          <w:r>
            <w:fldChar w:fldCharType="separate"/>
          </w:r>
          <w:r>
            <w:t>155</w:t>
          </w:r>
          <w:r>
            <w:fldChar w:fldCharType="end"/>
          </w:r>
          <w:r>
            <w:rPr>
              <w:rFonts w:hint="eastAsia"/>
            </w:rPr>
            <w:fldChar w:fldCharType="end"/>
          </w:r>
        </w:p>
        <w:p w14:paraId="67127295">
          <w:pPr>
            <w:pStyle w:val="5"/>
            <w:tabs>
              <w:tab w:val="right" w:leader="dot" w:pos="8831"/>
            </w:tabs>
          </w:pPr>
          <w:r>
            <w:rPr>
              <w:rFonts w:hint="eastAsia"/>
            </w:rPr>
            <w:fldChar w:fldCharType="begin"/>
          </w:r>
          <w:r>
            <w:rPr>
              <w:rFonts w:hint="eastAsia"/>
            </w:rPr>
            <w:instrText xml:space="preserve"> HYPERLINK \l _Toc9382 </w:instrText>
          </w:r>
          <w:r>
            <w:rPr>
              <w:rFonts w:hint="eastAsia"/>
            </w:rPr>
            <w:fldChar w:fldCharType="separate"/>
          </w:r>
          <w:r>
            <w:rPr>
              <w:rFonts w:hint="eastAsia" w:ascii="宋体" w:hAnsi="宋体" w:eastAsia="宋体" w:cs="宋体"/>
              <w:spacing w:val="-6"/>
              <w:szCs w:val="28"/>
              <w:highlight w:val="none"/>
            </w:rPr>
            <w:t>13.工程质量</w:t>
          </w:r>
          <w:r>
            <w:tab/>
          </w:r>
          <w:r>
            <w:fldChar w:fldCharType="begin"/>
          </w:r>
          <w:r>
            <w:instrText xml:space="preserve"> PAGEREF _Toc9382 \h </w:instrText>
          </w:r>
          <w:r>
            <w:fldChar w:fldCharType="separate"/>
          </w:r>
          <w:r>
            <w:t>156</w:t>
          </w:r>
          <w:r>
            <w:fldChar w:fldCharType="end"/>
          </w:r>
          <w:r>
            <w:rPr>
              <w:rFonts w:hint="eastAsia"/>
            </w:rPr>
            <w:fldChar w:fldCharType="end"/>
          </w:r>
        </w:p>
        <w:p w14:paraId="39B9634A">
          <w:pPr>
            <w:pStyle w:val="5"/>
            <w:tabs>
              <w:tab w:val="right" w:leader="dot" w:pos="8831"/>
            </w:tabs>
          </w:pPr>
          <w:r>
            <w:rPr>
              <w:rFonts w:hint="eastAsia"/>
            </w:rPr>
            <w:fldChar w:fldCharType="begin"/>
          </w:r>
          <w:r>
            <w:rPr>
              <w:rFonts w:hint="eastAsia"/>
            </w:rPr>
            <w:instrText xml:space="preserve"> HYPERLINK \l _Toc18983 </w:instrText>
          </w:r>
          <w:r>
            <w:rPr>
              <w:rFonts w:hint="eastAsia"/>
            </w:rPr>
            <w:fldChar w:fldCharType="separate"/>
          </w:r>
          <w:r>
            <w:rPr>
              <w:rFonts w:hint="eastAsia" w:ascii="宋体" w:hAnsi="宋体" w:eastAsia="宋体" w:cs="宋体"/>
              <w:spacing w:val="-6"/>
              <w:szCs w:val="28"/>
              <w:highlight w:val="none"/>
            </w:rPr>
            <w:t>14.试验和检验</w:t>
          </w:r>
          <w:r>
            <w:tab/>
          </w:r>
          <w:r>
            <w:fldChar w:fldCharType="begin"/>
          </w:r>
          <w:r>
            <w:instrText xml:space="preserve"> PAGEREF _Toc18983 \h </w:instrText>
          </w:r>
          <w:r>
            <w:fldChar w:fldCharType="separate"/>
          </w:r>
          <w:r>
            <w:t>158</w:t>
          </w:r>
          <w:r>
            <w:fldChar w:fldCharType="end"/>
          </w:r>
          <w:r>
            <w:rPr>
              <w:rFonts w:hint="eastAsia"/>
            </w:rPr>
            <w:fldChar w:fldCharType="end"/>
          </w:r>
        </w:p>
        <w:p w14:paraId="06C80404">
          <w:pPr>
            <w:pStyle w:val="5"/>
            <w:tabs>
              <w:tab w:val="right" w:leader="dot" w:pos="8831"/>
            </w:tabs>
          </w:pPr>
          <w:r>
            <w:rPr>
              <w:rFonts w:hint="eastAsia"/>
            </w:rPr>
            <w:fldChar w:fldCharType="begin"/>
          </w:r>
          <w:r>
            <w:rPr>
              <w:rFonts w:hint="eastAsia"/>
            </w:rPr>
            <w:instrText xml:space="preserve"> HYPERLINK \l _Toc30054 </w:instrText>
          </w:r>
          <w:r>
            <w:rPr>
              <w:rFonts w:hint="eastAsia"/>
            </w:rPr>
            <w:fldChar w:fldCharType="separate"/>
          </w:r>
          <w:r>
            <w:rPr>
              <w:rFonts w:hint="eastAsia" w:ascii="宋体" w:hAnsi="宋体" w:eastAsia="宋体" w:cs="宋体"/>
              <w:spacing w:val="-12"/>
              <w:szCs w:val="28"/>
              <w:highlight w:val="none"/>
            </w:rPr>
            <w:t>15.变更</w:t>
          </w:r>
          <w:r>
            <w:tab/>
          </w:r>
          <w:r>
            <w:fldChar w:fldCharType="begin"/>
          </w:r>
          <w:r>
            <w:instrText xml:space="preserve"> PAGEREF _Toc30054 \h </w:instrText>
          </w:r>
          <w:r>
            <w:fldChar w:fldCharType="separate"/>
          </w:r>
          <w:r>
            <w:t>158</w:t>
          </w:r>
          <w:r>
            <w:fldChar w:fldCharType="end"/>
          </w:r>
          <w:r>
            <w:rPr>
              <w:rFonts w:hint="eastAsia"/>
            </w:rPr>
            <w:fldChar w:fldCharType="end"/>
          </w:r>
        </w:p>
        <w:p w14:paraId="5F2A2DC5">
          <w:pPr>
            <w:pStyle w:val="5"/>
            <w:tabs>
              <w:tab w:val="right" w:leader="dot" w:pos="8831"/>
            </w:tabs>
          </w:pPr>
          <w:r>
            <w:rPr>
              <w:rFonts w:hint="eastAsia"/>
            </w:rPr>
            <w:fldChar w:fldCharType="begin"/>
          </w:r>
          <w:r>
            <w:rPr>
              <w:rFonts w:hint="eastAsia"/>
            </w:rPr>
            <w:instrText xml:space="preserve"> HYPERLINK \l _Toc5651 </w:instrText>
          </w:r>
          <w:r>
            <w:rPr>
              <w:rFonts w:hint="eastAsia"/>
            </w:rPr>
            <w:fldChar w:fldCharType="separate"/>
          </w:r>
          <w:r>
            <w:rPr>
              <w:rFonts w:hint="eastAsia" w:ascii="宋体" w:hAnsi="宋体" w:eastAsia="宋体" w:cs="宋体"/>
              <w:spacing w:val="-7"/>
              <w:szCs w:val="28"/>
              <w:highlight w:val="none"/>
            </w:rPr>
            <w:t>16.价格调整</w:t>
          </w:r>
          <w:r>
            <w:tab/>
          </w:r>
          <w:r>
            <w:fldChar w:fldCharType="begin"/>
          </w:r>
          <w:r>
            <w:instrText xml:space="preserve"> PAGEREF _Toc5651 \h </w:instrText>
          </w:r>
          <w:r>
            <w:fldChar w:fldCharType="separate"/>
          </w:r>
          <w:r>
            <w:t>159</w:t>
          </w:r>
          <w:r>
            <w:fldChar w:fldCharType="end"/>
          </w:r>
          <w:r>
            <w:rPr>
              <w:rFonts w:hint="eastAsia"/>
            </w:rPr>
            <w:fldChar w:fldCharType="end"/>
          </w:r>
        </w:p>
        <w:p w14:paraId="1E7D1D57">
          <w:pPr>
            <w:pStyle w:val="5"/>
            <w:tabs>
              <w:tab w:val="right" w:leader="dot" w:pos="8831"/>
            </w:tabs>
          </w:pPr>
          <w:r>
            <w:rPr>
              <w:rFonts w:hint="eastAsia"/>
            </w:rPr>
            <w:fldChar w:fldCharType="begin"/>
          </w:r>
          <w:r>
            <w:rPr>
              <w:rFonts w:hint="eastAsia"/>
            </w:rPr>
            <w:instrText xml:space="preserve"> HYPERLINK \l _Toc11195 </w:instrText>
          </w:r>
          <w:r>
            <w:rPr>
              <w:rFonts w:hint="eastAsia"/>
            </w:rPr>
            <w:fldChar w:fldCharType="separate"/>
          </w:r>
          <w:r>
            <w:rPr>
              <w:rFonts w:hint="eastAsia" w:ascii="宋体" w:hAnsi="宋体" w:eastAsia="宋体" w:cs="宋体"/>
              <w:spacing w:val="-7"/>
              <w:szCs w:val="28"/>
              <w:highlight w:val="none"/>
            </w:rPr>
            <w:t>17.计量与支付</w:t>
          </w:r>
          <w:r>
            <w:tab/>
          </w:r>
          <w:r>
            <w:fldChar w:fldCharType="begin"/>
          </w:r>
          <w:r>
            <w:instrText xml:space="preserve"> PAGEREF _Toc11195 \h </w:instrText>
          </w:r>
          <w:r>
            <w:fldChar w:fldCharType="separate"/>
          </w:r>
          <w:r>
            <w:t>160</w:t>
          </w:r>
          <w:r>
            <w:fldChar w:fldCharType="end"/>
          </w:r>
          <w:r>
            <w:rPr>
              <w:rFonts w:hint="eastAsia"/>
            </w:rPr>
            <w:fldChar w:fldCharType="end"/>
          </w:r>
        </w:p>
        <w:p w14:paraId="118AE83C">
          <w:pPr>
            <w:pStyle w:val="5"/>
            <w:tabs>
              <w:tab w:val="right" w:leader="dot" w:pos="8831"/>
            </w:tabs>
          </w:pPr>
          <w:r>
            <w:rPr>
              <w:rFonts w:hint="eastAsia"/>
            </w:rPr>
            <w:fldChar w:fldCharType="begin"/>
          </w:r>
          <w:r>
            <w:rPr>
              <w:rFonts w:hint="eastAsia"/>
            </w:rPr>
            <w:instrText xml:space="preserve"> HYPERLINK \l _Toc9959 </w:instrText>
          </w:r>
          <w:r>
            <w:rPr>
              <w:rFonts w:hint="eastAsia"/>
            </w:rPr>
            <w:fldChar w:fldCharType="separate"/>
          </w:r>
          <w:r>
            <w:rPr>
              <w:rFonts w:hint="eastAsia" w:ascii="宋体" w:hAnsi="宋体" w:eastAsia="宋体" w:cs="宋体"/>
              <w:spacing w:val="-7"/>
              <w:szCs w:val="28"/>
              <w:highlight w:val="none"/>
            </w:rPr>
            <w:t>18.交工验收</w:t>
          </w:r>
          <w:r>
            <w:tab/>
          </w:r>
          <w:r>
            <w:fldChar w:fldCharType="begin"/>
          </w:r>
          <w:r>
            <w:instrText xml:space="preserve"> PAGEREF _Toc9959 \h </w:instrText>
          </w:r>
          <w:r>
            <w:fldChar w:fldCharType="separate"/>
          </w:r>
          <w:r>
            <w:t>163</w:t>
          </w:r>
          <w:r>
            <w:fldChar w:fldCharType="end"/>
          </w:r>
          <w:r>
            <w:rPr>
              <w:rFonts w:hint="eastAsia"/>
            </w:rPr>
            <w:fldChar w:fldCharType="end"/>
          </w:r>
        </w:p>
        <w:p w14:paraId="4E0A4387">
          <w:pPr>
            <w:pStyle w:val="5"/>
            <w:tabs>
              <w:tab w:val="right" w:leader="dot" w:pos="8831"/>
            </w:tabs>
          </w:pPr>
          <w:r>
            <w:rPr>
              <w:rFonts w:hint="eastAsia"/>
            </w:rPr>
            <w:fldChar w:fldCharType="begin"/>
          </w:r>
          <w:r>
            <w:rPr>
              <w:rFonts w:hint="eastAsia"/>
            </w:rPr>
            <w:instrText xml:space="preserve"> HYPERLINK \l _Toc22378 </w:instrText>
          </w:r>
          <w:r>
            <w:rPr>
              <w:rFonts w:hint="eastAsia"/>
            </w:rPr>
            <w:fldChar w:fldCharType="separate"/>
          </w:r>
          <w:r>
            <w:rPr>
              <w:rFonts w:hint="eastAsia" w:ascii="宋体" w:hAnsi="宋体" w:eastAsia="宋体" w:cs="宋体"/>
              <w:spacing w:val="-8"/>
              <w:szCs w:val="28"/>
              <w:highlight w:val="none"/>
            </w:rPr>
            <w:t>19.缺陷责任与保修责任</w:t>
          </w:r>
          <w:r>
            <w:tab/>
          </w:r>
          <w:r>
            <w:fldChar w:fldCharType="begin"/>
          </w:r>
          <w:r>
            <w:instrText xml:space="preserve"> PAGEREF _Toc22378 \h </w:instrText>
          </w:r>
          <w:r>
            <w:fldChar w:fldCharType="separate"/>
          </w:r>
          <w:r>
            <w:t>164</w:t>
          </w:r>
          <w:r>
            <w:fldChar w:fldCharType="end"/>
          </w:r>
          <w:r>
            <w:rPr>
              <w:rFonts w:hint="eastAsia"/>
            </w:rPr>
            <w:fldChar w:fldCharType="end"/>
          </w:r>
        </w:p>
        <w:p w14:paraId="12C31C21">
          <w:pPr>
            <w:pStyle w:val="5"/>
            <w:tabs>
              <w:tab w:val="right" w:leader="dot" w:pos="8831"/>
            </w:tabs>
          </w:pPr>
          <w:r>
            <w:rPr>
              <w:rFonts w:hint="eastAsia"/>
            </w:rPr>
            <w:fldChar w:fldCharType="begin"/>
          </w:r>
          <w:r>
            <w:rPr>
              <w:rFonts w:hint="eastAsia"/>
            </w:rPr>
            <w:instrText xml:space="preserve"> HYPERLINK \l _Toc7291 </w:instrText>
          </w:r>
          <w:r>
            <w:rPr>
              <w:rFonts w:hint="eastAsia"/>
            </w:rPr>
            <w:fldChar w:fldCharType="separate"/>
          </w:r>
          <w:r>
            <w:rPr>
              <w:rFonts w:hint="eastAsia" w:ascii="宋体" w:hAnsi="宋体" w:eastAsia="宋体" w:cs="宋体"/>
              <w:spacing w:val="-4"/>
              <w:szCs w:val="28"/>
              <w:highlight w:val="none"/>
            </w:rPr>
            <w:t>20.保险</w:t>
          </w:r>
          <w:r>
            <w:tab/>
          </w:r>
          <w:r>
            <w:fldChar w:fldCharType="begin"/>
          </w:r>
          <w:r>
            <w:instrText xml:space="preserve"> PAGEREF _Toc7291 \h </w:instrText>
          </w:r>
          <w:r>
            <w:fldChar w:fldCharType="separate"/>
          </w:r>
          <w:r>
            <w:t>165</w:t>
          </w:r>
          <w:r>
            <w:fldChar w:fldCharType="end"/>
          </w:r>
          <w:r>
            <w:rPr>
              <w:rFonts w:hint="eastAsia"/>
            </w:rPr>
            <w:fldChar w:fldCharType="end"/>
          </w:r>
        </w:p>
        <w:p w14:paraId="1197D353">
          <w:pPr>
            <w:pStyle w:val="5"/>
            <w:tabs>
              <w:tab w:val="right" w:leader="dot" w:pos="8831"/>
            </w:tabs>
          </w:pPr>
          <w:r>
            <w:rPr>
              <w:rFonts w:hint="eastAsia"/>
            </w:rPr>
            <w:fldChar w:fldCharType="begin"/>
          </w:r>
          <w:r>
            <w:rPr>
              <w:rFonts w:hint="eastAsia"/>
            </w:rPr>
            <w:instrText xml:space="preserve"> HYPERLINK \l _Toc21356 </w:instrText>
          </w:r>
          <w:r>
            <w:rPr>
              <w:rFonts w:hint="eastAsia"/>
            </w:rPr>
            <w:fldChar w:fldCharType="separate"/>
          </w:r>
          <w:r>
            <w:rPr>
              <w:rFonts w:hint="eastAsia" w:ascii="宋体" w:hAnsi="宋体" w:eastAsia="宋体" w:cs="宋体"/>
              <w:spacing w:val="-3"/>
              <w:szCs w:val="28"/>
              <w:highlight w:val="none"/>
            </w:rPr>
            <w:t>21.不可抗力</w:t>
          </w:r>
          <w:r>
            <w:tab/>
          </w:r>
          <w:r>
            <w:fldChar w:fldCharType="begin"/>
          </w:r>
          <w:r>
            <w:instrText xml:space="preserve"> PAGEREF _Toc21356 \h </w:instrText>
          </w:r>
          <w:r>
            <w:fldChar w:fldCharType="separate"/>
          </w:r>
          <w:r>
            <w:t>166</w:t>
          </w:r>
          <w:r>
            <w:fldChar w:fldCharType="end"/>
          </w:r>
          <w:r>
            <w:rPr>
              <w:rFonts w:hint="eastAsia"/>
            </w:rPr>
            <w:fldChar w:fldCharType="end"/>
          </w:r>
        </w:p>
        <w:p w14:paraId="5EEECA67">
          <w:pPr>
            <w:pStyle w:val="5"/>
            <w:tabs>
              <w:tab w:val="right" w:leader="dot" w:pos="8831"/>
            </w:tabs>
          </w:pPr>
          <w:r>
            <w:rPr>
              <w:rFonts w:hint="eastAsia"/>
            </w:rPr>
            <w:fldChar w:fldCharType="begin"/>
          </w:r>
          <w:r>
            <w:rPr>
              <w:rFonts w:hint="eastAsia"/>
            </w:rPr>
            <w:instrText xml:space="preserve"> HYPERLINK \l _Toc15969 </w:instrText>
          </w:r>
          <w:r>
            <w:rPr>
              <w:rFonts w:hint="eastAsia"/>
            </w:rPr>
            <w:fldChar w:fldCharType="separate"/>
          </w:r>
          <w:r>
            <w:rPr>
              <w:rFonts w:hint="eastAsia" w:ascii="宋体" w:hAnsi="宋体" w:eastAsia="宋体" w:cs="宋体"/>
              <w:spacing w:val="-4"/>
              <w:szCs w:val="28"/>
              <w:highlight w:val="none"/>
            </w:rPr>
            <w:t>22.违约</w:t>
          </w:r>
          <w:r>
            <w:tab/>
          </w:r>
          <w:r>
            <w:fldChar w:fldCharType="begin"/>
          </w:r>
          <w:r>
            <w:instrText xml:space="preserve"> PAGEREF _Toc15969 \h </w:instrText>
          </w:r>
          <w:r>
            <w:fldChar w:fldCharType="separate"/>
          </w:r>
          <w:r>
            <w:t>167</w:t>
          </w:r>
          <w:r>
            <w:fldChar w:fldCharType="end"/>
          </w:r>
          <w:r>
            <w:rPr>
              <w:rFonts w:hint="eastAsia"/>
            </w:rPr>
            <w:fldChar w:fldCharType="end"/>
          </w:r>
        </w:p>
        <w:p w14:paraId="6D270A98">
          <w:pPr>
            <w:pStyle w:val="5"/>
            <w:tabs>
              <w:tab w:val="right" w:leader="dot" w:pos="8831"/>
            </w:tabs>
          </w:pPr>
          <w:r>
            <w:rPr>
              <w:rFonts w:hint="eastAsia"/>
            </w:rPr>
            <w:fldChar w:fldCharType="begin"/>
          </w:r>
          <w:r>
            <w:rPr>
              <w:rFonts w:hint="eastAsia"/>
            </w:rPr>
            <w:instrText xml:space="preserve"> HYPERLINK \l _Toc10138 </w:instrText>
          </w:r>
          <w:r>
            <w:rPr>
              <w:rFonts w:hint="eastAsia"/>
            </w:rPr>
            <w:fldChar w:fldCharType="separate"/>
          </w:r>
          <w:r>
            <w:rPr>
              <w:rFonts w:hint="eastAsia" w:ascii="宋体" w:hAnsi="宋体" w:eastAsia="宋体" w:cs="宋体"/>
              <w:spacing w:val="-4"/>
              <w:szCs w:val="28"/>
              <w:highlight w:val="none"/>
            </w:rPr>
            <w:t>23.索赔</w:t>
          </w:r>
          <w:r>
            <w:tab/>
          </w:r>
          <w:r>
            <w:fldChar w:fldCharType="begin"/>
          </w:r>
          <w:r>
            <w:instrText xml:space="preserve"> PAGEREF _Toc10138 \h </w:instrText>
          </w:r>
          <w:r>
            <w:fldChar w:fldCharType="separate"/>
          </w:r>
          <w:r>
            <w:t>168</w:t>
          </w:r>
          <w:r>
            <w:fldChar w:fldCharType="end"/>
          </w:r>
          <w:r>
            <w:rPr>
              <w:rFonts w:hint="eastAsia"/>
            </w:rPr>
            <w:fldChar w:fldCharType="end"/>
          </w:r>
        </w:p>
        <w:p w14:paraId="11AC7029">
          <w:pPr>
            <w:pStyle w:val="5"/>
            <w:tabs>
              <w:tab w:val="right" w:leader="dot" w:pos="8831"/>
            </w:tabs>
          </w:pPr>
          <w:r>
            <w:rPr>
              <w:rFonts w:hint="eastAsia"/>
            </w:rPr>
            <w:fldChar w:fldCharType="begin"/>
          </w:r>
          <w:r>
            <w:rPr>
              <w:rFonts w:hint="eastAsia"/>
            </w:rPr>
            <w:instrText xml:space="preserve"> HYPERLINK \l _Toc8532 </w:instrText>
          </w:r>
          <w:r>
            <w:rPr>
              <w:rFonts w:hint="eastAsia"/>
            </w:rPr>
            <w:fldChar w:fldCharType="separate"/>
          </w:r>
          <w:r>
            <w:rPr>
              <w:rFonts w:hint="eastAsia" w:ascii="宋体" w:hAnsi="宋体" w:eastAsia="宋体" w:cs="宋体"/>
              <w:spacing w:val="-4"/>
              <w:szCs w:val="28"/>
              <w:highlight w:val="none"/>
            </w:rPr>
            <w:t>24.争议的解决</w:t>
          </w:r>
          <w:r>
            <w:tab/>
          </w:r>
          <w:r>
            <w:fldChar w:fldCharType="begin"/>
          </w:r>
          <w:r>
            <w:instrText xml:space="preserve"> PAGEREF _Toc8532 \h </w:instrText>
          </w:r>
          <w:r>
            <w:fldChar w:fldCharType="separate"/>
          </w:r>
          <w:r>
            <w:t>169</w:t>
          </w:r>
          <w:r>
            <w:fldChar w:fldCharType="end"/>
          </w:r>
          <w:r>
            <w:rPr>
              <w:rFonts w:hint="eastAsia"/>
            </w:rPr>
            <w:fldChar w:fldCharType="end"/>
          </w:r>
        </w:p>
        <w:p w14:paraId="453D6A93">
          <w:pPr>
            <w:pStyle w:val="5"/>
            <w:tabs>
              <w:tab w:val="right" w:leader="dot" w:pos="8831"/>
            </w:tabs>
          </w:pPr>
          <w:r>
            <w:rPr>
              <w:rFonts w:hint="eastAsia"/>
            </w:rPr>
            <w:fldChar w:fldCharType="begin"/>
          </w:r>
          <w:r>
            <w:rPr>
              <w:rFonts w:hint="eastAsia"/>
            </w:rPr>
            <w:instrText xml:space="preserve"> HYPERLINK \l _Toc14568 </w:instrText>
          </w:r>
          <w:r>
            <w:rPr>
              <w:rFonts w:hint="eastAsia"/>
            </w:rPr>
            <w:fldChar w:fldCharType="separate"/>
          </w:r>
          <w:r>
            <w:rPr>
              <w:rFonts w:hint="eastAsia" w:ascii="宋体" w:hAnsi="宋体" w:eastAsia="宋体" w:cs="宋体"/>
              <w:spacing w:val="7"/>
              <w:szCs w:val="31"/>
              <w:highlight w:val="none"/>
            </w:rPr>
            <w:t>B.项目专用合同条款</w:t>
          </w:r>
          <w:r>
            <w:tab/>
          </w:r>
          <w:r>
            <w:fldChar w:fldCharType="begin"/>
          </w:r>
          <w:r>
            <w:instrText xml:space="preserve"> PAGEREF _Toc14568 \h </w:instrText>
          </w:r>
          <w:r>
            <w:fldChar w:fldCharType="separate"/>
          </w:r>
          <w:r>
            <w:t>171</w:t>
          </w:r>
          <w:r>
            <w:fldChar w:fldCharType="end"/>
          </w:r>
          <w:r>
            <w:rPr>
              <w:rFonts w:hint="eastAsia"/>
            </w:rPr>
            <w:fldChar w:fldCharType="end"/>
          </w:r>
        </w:p>
        <w:p w14:paraId="7FCAD1DC">
          <w:pPr>
            <w:pStyle w:val="5"/>
            <w:tabs>
              <w:tab w:val="right" w:leader="dot" w:pos="8831"/>
            </w:tabs>
          </w:pPr>
          <w:r>
            <w:rPr>
              <w:rFonts w:hint="eastAsia"/>
            </w:rPr>
            <w:fldChar w:fldCharType="begin"/>
          </w:r>
          <w:r>
            <w:rPr>
              <w:rFonts w:hint="eastAsia"/>
            </w:rPr>
            <w:instrText xml:space="preserve"> HYPERLINK \l _Toc13589 </w:instrText>
          </w:r>
          <w:r>
            <w:rPr>
              <w:rFonts w:hint="eastAsia"/>
            </w:rPr>
            <w:fldChar w:fldCharType="separate"/>
          </w:r>
          <w:r>
            <w:rPr>
              <w:rFonts w:hint="eastAsia" w:ascii="宋体" w:hAnsi="宋体" w:eastAsia="宋体" w:cs="宋体"/>
              <w:spacing w:val="8"/>
              <w:szCs w:val="31"/>
              <w:highlight w:val="none"/>
            </w:rPr>
            <w:t>项目专用合同条款数据表</w:t>
          </w:r>
          <w:r>
            <w:tab/>
          </w:r>
          <w:r>
            <w:fldChar w:fldCharType="begin"/>
          </w:r>
          <w:r>
            <w:instrText xml:space="preserve"> PAGEREF _Toc13589 \h </w:instrText>
          </w:r>
          <w:r>
            <w:fldChar w:fldCharType="separate"/>
          </w:r>
          <w:r>
            <w:t>172</w:t>
          </w:r>
          <w:r>
            <w:fldChar w:fldCharType="end"/>
          </w:r>
          <w:r>
            <w:rPr>
              <w:rFonts w:hint="eastAsia"/>
            </w:rPr>
            <w:fldChar w:fldCharType="end"/>
          </w:r>
        </w:p>
        <w:p w14:paraId="2003AE84">
          <w:pPr>
            <w:pStyle w:val="5"/>
            <w:tabs>
              <w:tab w:val="right" w:leader="dot" w:pos="8831"/>
            </w:tabs>
          </w:pPr>
          <w:r>
            <w:rPr>
              <w:rFonts w:hint="eastAsia"/>
            </w:rPr>
            <w:fldChar w:fldCharType="begin"/>
          </w:r>
          <w:r>
            <w:rPr>
              <w:rFonts w:hint="eastAsia"/>
            </w:rPr>
            <w:instrText xml:space="preserve"> HYPERLINK \l _Toc17475 </w:instrText>
          </w:r>
          <w:r>
            <w:rPr>
              <w:rFonts w:hint="eastAsia"/>
            </w:rPr>
            <w:fldChar w:fldCharType="separate"/>
          </w:r>
          <w:r>
            <w:rPr>
              <w:rFonts w:hint="eastAsia" w:ascii="宋体" w:hAnsi="宋体" w:eastAsia="宋体" w:cs="宋体"/>
              <w:spacing w:val="8"/>
              <w:szCs w:val="31"/>
              <w:highlight w:val="none"/>
            </w:rPr>
            <w:t>项目专用合同条款</w:t>
          </w:r>
          <w:r>
            <w:tab/>
          </w:r>
          <w:r>
            <w:fldChar w:fldCharType="begin"/>
          </w:r>
          <w:r>
            <w:instrText xml:space="preserve"> PAGEREF _Toc17475 \h </w:instrText>
          </w:r>
          <w:r>
            <w:fldChar w:fldCharType="separate"/>
          </w:r>
          <w:r>
            <w:t>174</w:t>
          </w:r>
          <w:r>
            <w:fldChar w:fldCharType="end"/>
          </w:r>
          <w:r>
            <w:rPr>
              <w:rFonts w:hint="eastAsia"/>
            </w:rPr>
            <w:fldChar w:fldCharType="end"/>
          </w:r>
        </w:p>
        <w:p w14:paraId="3ECFD2A5">
          <w:pPr>
            <w:pStyle w:val="8"/>
            <w:tabs>
              <w:tab w:val="right" w:leader="dot" w:pos="8831"/>
            </w:tabs>
          </w:pPr>
          <w:r>
            <w:rPr>
              <w:rFonts w:hint="eastAsia"/>
            </w:rPr>
            <w:fldChar w:fldCharType="begin"/>
          </w:r>
          <w:r>
            <w:rPr>
              <w:rFonts w:hint="eastAsia"/>
            </w:rPr>
            <w:instrText xml:space="preserve"> HYPERLINK \l _Toc26181 </w:instrText>
          </w:r>
          <w:r>
            <w:rPr>
              <w:rFonts w:hint="eastAsia"/>
            </w:rPr>
            <w:fldChar w:fldCharType="separate"/>
          </w:r>
          <w:r>
            <w:rPr>
              <w:rFonts w:hint="eastAsia" w:ascii="宋体" w:hAnsi="宋体" w:eastAsia="宋体" w:cs="宋体"/>
              <w:bCs/>
              <w:spacing w:val="4"/>
              <w:szCs w:val="43"/>
              <w:highlight w:val="none"/>
            </w:rPr>
            <w:t>第三节合同附件格式</w:t>
          </w:r>
          <w:r>
            <w:tab/>
          </w:r>
          <w:r>
            <w:fldChar w:fldCharType="begin"/>
          </w:r>
          <w:r>
            <w:instrText xml:space="preserve"> PAGEREF _Toc26181 \h </w:instrText>
          </w:r>
          <w:r>
            <w:fldChar w:fldCharType="separate"/>
          </w:r>
          <w:r>
            <w:t>177</w:t>
          </w:r>
          <w:r>
            <w:fldChar w:fldCharType="end"/>
          </w:r>
          <w:r>
            <w:rPr>
              <w:rFonts w:hint="eastAsia"/>
            </w:rPr>
            <w:fldChar w:fldCharType="end"/>
          </w:r>
        </w:p>
        <w:p w14:paraId="410F572F">
          <w:pPr>
            <w:pStyle w:val="5"/>
            <w:tabs>
              <w:tab w:val="right" w:leader="dot" w:pos="8831"/>
            </w:tabs>
          </w:pPr>
          <w:r>
            <w:rPr>
              <w:rFonts w:hint="eastAsia"/>
            </w:rPr>
            <w:fldChar w:fldCharType="begin"/>
          </w:r>
          <w:r>
            <w:rPr>
              <w:rFonts w:hint="eastAsia"/>
            </w:rPr>
            <w:instrText xml:space="preserve"> HYPERLINK \l _Toc16780 </w:instrText>
          </w:r>
          <w:r>
            <w:rPr>
              <w:rFonts w:hint="eastAsia"/>
            </w:rPr>
            <w:fldChar w:fldCharType="separate"/>
          </w:r>
          <w:r>
            <w:rPr>
              <w:rFonts w:hint="eastAsia" w:ascii="宋体" w:hAnsi="宋体" w:eastAsia="宋体" w:cs="宋体"/>
              <w:spacing w:val="-3"/>
              <w:szCs w:val="24"/>
              <w:highlight w:val="none"/>
            </w:rPr>
            <w:t>附件一合同协议书</w:t>
          </w:r>
          <w:r>
            <w:tab/>
          </w:r>
          <w:r>
            <w:fldChar w:fldCharType="begin"/>
          </w:r>
          <w:r>
            <w:instrText xml:space="preserve"> PAGEREF _Toc16780 \h </w:instrText>
          </w:r>
          <w:r>
            <w:fldChar w:fldCharType="separate"/>
          </w:r>
          <w:r>
            <w:t>178</w:t>
          </w:r>
          <w:r>
            <w:fldChar w:fldCharType="end"/>
          </w:r>
          <w:r>
            <w:rPr>
              <w:rFonts w:hint="eastAsia"/>
            </w:rPr>
            <w:fldChar w:fldCharType="end"/>
          </w:r>
        </w:p>
        <w:p w14:paraId="1BB477BC">
          <w:pPr>
            <w:pStyle w:val="7"/>
            <w:tabs>
              <w:tab w:val="right" w:leader="dot" w:pos="8831"/>
            </w:tabs>
          </w:pPr>
          <w:r>
            <w:rPr>
              <w:rFonts w:hint="eastAsia"/>
            </w:rPr>
            <w:fldChar w:fldCharType="begin"/>
          </w:r>
          <w:r>
            <w:rPr>
              <w:rFonts w:hint="eastAsia"/>
            </w:rPr>
            <w:instrText xml:space="preserve"> HYPERLINK \l _Toc7165 </w:instrText>
          </w:r>
          <w:r>
            <w:rPr>
              <w:rFonts w:hint="eastAsia"/>
            </w:rPr>
            <w:fldChar w:fldCharType="separate"/>
          </w:r>
          <w:r>
            <w:rPr>
              <w:rFonts w:hint="eastAsia" w:ascii="宋体" w:hAnsi="宋体" w:eastAsia="宋体" w:cs="宋体"/>
              <w:bCs/>
              <w:kern w:val="44"/>
              <w:szCs w:val="32"/>
              <w:highlight w:val="none"/>
              <w:lang w:val="en-US" w:eastAsia="zh-CN" w:bidi="ar-SA"/>
            </w:rPr>
            <w:t>一、合同协议书</w:t>
          </w:r>
          <w:r>
            <w:tab/>
          </w:r>
          <w:r>
            <w:fldChar w:fldCharType="begin"/>
          </w:r>
          <w:r>
            <w:instrText xml:space="preserve"> PAGEREF _Toc7165 \h </w:instrText>
          </w:r>
          <w:r>
            <w:fldChar w:fldCharType="separate"/>
          </w:r>
          <w:r>
            <w:t>178</w:t>
          </w:r>
          <w:r>
            <w:fldChar w:fldCharType="end"/>
          </w:r>
          <w:r>
            <w:rPr>
              <w:rFonts w:hint="eastAsia"/>
            </w:rPr>
            <w:fldChar w:fldCharType="end"/>
          </w:r>
        </w:p>
        <w:p w14:paraId="1A0EB7EC">
          <w:pPr>
            <w:pStyle w:val="7"/>
            <w:tabs>
              <w:tab w:val="right" w:leader="dot" w:pos="8831"/>
            </w:tabs>
          </w:pPr>
          <w:r>
            <w:rPr>
              <w:rFonts w:hint="eastAsia"/>
            </w:rPr>
            <w:fldChar w:fldCharType="begin"/>
          </w:r>
          <w:r>
            <w:rPr>
              <w:rFonts w:hint="eastAsia"/>
            </w:rPr>
            <w:instrText xml:space="preserve"> HYPERLINK \l _Toc30539 </w:instrText>
          </w:r>
          <w:r>
            <w:rPr>
              <w:rFonts w:hint="eastAsia"/>
            </w:rPr>
            <w:fldChar w:fldCharType="separate"/>
          </w:r>
          <w:r>
            <w:rPr>
              <w:rFonts w:hint="eastAsia" w:ascii="宋体" w:hAnsi="宋体" w:eastAsia="宋体" w:cs="宋体"/>
              <w:kern w:val="44"/>
              <w:szCs w:val="32"/>
              <w:highlight w:val="none"/>
              <w:lang w:val="en-US" w:eastAsia="zh-CN" w:bidi="ar-SA"/>
            </w:rPr>
            <w:t>二、廉政合同</w:t>
          </w:r>
          <w:r>
            <w:tab/>
          </w:r>
          <w:r>
            <w:fldChar w:fldCharType="begin"/>
          </w:r>
          <w:r>
            <w:instrText xml:space="preserve"> PAGEREF _Toc30539 \h </w:instrText>
          </w:r>
          <w:r>
            <w:fldChar w:fldCharType="separate"/>
          </w:r>
          <w:r>
            <w:t>181</w:t>
          </w:r>
          <w:r>
            <w:fldChar w:fldCharType="end"/>
          </w:r>
          <w:r>
            <w:rPr>
              <w:rFonts w:hint="eastAsia"/>
            </w:rPr>
            <w:fldChar w:fldCharType="end"/>
          </w:r>
        </w:p>
        <w:p w14:paraId="0E1D2A50">
          <w:pPr>
            <w:pStyle w:val="7"/>
            <w:tabs>
              <w:tab w:val="right" w:leader="dot" w:pos="8831"/>
            </w:tabs>
          </w:pPr>
          <w:r>
            <w:rPr>
              <w:rFonts w:hint="eastAsia"/>
            </w:rPr>
            <w:fldChar w:fldCharType="begin"/>
          </w:r>
          <w:r>
            <w:rPr>
              <w:rFonts w:hint="eastAsia"/>
            </w:rPr>
            <w:instrText xml:space="preserve"> HYPERLINK \l _Toc22320 </w:instrText>
          </w:r>
          <w:r>
            <w:rPr>
              <w:rFonts w:hint="eastAsia"/>
            </w:rPr>
            <w:fldChar w:fldCharType="separate"/>
          </w:r>
          <w:r>
            <w:rPr>
              <w:rFonts w:hint="eastAsia" w:ascii="宋体" w:hAnsi="宋体" w:eastAsia="宋体" w:cs="宋体"/>
              <w:bCs/>
              <w:kern w:val="44"/>
              <w:szCs w:val="32"/>
              <w:highlight w:val="none"/>
              <w:lang w:val="en-US" w:eastAsia="zh-CN" w:bidi="ar-SA"/>
            </w:rPr>
            <w:t>三、安全生产合同</w:t>
          </w:r>
          <w:r>
            <w:tab/>
          </w:r>
          <w:r>
            <w:fldChar w:fldCharType="begin"/>
          </w:r>
          <w:r>
            <w:instrText xml:space="preserve"> PAGEREF _Toc22320 \h </w:instrText>
          </w:r>
          <w:r>
            <w:fldChar w:fldCharType="separate"/>
          </w:r>
          <w:r>
            <w:t>183</w:t>
          </w:r>
          <w:r>
            <w:fldChar w:fldCharType="end"/>
          </w:r>
          <w:r>
            <w:rPr>
              <w:rFonts w:hint="eastAsia"/>
            </w:rPr>
            <w:fldChar w:fldCharType="end"/>
          </w:r>
        </w:p>
        <w:p w14:paraId="63163189">
          <w:pPr>
            <w:pStyle w:val="5"/>
            <w:tabs>
              <w:tab w:val="right" w:leader="dot" w:pos="8831"/>
            </w:tabs>
          </w:pPr>
          <w:r>
            <w:rPr>
              <w:rFonts w:hint="eastAsia"/>
            </w:rPr>
            <w:fldChar w:fldCharType="begin"/>
          </w:r>
          <w:r>
            <w:rPr>
              <w:rFonts w:hint="eastAsia"/>
            </w:rPr>
            <w:instrText xml:space="preserve"> HYPERLINK \l _Toc3336 </w:instrText>
          </w:r>
          <w:r>
            <w:rPr>
              <w:rFonts w:hint="eastAsia"/>
            </w:rPr>
            <w:fldChar w:fldCharType="separate"/>
          </w:r>
          <w:r>
            <w:rPr>
              <w:rFonts w:hint="eastAsia" w:ascii="宋体" w:hAnsi="宋体" w:eastAsia="宋体" w:cs="宋体"/>
              <w:spacing w:val="-2"/>
              <w:szCs w:val="24"/>
              <w:highlight w:val="none"/>
            </w:rPr>
            <w:t>附件四其他管理和技术人员最低要求</w:t>
          </w:r>
          <w:r>
            <w:rPr>
              <w:rFonts w:hint="eastAsia" w:ascii="宋体" w:hAnsi="宋体" w:eastAsia="宋体" w:cs="宋体"/>
              <w:bCs/>
              <w:spacing w:val="-2"/>
              <w:position w:val="10"/>
              <w:szCs w:val="12"/>
              <w:highlight w:val="none"/>
            </w:rPr>
            <w:t>①</w:t>
          </w:r>
          <w:r>
            <w:tab/>
          </w:r>
          <w:r>
            <w:fldChar w:fldCharType="begin"/>
          </w:r>
          <w:r>
            <w:instrText xml:space="preserve"> PAGEREF _Toc3336 \h </w:instrText>
          </w:r>
          <w:r>
            <w:fldChar w:fldCharType="separate"/>
          </w:r>
          <w:r>
            <w:t>185</w:t>
          </w:r>
          <w:r>
            <w:fldChar w:fldCharType="end"/>
          </w:r>
          <w:r>
            <w:rPr>
              <w:rFonts w:hint="eastAsia"/>
            </w:rPr>
            <w:fldChar w:fldCharType="end"/>
          </w:r>
        </w:p>
        <w:p w14:paraId="07CAD768">
          <w:pPr>
            <w:pStyle w:val="5"/>
            <w:tabs>
              <w:tab w:val="right" w:leader="dot" w:pos="8831"/>
            </w:tabs>
          </w:pPr>
          <w:r>
            <w:rPr>
              <w:rFonts w:hint="eastAsia"/>
            </w:rPr>
            <w:fldChar w:fldCharType="begin"/>
          </w:r>
          <w:r>
            <w:rPr>
              <w:rFonts w:hint="eastAsia"/>
            </w:rPr>
            <w:instrText xml:space="preserve"> HYPERLINK \l _Toc10782 </w:instrText>
          </w:r>
          <w:r>
            <w:rPr>
              <w:rFonts w:hint="eastAsia"/>
            </w:rPr>
            <w:fldChar w:fldCharType="separate"/>
          </w:r>
          <w:r>
            <w:rPr>
              <w:rFonts w:hint="eastAsia" w:ascii="宋体" w:hAnsi="宋体" w:eastAsia="宋体" w:cs="宋体"/>
              <w:spacing w:val="-1"/>
              <w:szCs w:val="24"/>
              <w:highlight w:val="none"/>
            </w:rPr>
            <w:t>附件五主要机械设备和试验检测设备最低</w:t>
          </w:r>
          <w:r>
            <w:rPr>
              <w:rFonts w:hint="eastAsia" w:ascii="宋体" w:hAnsi="宋体" w:eastAsia="宋体" w:cs="宋体"/>
              <w:spacing w:val="-2"/>
              <w:szCs w:val="24"/>
              <w:highlight w:val="none"/>
            </w:rPr>
            <w:t>要求</w:t>
          </w:r>
          <w:r>
            <w:rPr>
              <w:rFonts w:hint="eastAsia" w:ascii="宋体" w:hAnsi="宋体" w:eastAsia="宋体" w:cs="宋体"/>
              <w:bCs/>
              <w:spacing w:val="-2"/>
              <w:position w:val="10"/>
              <w:szCs w:val="12"/>
              <w:highlight w:val="none"/>
            </w:rPr>
            <w:t>①</w:t>
          </w:r>
          <w:r>
            <w:tab/>
          </w:r>
          <w:r>
            <w:fldChar w:fldCharType="begin"/>
          </w:r>
          <w:r>
            <w:instrText xml:space="preserve"> PAGEREF _Toc10782 \h </w:instrText>
          </w:r>
          <w:r>
            <w:fldChar w:fldCharType="separate"/>
          </w:r>
          <w:r>
            <w:t>186</w:t>
          </w:r>
          <w:r>
            <w:fldChar w:fldCharType="end"/>
          </w:r>
          <w:r>
            <w:rPr>
              <w:rFonts w:hint="eastAsia"/>
            </w:rPr>
            <w:fldChar w:fldCharType="end"/>
          </w:r>
        </w:p>
        <w:p w14:paraId="5A6418D4">
          <w:pPr>
            <w:pStyle w:val="5"/>
            <w:tabs>
              <w:tab w:val="right" w:leader="dot" w:pos="8831"/>
            </w:tabs>
          </w:pPr>
          <w:r>
            <w:rPr>
              <w:rFonts w:hint="eastAsia"/>
            </w:rPr>
            <w:fldChar w:fldCharType="begin"/>
          </w:r>
          <w:r>
            <w:rPr>
              <w:rFonts w:hint="eastAsia"/>
            </w:rPr>
            <w:instrText xml:space="preserve"> HYPERLINK \l _Toc6514 </w:instrText>
          </w:r>
          <w:r>
            <w:rPr>
              <w:rFonts w:hint="eastAsia"/>
            </w:rPr>
            <w:fldChar w:fldCharType="separate"/>
          </w:r>
          <w:r>
            <w:rPr>
              <w:rFonts w:hint="eastAsia" w:ascii="宋体" w:hAnsi="宋体" w:eastAsia="宋体" w:cs="宋体"/>
              <w:spacing w:val="-3"/>
              <w:szCs w:val="24"/>
              <w:highlight w:val="none"/>
            </w:rPr>
            <w:t>附件六项目经理委任书</w:t>
          </w:r>
          <w:r>
            <w:tab/>
          </w:r>
          <w:r>
            <w:fldChar w:fldCharType="begin"/>
          </w:r>
          <w:r>
            <w:instrText xml:space="preserve"> PAGEREF _Toc6514 \h </w:instrText>
          </w:r>
          <w:r>
            <w:fldChar w:fldCharType="separate"/>
          </w:r>
          <w:r>
            <w:t>187</w:t>
          </w:r>
          <w:r>
            <w:fldChar w:fldCharType="end"/>
          </w:r>
          <w:r>
            <w:rPr>
              <w:rFonts w:hint="eastAsia"/>
            </w:rPr>
            <w:fldChar w:fldCharType="end"/>
          </w:r>
        </w:p>
        <w:p w14:paraId="28C30375">
          <w:pPr>
            <w:pStyle w:val="5"/>
            <w:tabs>
              <w:tab w:val="right" w:leader="dot" w:pos="8831"/>
            </w:tabs>
          </w:pPr>
          <w:r>
            <w:rPr>
              <w:rFonts w:hint="eastAsia"/>
            </w:rPr>
            <w:fldChar w:fldCharType="begin"/>
          </w:r>
          <w:r>
            <w:rPr>
              <w:rFonts w:hint="eastAsia"/>
            </w:rPr>
            <w:instrText xml:space="preserve"> HYPERLINK \l _Toc12385 </w:instrText>
          </w:r>
          <w:r>
            <w:rPr>
              <w:rFonts w:hint="eastAsia"/>
            </w:rPr>
            <w:fldChar w:fldCharType="separate"/>
          </w:r>
          <w:r>
            <w:rPr>
              <w:rFonts w:hint="eastAsia" w:ascii="宋体" w:hAnsi="宋体" w:eastAsia="宋体" w:cs="宋体"/>
              <w:spacing w:val="-3"/>
              <w:szCs w:val="24"/>
              <w:highlight w:val="none"/>
            </w:rPr>
            <w:t>附件七履约保证金格式</w:t>
          </w:r>
          <w:r>
            <w:tab/>
          </w:r>
          <w:r>
            <w:fldChar w:fldCharType="begin"/>
          </w:r>
          <w:r>
            <w:instrText xml:space="preserve"> PAGEREF _Toc12385 \h </w:instrText>
          </w:r>
          <w:r>
            <w:fldChar w:fldCharType="separate"/>
          </w:r>
          <w:r>
            <w:t>188</w:t>
          </w:r>
          <w:r>
            <w:fldChar w:fldCharType="end"/>
          </w:r>
          <w:r>
            <w:rPr>
              <w:rFonts w:hint="eastAsia"/>
            </w:rPr>
            <w:fldChar w:fldCharType="end"/>
          </w:r>
        </w:p>
        <w:p w14:paraId="039C2F49">
          <w:pPr>
            <w:pStyle w:val="5"/>
            <w:tabs>
              <w:tab w:val="right" w:leader="dot" w:pos="8831"/>
            </w:tabs>
          </w:pPr>
          <w:r>
            <w:rPr>
              <w:rFonts w:hint="eastAsia"/>
            </w:rPr>
            <w:fldChar w:fldCharType="begin"/>
          </w:r>
          <w:r>
            <w:rPr>
              <w:rFonts w:hint="eastAsia"/>
            </w:rPr>
            <w:instrText xml:space="preserve"> HYPERLINK \l _Toc21181 </w:instrText>
          </w:r>
          <w:r>
            <w:rPr>
              <w:rFonts w:hint="eastAsia"/>
            </w:rPr>
            <w:fldChar w:fldCharType="separate"/>
          </w:r>
          <w:r>
            <w:rPr>
              <w:rFonts w:hint="eastAsia" w:ascii="宋体" w:hAnsi="宋体" w:eastAsia="宋体" w:cs="宋体"/>
              <w:spacing w:val="-2"/>
              <w:szCs w:val="24"/>
              <w:highlight w:val="none"/>
            </w:rPr>
            <w:t>附件八工程资金监管协议格式</w:t>
          </w:r>
          <w:r>
            <w:tab/>
          </w:r>
          <w:r>
            <w:fldChar w:fldCharType="begin"/>
          </w:r>
          <w:r>
            <w:instrText xml:space="preserve"> PAGEREF _Toc21181 \h </w:instrText>
          </w:r>
          <w:r>
            <w:fldChar w:fldCharType="separate"/>
          </w:r>
          <w:r>
            <w:t>189</w:t>
          </w:r>
          <w:r>
            <w:fldChar w:fldCharType="end"/>
          </w:r>
          <w:r>
            <w:rPr>
              <w:rFonts w:hint="eastAsia"/>
            </w:rPr>
            <w:fldChar w:fldCharType="end"/>
          </w:r>
        </w:p>
        <w:p w14:paraId="2A70E19C">
          <w:pPr>
            <w:pStyle w:val="7"/>
            <w:tabs>
              <w:tab w:val="right" w:leader="dot" w:pos="8831"/>
            </w:tabs>
          </w:pPr>
          <w:r>
            <w:rPr>
              <w:rFonts w:hint="eastAsia"/>
            </w:rPr>
            <w:fldChar w:fldCharType="begin"/>
          </w:r>
          <w:r>
            <w:rPr>
              <w:rFonts w:hint="eastAsia"/>
            </w:rPr>
            <w:instrText xml:space="preserve"> HYPERLINK \l _Toc13404 </w:instrText>
          </w:r>
          <w:r>
            <w:rPr>
              <w:rFonts w:hint="eastAsia"/>
            </w:rPr>
            <w:fldChar w:fldCharType="separate"/>
          </w:r>
          <w:r>
            <w:rPr>
              <w:rFonts w:hint="eastAsia" w:ascii="宋体" w:hAnsi="宋体" w:eastAsia="宋体" w:cs="宋体"/>
              <w:spacing w:val="8"/>
              <w:szCs w:val="35"/>
              <w:highlight w:val="none"/>
            </w:rPr>
            <w:t>第五章工程量清单</w:t>
          </w:r>
          <w:r>
            <w:tab/>
          </w:r>
          <w:r>
            <w:fldChar w:fldCharType="begin"/>
          </w:r>
          <w:r>
            <w:instrText xml:space="preserve"> PAGEREF _Toc13404 \h </w:instrText>
          </w:r>
          <w:r>
            <w:fldChar w:fldCharType="separate"/>
          </w:r>
          <w:r>
            <w:t>193</w:t>
          </w:r>
          <w:r>
            <w:fldChar w:fldCharType="end"/>
          </w:r>
          <w:r>
            <w:rPr>
              <w:rFonts w:hint="eastAsia"/>
            </w:rPr>
            <w:fldChar w:fldCharType="end"/>
          </w:r>
        </w:p>
        <w:p w14:paraId="1BA70DCA">
          <w:pPr>
            <w:pStyle w:val="8"/>
            <w:tabs>
              <w:tab w:val="right" w:leader="dot" w:pos="8831"/>
            </w:tabs>
          </w:pPr>
          <w:r>
            <w:rPr>
              <w:rFonts w:hint="eastAsia"/>
            </w:rPr>
            <w:fldChar w:fldCharType="begin"/>
          </w:r>
          <w:r>
            <w:rPr>
              <w:rFonts w:hint="eastAsia"/>
            </w:rPr>
            <w:instrText xml:space="preserve"> HYPERLINK \l _Toc31448 </w:instrText>
          </w:r>
          <w:r>
            <w:rPr>
              <w:rFonts w:hint="eastAsia"/>
            </w:rPr>
            <w:fldChar w:fldCharType="separate"/>
          </w:r>
          <w:r>
            <w:rPr>
              <w:rFonts w:hint="eastAsia" w:ascii="宋体" w:hAnsi="宋体" w:eastAsia="宋体" w:cs="宋体"/>
              <w:spacing w:val="-4"/>
              <w:szCs w:val="28"/>
              <w:highlight w:val="none"/>
            </w:rPr>
            <w:t>1.</w:t>
          </w:r>
          <w:r>
            <w:rPr>
              <w:rFonts w:hint="eastAsia" w:ascii="宋体" w:hAnsi="宋体" w:eastAsia="宋体" w:cs="宋体"/>
              <w:spacing w:val="-4"/>
              <w:szCs w:val="24"/>
              <w:highlight w:val="none"/>
            </w:rPr>
            <w:t>工程量清单说明</w:t>
          </w:r>
          <w:r>
            <w:tab/>
          </w:r>
          <w:r>
            <w:fldChar w:fldCharType="begin"/>
          </w:r>
          <w:r>
            <w:instrText xml:space="preserve"> PAGEREF _Toc31448 \h </w:instrText>
          </w:r>
          <w:r>
            <w:fldChar w:fldCharType="separate"/>
          </w:r>
          <w:r>
            <w:t>193</w:t>
          </w:r>
          <w:r>
            <w:fldChar w:fldCharType="end"/>
          </w:r>
          <w:r>
            <w:rPr>
              <w:rFonts w:hint="eastAsia"/>
            </w:rPr>
            <w:fldChar w:fldCharType="end"/>
          </w:r>
        </w:p>
        <w:p w14:paraId="7C743D26">
          <w:pPr>
            <w:pStyle w:val="8"/>
            <w:tabs>
              <w:tab w:val="right" w:leader="dot" w:pos="8831"/>
            </w:tabs>
          </w:pPr>
          <w:r>
            <w:rPr>
              <w:rFonts w:hint="eastAsia"/>
            </w:rPr>
            <w:fldChar w:fldCharType="begin"/>
          </w:r>
          <w:r>
            <w:rPr>
              <w:rFonts w:hint="eastAsia"/>
            </w:rPr>
            <w:instrText xml:space="preserve"> HYPERLINK \l _Toc21772 </w:instrText>
          </w:r>
          <w:r>
            <w:rPr>
              <w:rFonts w:hint="eastAsia"/>
            </w:rPr>
            <w:fldChar w:fldCharType="separate"/>
          </w:r>
          <w:r>
            <w:rPr>
              <w:rFonts w:hint="eastAsia" w:ascii="宋体" w:hAnsi="宋体" w:eastAsia="宋体" w:cs="宋体"/>
              <w:spacing w:val="-2"/>
              <w:szCs w:val="28"/>
              <w:highlight w:val="none"/>
            </w:rPr>
            <w:t>2.</w:t>
          </w:r>
          <w:r>
            <w:rPr>
              <w:rFonts w:hint="eastAsia" w:ascii="宋体" w:hAnsi="宋体" w:eastAsia="宋体" w:cs="宋体"/>
              <w:spacing w:val="-2"/>
              <w:szCs w:val="24"/>
              <w:highlight w:val="none"/>
            </w:rPr>
            <w:t>投标报价说明</w:t>
          </w:r>
          <w:r>
            <w:tab/>
          </w:r>
          <w:r>
            <w:fldChar w:fldCharType="begin"/>
          </w:r>
          <w:r>
            <w:instrText xml:space="preserve"> PAGEREF _Toc21772 \h </w:instrText>
          </w:r>
          <w:r>
            <w:fldChar w:fldCharType="separate"/>
          </w:r>
          <w:r>
            <w:t>193</w:t>
          </w:r>
          <w:r>
            <w:fldChar w:fldCharType="end"/>
          </w:r>
          <w:r>
            <w:rPr>
              <w:rFonts w:hint="eastAsia"/>
            </w:rPr>
            <w:fldChar w:fldCharType="end"/>
          </w:r>
        </w:p>
        <w:p w14:paraId="4180FF98">
          <w:pPr>
            <w:pStyle w:val="8"/>
            <w:tabs>
              <w:tab w:val="right" w:leader="dot" w:pos="8831"/>
            </w:tabs>
          </w:pPr>
          <w:r>
            <w:rPr>
              <w:rFonts w:hint="eastAsia"/>
            </w:rPr>
            <w:fldChar w:fldCharType="begin"/>
          </w:r>
          <w:r>
            <w:rPr>
              <w:rFonts w:hint="eastAsia"/>
            </w:rPr>
            <w:instrText xml:space="preserve"> HYPERLINK \l _Toc11882 </w:instrText>
          </w:r>
          <w:r>
            <w:rPr>
              <w:rFonts w:hint="eastAsia"/>
            </w:rPr>
            <w:fldChar w:fldCharType="separate"/>
          </w:r>
          <w:r>
            <w:rPr>
              <w:rFonts w:hint="eastAsia" w:ascii="宋体" w:hAnsi="宋体" w:eastAsia="宋体" w:cs="宋体"/>
              <w:spacing w:val="-3"/>
              <w:szCs w:val="28"/>
              <w:highlight w:val="none"/>
            </w:rPr>
            <w:t>3.</w:t>
          </w:r>
          <w:r>
            <w:rPr>
              <w:rFonts w:hint="eastAsia" w:ascii="宋体" w:hAnsi="宋体" w:eastAsia="宋体" w:cs="宋体"/>
              <w:spacing w:val="-3"/>
              <w:szCs w:val="24"/>
              <w:highlight w:val="none"/>
            </w:rPr>
            <w:t>计日工说明</w:t>
          </w:r>
          <w:r>
            <w:tab/>
          </w:r>
          <w:r>
            <w:fldChar w:fldCharType="begin"/>
          </w:r>
          <w:r>
            <w:instrText xml:space="preserve"> PAGEREF _Toc11882 \h </w:instrText>
          </w:r>
          <w:r>
            <w:fldChar w:fldCharType="separate"/>
          </w:r>
          <w:r>
            <w:t>194</w:t>
          </w:r>
          <w:r>
            <w:fldChar w:fldCharType="end"/>
          </w:r>
          <w:r>
            <w:rPr>
              <w:rFonts w:hint="eastAsia"/>
            </w:rPr>
            <w:fldChar w:fldCharType="end"/>
          </w:r>
        </w:p>
        <w:p w14:paraId="742CB112">
          <w:pPr>
            <w:pStyle w:val="8"/>
            <w:tabs>
              <w:tab w:val="right" w:leader="dot" w:pos="8831"/>
            </w:tabs>
          </w:pPr>
          <w:r>
            <w:rPr>
              <w:rFonts w:hint="eastAsia"/>
            </w:rPr>
            <w:fldChar w:fldCharType="begin"/>
          </w:r>
          <w:r>
            <w:rPr>
              <w:rFonts w:hint="eastAsia"/>
            </w:rPr>
            <w:instrText xml:space="preserve"> HYPERLINK \l _Toc22418 </w:instrText>
          </w:r>
          <w:r>
            <w:rPr>
              <w:rFonts w:hint="eastAsia"/>
            </w:rPr>
            <w:fldChar w:fldCharType="separate"/>
          </w:r>
          <w:r>
            <w:rPr>
              <w:rFonts w:hint="eastAsia" w:ascii="宋体" w:hAnsi="宋体" w:eastAsia="宋体" w:cs="宋体"/>
              <w:spacing w:val="-4"/>
              <w:szCs w:val="28"/>
              <w:highlight w:val="none"/>
            </w:rPr>
            <w:t>4.</w:t>
          </w:r>
          <w:r>
            <w:rPr>
              <w:rFonts w:hint="eastAsia" w:ascii="宋体" w:hAnsi="宋体" w:eastAsia="宋体" w:cs="宋体"/>
              <w:spacing w:val="-4"/>
              <w:szCs w:val="24"/>
              <w:highlight w:val="none"/>
            </w:rPr>
            <w:t>其他说明</w:t>
          </w:r>
          <w:r>
            <w:tab/>
          </w:r>
          <w:r>
            <w:fldChar w:fldCharType="begin"/>
          </w:r>
          <w:r>
            <w:instrText xml:space="preserve"> PAGEREF _Toc22418 \h </w:instrText>
          </w:r>
          <w:r>
            <w:fldChar w:fldCharType="separate"/>
          </w:r>
          <w:r>
            <w:t>195</w:t>
          </w:r>
          <w:r>
            <w:fldChar w:fldCharType="end"/>
          </w:r>
          <w:r>
            <w:rPr>
              <w:rFonts w:hint="eastAsia"/>
            </w:rPr>
            <w:fldChar w:fldCharType="end"/>
          </w:r>
        </w:p>
        <w:p w14:paraId="52928E78">
          <w:pPr>
            <w:pStyle w:val="7"/>
            <w:tabs>
              <w:tab w:val="right" w:leader="dot" w:pos="8831"/>
            </w:tabs>
          </w:pPr>
          <w:r>
            <w:rPr>
              <w:rFonts w:hint="eastAsia"/>
            </w:rPr>
            <w:fldChar w:fldCharType="begin"/>
          </w:r>
          <w:r>
            <w:rPr>
              <w:rFonts w:hint="eastAsia"/>
            </w:rPr>
            <w:instrText xml:space="preserve"> HYPERLINK \l _Toc13504 </w:instrText>
          </w:r>
          <w:r>
            <w:rPr>
              <w:rFonts w:hint="eastAsia"/>
            </w:rPr>
            <w:fldChar w:fldCharType="separate"/>
          </w:r>
          <w:r>
            <w:rPr>
              <w:rFonts w:hint="eastAsia" w:ascii="宋体" w:hAnsi="宋体" w:eastAsia="宋体" w:cs="宋体"/>
              <w:spacing w:val="-10"/>
              <w:szCs w:val="76"/>
              <w:highlight w:val="none"/>
            </w:rPr>
            <w:t>第二卷</w:t>
          </w:r>
          <w:r>
            <w:tab/>
          </w:r>
          <w:r>
            <w:fldChar w:fldCharType="begin"/>
          </w:r>
          <w:r>
            <w:instrText xml:space="preserve"> PAGEREF _Toc13504 \h </w:instrText>
          </w:r>
          <w:r>
            <w:fldChar w:fldCharType="separate"/>
          </w:r>
          <w:r>
            <w:t>196</w:t>
          </w:r>
          <w:r>
            <w:fldChar w:fldCharType="end"/>
          </w:r>
          <w:r>
            <w:rPr>
              <w:rFonts w:hint="eastAsia"/>
            </w:rPr>
            <w:fldChar w:fldCharType="end"/>
          </w:r>
        </w:p>
        <w:p w14:paraId="6B50D896">
          <w:pPr>
            <w:pStyle w:val="7"/>
            <w:tabs>
              <w:tab w:val="right" w:leader="dot" w:pos="8831"/>
            </w:tabs>
          </w:pPr>
          <w:r>
            <w:rPr>
              <w:rFonts w:hint="eastAsia"/>
            </w:rPr>
            <w:fldChar w:fldCharType="begin"/>
          </w:r>
          <w:r>
            <w:rPr>
              <w:rFonts w:hint="eastAsia"/>
            </w:rPr>
            <w:instrText xml:space="preserve"> HYPERLINK \l _Toc27126 </w:instrText>
          </w:r>
          <w:r>
            <w:rPr>
              <w:rFonts w:hint="eastAsia"/>
            </w:rPr>
            <w:fldChar w:fldCharType="separate"/>
          </w:r>
          <w:r>
            <w:rPr>
              <w:rFonts w:hint="eastAsia" w:ascii="宋体" w:hAnsi="宋体" w:eastAsia="宋体" w:cs="宋体"/>
              <w:spacing w:val="6"/>
              <w:szCs w:val="55"/>
              <w:highlight w:val="none"/>
            </w:rPr>
            <w:t>第六章图纸（另册）</w:t>
          </w:r>
          <w:r>
            <w:tab/>
          </w:r>
          <w:r>
            <w:fldChar w:fldCharType="begin"/>
          </w:r>
          <w:r>
            <w:instrText xml:space="preserve"> PAGEREF _Toc27126 \h </w:instrText>
          </w:r>
          <w:r>
            <w:fldChar w:fldCharType="separate"/>
          </w:r>
          <w:r>
            <w:t>197</w:t>
          </w:r>
          <w:r>
            <w:fldChar w:fldCharType="end"/>
          </w:r>
          <w:r>
            <w:rPr>
              <w:rFonts w:hint="eastAsia"/>
            </w:rPr>
            <w:fldChar w:fldCharType="end"/>
          </w:r>
        </w:p>
        <w:p w14:paraId="614E9231">
          <w:pPr>
            <w:pStyle w:val="7"/>
            <w:tabs>
              <w:tab w:val="right" w:leader="dot" w:pos="8831"/>
            </w:tabs>
          </w:pPr>
          <w:r>
            <w:rPr>
              <w:rFonts w:hint="eastAsia"/>
            </w:rPr>
            <w:fldChar w:fldCharType="begin"/>
          </w:r>
          <w:r>
            <w:rPr>
              <w:rFonts w:hint="eastAsia"/>
            </w:rPr>
            <w:instrText xml:space="preserve"> HYPERLINK \l _Toc8200 </w:instrText>
          </w:r>
          <w:r>
            <w:rPr>
              <w:rFonts w:hint="eastAsia"/>
            </w:rPr>
            <w:fldChar w:fldCharType="separate"/>
          </w:r>
          <w:r>
            <w:rPr>
              <w:rFonts w:hint="eastAsia" w:ascii="宋体" w:hAnsi="宋体" w:eastAsia="宋体" w:cs="宋体"/>
              <w:spacing w:val="-10"/>
              <w:szCs w:val="76"/>
              <w:highlight w:val="none"/>
            </w:rPr>
            <w:t>第三卷</w:t>
          </w:r>
          <w:r>
            <w:tab/>
          </w:r>
          <w:r>
            <w:fldChar w:fldCharType="begin"/>
          </w:r>
          <w:r>
            <w:instrText xml:space="preserve"> PAGEREF _Toc8200 \h </w:instrText>
          </w:r>
          <w:r>
            <w:fldChar w:fldCharType="separate"/>
          </w:r>
          <w:r>
            <w:t>198</w:t>
          </w:r>
          <w:r>
            <w:fldChar w:fldCharType="end"/>
          </w:r>
          <w:r>
            <w:rPr>
              <w:rFonts w:hint="eastAsia"/>
            </w:rPr>
            <w:fldChar w:fldCharType="end"/>
          </w:r>
        </w:p>
        <w:p w14:paraId="78DD737A">
          <w:pPr>
            <w:pStyle w:val="7"/>
            <w:tabs>
              <w:tab w:val="right" w:leader="dot" w:pos="8831"/>
            </w:tabs>
          </w:pPr>
          <w:r>
            <w:rPr>
              <w:rFonts w:hint="eastAsia"/>
            </w:rPr>
            <w:fldChar w:fldCharType="begin"/>
          </w:r>
          <w:r>
            <w:rPr>
              <w:rFonts w:hint="eastAsia"/>
            </w:rPr>
            <w:instrText xml:space="preserve"> HYPERLINK \l _Toc2274 </w:instrText>
          </w:r>
          <w:r>
            <w:rPr>
              <w:rFonts w:hint="eastAsia"/>
            </w:rPr>
            <w:fldChar w:fldCharType="separate"/>
          </w:r>
          <w:r>
            <w:rPr>
              <w:rFonts w:hint="eastAsia" w:ascii="宋体" w:hAnsi="宋体" w:eastAsia="宋体" w:cs="宋体"/>
              <w:spacing w:val="7"/>
              <w:szCs w:val="55"/>
              <w:highlight w:val="none"/>
            </w:rPr>
            <w:t>第七章技术规范（另册）</w:t>
          </w:r>
          <w:r>
            <w:tab/>
          </w:r>
          <w:r>
            <w:fldChar w:fldCharType="begin"/>
          </w:r>
          <w:r>
            <w:instrText xml:space="preserve"> PAGEREF _Toc2274 \h </w:instrText>
          </w:r>
          <w:r>
            <w:fldChar w:fldCharType="separate"/>
          </w:r>
          <w:r>
            <w:t>199</w:t>
          </w:r>
          <w:r>
            <w:fldChar w:fldCharType="end"/>
          </w:r>
          <w:r>
            <w:rPr>
              <w:rFonts w:hint="eastAsia"/>
            </w:rPr>
            <w:fldChar w:fldCharType="end"/>
          </w:r>
        </w:p>
        <w:p w14:paraId="4965829D">
          <w:pPr>
            <w:pStyle w:val="7"/>
            <w:tabs>
              <w:tab w:val="right" w:leader="dot" w:pos="8831"/>
            </w:tabs>
          </w:pPr>
          <w:r>
            <w:rPr>
              <w:rFonts w:hint="eastAsia"/>
            </w:rPr>
            <w:fldChar w:fldCharType="begin"/>
          </w:r>
          <w:r>
            <w:rPr>
              <w:rFonts w:hint="eastAsia"/>
            </w:rPr>
            <w:instrText xml:space="preserve"> HYPERLINK \l _Toc18579 </w:instrText>
          </w:r>
          <w:r>
            <w:rPr>
              <w:rFonts w:hint="eastAsia"/>
            </w:rPr>
            <w:fldChar w:fldCharType="separate"/>
          </w:r>
          <w:r>
            <w:rPr>
              <w:rFonts w:hint="eastAsia" w:ascii="宋体" w:hAnsi="宋体" w:eastAsia="宋体" w:cs="宋体"/>
              <w:spacing w:val="8"/>
              <w:szCs w:val="55"/>
              <w:highlight w:val="none"/>
            </w:rPr>
            <w:t>第八章工程量清单计量规则</w:t>
          </w:r>
          <w:r>
            <w:tab/>
          </w:r>
          <w:r>
            <w:fldChar w:fldCharType="begin"/>
          </w:r>
          <w:r>
            <w:instrText xml:space="preserve"> PAGEREF _Toc18579 \h </w:instrText>
          </w:r>
          <w:r>
            <w:fldChar w:fldCharType="separate"/>
          </w:r>
          <w:r>
            <w:t>200</w:t>
          </w:r>
          <w:r>
            <w:fldChar w:fldCharType="end"/>
          </w:r>
          <w:r>
            <w:rPr>
              <w:rFonts w:hint="eastAsia"/>
            </w:rPr>
            <w:fldChar w:fldCharType="end"/>
          </w:r>
        </w:p>
        <w:p w14:paraId="7BF529F8">
          <w:pPr>
            <w:pStyle w:val="7"/>
            <w:tabs>
              <w:tab w:val="right" w:leader="dot" w:pos="8831"/>
            </w:tabs>
          </w:pPr>
          <w:r>
            <w:rPr>
              <w:rFonts w:hint="eastAsia"/>
            </w:rPr>
            <w:fldChar w:fldCharType="begin"/>
          </w:r>
          <w:r>
            <w:rPr>
              <w:rFonts w:hint="eastAsia"/>
            </w:rPr>
            <w:instrText xml:space="preserve"> HYPERLINK \l _Toc2162 </w:instrText>
          </w:r>
          <w:r>
            <w:rPr>
              <w:rFonts w:hint="eastAsia"/>
            </w:rPr>
            <w:fldChar w:fldCharType="separate"/>
          </w:r>
          <w:r>
            <w:rPr>
              <w:rFonts w:hint="eastAsia" w:ascii="宋体" w:hAnsi="宋体" w:eastAsia="宋体" w:cs="宋体"/>
              <w:spacing w:val="-10"/>
              <w:szCs w:val="76"/>
              <w:highlight w:val="none"/>
            </w:rPr>
            <w:t>第四卷</w:t>
          </w:r>
          <w:r>
            <w:tab/>
          </w:r>
          <w:r>
            <w:fldChar w:fldCharType="begin"/>
          </w:r>
          <w:r>
            <w:instrText xml:space="preserve"> PAGEREF _Toc2162 \h </w:instrText>
          </w:r>
          <w:r>
            <w:fldChar w:fldCharType="separate"/>
          </w:r>
          <w:r>
            <w:t>201</w:t>
          </w:r>
          <w:r>
            <w:fldChar w:fldCharType="end"/>
          </w:r>
          <w:r>
            <w:rPr>
              <w:rFonts w:hint="eastAsia"/>
            </w:rPr>
            <w:fldChar w:fldCharType="end"/>
          </w:r>
        </w:p>
        <w:p w14:paraId="01BB8241">
          <w:pPr>
            <w:pStyle w:val="7"/>
            <w:tabs>
              <w:tab w:val="right" w:leader="dot" w:pos="8831"/>
            </w:tabs>
          </w:pPr>
          <w:r>
            <w:rPr>
              <w:rFonts w:hint="eastAsia"/>
            </w:rPr>
            <w:fldChar w:fldCharType="begin"/>
          </w:r>
          <w:r>
            <w:rPr>
              <w:rFonts w:hint="eastAsia"/>
            </w:rPr>
            <w:instrText xml:space="preserve"> HYPERLINK \l _Toc17138 </w:instrText>
          </w:r>
          <w:r>
            <w:rPr>
              <w:rFonts w:hint="eastAsia"/>
            </w:rPr>
            <w:fldChar w:fldCharType="separate"/>
          </w:r>
          <w:r>
            <w:rPr>
              <w:rFonts w:hint="eastAsia" w:ascii="宋体" w:hAnsi="宋体" w:eastAsia="宋体" w:cs="宋体"/>
              <w:spacing w:val="6"/>
              <w:szCs w:val="55"/>
              <w:highlight w:val="none"/>
            </w:rPr>
            <w:t>第九章投标文件格式</w:t>
          </w:r>
          <w:r>
            <w:rPr>
              <w:rFonts w:hint="eastAsia" w:ascii="宋体" w:hAnsi="宋体" w:eastAsia="宋体" w:cs="宋体"/>
              <w:bCs/>
              <w:spacing w:val="6"/>
              <w:position w:val="24"/>
              <w:szCs w:val="28"/>
              <w:highlight w:val="none"/>
            </w:rPr>
            <w:t>①</w:t>
          </w:r>
          <w:r>
            <w:tab/>
          </w:r>
          <w:r>
            <w:fldChar w:fldCharType="begin"/>
          </w:r>
          <w:r>
            <w:instrText xml:space="preserve"> PAGEREF _Toc17138 \h </w:instrText>
          </w:r>
          <w:r>
            <w:fldChar w:fldCharType="separate"/>
          </w:r>
          <w:r>
            <w:t>202</w:t>
          </w:r>
          <w:r>
            <w:fldChar w:fldCharType="end"/>
          </w:r>
          <w:r>
            <w:rPr>
              <w:rFonts w:hint="eastAsia"/>
            </w:rPr>
            <w:fldChar w:fldCharType="end"/>
          </w:r>
        </w:p>
        <w:p w14:paraId="3D7272EF">
          <w:pPr>
            <w:pStyle w:val="8"/>
            <w:tabs>
              <w:tab w:val="right" w:leader="dot" w:pos="8831"/>
            </w:tabs>
          </w:pPr>
          <w:r>
            <w:rPr>
              <w:rFonts w:hint="eastAsia"/>
            </w:rPr>
            <w:fldChar w:fldCharType="begin"/>
          </w:r>
          <w:r>
            <w:rPr>
              <w:rFonts w:hint="eastAsia"/>
            </w:rPr>
            <w:instrText xml:space="preserve"> HYPERLINK \l _Toc74 </w:instrText>
          </w:r>
          <w:r>
            <w:rPr>
              <w:rFonts w:hint="eastAsia"/>
            </w:rPr>
            <w:fldChar w:fldCharType="separate"/>
          </w:r>
          <w:r>
            <w:rPr>
              <w:rFonts w:hint="eastAsia" w:ascii="宋体" w:hAnsi="宋体" w:eastAsia="宋体" w:cs="宋体"/>
              <w:spacing w:val="6"/>
              <w:szCs w:val="31"/>
              <w:highlight w:val="none"/>
            </w:rPr>
            <w:t>（第一信封商务及技术文件）</w:t>
          </w:r>
          <w:r>
            <w:tab/>
          </w:r>
          <w:r>
            <w:fldChar w:fldCharType="begin"/>
          </w:r>
          <w:r>
            <w:instrText xml:space="preserve"> PAGEREF _Toc74 \h </w:instrText>
          </w:r>
          <w:r>
            <w:fldChar w:fldCharType="separate"/>
          </w:r>
          <w:r>
            <w:t>203</w:t>
          </w:r>
          <w:r>
            <w:fldChar w:fldCharType="end"/>
          </w:r>
          <w:r>
            <w:rPr>
              <w:rFonts w:hint="eastAsia"/>
            </w:rPr>
            <w:fldChar w:fldCharType="end"/>
          </w:r>
        </w:p>
        <w:p w14:paraId="39E92FCC">
          <w:pPr>
            <w:pStyle w:val="8"/>
            <w:tabs>
              <w:tab w:val="right" w:leader="dot" w:pos="8831"/>
            </w:tabs>
          </w:pPr>
          <w:r>
            <w:rPr>
              <w:rFonts w:hint="eastAsia"/>
            </w:rPr>
            <w:fldChar w:fldCharType="begin"/>
          </w:r>
          <w:r>
            <w:rPr>
              <w:rFonts w:hint="eastAsia"/>
            </w:rPr>
            <w:instrText xml:space="preserve"> HYPERLINK \l _Toc12328 </w:instrText>
          </w:r>
          <w:r>
            <w:rPr>
              <w:rFonts w:hint="eastAsia"/>
            </w:rPr>
            <w:fldChar w:fldCharType="separate"/>
          </w:r>
          <w:r>
            <w:rPr>
              <w:rFonts w:hint="eastAsia" w:ascii="宋体" w:hAnsi="宋体" w:eastAsia="宋体" w:cs="宋体"/>
              <w:spacing w:val="-2"/>
              <w:szCs w:val="30"/>
              <w:highlight w:val="none"/>
            </w:rPr>
            <w:t>一、投标函及投标函附录</w:t>
          </w:r>
          <w:r>
            <w:tab/>
          </w:r>
          <w:r>
            <w:fldChar w:fldCharType="begin"/>
          </w:r>
          <w:r>
            <w:instrText xml:space="preserve"> PAGEREF _Toc12328 \h </w:instrText>
          </w:r>
          <w:r>
            <w:fldChar w:fldCharType="separate"/>
          </w:r>
          <w:r>
            <w:t>213</w:t>
          </w:r>
          <w:r>
            <w:fldChar w:fldCharType="end"/>
          </w:r>
          <w:r>
            <w:rPr>
              <w:rFonts w:hint="eastAsia"/>
            </w:rPr>
            <w:fldChar w:fldCharType="end"/>
          </w:r>
        </w:p>
        <w:p w14:paraId="433CCD6E">
          <w:pPr>
            <w:pStyle w:val="5"/>
            <w:tabs>
              <w:tab w:val="right" w:leader="dot" w:pos="8831"/>
            </w:tabs>
          </w:pPr>
          <w:r>
            <w:rPr>
              <w:rFonts w:hint="eastAsia"/>
            </w:rPr>
            <w:fldChar w:fldCharType="begin"/>
          </w:r>
          <w:r>
            <w:rPr>
              <w:rFonts w:hint="eastAsia"/>
            </w:rPr>
            <w:instrText xml:space="preserve"> HYPERLINK \l _Toc7567 </w:instrText>
          </w:r>
          <w:r>
            <w:rPr>
              <w:rFonts w:hint="eastAsia"/>
            </w:rPr>
            <w:fldChar w:fldCharType="separate"/>
          </w:r>
          <w:r>
            <w:rPr>
              <w:rFonts w:hint="eastAsia" w:ascii="宋体" w:hAnsi="宋体" w:eastAsia="宋体" w:cs="宋体"/>
              <w:spacing w:val="-5"/>
              <w:szCs w:val="28"/>
              <w:highlight w:val="none"/>
            </w:rPr>
            <w:t>（一）投标函</w:t>
          </w:r>
          <w:r>
            <w:tab/>
          </w:r>
          <w:r>
            <w:fldChar w:fldCharType="begin"/>
          </w:r>
          <w:r>
            <w:instrText xml:space="preserve"> PAGEREF _Toc7567 \h </w:instrText>
          </w:r>
          <w:r>
            <w:fldChar w:fldCharType="separate"/>
          </w:r>
          <w:r>
            <w:t>213</w:t>
          </w:r>
          <w:r>
            <w:fldChar w:fldCharType="end"/>
          </w:r>
          <w:r>
            <w:rPr>
              <w:rFonts w:hint="eastAsia"/>
            </w:rPr>
            <w:fldChar w:fldCharType="end"/>
          </w:r>
        </w:p>
        <w:p w14:paraId="4C32C371">
          <w:pPr>
            <w:pStyle w:val="5"/>
            <w:tabs>
              <w:tab w:val="right" w:leader="dot" w:pos="8831"/>
            </w:tabs>
          </w:pPr>
          <w:r>
            <w:rPr>
              <w:rFonts w:hint="eastAsia"/>
            </w:rPr>
            <w:fldChar w:fldCharType="begin"/>
          </w:r>
          <w:r>
            <w:rPr>
              <w:rFonts w:hint="eastAsia"/>
            </w:rPr>
            <w:instrText xml:space="preserve"> HYPERLINK \l _Toc73 </w:instrText>
          </w:r>
          <w:r>
            <w:rPr>
              <w:rFonts w:hint="eastAsia"/>
            </w:rPr>
            <w:fldChar w:fldCharType="separate"/>
          </w:r>
          <w:r>
            <w:rPr>
              <w:rFonts w:hint="eastAsia" w:ascii="宋体" w:hAnsi="宋体" w:eastAsia="宋体" w:cs="宋体"/>
              <w:spacing w:val="-5"/>
              <w:szCs w:val="30"/>
              <w:highlight w:val="none"/>
            </w:rPr>
            <w:t>（二）投标函附录</w:t>
          </w:r>
          <w:r>
            <w:tab/>
          </w:r>
          <w:r>
            <w:fldChar w:fldCharType="begin"/>
          </w:r>
          <w:r>
            <w:instrText xml:space="preserve"> PAGEREF _Toc73 \h </w:instrText>
          </w:r>
          <w:r>
            <w:fldChar w:fldCharType="separate"/>
          </w:r>
          <w:r>
            <w:t>214</w:t>
          </w:r>
          <w:r>
            <w:fldChar w:fldCharType="end"/>
          </w:r>
          <w:r>
            <w:rPr>
              <w:rFonts w:hint="eastAsia"/>
            </w:rPr>
            <w:fldChar w:fldCharType="end"/>
          </w:r>
        </w:p>
        <w:p w14:paraId="27CB01AD">
          <w:pPr>
            <w:pStyle w:val="8"/>
            <w:tabs>
              <w:tab w:val="right" w:leader="dot" w:pos="8831"/>
            </w:tabs>
          </w:pPr>
          <w:r>
            <w:rPr>
              <w:rFonts w:hint="eastAsia"/>
            </w:rPr>
            <w:fldChar w:fldCharType="begin"/>
          </w:r>
          <w:r>
            <w:rPr>
              <w:rFonts w:hint="eastAsia"/>
            </w:rPr>
            <w:instrText xml:space="preserve"> HYPERLINK \l _Toc12664 </w:instrText>
          </w:r>
          <w:r>
            <w:rPr>
              <w:rFonts w:hint="eastAsia"/>
            </w:rPr>
            <w:fldChar w:fldCharType="separate"/>
          </w:r>
          <w:r>
            <w:rPr>
              <w:rFonts w:hint="eastAsia" w:ascii="宋体" w:hAnsi="宋体" w:eastAsia="宋体" w:cs="宋体"/>
              <w:spacing w:val="-1"/>
              <w:szCs w:val="30"/>
              <w:highlight w:val="none"/>
            </w:rPr>
            <w:t>二、授权委托书或法定代表人身份证明</w:t>
          </w:r>
          <w:r>
            <w:tab/>
          </w:r>
          <w:r>
            <w:fldChar w:fldCharType="begin"/>
          </w:r>
          <w:r>
            <w:instrText xml:space="preserve"> PAGEREF _Toc12664 \h </w:instrText>
          </w:r>
          <w:r>
            <w:fldChar w:fldCharType="separate"/>
          </w:r>
          <w:r>
            <w:t>216</w:t>
          </w:r>
          <w:r>
            <w:fldChar w:fldCharType="end"/>
          </w:r>
          <w:r>
            <w:rPr>
              <w:rFonts w:hint="eastAsia"/>
            </w:rPr>
            <w:fldChar w:fldCharType="end"/>
          </w:r>
        </w:p>
        <w:p w14:paraId="5AA21690">
          <w:pPr>
            <w:pStyle w:val="5"/>
            <w:tabs>
              <w:tab w:val="right" w:leader="dot" w:pos="8831"/>
            </w:tabs>
          </w:pPr>
          <w:r>
            <w:rPr>
              <w:rFonts w:hint="eastAsia"/>
            </w:rPr>
            <w:fldChar w:fldCharType="begin"/>
          </w:r>
          <w:r>
            <w:rPr>
              <w:rFonts w:hint="eastAsia"/>
            </w:rPr>
            <w:instrText xml:space="preserve"> HYPERLINK \l _Toc17218 </w:instrText>
          </w:r>
          <w:r>
            <w:rPr>
              <w:rFonts w:hint="eastAsia"/>
            </w:rPr>
            <w:fldChar w:fldCharType="separate"/>
          </w:r>
          <w:r>
            <w:rPr>
              <w:rFonts w:hint="eastAsia" w:ascii="宋体" w:hAnsi="宋体" w:eastAsia="宋体" w:cs="宋体"/>
              <w:bCs/>
              <w:spacing w:val="-4"/>
              <w:szCs w:val="28"/>
              <w:highlight w:val="none"/>
            </w:rPr>
            <w:t>（一）</w:t>
          </w:r>
          <w:r>
            <w:rPr>
              <w:rFonts w:hint="eastAsia" w:ascii="宋体" w:hAnsi="宋体" w:eastAsia="宋体" w:cs="宋体"/>
              <w:spacing w:val="-4"/>
              <w:szCs w:val="28"/>
              <w:highlight w:val="none"/>
            </w:rPr>
            <w:t>授权委托书</w:t>
          </w:r>
          <w:r>
            <w:rPr>
              <w:rFonts w:hint="eastAsia" w:ascii="宋体" w:hAnsi="宋体" w:eastAsia="宋体" w:cs="宋体"/>
              <w:bCs/>
              <w:spacing w:val="-4"/>
              <w:position w:val="12"/>
              <w:szCs w:val="13"/>
              <w:highlight w:val="none"/>
            </w:rPr>
            <w:t>①</w:t>
          </w:r>
          <w:r>
            <w:tab/>
          </w:r>
          <w:r>
            <w:fldChar w:fldCharType="begin"/>
          </w:r>
          <w:r>
            <w:instrText xml:space="preserve"> PAGEREF _Toc17218 \h </w:instrText>
          </w:r>
          <w:r>
            <w:fldChar w:fldCharType="separate"/>
          </w:r>
          <w:r>
            <w:t>216</w:t>
          </w:r>
          <w:r>
            <w:fldChar w:fldCharType="end"/>
          </w:r>
          <w:r>
            <w:rPr>
              <w:rFonts w:hint="eastAsia"/>
            </w:rPr>
            <w:fldChar w:fldCharType="end"/>
          </w:r>
        </w:p>
        <w:p w14:paraId="55246015">
          <w:pPr>
            <w:pStyle w:val="5"/>
            <w:tabs>
              <w:tab w:val="right" w:leader="dot" w:pos="8831"/>
            </w:tabs>
          </w:pPr>
          <w:r>
            <w:rPr>
              <w:rFonts w:hint="eastAsia"/>
            </w:rPr>
            <w:fldChar w:fldCharType="begin"/>
          </w:r>
          <w:r>
            <w:rPr>
              <w:rFonts w:hint="eastAsia"/>
            </w:rPr>
            <w:instrText xml:space="preserve"> HYPERLINK \l _Toc16535 </w:instrText>
          </w:r>
          <w:r>
            <w:rPr>
              <w:rFonts w:hint="eastAsia"/>
            </w:rPr>
            <w:fldChar w:fldCharType="separate"/>
          </w:r>
          <w:r>
            <w:rPr>
              <w:rFonts w:hint="eastAsia" w:ascii="宋体" w:hAnsi="宋体" w:eastAsia="宋体" w:cs="宋体"/>
              <w:spacing w:val="-3"/>
              <w:szCs w:val="28"/>
              <w:highlight w:val="none"/>
            </w:rPr>
            <w:t>（二）法定代表人身份证明</w:t>
          </w:r>
          <w:r>
            <w:tab/>
          </w:r>
          <w:r>
            <w:fldChar w:fldCharType="begin"/>
          </w:r>
          <w:r>
            <w:instrText xml:space="preserve"> PAGEREF _Toc16535 \h </w:instrText>
          </w:r>
          <w:r>
            <w:fldChar w:fldCharType="separate"/>
          </w:r>
          <w:r>
            <w:t>217</w:t>
          </w:r>
          <w:r>
            <w:fldChar w:fldCharType="end"/>
          </w:r>
          <w:r>
            <w:rPr>
              <w:rFonts w:hint="eastAsia"/>
            </w:rPr>
            <w:fldChar w:fldCharType="end"/>
          </w:r>
        </w:p>
        <w:p w14:paraId="6D1A2FCA">
          <w:pPr>
            <w:pStyle w:val="8"/>
            <w:tabs>
              <w:tab w:val="right" w:leader="dot" w:pos="8831"/>
            </w:tabs>
          </w:pPr>
          <w:r>
            <w:rPr>
              <w:rFonts w:hint="eastAsia"/>
            </w:rPr>
            <w:fldChar w:fldCharType="begin"/>
          </w:r>
          <w:r>
            <w:rPr>
              <w:rFonts w:hint="eastAsia"/>
            </w:rPr>
            <w:instrText xml:space="preserve"> HYPERLINK \l _Toc18144 </w:instrText>
          </w:r>
          <w:r>
            <w:rPr>
              <w:rFonts w:hint="eastAsia"/>
            </w:rPr>
            <w:fldChar w:fldCharType="separate"/>
          </w:r>
          <w:r>
            <w:rPr>
              <w:rFonts w:hint="eastAsia" w:ascii="宋体" w:hAnsi="宋体" w:eastAsia="宋体" w:cs="宋体"/>
              <w:bCs/>
              <w:spacing w:val="-2"/>
              <w:szCs w:val="30"/>
              <w:highlight w:val="none"/>
            </w:rPr>
            <w:t>三、</w:t>
          </w:r>
          <w:r>
            <w:rPr>
              <w:rFonts w:hint="eastAsia" w:ascii="宋体" w:hAnsi="宋体" w:eastAsia="宋体" w:cs="宋体"/>
              <w:spacing w:val="-2"/>
              <w:szCs w:val="30"/>
              <w:highlight w:val="none"/>
            </w:rPr>
            <w:t>联合体协议书</w:t>
          </w:r>
          <w:r>
            <w:rPr>
              <w:rFonts w:hint="eastAsia" w:ascii="宋体" w:hAnsi="宋体" w:eastAsia="宋体" w:cs="宋体"/>
              <w:bCs/>
              <w:spacing w:val="-2"/>
              <w:position w:val="12"/>
              <w:szCs w:val="13"/>
              <w:highlight w:val="none"/>
            </w:rPr>
            <w:t>①</w:t>
          </w:r>
          <w:r>
            <w:tab/>
          </w:r>
          <w:r>
            <w:fldChar w:fldCharType="begin"/>
          </w:r>
          <w:r>
            <w:instrText xml:space="preserve"> PAGEREF _Toc18144 \h </w:instrText>
          </w:r>
          <w:r>
            <w:fldChar w:fldCharType="separate"/>
          </w:r>
          <w:r>
            <w:t>218</w:t>
          </w:r>
          <w:r>
            <w:fldChar w:fldCharType="end"/>
          </w:r>
          <w:r>
            <w:rPr>
              <w:rFonts w:hint="eastAsia"/>
            </w:rPr>
            <w:fldChar w:fldCharType="end"/>
          </w:r>
        </w:p>
        <w:p w14:paraId="19F52A63">
          <w:pPr>
            <w:pStyle w:val="8"/>
            <w:tabs>
              <w:tab w:val="right" w:leader="dot" w:pos="8831"/>
            </w:tabs>
          </w:pPr>
          <w:r>
            <w:rPr>
              <w:rFonts w:hint="eastAsia"/>
            </w:rPr>
            <w:fldChar w:fldCharType="begin"/>
          </w:r>
          <w:r>
            <w:rPr>
              <w:rFonts w:hint="eastAsia"/>
            </w:rPr>
            <w:instrText xml:space="preserve"> HYPERLINK \l _Toc5722 </w:instrText>
          </w:r>
          <w:r>
            <w:rPr>
              <w:rFonts w:hint="eastAsia"/>
            </w:rPr>
            <w:fldChar w:fldCharType="separate"/>
          </w:r>
          <w:r>
            <w:rPr>
              <w:rFonts w:hint="eastAsia" w:ascii="宋体" w:hAnsi="宋体" w:eastAsia="宋体" w:cs="宋体"/>
              <w:spacing w:val="-4"/>
              <w:szCs w:val="28"/>
              <w:highlight w:val="none"/>
            </w:rPr>
            <w:t>四、投标保证金</w:t>
          </w:r>
          <w:r>
            <w:tab/>
          </w:r>
          <w:r>
            <w:fldChar w:fldCharType="begin"/>
          </w:r>
          <w:r>
            <w:instrText xml:space="preserve"> PAGEREF _Toc5722 \h </w:instrText>
          </w:r>
          <w:r>
            <w:fldChar w:fldCharType="separate"/>
          </w:r>
          <w:r>
            <w:t>219</w:t>
          </w:r>
          <w:r>
            <w:fldChar w:fldCharType="end"/>
          </w:r>
          <w:r>
            <w:rPr>
              <w:rFonts w:hint="eastAsia"/>
            </w:rPr>
            <w:fldChar w:fldCharType="end"/>
          </w:r>
        </w:p>
        <w:p w14:paraId="47721E67">
          <w:pPr>
            <w:pStyle w:val="8"/>
            <w:tabs>
              <w:tab w:val="right" w:leader="dot" w:pos="8831"/>
            </w:tabs>
          </w:pPr>
          <w:r>
            <w:rPr>
              <w:rFonts w:hint="eastAsia"/>
            </w:rPr>
            <w:fldChar w:fldCharType="begin"/>
          </w:r>
          <w:r>
            <w:rPr>
              <w:rFonts w:hint="eastAsia"/>
            </w:rPr>
            <w:instrText xml:space="preserve"> HYPERLINK \l _Toc21404 </w:instrText>
          </w:r>
          <w:r>
            <w:rPr>
              <w:rFonts w:hint="eastAsia"/>
            </w:rPr>
            <w:fldChar w:fldCharType="separate"/>
          </w:r>
          <w:r>
            <w:rPr>
              <w:rFonts w:hint="eastAsia" w:ascii="宋体" w:hAnsi="宋体" w:eastAsia="宋体" w:cs="宋体"/>
              <w:spacing w:val="-3"/>
              <w:szCs w:val="28"/>
              <w:highlight w:val="none"/>
            </w:rPr>
            <w:t>五、施工组织设计</w:t>
          </w:r>
          <w:r>
            <w:tab/>
          </w:r>
          <w:r>
            <w:fldChar w:fldCharType="begin"/>
          </w:r>
          <w:r>
            <w:instrText xml:space="preserve"> PAGEREF _Toc21404 \h </w:instrText>
          </w:r>
          <w:r>
            <w:fldChar w:fldCharType="separate"/>
          </w:r>
          <w:r>
            <w:t>221</w:t>
          </w:r>
          <w:r>
            <w:fldChar w:fldCharType="end"/>
          </w:r>
          <w:r>
            <w:rPr>
              <w:rFonts w:hint="eastAsia"/>
            </w:rPr>
            <w:fldChar w:fldCharType="end"/>
          </w:r>
        </w:p>
        <w:p w14:paraId="458C0909">
          <w:pPr>
            <w:pStyle w:val="8"/>
            <w:tabs>
              <w:tab w:val="right" w:leader="dot" w:pos="8831"/>
            </w:tabs>
          </w:pPr>
          <w:r>
            <w:rPr>
              <w:rFonts w:hint="eastAsia"/>
            </w:rPr>
            <w:fldChar w:fldCharType="begin"/>
          </w:r>
          <w:r>
            <w:rPr>
              <w:rFonts w:hint="eastAsia"/>
            </w:rPr>
            <w:instrText xml:space="preserve"> HYPERLINK \l _Toc24754 </w:instrText>
          </w:r>
          <w:r>
            <w:rPr>
              <w:rFonts w:hint="eastAsia"/>
            </w:rPr>
            <w:fldChar w:fldCharType="separate"/>
          </w:r>
          <w:r>
            <w:rPr>
              <w:rFonts w:hint="eastAsia" w:ascii="宋体" w:hAnsi="宋体" w:eastAsia="宋体" w:cs="宋体"/>
              <w:spacing w:val="-3"/>
              <w:szCs w:val="28"/>
              <w:highlight w:val="none"/>
            </w:rPr>
            <w:t>五、施工组织设计</w:t>
          </w:r>
          <w:r>
            <w:tab/>
          </w:r>
          <w:r>
            <w:fldChar w:fldCharType="begin"/>
          </w:r>
          <w:r>
            <w:instrText xml:space="preserve"> PAGEREF _Toc24754 \h </w:instrText>
          </w:r>
          <w:r>
            <w:fldChar w:fldCharType="separate"/>
          </w:r>
          <w:r>
            <w:t>222</w:t>
          </w:r>
          <w:r>
            <w:fldChar w:fldCharType="end"/>
          </w:r>
          <w:r>
            <w:rPr>
              <w:rFonts w:hint="eastAsia"/>
            </w:rPr>
            <w:fldChar w:fldCharType="end"/>
          </w:r>
        </w:p>
        <w:p w14:paraId="3A2E0F7D">
          <w:pPr>
            <w:pStyle w:val="5"/>
            <w:tabs>
              <w:tab w:val="right" w:leader="dot" w:pos="8831"/>
            </w:tabs>
          </w:pPr>
          <w:r>
            <w:rPr>
              <w:rFonts w:hint="eastAsia"/>
            </w:rPr>
            <w:fldChar w:fldCharType="begin"/>
          </w:r>
          <w:r>
            <w:rPr>
              <w:rFonts w:hint="eastAsia"/>
            </w:rPr>
            <w:instrText xml:space="preserve"> HYPERLINK \l _Toc21259 </w:instrText>
          </w:r>
          <w:r>
            <w:rPr>
              <w:rFonts w:hint="eastAsia"/>
            </w:rPr>
            <w:fldChar w:fldCharType="separate"/>
          </w:r>
          <w:r>
            <w:rPr>
              <w:rFonts w:hint="eastAsia" w:ascii="宋体" w:hAnsi="宋体" w:eastAsia="宋体" w:cs="宋体"/>
              <w:spacing w:val="-3"/>
              <w:szCs w:val="28"/>
              <w:highlight w:val="none"/>
            </w:rPr>
            <w:t>附表一施工总体计划表</w:t>
          </w:r>
          <w:r>
            <w:tab/>
          </w:r>
          <w:r>
            <w:fldChar w:fldCharType="begin"/>
          </w:r>
          <w:r>
            <w:instrText xml:space="preserve"> PAGEREF _Toc21259 \h </w:instrText>
          </w:r>
          <w:r>
            <w:fldChar w:fldCharType="separate"/>
          </w:r>
          <w:r>
            <w:t>223</w:t>
          </w:r>
          <w:r>
            <w:fldChar w:fldCharType="end"/>
          </w:r>
          <w:r>
            <w:rPr>
              <w:rFonts w:hint="eastAsia"/>
            </w:rPr>
            <w:fldChar w:fldCharType="end"/>
          </w:r>
        </w:p>
        <w:p w14:paraId="067F771E">
          <w:pPr>
            <w:pStyle w:val="5"/>
            <w:tabs>
              <w:tab w:val="right" w:leader="dot" w:pos="8831"/>
            </w:tabs>
          </w:pPr>
          <w:r>
            <w:rPr>
              <w:rFonts w:hint="eastAsia"/>
            </w:rPr>
            <w:fldChar w:fldCharType="begin"/>
          </w:r>
          <w:r>
            <w:rPr>
              <w:rFonts w:hint="eastAsia"/>
            </w:rPr>
            <w:instrText xml:space="preserve"> HYPERLINK \l _Toc13983 </w:instrText>
          </w:r>
          <w:r>
            <w:rPr>
              <w:rFonts w:hint="eastAsia"/>
            </w:rPr>
            <w:fldChar w:fldCharType="separate"/>
          </w:r>
          <w:r>
            <w:rPr>
              <w:rFonts w:hint="eastAsia" w:ascii="宋体" w:hAnsi="宋体" w:eastAsia="宋体" w:cs="宋体"/>
              <w:spacing w:val="-2"/>
              <w:szCs w:val="28"/>
              <w:highlight w:val="none"/>
            </w:rPr>
            <w:t>附表二分项工程进度率计划（斜率图）</w:t>
          </w:r>
          <w:r>
            <w:tab/>
          </w:r>
          <w:r>
            <w:fldChar w:fldCharType="begin"/>
          </w:r>
          <w:r>
            <w:instrText xml:space="preserve"> PAGEREF _Toc13983 \h </w:instrText>
          </w:r>
          <w:r>
            <w:fldChar w:fldCharType="separate"/>
          </w:r>
          <w:r>
            <w:t>224</w:t>
          </w:r>
          <w:r>
            <w:fldChar w:fldCharType="end"/>
          </w:r>
          <w:r>
            <w:rPr>
              <w:rFonts w:hint="eastAsia"/>
            </w:rPr>
            <w:fldChar w:fldCharType="end"/>
          </w:r>
        </w:p>
        <w:p w14:paraId="57845C64">
          <w:pPr>
            <w:pStyle w:val="5"/>
            <w:tabs>
              <w:tab w:val="right" w:leader="dot" w:pos="8831"/>
            </w:tabs>
          </w:pPr>
          <w:r>
            <w:rPr>
              <w:rFonts w:hint="eastAsia"/>
            </w:rPr>
            <w:fldChar w:fldCharType="begin"/>
          </w:r>
          <w:r>
            <w:rPr>
              <w:rFonts w:hint="eastAsia"/>
            </w:rPr>
            <w:instrText xml:space="preserve"> HYPERLINK \l _Toc1463 </w:instrText>
          </w:r>
          <w:r>
            <w:rPr>
              <w:rFonts w:hint="eastAsia"/>
            </w:rPr>
            <w:fldChar w:fldCharType="separate"/>
          </w:r>
          <w:r>
            <w:rPr>
              <w:rFonts w:hint="eastAsia" w:ascii="宋体" w:hAnsi="宋体" w:eastAsia="宋体" w:cs="宋体"/>
              <w:spacing w:val="-3"/>
              <w:szCs w:val="28"/>
              <w:highlight w:val="none"/>
            </w:rPr>
            <w:t>附表三工程管理曲线</w:t>
          </w:r>
          <w:r>
            <w:tab/>
          </w:r>
          <w:r>
            <w:fldChar w:fldCharType="begin"/>
          </w:r>
          <w:r>
            <w:instrText xml:space="preserve"> PAGEREF _Toc1463 \h </w:instrText>
          </w:r>
          <w:r>
            <w:fldChar w:fldCharType="separate"/>
          </w:r>
          <w:r>
            <w:t>225</w:t>
          </w:r>
          <w:r>
            <w:fldChar w:fldCharType="end"/>
          </w:r>
          <w:r>
            <w:rPr>
              <w:rFonts w:hint="eastAsia"/>
            </w:rPr>
            <w:fldChar w:fldCharType="end"/>
          </w:r>
        </w:p>
        <w:p w14:paraId="543441AF">
          <w:pPr>
            <w:pStyle w:val="5"/>
            <w:tabs>
              <w:tab w:val="right" w:leader="dot" w:pos="8831"/>
            </w:tabs>
          </w:pPr>
          <w:r>
            <w:rPr>
              <w:rFonts w:hint="eastAsia"/>
            </w:rPr>
            <w:fldChar w:fldCharType="begin"/>
          </w:r>
          <w:r>
            <w:rPr>
              <w:rFonts w:hint="eastAsia"/>
            </w:rPr>
            <w:instrText xml:space="preserve"> HYPERLINK \l _Toc28132 </w:instrText>
          </w:r>
          <w:r>
            <w:rPr>
              <w:rFonts w:hint="eastAsia"/>
            </w:rPr>
            <w:fldChar w:fldCharType="separate"/>
          </w:r>
          <w:r>
            <w:rPr>
              <w:rFonts w:hint="eastAsia" w:ascii="宋体" w:hAnsi="宋体" w:eastAsia="宋体" w:cs="宋体"/>
              <w:spacing w:val="-2"/>
              <w:szCs w:val="28"/>
              <w:highlight w:val="none"/>
            </w:rPr>
            <w:t>附表四分项工程生产率和施工周期表</w:t>
          </w:r>
          <w:r>
            <w:tab/>
          </w:r>
          <w:r>
            <w:fldChar w:fldCharType="begin"/>
          </w:r>
          <w:r>
            <w:instrText xml:space="preserve"> PAGEREF _Toc28132 \h </w:instrText>
          </w:r>
          <w:r>
            <w:fldChar w:fldCharType="separate"/>
          </w:r>
          <w:r>
            <w:t>226</w:t>
          </w:r>
          <w:r>
            <w:fldChar w:fldCharType="end"/>
          </w:r>
          <w:r>
            <w:rPr>
              <w:rFonts w:hint="eastAsia"/>
            </w:rPr>
            <w:fldChar w:fldCharType="end"/>
          </w:r>
        </w:p>
        <w:p w14:paraId="7D9B8072">
          <w:pPr>
            <w:pStyle w:val="5"/>
            <w:tabs>
              <w:tab w:val="right" w:leader="dot" w:pos="8831"/>
            </w:tabs>
          </w:pPr>
          <w:r>
            <w:rPr>
              <w:rFonts w:hint="eastAsia"/>
            </w:rPr>
            <w:fldChar w:fldCharType="begin"/>
          </w:r>
          <w:r>
            <w:rPr>
              <w:rFonts w:hint="eastAsia"/>
            </w:rPr>
            <w:instrText xml:space="preserve"> HYPERLINK \l _Toc11314 </w:instrText>
          </w:r>
          <w:r>
            <w:rPr>
              <w:rFonts w:hint="eastAsia"/>
            </w:rPr>
            <w:fldChar w:fldCharType="separate"/>
          </w:r>
          <w:r>
            <w:rPr>
              <w:rFonts w:hint="eastAsia" w:ascii="宋体" w:hAnsi="宋体" w:eastAsia="宋体" w:cs="宋体"/>
              <w:spacing w:val="-3"/>
              <w:szCs w:val="28"/>
              <w:highlight w:val="none"/>
            </w:rPr>
            <w:t>附表五施工总平面图</w:t>
          </w:r>
          <w:r>
            <w:tab/>
          </w:r>
          <w:r>
            <w:fldChar w:fldCharType="begin"/>
          </w:r>
          <w:r>
            <w:instrText xml:space="preserve"> PAGEREF _Toc11314 \h </w:instrText>
          </w:r>
          <w:r>
            <w:fldChar w:fldCharType="separate"/>
          </w:r>
          <w:r>
            <w:t>227</w:t>
          </w:r>
          <w:r>
            <w:fldChar w:fldCharType="end"/>
          </w:r>
          <w:r>
            <w:rPr>
              <w:rFonts w:hint="eastAsia"/>
            </w:rPr>
            <w:fldChar w:fldCharType="end"/>
          </w:r>
        </w:p>
        <w:p w14:paraId="4EECE1A7">
          <w:pPr>
            <w:pStyle w:val="5"/>
            <w:tabs>
              <w:tab w:val="right" w:leader="dot" w:pos="8831"/>
            </w:tabs>
          </w:pPr>
          <w:r>
            <w:rPr>
              <w:rFonts w:hint="eastAsia"/>
            </w:rPr>
            <w:fldChar w:fldCharType="begin"/>
          </w:r>
          <w:r>
            <w:rPr>
              <w:rFonts w:hint="eastAsia"/>
            </w:rPr>
            <w:instrText xml:space="preserve"> HYPERLINK \l _Toc26428 </w:instrText>
          </w:r>
          <w:r>
            <w:rPr>
              <w:rFonts w:hint="eastAsia"/>
            </w:rPr>
            <w:fldChar w:fldCharType="separate"/>
          </w:r>
          <w:r>
            <w:rPr>
              <w:rFonts w:hint="eastAsia" w:ascii="宋体" w:hAnsi="宋体" w:eastAsia="宋体" w:cs="宋体"/>
              <w:spacing w:val="-3"/>
              <w:szCs w:val="28"/>
              <w:highlight w:val="none"/>
            </w:rPr>
            <w:t>附表六劳动力计划表</w:t>
          </w:r>
          <w:r>
            <w:tab/>
          </w:r>
          <w:r>
            <w:fldChar w:fldCharType="begin"/>
          </w:r>
          <w:r>
            <w:instrText xml:space="preserve"> PAGEREF _Toc26428 \h </w:instrText>
          </w:r>
          <w:r>
            <w:fldChar w:fldCharType="separate"/>
          </w:r>
          <w:r>
            <w:t>228</w:t>
          </w:r>
          <w:r>
            <w:fldChar w:fldCharType="end"/>
          </w:r>
          <w:r>
            <w:rPr>
              <w:rFonts w:hint="eastAsia"/>
            </w:rPr>
            <w:fldChar w:fldCharType="end"/>
          </w:r>
        </w:p>
        <w:p w14:paraId="3189AEEF">
          <w:pPr>
            <w:pStyle w:val="5"/>
            <w:tabs>
              <w:tab w:val="right" w:leader="dot" w:pos="8831"/>
            </w:tabs>
          </w:pPr>
          <w:r>
            <w:rPr>
              <w:rFonts w:hint="eastAsia"/>
            </w:rPr>
            <w:fldChar w:fldCharType="begin"/>
          </w:r>
          <w:r>
            <w:rPr>
              <w:rFonts w:hint="eastAsia"/>
            </w:rPr>
            <w:instrText xml:space="preserve"> HYPERLINK \l _Toc1265 </w:instrText>
          </w:r>
          <w:r>
            <w:rPr>
              <w:rFonts w:hint="eastAsia"/>
            </w:rPr>
            <w:fldChar w:fldCharType="separate"/>
          </w:r>
          <w:r>
            <w:rPr>
              <w:rFonts w:hint="eastAsia" w:ascii="宋体" w:hAnsi="宋体" w:eastAsia="宋体" w:cs="宋体"/>
              <w:spacing w:val="-2"/>
              <w:szCs w:val="28"/>
              <w:highlight w:val="none"/>
            </w:rPr>
            <w:t>附表八外供电力需求计划表</w:t>
          </w:r>
          <w:r>
            <w:tab/>
          </w:r>
          <w:r>
            <w:fldChar w:fldCharType="begin"/>
          </w:r>
          <w:r>
            <w:instrText xml:space="preserve"> PAGEREF _Toc1265 \h </w:instrText>
          </w:r>
          <w:r>
            <w:fldChar w:fldCharType="separate"/>
          </w:r>
          <w:r>
            <w:t>230</w:t>
          </w:r>
          <w:r>
            <w:fldChar w:fldCharType="end"/>
          </w:r>
          <w:r>
            <w:rPr>
              <w:rFonts w:hint="eastAsia"/>
            </w:rPr>
            <w:fldChar w:fldCharType="end"/>
          </w:r>
        </w:p>
        <w:p w14:paraId="48ED8CD2">
          <w:pPr>
            <w:pStyle w:val="8"/>
            <w:tabs>
              <w:tab w:val="right" w:leader="dot" w:pos="8831"/>
            </w:tabs>
          </w:pPr>
          <w:r>
            <w:rPr>
              <w:rFonts w:hint="eastAsia"/>
            </w:rPr>
            <w:fldChar w:fldCharType="begin"/>
          </w:r>
          <w:r>
            <w:rPr>
              <w:rFonts w:hint="eastAsia"/>
            </w:rPr>
            <w:instrText xml:space="preserve"> HYPERLINK \l _Toc27976 </w:instrText>
          </w:r>
          <w:r>
            <w:rPr>
              <w:rFonts w:hint="eastAsia"/>
            </w:rPr>
            <w:fldChar w:fldCharType="separate"/>
          </w:r>
          <w:r>
            <w:rPr>
              <w:rFonts w:hint="eastAsia" w:ascii="宋体" w:hAnsi="宋体" w:eastAsia="宋体" w:cs="宋体"/>
              <w:spacing w:val="-3"/>
              <w:szCs w:val="28"/>
              <w:highlight w:val="none"/>
            </w:rPr>
            <w:t>六、项目管理机构</w:t>
          </w:r>
          <w:r>
            <w:tab/>
          </w:r>
          <w:r>
            <w:fldChar w:fldCharType="begin"/>
          </w:r>
          <w:r>
            <w:instrText xml:space="preserve"> PAGEREF _Toc27976 \h </w:instrText>
          </w:r>
          <w:r>
            <w:fldChar w:fldCharType="separate"/>
          </w:r>
          <w:r>
            <w:t>231</w:t>
          </w:r>
          <w:r>
            <w:fldChar w:fldCharType="end"/>
          </w:r>
          <w:r>
            <w:rPr>
              <w:rFonts w:hint="eastAsia"/>
            </w:rPr>
            <w:fldChar w:fldCharType="end"/>
          </w:r>
        </w:p>
        <w:p w14:paraId="4AA25B53">
          <w:pPr>
            <w:pStyle w:val="8"/>
            <w:tabs>
              <w:tab w:val="right" w:leader="dot" w:pos="8831"/>
            </w:tabs>
          </w:pPr>
          <w:r>
            <w:rPr>
              <w:rFonts w:hint="eastAsia"/>
            </w:rPr>
            <w:fldChar w:fldCharType="begin"/>
          </w:r>
          <w:r>
            <w:rPr>
              <w:rFonts w:hint="eastAsia"/>
            </w:rPr>
            <w:instrText xml:space="preserve"> HYPERLINK \l _Toc9739 </w:instrText>
          </w:r>
          <w:r>
            <w:rPr>
              <w:rFonts w:hint="eastAsia"/>
            </w:rPr>
            <w:fldChar w:fldCharType="separate"/>
          </w:r>
          <w:r>
            <w:rPr>
              <w:rFonts w:hint="eastAsia" w:ascii="宋体" w:hAnsi="宋体" w:eastAsia="宋体" w:cs="宋体"/>
              <w:spacing w:val="-1"/>
              <w:szCs w:val="28"/>
              <w:highlight w:val="none"/>
            </w:rPr>
            <w:t>七、拟分包项目情况表</w:t>
          </w:r>
          <w:r>
            <w:tab/>
          </w:r>
          <w:r>
            <w:fldChar w:fldCharType="begin"/>
          </w:r>
          <w:r>
            <w:instrText xml:space="preserve"> PAGEREF _Toc9739 \h </w:instrText>
          </w:r>
          <w:r>
            <w:fldChar w:fldCharType="separate"/>
          </w:r>
          <w:r>
            <w:t>232</w:t>
          </w:r>
          <w:r>
            <w:fldChar w:fldCharType="end"/>
          </w:r>
          <w:r>
            <w:rPr>
              <w:rFonts w:hint="eastAsia"/>
            </w:rPr>
            <w:fldChar w:fldCharType="end"/>
          </w:r>
        </w:p>
        <w:p w14:paraId="0F941E5B">
          <w:pPr>
            <w:pStyle w:val="8"/>
            <w:tabs>
              <w:tab w:val="right" w:leader="dot" w:pos="8831"/>
            </w:tabs>
          </w:pPr>
          <w:r>
            <w:rPr>
              <w:rFonts w:hint="eastAsia"/>
            </w:rPr>
            <w:fldChar w:fldCharType="begin"/>
          </w:r>
          <w:r>
            <w:rPr>
              <w:rFonts w:hint="eastAsia"/>
            </w:rPr>
            <w:instrText xml:space="preserve"> HYPERLINK \l _Toc17369 </w:instrText>
          </w:r>
          <w:r>
            <w:rPr>
              <w:rFonts w:hint="eastAsia"/>
            </w:rPr>
            <w:fldChar w:fldCharType="separate"/>
          </w:r>
          <w:r>
            <w:rPr>
              <w:rFonts w:hint="eastAsia" w:ascii="宋体" w:hAnsi="宋体" w:eastAsia="宋体" w:cs="宋体"/>
              <w:spacing w:val="-1"/>
              <w:szCs w:val="28"/>
              <w:highlight w:val="none"/>
            </w:rPr>
            <w:t>八、资格审查资料（适用于已进行资格预审的）</w:t>
          </w:r>
          <w:r>
            <w:tab/>
          </w:r>
          <w:r>
            <w:fldChar w:fldCharType="begin"/>
          </w:r>
          <w:r>
            <w:instrText xml:space="preserve"> PAGEREF _Toc17369 \h </w:instrText>
          </w:r>
          <w:r>
            <w:fldChar w:fldCharType="separate"/>
          </w:r>
          <w:r>
            <w:t>233</w:t>
          </w:r>
          <w:r>
            <w:fldChar w:fldCharType="end"/>
          </w:r>
          <w:r>
            <w:rPr>
              <w:rFonts w:hint="eastAsia"/>
            </w:rPr>
            <w:fldChar w:fldCharType="end"/>
          </w:r>
        </w:p>
        <w:p w14:paraId="2A0C81AA">
          <w:pPr>
            <w:pStyle w:val="8"/>
            <w:tabs>
              <w:tab w:val="right" w:leader="dot" w:pos="8831"/>
            </w:tabs>
          </w:pPr>
          <w:r>
            <w:rPr>
              <w:rFonts w:hint="eastAsia"/>
            </w:rPr>
            <w:fldChar w:fldCharType="begin"/>
          </w:r>
          <w:r>
            <w:rPr>
              <w:rFonts w:hint="eastAsia"/>
            </w:rPr>
            <w:instrText xml:space="preserve"> HYPERLINK \l _Toc31197 </w:instrText>
          </w:r>
          <w:r>
            <w:rPr>
              <w:rFonts w:hint="eastAsia"/>
            </w:rPr>
            <w:fldChar w:fldCharType="separate"/>
          </w:r>
          <w:r>
            <w:rPr>
              <w:rFonts w:hint="eastAsia" w:ascii="宋体" w:hAnsi="宋体" w:eastAsia="宋体" w:cs="宋体"/>
              <w:spacing w:val="-1"/>
              <w:szCs w:val="28"/>
              <w:highlight w:val="none"/>
            </w:rPr>
            <w:t>八、资格审查资料（适用于未进行资格预审的）</w:t>
          </w:r>
          <w:r>
            <w:tab/>
          </w:r>
          <w:r>
            <w:fldChar w:fldCharType="begin"/>
          </w:r>
          <w:r>
            <w:instrText xml:space="preserve"> PAGEREF _Toc31197 \h </w:instrText>
          </w:r>
          <w:r>
            <w:fldChar w:fldCharType="separate"/>
          </w:r>
          <w:r>
            <w:t>234</w:t>
          </w:r>
          <w:r>
            <w:fldChar w:fldCharType="end"/>
          </w:r>
          <w:r>
            <w:rPr>
              <w:rFonts w:hint="eastAsia"/>
            </w:rPr>
            <w:fldChar w:fldCharType="end"/>
          </w:r>
        </w:p>
        <w:p w14:paraId="59BF89E6">
          <w:pPr>
            <w:pStyle w:val="5"/>
            <w:tabs>
              <w:tab w:val="right" w:leader="dot" w:pos="8831"/>
            </w:tabs>
          </w:pPr>
          <w:r>
            <w:rPr>
              <w:rFonts w:hint="eastAsia"/>
            </w:rPr>
            <w:fldChar w:fldCharType="begin"/>
          </w:r>
          <w:r>
            <w:rPr>
              <w:rFonts w:hint="eastAsia"/>
            </w:rPr>
            <w:instrText xml:space="preserve"> HYPERLINK \l _Toc12919 </w:instrText>
          </w:r>
          <w:r>
            <w:rPr>
              <w:rFonts w:hint="eastAsia"/>
            </w:rPr>
            <w:fldChar w:fldCharType="separate"/>
          </w:r>
          <w:r>
            <w:rPr>
              <w:rFonts w:hint="eastAsia" w:ascii="宋体" w:hAnsi="宋体" w:eastAsia="宋体" w:cs="宋体"/>
              <w:spacing w:val="-3"/>
              <w:szCs w:val="24"/>
              <w:highlight w:val="none"/>
            </w:rPr>
            <w:t>（一）投标人基本情况表</w:t>
          </w:r>
          <w:r>
            <w:tab/>
          </w:r>
          <w:r>
            <w:fldChar w:fldCharType="begin"/>
          </w:r>
          <w:r>
            <w:instrText xml:space="preserve"> PAGEREF _Toc12919 \h </w:instrText>
          </w:r>
          <w:r>
            <w:fldChar w:fldCharType="separate"/>
          </w:r>
          <w:r>
            <w:t>234</w:t>
          </w:r>
          <w:r>
            <w:fldChar w:fldCharType="end"/>
          </w:r>
          <w:r>
            <w:rPr>
              <w:rFonts w:hint="eastAsia"/>
            </w:rPr>
            <w:fldChar w:fldCharType="end"/>
          </w:r>
        </w:p>
        <w:p w14:paraId="034F0DCD">
          <w:pPr>
            <w:pStyle w:val="5"/>
            <w:tabs>
              <w:tab w:val="right" w:leader="dot" w:pos="8831"/>
            </w:tabs>
          </w:pPr>
          <w:r>
            <w:rPr>
              <w:rFonts w:hint="eastAsia"/>
            </w:rPr>
            <w:fldChar w:fldCharType="begin"/>
          </w:r>
          <w:r>
            <w:rPr>
              <w:rFonts w:hint="eastAsia"/>
            </w:rPr>
            <w:instrText xml:space="preserve"> HYPERLINK \l _Toc7651 </w:instrText>
          </w:r>
          <w:r>
            <w:rPr>
              <w:rFonts w:hint="eastAsia"/>
            </w:rPr>
            <w:fldChar w:fldCharType="separate"/>
          </w:r>
          <w:r>
            <w:rPr>
              <w:rFonts w:hint="eastAsia" w:ascii="宋体" w:hAnsi="宋体" w:eastAsia="宋体" w:cs="宋体"/>
              <w:spacing w:val="-3"/>
              <w:szCs w:val="24"/>
              <w:highlight w:val="none"/>
            </w:rPr>
            <w:t>（二）投标人企业组织机构框图</w:t>
          </w:r>
          <w:r>
            <w:tab/>
          </w:r>
          <w:r>
            <w:fldChar w:fldCharType="begin"/>
          </w:r>
          <w:r>
            <w:instrText xml:space="preserve"> PAGEREF _Toc7651 \h </w:instrText>
          </w:r>
          <w:r>
            <w:fldChar w:fldCharType="separate"/>
          </w:r>
          <w:r>
            <w:t>235</w:t>
          </w:r>
          <w:r>
            <w:fldChar w:fldCharType="end"/>
          </w:r>
          <w:r>
            <w:rPr>
              <w:rFonts w:hint="eastAsia"/>
            </w:rPr>
            <w:fldChar w:fldCharType="end"/>
          </w:r>
        </w:p>
        <w:p w14:paraId="4D5F7F1E">
          <w:pPr>
            <w:pStyle w:val="5"/>
            <w:tabs>
              <w:tab w:val="right" w:leader="dot" w:pos="8831"/>
            </w:tabs>
          </w:pPr>
          <w:r>
            <w:rPr>
              <w:rFonts w:hint="eastAsia"/>
            </w:rPr>
            <w:fldChar w:fldCharType="begin"/>
          </w:r>
          <w:r>
            <w:rPr>
              <w:rFonts w:hint="eastAsia"/>
            </w:rPr>
            <w:instrText xml:space="preserve"> HYPERLINK \l _Toc27748 </w:instrText>
          </w:r>
          <w:r>
            <w:rPr>
              <w:rFonts w:hint="eastAsia"/>
            </w:rPr>
            <w:fldChar w:fldCharType="separate"/>
          </w:r>
          <w:r>
            <w:rPr>
              <w:rFonts w:hint="eastAsia" w:ascii="宋体" w:hAnsi="宋体" w:eastAsia="宋体" w:cs="宋体"/>
              <w:bCs/>
              <w:spacing w:val="6"/>
              <w:szCs w:val="20"/>
              <w:highlight w:val="none"/>
            </w:rPr>
            <w:t>（三）近年财务状况</w:t>
          </w:r>
          <w:r>
            <w:tab/>
          </w:r>
          <w:r>
            <w:fldChar w:fldCharType="begin"/>
          </w:r>
          <w:r>
            <w:instrText xml:space="preserve"> PAGEREF _Toc27748 \h </w:instrText>
          </w:r>
          <w:r>
            <w:fldChar w:fldCharType="separate"/>
          </w:r>
          <w:r>
            <w:t>236</w:t>
          </w:r>
          <w:r>
            <w:fldChar w:fldCharType="end"/>
          </w:r>
          <w:r>
            <w:rPr>
              <w:rFonts w:hint="eastAsia"/>
            </w:rPr>
            <w:fldChar w:fldCharType="end"/>
          </w:r>
        </w:p>
        <w:p w14:paraId="28208635">
          <w:pPr>
            <w:pStyle w:val="5"/>
            <w:tabs>
              <w:tab w:val="right" w:leader="dot" w:pos="8831"/>
            </w:tabs>
          </w:pPr>
          <w:r>
            <w:rPr>
              <w:rFonts w:hint="eastAsia"/>
            </w:rPr>
            <w:fldChar w:fldCharType="begin"/>
          </w:r>
          <w:r>
            <w:rPr>
              <w:rFonts w:hint="eastAsia"/>
            </w:rPr>
            <w:instrText xml:space="preserve"> HYPERLINK \l _Toc7493 </w:instrText>
          </w:r>
          <w:r>
            <w:rPr>
              <w:rFonts w:hint="eastAsia"/>
            </w:rPr>
            <w:fldChar w:fldCharType="separate"/>
          </w:r>
          <w:r>
            <w:rPr>
              <w:rFonts w:hint="eastAsia" w:ascii="宋体" w:hAnsi="宋体" w:eastAsia="宋体" w:cs="宋体"/>
              <w:spacing w:val="-3"/>
              <w:szCs w:val="24"/>
              <w:highlight w:val="none"/>
            </w:rPr>
            <w:t>（四）近年完成的类似项目情况表</w:t>
          </w:r>
          <w:r>
            <w:tab/>
          </w:r>
          <w:r>
            <w:fldChar w:fldCharType="begin"/>
          </w:r>
          <w:r>
            <w:instrText xml:space="preserve"> PAGEREF _Toc7493 \h </w:instrText>
          </w:r>
          <w:r>
            <w:fldChar w:fldCharType="separate"/>
          </w:r>
          <w:r>
            <w:t>238</w:t>
          </w:r>
          <w:r>
            <w:fldChar w:fldCharType="end"/>
          </w:r>
          <w:r>
            <w:rPr>
              <w:rFonts w:hint="eastAsia"/>
            </w:rPr>
            <w:fldChar w:fldCharType="end"/>
          </w:r>
        </w:p>
        <w:p w14:paraId="79EFE600">
          <w:pPr>
            <w:pStyle w:val="5"/>
            <w:tabs>
              <w:tab w:val="right" w:leader="dot" w:pos="8831"/>
            </w:tabs>
          </w:pPr>
          <w:r>
            <w:rPr>
              <w:rFonts w:hint="eastAsia"/>
            </w:rPr>
            <w:fldChar w:fldCharType="begin"/>
          </w:r>
          <w:r>
            <w:rPr>
              <w:rFonts w:hint="eastAsia"/>
            </w:rPr>
            <w:instrText xml:space="preserve"> HYPERLINK \l _Toc2404 </w:instrText>
          </w:r>
          <w:r>
            <w:rPr>
              <w:rFonts w:hint="eastAsia"/>
            </w:rPr>
            <w:fldChar w:fldCharType="separate"/>
          </w:r>
          <w:r>
            <w:rPr>
              <w:rFonts w:hint="eastAsia" w:ascii="宋体" w:hAnsi="宋体" w:eastAsia="宋体" w:cs="宋体"/>
              <w:spacing w:val="-4"/>
              <w:szCs w:val="24"/>
              <w:highlight w:val="none"/>
            </w:rPr>
            <w:t>（五）企业获奖情况表</w:t>
          </w:r>
          <w:r>
            <w:tab/>
          </w:r>
          <w:r>
            <w:fldChar w:fldCharType="begin"/>
          </w:r>
          <w:r>
            <w:instrText xml:space="preserve"> PAGEREF _Toc2404 \h </w:instrText>
          </w:r>
          <w:r>
            <w:fldChar w:fldCharType="separate"/>
          </w:r>
          <w:r>
            <w:t>239</w:t>
          </w:r>
          <w:r>
            <w:fldChar w:fldCharType="end"/>
          </w:r>
          <w:r>
            <w:rPr>
              <w:rFonts w:hint="eastAsia"/>
            </w:rPr>
            <w:fldChar w:fldCharType="end"/>
          </w:r>
        </w:p>
        <w:p w14:paraId="72FDE56F">
          <w:pPr>
            <w:pStyle w:val="5"/>
            <w:tabs>
              <w:tab w:val="right" w:leader="dot" w:pos="8831"/>
            </w:tabs>
          </w:pPr>
          <w:r>
            <w:rPr>
              <w:rFonts w:hint="eastAsia"/>
            </w:rPr>
            <w:fldChar w:fldCharType="begin"/>
          </w:r>
          <w:r>
            <w:rPr>
              <w:rFonts w:hint="eastAsia"/>
            </w:rPr>
            <w:instrText xml:space="preserve"> HYPERLINK \l _Toc3309 </w:instrText>
          </w:r>
          <w:r>
            <w:rPr>
              <w:rFonts w:hint="eastAsia"/>
            </w:rPr>
            <w:fldChar w:fldCharType="separate"/>
          </w:r>
          <w:r>
            <w:rPr>
              <w:rFonts w:hint="eastAsia" w:ascii="宋体" w:hAnsi="宋体" w:eastAsia="宋体" w:cs="宋体"/>
              <w:spacing w:val="-2"/>
              <w:szCs w:val="24"/>
              <w:highlight w:val="none"/>
            </w:rPr>
            <w:t>（六）拟委任的项目经理和项目总工资历表</w:t>
          </w:r>
          <w:r>
            <w:tab/>
          </w:r>
          <w:r>
            <w:fldChar w:fldCharType="begin"/>
          </w:r>
          <w:r>
            <w:instrText xml:space="preserve"> PAGEREF _Toc3309 \h </w:instrText>
          </w:r>
          <w:r>
            <w:fldChar w:fldCharType="separate"/>
          </w:r>
          <w:r>
            <w:t>240</w:t>
          </w:r>
          <w:r>
            <w:fldChar w:fldCharType="end"/>
          </w:r>
          <w:r>
            <w:rPr>
              <w:rFonts w:hint="eastAsia"/>
            </w:rPr>
            <w:fldChar w:fldCharType="end"/>
          </w:r>
        </w:p>
        <w:p w14:paraId="44E8267A">
          <w:pPr>
            <w:pStyle w:val="5"/>
            <w:tabs>
              <w:tab w:val="right" w:leader="dot" w:pos="8831"/>
            </w:tabs>
          </w:pPr>
          <w:r>
            <w:rPr>
              <w:rFonts w:hint="eastAsia"/>
            </w:rPr>
            <w:fldChar w:fldCharType="begin"/>
          </w:r>
          <w:r>
            <w:rPr>
              <w:rFonts w:hint="eastAsia"/>
            </w:rPr>
            <w:instrText xml:space="preserve"> HYPERLINK \l _Toc7697 </w:instrText>
          </w:r>
          <w:r>
            <w:rPr>
              <w:rFonts w:hint="eastAsia"/>
            </w:rPr>
            <w:fldChar w:fldCharType="separate"/>
          </w:r>
          <w:r>
            <w:rPr>
              <w:rFonts w:hint="eastAsia" w:ascii="宋体" w:hAnsi="宋体" w:eastAsia="宋体" w:cs="宋体"/>
              <w:spacing w:val="-2"/>
              <w:szCs w:val="24"/>
              <w:highlight w:val="none"/>
            </w:rPr>
            <w:t>（七）拟委任的其他管理和技术人员汇总表</w:t>
          </w:r>
          <w:r>
            <w:rPr>
              <w:rFonts w:hint="eastAsia" w:ascii="宋体" w:hAnsi="宋体" w:eastAsia="宋体" w:cs="宋体"/>
              <w:spacing w:val="-2"/>
              <w:position w:val="10"/>
              <w:szCs w:val="12"/>
              <w:highlight w:val="none"/>
            </w:rPr>
            <w:t>①</w:t>
          </w:r>
          <w:r>
            <w:tab/>
          </w:r>
          <w:r>
            <w:fldChar w:fldCharType="begin"/>
          </w:r>
          <w:r>
            <w:instrText xml:space="preserve"> PAGEREF _Toc7697 \h </w:instrText>
          </w:r>
          <w:r>
            <w:fldChar w:fldCharType="separate"/>
          </w:r>
          <w:r>
            <w:t>241</w:t>
          </w:r>
          <w:r>
            <w:fldChar w:fldCharType="end"/>
          </w:r>
          <w:r>
            <w:rPr>
              <w:rFonts w:hint="eastAsia"/>
            </w:rPr>
            <w:fldChar w:fldCharType="end"/>
          </w:r>
        </w:p>
        <w:p w14:paraId="5BC0AF03">
          <w:pPr>
            <w:pStyle w:val="5"/>
            <w:tabs>
              <w:tab w:val="right" w:leader="dot" w:pos="8831"/>
            </w:tabs>
          </w:pPr>
          <w:r>
            <w:rPr>
              <w:rFonts w:hint="eastAsia"/>
            </w:rPr>
            <w:fldChar w:fldCharType="begin"/>
          </w:r>
          <w:r>
            <w:rPr>
              <w:rFonts w:hint="eastAsia"/>
            </w:rPr>
            <w:instrText xml:space="preserve"> HYPERLINK \l _Toc32028 </w:instrText>
          </w:r>
          <w:r>
            <w:rPr>
              <w:rFonts w:hint="eastAsia"/>
            </w:rPr>
            <w:fldChar w:fldCharType="separate"/>
          </w:r>
          <w:r>
            <w:rPr>
              <w:rFonts w:hint="eastAsia" w:ascii="宋体" w:hAnsi="宋体" w:eastAsia="宋体" w:cs="宋体"/>
              <w:spacing w:val="-2"/>
              <w:szCs w:val="24"/>
              <w:highlight w:val="none"/>
            </w:rPr>
            <w:t>（八）拟委任的其他管理和技术人员资历表</w:t>
          </w:r>
          <w:r>
            <w:rPr>
              <w:rFonts w:hint="eastAsia" w:ascii="宋体" w:hAnsi="宋体" w:eastAsia="宋体" w:cs="宋体"/>
              <w:spacing w:val="-2"/>
              <w:position w:val="10"/>
              <w:szCs w:val="12"/>
              <w:highlight w:val="none"/>
            </w:rPr>
            <w:t>①</w:t>
          </w:r>
          <w:r>
            <w:tab/>
          </w:r>
          <w:r>
            <w:fldChar w:fldCharType="begin"/>
          </w:r>
          <w:r>
            <w:instrText xml:space="preserve"> PAGEREF _Toc32028 \h </w:instrText>
          </w:r>
          <w:r>
            <w:fldChar w:fldCharType="separate"/>
          </w:r>
          <w:r>
            <w:t>242</w:t>
          </w:r>
          <w:r>
            <w:fldChar w:fldCharType="end"/>
          </w:r>
          <w:r>
            <w:rPr>
              <w:rFonts w:hint="eastAsia"/>
            </w:rPr>
            <w:fldChar w:fldCharType="end"/>
          </w:r>
        </w:p>
        <w:p w14:paraId="51B44EB4">
          <w:pPr>
            <w:pStyle w:val="5"/>
            <w:tabs>
              <w:tab w:val="right" w:leader="dot" w:pos="8831"/>
            </w:tabs>
          </w:pPr>
          <w:r>
            <w:rPr>
              <w:rFonts w:hint="eastAsia"/>
            </w:rPr>
            <w:fldChar w:fldCharType="begin"/>
          </w:r>
          <w:r>
            <w:rPr>
              <w:rFonts w:hint="eastAsia"/>
            </w:rPr>
            <w:instrText xml:space="preserve"> HYPERLINK \l _Toc14213 </w:instrText>
          </w:r>
          <w:r>
            <w:rPr>
              <w:rFonts w:hint="eastAsia"/>
            </w:rPr>
            <w:fldChar w:fldCharType="separate"/>
          </w:r>
          <w:r>
            <w:rPr>
              <w:rFonts w:hint="eastAsia" w:ascii="宋体" w:hAnsi="宋体" w:eastAsia="宋体" w:cs="宋体"/>
              <w:spacing w:val="-2"/>
              <w:szCs w:val="24"/>
              <w:highlight w:val="none"/>
            </w:rPr>
            <w:t>（九）拟投入本标段的主要施工机械表</w:t>
          </w:r>
          <w:r>
            <w:rPr>
              <w:rFonts w:hint="eastAsia" w:ascii="宋体" w:hAnsi="宋体" w:eastAsia="宋体" w:cs="宋体"/>
              <w:spacing w:val="-2"/>
              <w:position w:val="10"/>
              <w:szCs w:val="12"/>
              <w:highlight w:val="none"/>
            </w:rPr>
            <w:t>①</w:t>
          </w:r>
          <w:r>
            <w:tab/>
          </w:r>
          <w:r>
            <w:fldChar w:fldCharType="begin"/>
          </w:r>
          <w:r>
            <w:instrText xml:space="preserve"> PAGEREF _Toc14213 \h </w:instrText>
          </w:r>
          <w:r>
            <w:fldChar w:fldCharType="separate"/>
          </w:r>
          <w:r>
            <w:t>243</w:t>
          </w:r>
          <w:r>
            <w:fldChar w:fldCharType="end"/>
          </w:r>
          <w:r>
            <w:rPr>
              <w:rFonts w:hint="eastAsia"/>
            </w:rPr>
            <w:fldChar w:fldCharType="end"/>
          </w:r>
        </w:p>
        <w:p w14:paraId="0363BCAC">
          <w:pPr>
            <w:pStyle w:val="5"/>
            <w:tabs>
              <w:tab w:val="right" w:leader="dot" w:pos="8831"/>
            </w:tabs>
          </w:pPr>
          <w:r>
            <w:rPr>
              <w:rFonts w:hint="eastAsia"/>
            </w:rPr>
            <w:fldChar w:fldCharType="begin"/>
          </w:r>
          <w:r>
            <w:rPr>
              <w:rFonts w:hint="eastAsia"/>
            </w:rPr>
            <w:instrText xml:space="preserve"> HYPERLINK \l _Toc5338 </w:instrText>
          </w:r>
          <w:r>
            <w:rPr>
              <w:rFonts w:hint="eastAsia"/>
            </w:rPr>
            <w:fldChar w:fldCharType="separate"/>
          </w:r>
          <w:r>
            <w:rPr>
              <w:rFonts w:hint="eastAsia" w:ascii="宋体" w:hAnsi="宋体" w:eastAsia="宋体" w:cs="宋体"/>
              <w:spacing w:val="-1"/>
              <w:szCs w:val="24"/>
              <w:highlight w:val="none"/>
            </w:rPr>
            <w:t>（十）拟配备本标段的主要材料试验、测量、质检仪器设</w:t>
          </w:r>
          <w:r>
            <w:rPr>
              <w:rFonts w:hint="eastAsia" w:ascii="宋体" w:hAnsi="宋体" w:eastAsia="宋体" w:cs="宋体"/>
              <w:spacing w:val="-2"/>
              <w:szCs w:val="24"/>
              <w:highlight w:val="none"/>
            </w:rPr>
            <w:t>备表</w:t>
          </w:r>
          <w:r>
            <w:rPr>
              <w:rFonts w:hint="eastAsia" w:ascii="宋体" w:hAnsi="宋体" w:eastAsia="宋体" w:cs="宋体"/>
              <w:spacing w:val="-2"/>
              <w:position w:val="10"/>
              <w:szCs w:val="12"/>
              <w:highlight w:val="none"/>
            </w:rPr>
            <w:t>①</w:t>
          </w:r>
          <w:r>
            <w:tab/>
          </w:r>
          <w:r>
            <w:fldChar w:fldCharType="begin"/>
          </w:r>
          <w:r>
            <w:instrText xml:space="preserve"> PAGEREF _Toc5338 \h </w:instrText>
          </w:r>
          <w:r>
            <w:fldChar w:fldCharType="separate"/>
          </w:r>
          <w:r>
            <w:t>244</w:t>
          </w:r>
          <w:r>
            <w:fldChar w:fldCharType="end"/>
          </w:r>
          <w:r>
            <w:rPr>
              <w:rFonts w:hint="eastAsia"/>
            </w:rPr>
            <w:fldChar w:fldCharType="end"/>
          </w:r>
        </w:p>
        <w:p w14:paraId="206A7521">
          <w:pPr>
            <w:pStyle w:val="5"/>
            <w:tabs>
              <w:tab w:val="right" w:leader="dot" w:pos="8831"/>
            </w:tabs>
          </w:pPr>
          <w:r>
            <w:rPr>
              <w:rFonts w:hint="eastAsia"/>
            </w:rPr>
            <w:fldChar w:fldCharType="begin"/>
          </w:r>
          <w:r>
            <w:rPr>
              <w:rFonts w:hint="eastAsia"/>
            </w:rPr>
            <w:instrText xml:space="preserve"> HYPERLINK \l _Toc23967 </w:instrText>
          </w:r>
          <w:r>
            <w:rPr>
              <w:rFonts w:hint="eastAsia"/>
            </w:rPr>
            <w:fldChar w:fldCharType="separate"/>
          </w:r>
          <w:r>
            <w:rPr>
              <w:rFonts w:hint="eastAsia" w:ascii="宋体" w:hAnsi="宋体" w:eastAsia="宋体" w:cs="宋体"/>
              <w:spacing w:val="-1"/>
              <w:szCs w:val="24"/>
              <w:highlight w:val="none"/>
            </w:rPr>
            <w:t>投标人的信誉情况表</w:t>
          </w:r>
          <w:r>
            <w:tab/>
          </w:r>
          <w:r>
            <w:fldChar w:fldCharType="begin"/>
          </w:r>
          <w:r>
            <w:instrText xml:space="preserve"> PAGEREF _Toc23967 \h </w:instrText>
          </w:r>
          <w:r>
            <w:fldChar w:fldCharType="separate"/>
          </w:r>
          <w:r>
            <w:t>245</w:t>
          </w:r>
          <w:r>
            <w:fldChar w:fldCharType="end"/>
          </w:r>
          <w:r>
            <w:rPr>
              <w:rFonts w:hint="eastAsia"/>
            </w:rPr>
            <w:fldChar w:fldCharType="end"/>
          </w:r>
        </w:p>
        <w:p w14:paraId="32E1454C">
          <w:pPr>
            <w:pStyle w:val="5"/>
            <w:tabs>
              <w:tab w:val="right" w:leader="dot" w:pos="8831"/>
            </w:tabs>
          </w:pPr>
          <w:r>
            <w:rPr>
              <w:rFonts w:hint="eastAsia"/>
            </w:rPr>
            <w:fldChar w:fldCharType="begin"/>
          </w:r>
          <w:r>
            <w:rPr>
              <w:rFonts w:hint="eastAsia"/>
            </w:rPr>
            <w:instrText xml:space="preserve"> HYPERLINK \l _Toc3508 </w:instrText>
          </w:r>
          <w:r>
            <w:rPr>
              <w:rFonts w:hint="eastAsia"/>
            </w:rPr>
            <w:fldChar w:fldCharType="separate"/>
          </w:r>
          <w:r>
            <w:rPr>
              <w:rFonts w:hint="eastAsia" w:ascii="宋体" w:hAnsi="宋体" w:eastAsia="宋体" w:cs="宋体"/>
              <w:bCs/>
              <w:spacing w:val="-3"/>
              <w:szCs w:val="28"/>
              <w:highlight w:val="none"/>
            </w:rPr>
            <w:t>农民工工资保证金承诺书</w:t>
          </w:r>
          <w:r>
            <w:tab/>
          </w:r>
          <w:r>
            <w:fldChar w:fldCharType="begin"/>
          </w:r>
          <w:r>
            <w:instrText xml:space="preserve"> PAGEREF _Toc3508 \h </w:instrText>
          </w:r>
          <w:r>
            <w:fldChar w:fldCharType="separate"/>
          </w:r>
          <w:r>
            <w:t>246</w:t>
          </w:r>
          <w:r>
            <w:fldChar w:fldCharType="end"/>
          </w:r>
          <w:r>
            <w:rPr>
              <w:rFonts w:hint="eastAsia"/>
            </w:rPr>
            <w:fldChar w:fldCharType="end"/>
          </w:r>
        </w:p>
        <w:p w14:paraId="2BC5881D">
          <w:pPr>
            <w:pStyle w:val="8"/>
            <w:tabs>
              <w:tab w:val="right" w:leader="dot" w:pos="8831"/>
            </w:tabs>
          </w:pPr>
          <w:r>
            <w:rPr>
              <w:rFonts w:hint="eastAsia"/>
            </w:rPr>
            <w:fldChar w:fldCharType="begin"/>
          </w:r>
          <w:r>
            <w:rPr>
              <w:rFonts w:hint="eastAsia"/>
            </w:rPr>
            <w:instrText xml:space="preserve"> HYPERLINK \l _Toc6196 </w:instrText>
          </w:r>
          <w:r>
            <w:rPr>
              <w:rFonts w:hint="eastAsia"/>
            </w:rPr>
            <w:fldChar w:fldCharType="separate"/>
          </w:r>
          <w:r>
            <w:rPr>
              <w:rFonts w:hint="eastAsia" w:ascii="宋体" w:hAnsi="宋体" w:eastAsia="宋体" w:cs="宋体"/>
              <w:spacing w:val="-3"/>
              <w:szCs w:val="28"/>
              <w:highlight w:val="none"/>
            </w:rPr>
            <w:t>九、其他资料</w:t>
          </w:r>
          <w:r>
            <w:tab/>
          </w:r>
          <w:r>
            <w:fldChar w:fldCharType="begin"/>
          </w:r>
          <w:r>
            <w:instrText xml:space="preserve"> PAGEREF _Toc6196 \h </w:instrText>
          </w:r>
          <w:r>
            <w:fldChar w:fldCharType="separate"/>
          </w:r>
          <w:r>
            <w:t>247</w:t>
          </w:r>
          <w:r>
            <w:fldChar w:fldCharType="end"/>
          </w:r>
          <w:r>
            <w:rPr>
              <w:rFonts w:hint="eastAsia"/>
            </w:rPr>
            <w:fldChar w:fldCharType="end"/>
          </w:r>
        </w:p>
        <w:p w14:paraId="0A14822D">
          <w:pPr>
            <w:pStyle w:val="8"/>
            <w:tabs>
              <w:tab w:val="right" w:leader="dot" w:pos="8831"/>
            </w:tabs>
          </w:pPr>
          <w:r>
            <w:rPr>
              <w:rFonts w:hint="eastAsia"/>
            </w:rPr>
            <w:fldChar w:fldCharType="begin"/>
          </w:r>
          <w:r>
            <w:rPr>
              <w:rFonts w:hint="eastAsia"/>
            </w:rPr>
            <w:instrText xml:space="preserve"> HYPERLINK \l _Toc15017 </w:instrText>
          </w:r>
          <w:r>
            <w:rPr>
              <w:rFonts w:hint="eastAsia"/>
            </w:rPr>
            <w:fldChar w:fldCharType="separate"/>
          </w:r>
          <w:r>
            <w:rPr>
              <w:rFonts w:hint="eastAsia" w:ascii="宋体" w:hAnsi="宋体" w:eastAsia="宋体" w:cs="宋体"/>
              <w:spacing w:val="8"/>
              <w:szCs w:val="30"/>
              <w:highlight w:val="none"/>
            </w:rPr>
            <w:t>广西壮族自治区</w:t>
          </w:r>
          <w:r>
            <w:tab/>
          </w:r>
          <w:r>
            <w:fldChar w:fldCharType="begin"/>
          </w:r>
          <w:r>
            <w:instrText xml:space="preserve"> PAGEREF _Toc15017 \h </w:instrText>
          </w:r>
          <w:r>
            <w:fldChar w:fldCharType="separate"/>
          </w:r>
          <w:r>
            <w:t>251</w:t>
          </w:r>
          <w:r>
            <w:fldChar w:fldCharType="end"/>
          </w:r>
          <w:r>
            <w:rPr>
              <w:rFonts w:hint="eastAsia"/>
            </w:rPr>
            <w:fldChar w:fldCharType="end"/>
          </w:r>
        </w:p>
        <w:p w14:paraId="020B4C25">
          <w:pPr>
            <w:pStyle w:val="8"/>
            <w:tabs>
              <w:tab w:val="right" w:leader="dot" w:pos="8831"/>
            </w:tabs>
          </w:pPr>
          <w:r>
            <w:rPr>
              <w:rFonts w:hint="eastAsia"/>
            </w:rPr>
            <w:fldChar w:fldCharType="begin"/>
          </w:r>
          <w:r>
            <w:rPr>
              <w:rFonts w:hint="eastAsia"/>
            </w:rPr>
            <w:instrText xml:space="preserve"> HYPERLINK \l _Toc5854 </w:instrText>
          </w:r>
          <w:r>
            <w:rPr>
              <w:rFonts w:hint="eastAsia"/>
            </w:rPr>
            <w:fldChar w:fldCharType="separate"/>
          </w:r>
          <w:r>
            <w:rPr>
              <w:rFonts w:hint="eastAsia" w:ascii="宋体" w:hAnsi="宋体" w:eastAsia="宋体" w:cs="宋体"/>
              <w:spacing w:val="5"/>
              <w:szCs w:val="31"/>
              <w:highlight w:val="none"/>
            </w:rPr>
            <w:t>（第二信封报价文件）</w:t>
          </w:r>
          <w:r>
            <w:tab/>
          </w:r>
          <w:r>
            <w:fldChar w:fldCharType="begin"/>
          </w:r>
          <w:r>
            <w:instrText xml:space="preserve"> PAGEREF _Toc5854 \h </w:instrText>
          </w:r>
          <w:r>
            <w:fldChar w:fldCharType="separate"/>
          </w:r>
          <w:r>
            <w:t>251</w:t>
          </w:r>
          <w:r>
            <w:fldChar w:fldCharType="end"/>
          </w:r>
          <w:r>
            <w:rPr>
              <w:rFonts w:hint="eastAsia"/>
            </w:rPr>
            <w:fldChar w:fldCharType="end"/>
          </w:r>
        </w:p>
        <w:p w14:paraId="76F56FB7">
          <w:pPr>
            <w:pStyle w:val="8"/>
            <w:tabs>
              <w:tab w:val="right" w:leader="dot" w:pos="8831"/>
            </w:tabs>
          </w:pPr>
          <w:r>
            <w:rPr>
              <w:rFonts w:hint="eastAsia"/>
            </w:rPr>
            <w:fldChar w:fldCharType="begin"/>
          </w:r>
          <w:r>
            <w:rPr>
              <w:rFonts w:hint="eastAsia"/>
            </w:rPr>
            <w:instrText xml:space="preserve"> HYPERLINK \l _Toc23346 </w:instrText>
          </w:r>
          <w:r>
            <w:rPr>
              <w:rFonts w:hint="eastAsia"/>
            </w:rPr>
            <w:fldChar w:fldCharType="separate"/>
          </w:r>
          <w:r>
            <w:rPr>
              <w:rFonts w:hint="eastAsia" w:ascii="宋体" w:hAnsi="宋体" w:eastAsia="宋体" w:cs="宋体"/>
              <w:spacing w:val="-33"/>
              <w:szCs w:val="40"/>
              <w:highlight w:val="none"/>
            </w:rPr>
            <w:t>目录</w:t>
          </w:r>
          <w:r>
            <w:tab/>
          </w:r>
          <w:r>
            <w:fldChar w:fldCharType="begin"/>
          </w:r>
          <w:r>
            <w:instrText xml:space="preserve"> PAGEREF _Toc23346 \h </w:instrText>
          </w:r>
          <w:r>
            <w:fldChar w:fldCharType="separate"/>
          </w:r>
          <w:r>
            <w:t>252</w:t>
          </w:r>
          <w:r>
            <w:fldChar w:fldCharType="end"/>
          </w:r>
          <w:r>
            <w:rPr>
              <w:rFonts w:hint="eastAsia"/>
            </w:rPr>
            <w:fldChar w:fldCharType="end"/>
          </w:r>
        </w:p>
        <w:p w14:paraId="2410EB33">
          <w:pPr>
            <w:pStyle w:val="8"/>
            <w:tabs>
              <w:tab w:val="right" w:leader="dot" w:pos="8831"/>
            </w:tabs>
          </w:pPr>
          <w:r>
            <w:rPr>
              <w:rFonts w:hint="eastAsia"/>
            </w:rPr>
            <w:fldChar w:fldCharType="begin"/>
          </w:r>
          <w:r>
            <w:rPr>
              <w:rFonts w:hint="eastAsia"/>
            </w:rPr>
            <w:instrText xml:space="preserve"> HYPERLINK \l _Toc22612 </w:instrText>
          </w:r>
          <w:r>
            <w:rPr>
              <w:rFonts w:hint="eastAsia"/>
            </w:rPr>
            <w:fldChar w:fldCharType="separate"/>
          </w:r>
          <w:r>
            <w:rPr>
              <w:rFonts w:hint="eastAsia" w:ascii="宋体" w:hAnsi="宋体" w:eastAsia="宋体" w:cs="宋体"/>
              <w:spacing w:val="-1"/>
              <w:szCs w:val="30"/>
              <w:highlight w:val="none"/>
            </w:rPr>
            <w:t>调价函格式（如有）</w:t>
          </w:r>
          <w:r>
            <w:rPr>
              <w:rFonts w:hint="eastAsia" w:ascii="宋体" w:hAnsi="宋体" w:eastAsia="宋体" w:cs="宋体"/>
              <w:bCs/>
              <w:spacing w:val="-1"/>
              <w:position w:val="13"/>
              <w:szCs w:val="14"/>
              <w:highlight w:val="none"/>
            </w:rPr>
            <w:t>①</w:t>
          </w:r>
          <w:r>
            <w:tab/>
          </w:r>
          <w:r>
            <w:fldChar w:fldCharType="begin"/>
          </w:r>
          <w:r>
            <w:instrText xml:space="preserve"> PAGEREF _Toc22612 \h </w:instrText>
          </w:r>
          <w:r>
            <w:fldChar w:fldCharType="separate"/>
          </w:r>
          <w:r>
            <w:t>253</w:t>
          </w:r>
          <w:r>
            <w:fldChar w:fldCharType="end"/>
          </w:r>
          <w:r>
            <w:rPr>
              <w:rFonts w:hint="eastAsia"/>
            </w:rPr>
            <w:fldChar w:fldCharType="end"/>
          </w:r>
        </w:p>
        <w:p w14:paraId="7AF51108">
          <w:pPr>
            <w:pStyle w:val="8"/>
            <w:tabs>
              <w:tab w:val="right" w:leader="dot" w:pos="8831"/>
            </w:tabs>
          </w:pPr>
          <w:r>
            <w:rPr>
              <w:rFonts w:hint="eastAsia"/>
            </w:rPr>
            <w:fldChar w:fldCharType="begin"/>
          </w:r>
          <w:r>
            <w:rPr>
              <w:rFonts w:hint="eastAsia"/>
            </w:rPr>
            <w:instrText xml:space="preserve"> HYPERLINK \l _Toc17345 </w:instrText>
          </w:r>
          <w:r>
            <w:rPr>
              <w:rFonts w:hint="eastAsia"/>
            </w:rPr>
            <w:fldChar w:fldCharType="separate"/>
          </w:r>
          <w:r>
            <w:rPr>
              <w:rFonts w:hint="eastAsia" w:ascii="宋体" w:hAnsi="宋体" w:eastAsia="宋体" w:cs="宋体"/>
              <w:spacing w:val="-4"/>
              <w:szCs w:val="30"/>
              <w:highlight w:val="none"/>
            </w:rPr>
            <w:t>一、投标函</w:t>
          </w:r>
          <w:r>
            <w:tab/>
          </w:r>
          <w:r>
            <w:fldChar w:fldCharType="begin"/>
          </w:r>
          <w:r>
            <w:instrText xml:space="preserve"> PAGEREF _Toc17345 \h </w:instrText>
          </w:r>
          <w:r>
            <w:fldChar w:fldCharType="separate"/>
          </w:r>
          <w:r>
            <w:t>254</w:t>
          </w:r>
          <w:r>
            <w:fldChar w:fldCharType="end"/>
          </w:r>
          <w:r>
            <w:rPr>
              <w:rFonts w:hint="eastAsia"/>
            </w:rPr>
            <w:fldChar w:fldCharType="end"/>
          </w:r>
        </w:p>
        <w:p w14:paraId="399DFEE0">
          <w:pPr>
            <w:pStyle w:val="8"/>
            <w:tabs>
              <w:tab w:val="right" w:leader="dot" w:pos="8831"/>
            </w:tabs>
          </w:pPr>
          <w:r>
            <w:rPr>
              <w:rFonts w:hint="eastAsia"/>
            </w:rPr>
            <w:fldChar w:fldCharType="begin"/>
          </w:r>
          <w:r>
            <w:rPr>
              <w:rFonts w:hint="eastAsia"/>
            </w:rPr>
            <w:instrText xml:space="preserve"> HYPERLINK \l _Toc21870 </w:instrText>
          </w:r>
          <w:r>
            <w:rPr>
              <w:rFonts w:hint="eastAsia"/>
            </w:rPr>
            <w:fldChar w:fldCharType="separate"/>
          </w:r>
          <w:r>
            <w:rPr>
              <w:rFonts w:hint="eastAsia" w:ascii="宋体" w:hAnsi="宋体" w:eastAsia="宋体" w:cs="宋体"/>
              <w:spacing w:val="-2"/>
              <w:szCs w:val="28"/>
              <w:highlight w:val="none"/>
            </w:rPr>
            <w:t>二、已标价工程量清单</w:t>
          </w:r>
          <w:r>
            <w:tab/>
          </w:r>
          <w:r>
            <w:fldChar w:fldCharType="begin"/>
          </w:r>
          <w:r>
            <w:instrText xml:space="preserve"> PAGEREF _Toc21870 \h </w:instrText>
          </w:r>
          <w:r>
            <w:fldChar w:fldCharType="separate"/>
          </w:r>
          <w:r>
            <w:t>255</w:t>
          </w:r>
          <w:r>
            <w:fldChar w:fldCharType="end"/>
          </w:r>
          <w:r>
            <w:rPr>
              <w:rFonts w:hint="eastAsia"/>
            </w:rPr>
            <w:fldChar w:fldCharType="end"/>
          </w:r>
        </w:p>
        <w:p w14:paraId="62CB4885">
          <w:pPr>
            <w:pStyle w:val="8"/>
            <w:tabs>
              <w:tab w:val="right" w:leader="dot" w:pos="8831"/>
            </w:tabs>
          </w:pPr>
          <w:r>
            <w:rPr>
              <w:rFonts w:hint="eastAsia"/>
            </w:rPr>
            <w:fldChar w:fldCharType="begin"/>
          </w:r>
          <w:r>
            <w:rPr>
              <w:rFonts w:hint="eastAsia"/>
            </w:rPr>
            <w:instrText xml:space="preserve"> HYPERLINK \l _Toc28478 </w:instrText>
          </w:r>
          <w:r>
            <w:rPr>
              <w:rFonts w:hint="eastAsia"/>
            </w:rPr>
            <w:fldChar w:fldCharType="separate"/>
          </w:r>
          <w:r>
            <w:rPr>
              <w:rFonts w:hint="eastAsia" w:ascii="宋体" w:hAnsi="宋体" w:eastAsia="宋体" w:cs="宋体"/>
              <w:spacing w:val="-2"/>
              <w:szCs w:val="28"/>
              <w:highlight w:val="none"/>
            </w:rPr>
            <w:t>三、合同用款估算表</w:t>
          </w:r>
          <w:r>
            <w:tab/>
          </w:r>
          <w:r>
            <w:fldChar w:fldCharType="begin"/>
          </w:r>
          <w:r>
            <w:instrText xml:space="preserve"> PAGEREF _Toc28478 \h </w:instrText>
          </w:r>
          <w:r>
            <w:fldChar w:fldCharType="separate"/>
          </w:r>
          <w:r>
            <w:t>256</w:t>
          </w:r>
          <w:r>
            <w:fldChar w:fldCharType="end"/>
          </w:r>
          <w:r>
            <w:rPr>
              <w:rFonts w:hint="eastAsia"/>
            </w:rPr>
            <w:fldChar w:fldCharType="end"/>
          </w:r>
        </w:p>
        <w:p w14:paraId="1B60FF4E">
          <w:pPr>
            <w:pStyle w:val="8"/>
            <w:tabs>
              <w:tab w:val="right" w:leader="dot" w:pos="8831"/>
            </w:tabs>
          </w:pPr>
          <w:r>
            <w:rPr>
              <w:rFonts w:hint="eastAsia"/>
            </w:rPr>
            <w:fldChar w:fldCharType="begin"/>
          </w:r>
          <w:r>
            <w:rPr>
              <w:rFonts w:hint="eastAsia"/>
            </w:rPr>
            <w:instrText xml:space="preserve"> HYPERLINK \l _Toc5431 </w:instrText>
          </w:r>
          <w:r>
            <w:rPr>
              <w:rFonts w:hint="eastAsia"/>
            </w:rPr>
            <w:fldChar w:fldCharType="separate"/>
          </w:r>
          <w:r>
            <w:rPr>
              <w:rFonts w:hint="eastAsia" w:ascii="宋体" w:hAnsi="宋体" w:eastAsia="宋体" w:cs="宋体"/>
              <w:spacing w:val="-5"/>
              <w:szCs w:val="28"/>
              <w:highlight w:val="none"/>
            </w:rPr>
            <w:t>四、其他资料</w:t>
          </w:r>
          <w:r>
            <w:tab/>
          </w:r>
          <w:r>
            <w:fldChar w:fldCharType="begin"/>
          </w:r>
          <w:r>
            <w:instrText xml:space="preserve"> PAGEREF _Toc5431 \h </w:instrText>
          </w:r>
          <w:r>
            <w:fldChar w:fldCharType="separate"/>
          </w:r>
          <w:r>
            <w:t>257</w:t>
          </w:r>
          <w:r>
            <w:fldChar w:fldCharType="end"/>
          </w:r>
          <w:r>
            <w:rPr>
              <w:rFonts w:hint="eastAsia"/>
            </w:rPr>
            <w:fldChar w:fldCharType="end"/>
          </w:r>
        </w:p>
        <w:p w14:paraId="1394E2DE">
          <w:pPr>
            <w:pStyle w:val="8"/>
            <w:tabs>
              <w:tab w:val="right" w:leader="dot" w:pos="8831"/>
            </w:tabs>
          </w:pPr>
          <w:r>
            <w:rPr>
              <w:rFonts w:hint="eastAsia"/>
            </w:rPr>
            <w:fldChar w:fldCharType="begin"/>
          </w:r>
          <w:r>
            <w:rPr>
              <w:rFonts w:hint="eastAsia"/>
            </w:rPr>
            <w:instrText xml:space="preserve"> HYPERLINK \l _Toc26941 </w:instrText>
          </w:r>
          <w:r>
            <w:rPr>
              <w:rFonts w:hint="eastAsia"/>
            </w:rPr>
            <w:fldChar w:fldCharType="separate"/>
          </w:r>
          <w:r>
            <w:rPr>
              <w:rFonts w:hint="eastAsia" w:ascii="宋体" w:hAnsi="宋体" w:eastAsia="宋体" w:cs="宋体"/>
              <w:bCs/>
              <w:spacing w:val="5"/>
              <w:szCs w:val="31"/>
              <w:highlight w:val="none"/>
            </w:rPr>
            <w:t>工程量清单说明</w:t>
          </w:r>
          <w:r>
            <w:tab/>
          </w:r>
          <w:r>
            <w:fldChar w:fldCharType="begin"/>
          </w:r>
          <w:r>
            <w:instrText xml:space="preserve"> PAGEREF _Toc26941 \h </w:instrText>
          </w:r>
          <w:r>
            <w:fldChar w:fldCharType="separate"/>
          </w:r>
          <w:r>
            <w:t>258</w:t>
          </w:r>
          <w:r>
            <w:fldChar w:fldCharType="end"/>
          </w:r>
          <w:r>
            <w:rPr>
              <w:rFonts w:hint="eastAsia"/>
            </w:rPr>
            <w:fldChar w:fldCharType="end"/>
          </w:r>
        </w:p>
        <w:p w14:paraId="3B7756E5">
          <w:pPr>
            <w:bidi w:val="0"/>
            <w:rPr>
              <w:rFonts w:hint="eastAsia" w:ascii="Arial" w:hAnsi="Arial" w:eastAsia="Arial" w:cs="Arial"/>
              <w:snapToGrid w:val="0"/>
              <w:color w:val="000000"/>
              <w:kern w:val="0"/>
              <w:sz w:val="21"/>
              <w:szCs w:val="21"/>
              <w:lang w:val="en-US" w:eastAsia="en-US" w:bidi="ar-SA"/>
            </w:rPr>
          </w:pPr>
          <w:r>
            <w:rPr>
              <w:rFonts w:hint="eastAsia"/>
            </w:rPr>
            <w:fldChar w:fldCharType="end"/>
          </w:r>
        </w:p>
      </w:sdtContent>
    </w:sdt>
    <w:p w14:paraId="2FBD4A1F">
      <w:pPr>
        <w:pStyle w:val="2"/>
        <w:rPr>
          <w:rFonts w:hint="eastAsia"/>
        </w:rPr>
      </w:pPr>
    </w:p>
    <w:p w14:paraId="12EF2A3E">
      <w:pPr>
        <w:bidi w:val="0"/>
        <w:rPr>
          <w:rFonts w:hint="eastAsia"/>
        </w:rPr>
      </w:pPr>
    </w:p>
    <w:p w14:paraId="76D6874F">
      <w:pPr>
        <w:bidi w:val="0"/>
        <w:rPr>
          <w:rFonts w:hint="eastAsia"/>
        </w:rPr>
      </w:pPr>
    </w:p>
    <w:p w14:paraId="29DCABAA">
      <w:pPr>
        <w:bidi w:val="0"/>
        <w:rPr>
          <w:rFonts w:hint="eastAsia"/>
        </w:rPr>
      </w:pPr>
    </w:p>
    <w:p w14:paraId="74A705E9">
      <w:pPr>
        <w:bidi w:val="0"/>
        <w:rPr>
          <w:rFonts w:hint="eastAsia"/>
        </w:rPr>
      </w:pPr>
    </w:p>
    <w:p w14:paraId="14A18E36">
      <w:pPr>
        <w:tabs>
          <w:tab w:val="left" w:pos="2773"/>
        </w:tabs>
        <w:bidi w:val="0"/>
        <w:jc w:val="left"/>
        <w:rPr>
          <w:rFonts w:hint="eastAsia" w:eastAsia="宋体"/>
          <w:lang w:eastAsia="zh-CN"/>
        </w:rPr>
        <w:sectPr>
          <w:headerReference r:id="rId6" w:type="default"/>
          <w:footerReference r:id="rId7" w:type="default"/>
          <w:pgSz w:w="11907" w:h="16840"/>
          <w:pgMar w:top="1182" w:right="1290" w:bottom="1014" w:left="1786" w:header="849" w:footer="852" w:gutter="0"/>
          <w:pgNumType w:fmt="decimal"/>
          <w:cols w:space="720" w:num="1"/>
        </w:sectPr>
      </w:pPr>
      <w:r>
        <w:rPr>
          <w:rFonts w:hint="eastAsia" w:eastAsia="宋体"/>
          <w:lang w:eastAsia="zh-CN"/>
        </w:rPr>
        <w:tab/>
      </w:r>
    </w:p>
    <w:p w14:paraId="435F6733">
      <w:pPr>
        <w:pStyle w:val="4"/>
        <w:spacing w:line="243" w:lineRule="auto"/>
        <w:rPr>
          <w:rFonts w:hint="eastAsia" w:ascii="宋体" w:hAnsi="宋体" w:eastAsia="宋体" w:cs="宋体"/>
          <w:color w:val="auto"/>
          <w:highlight w:val="none"/>
        </w:rPr>
      </w:pPr>
    </w:p>
    <w:p w14:paraId="085364A7">
      <w:pPr>
        <w:pStyle w:val="4"/>
        <w:spacing w:line="243" w:lineRule="auto"/>
        <w:rPr>
          <w:rFonts w:hint="eastAsia" w:ascii="宋体" w:hAnsi="宋体" w:eastAsia="宋体" w:cs="宋体"/>
          <w:color w:val="auto"/>
          <w:highlight w:val="none"/>
        </w:rPr>
      </w:pPr>
    </w:p>
    <w:p w14:paraId="78375E72">
      <w:pPr>
        <w:pStyle w:val="4"/>
        <w:spacing w:line="244" w:lineRule="auto"/>
        <w:rPr>
          <w:rFonts w:hint="eastAsia" w:ascii="宋体" w:hAnsi="宋体" w:eastAsia="宋体" w:cs="宋体"/>
          <w:color w:val="auto"/>
          <w:highlight w:val="none"/>
        </w:rPr>
      </w:pPr>
    </w:p>
    <w:p w14:paraId="777C9856">
      <w:pPr>
        <w:pStyle w:val="4"/>
        <w:spacing w:line="244" w:lineRule="auto"/>
        <w:rPr>
          <w:rFonts w:hint="eastAsia" w:ascii="宋体" w:hAnsi="宋体" w:eastAsia="宋体" w:cs="宋体"/>
          <w:color w:val="auto"/>
          <w:highlight w:val="none"/>
        </w:rPr>
      </w:pPr>
    </w:p>
    <w:p w14:paraId="313B31D6">
      <w:pPr>
        <w:pStyle w:val="4"/>
        <w:spacing w:line="244" w:lineRule="auto"/>
        <w:rPr>
          <w:rFonts w:hint="eastAsia" w:ascii="宋体" w:hAnsi="宋体" w:eastAsia="宋体" w:cs="宋体"/>
          <w:color w:val="auto"/>
          <w:highlight w:val="none"/>
        </w:rPr>
      </w:pPr>
    </w:p>
    <w:p w14:paraId="2CAB77A4">
      <w:pPr>
        <w:pStyle w:val="4"/>
        <w:spacing w:line="244" w:lineRule="auto"/>
        <w:rPr>
          <w:rFonts w:hint="eastAsia" w:ascii="宋体" w:hAnsi="宋体" w:eastAsia="宋体" w:cs="宋体"/>
          <w:color w:val="auto"/>
          <w:highlight w:val="none"/>
        </w:rPr>
      </w:pPr>
    </w:p>
    <w:p w14:paraId="66438801">
      <w:pPr>
        <w:pStyle w:val="4"/>
        <w:spacing w:line="244" w:lineRule="auto"/>
        <w:rPr>
          <w:rFonts w:hint="eastAsia" w:ascii="宋体" w:hAnsi="宋体" w:eastAsia="宋体" w:cs="宋体"/>
          <w:color w:val="auto"/>
          <w:highlight w:val="none"/>
        </w:rPr>
      </w:pPr>
    </w:p>
    <w:p w14:paraId="4FE27E38">
      <w:pPr>
        <w:pStyle w:val="4"/>
        <w:spacing w:line="244" w:lineRule="auto"/>
        <w:rPr>
          <w:rFonts w:hint="eastAsia" w:ascii="宋体" w:hAnsi="宋体" w:eastAsia="宋体" w:cs="宋体"/>
          <w:color w:val="auto"/>
          <w:highlight w:val="none"/>
        </w:rPr>
      </w:pPr>
    </w:p>
    <w:p w14:paraId="596317CA">
      <w:pPr>
        <w:pStyle w:val="4"/>
        <w:spacing w:line="244" w:lineRule="auto"/>
        <w:rPr>
          <w:rFonts w:hint="eastAsia" w:ascii="宋体" w:hAnsi="宋体" w:eastAsia="宋体" w:cs="宋体"/>
          <w:color w:val="auto"/>
          <w:highlight w:val="none"/>
        </w:rPr>
      </w:pPr>
    </w:p>
    <w:p w14:paraId="24261119">
      <w:pPr>
        <w:pStyle w:val="4"/>
        <w:spacing w:line="244" w:lineRule="auto"/>
        <w:rPr>
          <w:rFonts w:hint="eastAsia" w:ascii="宋体" w:hAnsi="宋体" w:eastAsia="宋体" w:cs="宋体"/>
          <w:color w:val="auto"/>
          <w:highlight w:val="none"/>
        </w:rPr>
      </w:pPr>
    </w:p>
    <w:p w14:paraId="24EF31CE">
      <w:pPr>
        <w:pStyle w:val="4"/>
        <w:spacing w:line="244" w:lineRule="auto"/>
        <w:rPr>
          <w:rFonts w:hint="eastAsia" w:ascii="宋体" w:hAnsi="宋体" w:eastAsia="宋体" w:cs="宋体"/>
          <w:color w:val="auto"/>
          <w:highlight w:val="none"/>
        </w:rPr>
      </w:pPr>
    </w:p>
    <w:p w14:paraId="28F88B5D">
      <w:pPr>
        <w:pStyle w:val="4"/>
        <w:spacing w:line="244" w:lineRule="auto"/>
        <w:rPr>
          <w:rFonts w:hint="eastAsia" w:ascii="宋体" w:hAnsi="宋体" w:eastAsia="宋体" w:cs="宋体"/>
          <w:color w:val="auto"/>
          <w:highlight w:val="none"/>
        </w:rPr>
      </w:pPr>
    </w:p>
    <w:p w14:paraId="3EC9CD99">
      <w:pPr>
        <w:pStyle w:val="4"/>
        <w:spacing w:line="244" w:lineRule="auto"/>
        <w:rPr>
          <w:rFonts w:hint="eastAsia" w:ascii="宋体" w:hAnsi="宋体" w:eastAsia="宋体" w:cs="宋体"/>
          <w:color w:val="auto"/>
          <w:highlight w:val="none"/>
        </w:rPr>
      </w:pPr>
    </w:p>
    <w:p w14:paraId="6F1B41AE">
      <w:pPr>
        <w:pStyle w:val="4"/>
        <w:spacing w:line="244" w:lineRule="auto"/>
        <w:rPr>
          <w:rFonts w:hint="eastAsia" w:ascii="宋体" w:hAnsi="宋体" w:eastAsia="宋体" w:cs="宋体"/>
          <w:color w:val="auto"/>
          <w:highlight w:val="none"/>
        </w:rPr>
      </w:pPr>
    </w:p>
    <w:p w14:paraId="1EA8B492">
      <w:pPr>
        <w:spacing w:before="153" w:line="223" w:lineRule="auto"/>
        <w:ind w:left="3716"/>
        <w:outlineLvl w:val="0"/>
        <w:rPr>
          <w:rFonts w:hint="eastAsia" w:ascii="宋体" w:hAnsi="宋体" w:eastAsia="宋体" w:cs="宋体"/>
          <w:color w:val="auto"/>
          <w:sz w:val="47"/>
          <w:szCs w:val="47"/>
          <w:highlight w:val="none"/>
        </w:rPr>
      </w:pPr>
      <w:bookmarkStart w:id="0" w:name="_Toc26385"/>
      <w:bookmarkStart w:id="1" w:name="_Toc17571"/>
      <w:bookmarkStart w:id="2" w:name="_Toc3863"/>
      <w:bookmarkStart w:id="3" w:name="_Toc25360"/>
      <w:bookmarkStart w:id="4" w:name="_Toc9744"/>
      <w:r>
        <w:rPr>
          <w:rFonts w:hint="eastAsia" w:ascii="宋体" w:hAnsi="宋体" w:eastAsia="宋体" w:cs="宋体"/>
          <w:b/>
          <w:bCs/>
          <w:color w:val="auto"/>
          <w:sz w:val="47"/>
          <w:szCs w:val="47"/>
          <w:highlight w:val="none"/>
        </w:rPr>
        <w:t>第一卷</w:t>
      </w:r>
      <w:bookmarkEnd w:id="0"/>
      <w:bookmarkEnd w:id="1"/>
      <w:bookmarkEnd w:id="2"/>
      <w:bookmarkEnd w:id="3"/>
      <w:bookmarkEnd w:id="4"/>
    </w:p>
    <w:p w14:paraId="1F3F5D59">
      <w:pPr>
        <w:spacing w:line="223" w:lineRule="auto"/>
        <w:rPr>
          <w:rFonts w:hint="eastAsia" w:ascii="宋体" w:hAnsi="宋体" w:eastAsia="宋体" w:cs="宋体"/>
          <w:color w:val="auto"/>
          <w:sz w:val="47"/>
          <w:szCs w:val="47"/>
          <w:highlight w:val="none"/>
        </w:rPr>
        <w:sectPr>
          <w:footerReference r:id="rId8" w:type="default"/>
          <w:pgSz w:w="11907" w:h="16840"/>
          <w:pgMar w:top="1182" w:right="1290" w:bottom="1014" w:left="1786" w:header="849" w:footer="852" w:gutter="0"/>
          <w:pgNumType w:fmt="decimal"/>
          <w:cols w:space="720" w:num="1"/>
        </w:sectPr>
      </w:pPr>
    </w:p>
    <w:p w14:paraId="6EF120A0">
      <w:pPr>
        <w:spacing w:before="309" w:line="223" w:lineRule="auto"/>
        <w:ind w:left="2989"/>
        <w:outlineLvl w:val="0"/>
        <w:rPr>
          <w:rFonts w:hint="eastAsia" w:ascii="宋体" w:hAnsi="宋体" w:eastAsia="宋体" w:cs="宋体"/>
          <w:color w:val="auto"/>
          <w:sz w:val="35"/>
          <w:szCs w:val="35"/>
          <w:highlight w:val="none"/>
        </w:rPr>
      </w:pPr>
      <w:bookmarkStart w:id="5" w:name="_Toc4621"/>
      <w:bookmarkStart w:id="6" w:name="_Toc4972"/>
      <w:bookmarkStart w:id="7" w:name="_Toc13131"/>
      <w:bookmarkStart w:id="8" w:name="_Toc9962"/>
      <w:bookmarkStart w:id="9" w:name="_Toc7581"/>
      <w:r>
        <w:rPr>
          <w:rFonts w:hint="eastAsia" w:ascii="宋体" w:hAnsi="宋体" w:eastAsia="宋体" w:cs="宋体"/>
          <w:b/>
          <w:bCs/>
          <w:color w:val="auto"/>
          <w:spacing w:val="5"/>
          <w:sz w:val="35"/>
          <w:szCs w:val="35"/>
          <w:highlight w:val="none"/>
        </w:rPr>
        <w:t>第一章招标公告</w:t>
      </w:r>
      <w:bookmarkEnd w:id="5"/>
      <w:bookmarkEnd w:id="6"/>
      <w:bookmarkEnd w:id="7"/>
      <w:bookmarkEnd w:id="8"/>
      <w:bookmarkEnd w:id="9"/>
    </w:p>
    <w:p w14:paraId="36C7522A">
      <w:pPr>
        <w:keepNext w:val="0"/>
        <w:keepLines w:val="0"/>
        <w:pageBreakBefore w:val="0"/>
        <w:widowControl/>
        <w:kinsoku w:val="0"/>
        <w:wordWrap/>
        <w:overflowPunct/>
        <w:topLinePunct w:val="0"/>
        <w:autoSpaceDE w:val="0"/>
        <w:autoSpaceDN w:val="0"/>
        <w:bidi w:val="0"/>
        <w:adjustRightInd w:val="0"/>
        <w:snapToGrid w:val="0"/>
        <w:spacing w:before="43" w:line="480" w:lineRule="auto"/>
        <w:jc w:val="center"/>
        <w:textAlignment w:val="baseline"/>
        <w:rPr>
          <w:rFonts w:hint="eastAsia" w:ascii="宋体" w:hAnsi="宋体" w:eastAsia="宋体" w:cs="宋体"/>
          <w:color w:val="auto"/>
          <w:sz w:val="35"/>
          <w:szCs w:val="35"/>
          <w:highlight w:val="none"/>
        </w:rPr>
      </w:pPr>
      <w:r>
        <w:rPr>
          <w:rFonts w:hint="eastAsia" w:ascii="宋体" w:hAnsi="宋体" w:eastAsia="宋体" w:cs="宋体"/>
          <w:b/>
          <w:bCs/>
          <w:color w:val="auto"/>
          <w:spacing w:val="7"/>
          <w:sz w:val="35"/>
          <w:szCs w:val="35"/>
          <w:highlight w:val="none"/>
          <w:lang w:eastAsia="zh-CN"/>
        </w:rPr>
        <w:t>2025年兴业县石南镇、葵阳镇、山心镇、沙塘镇、龙安镇农村公路安全生命防护工程</w:t>
      </w:r>
      <w:r>
        <w:rPr>
          <w:rFonts w:hint="eastAsia" w:ascii="宋体" w:hAnsi="宋体" w:eastAsia="宋体" w:cs="宋体"/>
          <w:b/>
          <w:bCs/>
          <w:color w:val="auto"/>
          <w:spacing w:val="6"/>
          <w:sz w:val="35"/>
          <w:szCs w:val="35"/>
          <w:highlight w:val="none"/>
        </w:rPr>
        <w:t>标段施工招标公告</w:t>
      </w:r>
    </w:p>
    <w:p w14:paraId="17C4526E">
      <w:pPr>
        <w:spacing w:before="39" w:line="225" w:lineRule="auto"/>
        <w:ind w:left="2005"/>
        <w:rPr>
          <w:rFonts w:hint="eastAsia" w:ascii="宋体" w:hAnsi="宋体" w:eastAsia="宋体" w:cs="宋体"/>
          <w:color w:val="auto"/>
          <w:sz w:val="31"/>
          <w:szCs w:val="31"/>
          <w:highlight w:val="none"/>
          <w:lang w:eastAsia="zh-CN"/>
        </w:rPr>
      </w:pPr>
      <w:r>
        <w:rPr>
          <w:rFonts w:hint="eastAsia" w:ascii="宋体" w:hAnsi="宋体" w:eastAsia="宋体" w:cs="宋体"/>
          <w:b/>
          <w:bCs/>
          <w:color w:val="auto"/>
          <w:spacing w:val="5"/>
          <w:sz w:val="31"/>
          <w:szCs w:val="31"/>
          <w:highlight w:val="none"/>
        </w:rPr>
        <w:t>招标编号：E4509002856026726001001</w:t>
      </w:r>
    </w:p>
    <w:p w14:paraId="3C99745C">
      <w:pPr>
        <w:spacing w:before="19" w:line="228" w:lineRule="auto"/>
        <w:ind w:left="25"/>
        <w:outlineLvl w:val="1"/>
        <w:rPr>
          <w:rFonts w:hint="eastAsia" w:ascii="宋体" w:hAnsi="宋体" w:eastAsia="宋体" w:cs="宋体"/>
          <w:color w:val="auto"/>
          <w:sz w:val="24"/>
          <w:szCs w:val="24"/>
          <w:highlight w:val="none"/>
        </w:rPr>
      </w:pPr>
      <w:bookmarkStart w:id="10" w:name="_Toc4605"/>
      <w:bookmarkStart w:id="11" w:name="_Toc29493"/>
      <w:bookmarkStart w:id="12" w:name="_Toc17504"/>
      <w:bookmarkStart w:id="13" w:name="_Toc31990"/>
      <w:bookmarkStart w:id="14" w:name="_Toc16632"/>
      <w:r>
        <w:rPr>
          <w:rFonts w:hint="eastAsia" w:ascii="宋体" w:hAnsi="宋体" w:eastAsia="宋体" w:cs="宋体"/>
          <w:b/>
          <w:bCs/>
          <w:color w:val="auto"/>
          <w:spacing w:val="4"/>
          <w:sz w:val="24"/>
          <w:szCs w:val="24"/>
          <w:highlight w:val="none"/>
        </w:rPr>
        <w:t>1.招标条件</w:t>
      </w:r>
      <w:bookmarkEnd w:id="10"/>
      <w:bookmarkEnd w:id="11"/>
      <w:bookmarkEnd w:id="12"/>
      <w:bookmarkEnd w:id="13"/>
      <w:bookmarkEnd w:id="14"/>
    </w:p>
    <w:p w14:paraId="0159796D">
      <w:pPr>
        <w:keepNext w:val="0"/>
        <w:keepLines w:val="0"/>
        <w:pageBreakBefore w:val="0"/>
        <w:widowControl/>
        <w:kinsoku w:val="0"/>
        <w:wordWrap/>
        <w:overflowPunct/>
        <w:topLinePunct w:val="0"/>
        <w:autoSpaceDE w:val="0"/>
        <w:autoSpaceDN w:val="0"/>
        <w:bidi w:val="0"/>
        <w:adjustRightInd w:val="0"/>
        <w:snapToGrid w:val="0"/>
        <w:spacing w:before="162" w:line="377" w:lineRule="auto"/>
        <w:ind w:left="17" w:right="0"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本招标项目</w:t>
      </w:r>
      <w:r>
        <w:rPr>
          <w:rFonts w:hint="eastAsia" w:ascii="宋体" w:hAnsi="宋体" w:eastAsia="宋体" w:cs="宋体"/>
          <w:b/>
          <w:bCs/>
          <w:color w:val="auto"/>
          <w:spacing w:val="9"/>
          <w:sz w:val="24"/>
          <w:szCs w:val="24"/>
          <w:highlight w:val="none"/>
          <w:u w:val="single" w:color="auto"/>
          <w:lang w:eastAsia="zh-CN"/>
        </w:rPr>
        <w:t>2025年兴业县石南镇、葵阳镇、山心镇、沙塘镇、龙安镇农村公路安全生命防护工程</w:t>
      </w:r>
      <w:r>
        <w:rPr>
          <w:rFonts w:hint="eastAsia" w:ascii="宋体" w:hAnsi="宋体" w:eastAsia="宋体" w:cs="宋体"/>
          <w:color w:val="auto"/>
          <w:spacing w:val="9"/>
          <w:sz w:val="24"/>
          <w:szCs w:val="24"/>
          <w:highlight w:val="none"/>
        </w:rPr>
        <w:t>施</w:t>
      </w:r>
      <w:r>
        <w:rPr>
          <w:rFonts w:hint="eastAsia" w:ascii="宋体" w:hAnsi="宋体" w:eastAsia="宋体" w:cs="宋体"/>
          <w:color w:val="auto"/>
          <w:spacing w:val="5"/>
          <w:sz w:val="24"/>
          <w:szCs w:val="24"/>
          <w:highlight w:val="none"/>
        </w:rPr>
        <w:t>工图设计已由</w:t>
      </w:r>
      <w:r>
        <w:rPr>
          <w:rFonts w:hint="eastAsia" w:ascii="宋体" w:hAnsi="宋体" w:eastAsia="宋体" w:cs="宋体"/>
          <w:color w:val="auto"/>
          <w:spacing w:val="5"/>
          <w:sz w:val="24"/>
          <w:szCs w:val="24"/>
          <w:highlight w:val="none"/>
          <w:u w:val="single" w:color="auto"/>
        </w:rPr>
        <w:t>兴业县交通运输局以兴交发[2025]</w:t>
      </w:r>
      <w:r>
        <w:rPr>
          <w:rFonts w:hint="eastAsia" w:ascii="宋体" w:hAnsi="宋体" w:eastAsia="宋体" w:cs="宋体"/>
          <w:color w:val="auto"/>
          <w:spacing w:val="5"/>
          <w:sz w:val="24"/>
          <w:szCs w:val="24"/>
          <w:highlight w:val="none"/>
          <w:u w:val="single" w:color="auto"/>
          <w:lang w:val="en-US" w:eastAsia="zh-CN"/>
        </w:rPr>
        <w:t xml:space="preserve"> 126</w:t>
      </w:r>
      <w:r>
        <w:rPr>
          <w:rFonts w:hint="eastAsia" w:ascii="宋体" w:hAnsi="宋体" w:eastAsia="宋体" w:cs="宋体"/>
          <w:color w:val="auto"/>
          <w:spacing w:val="5"/>
          <w:sz w:val="24"/>
          <w:szCs w:val="24"/>
          <w:highlight w:val="none"/>
          <w:u w:val="single" w:color="auto"/>
        </w:rPr>
        <w:t>号</w:t>
      </w:r>
      <w:r>
        <w:rPr>
          <w:rFonts w:hint="eastAsia" w:ascii="宋体" w:hAnsi="宋体" w:eastAsia="宋体" w:cs="宋体"/>
          <w:color w:val="auto"/>
          <w:spacing w:val="6"/>
          <w:sz w:val="24"/>
          <w:szCs w:val="24"/>
          <w:highlight w:val="none"/>
        </w:rPr>
        <w:t>文</w:t>
      </w:r>
      <w:r>
        <w:rPr>
          <w:rFonts w:hint="eastAsia" w:ascii="宋体" w:hAnsi="宋体" w:eastAsia="宋体" w:cs="宋体"/>
          <w:color w:val="auto"/>
          <w:spacing w:val="-6"/>
          <w:sz w:val="24"/>
          <w:szCs w:val="24"/>
          <w:highlight w:val="none"/>
        </w:rPr>
        <w:t>批准建设，项目业主为</w:t>
      </w:r>
      <w:r>
        <w:rPr>
          <w:rFonts w:hint="eastAsia" w:ascii="宋体" w:hAnsi="宋体" w:eastAsia="宋体" w:cs="宋体"/>
          <w:color w:val="auto"/>
          <w:spacing w:val="-6"/>
          <w:sz w:val="24"/>
          <w:szCs w:val="24"/>
          <w:highlight w:val="none"/>
          <w:u w:val="single" w:color="auto"/>
        </w:rPr>
        <w:t>兴业县公路建设养护中心</w:t>
      </w:r>
      <w:r>
        <w:rPr>
          <w:rFonts w:hint="eastAsia" w:ascii="宋体" w:hAnsi="宋体" w:eastAsia="宋体" w:cs="宋体"/>
          <w:color w:val="auto"/>
          <w:spacing w:val="-6"/>
          <w:sz w:val="24"/>
          <w:szCs w:val="24"/>
          <w:highlight w:val="none"/>
        </w:rPr>
        <w:t>，建设资金为</w:t>
      </w:r>
      <w:r>
        <w:rPr>
          <w:rFonts w:hint="eastAsia" w:ascii="宋体" w:hAnsi="宋体" w:eastAsia="宋体" w:cs="宋体"/>
          <w:color w:val="auto"/>
          <w:spacing w:val="-6"/>
          <w:sz w:val="24"/>
          <w:szCs w:val="24"/>
          <w:highlight w:val="none"/>
          <w:u w:val="single" w:color="auto"/>
        </w:rPr>
        <w:t>上级补助</w:t>
      </w:r>
      <w:r>
        <w:rPr>
          <w:rFonts w:hint="eastAsia" w:ascii="宋体" w:hAnsi="宋体" w:eastAsia="宋体" w:cs="宋体"/>
          <w:color w:val="auto"/>
          <w:spacing w:val="-6"/>
          <w:sz w:val="24"/>
          <w:szCs w:val="24"/>
          <w:highlight w:val="none"/>
          <w:u w:val="single" w:color="auto"/>
          <w:lang w:val="en-US" w:eastAsia="zh-CN"/>
        </w:rPr>
        <w:t>+地方配套</w:t>
      </w:r>
      <w:r>
        <w:rPr>
          <w:rFonts w:hint="eastAsia" w:ascii="宋体" w:hAnsi="宋体" w:eastAsia="宋体" w:cs="宋体"/>
          <w:color w:val="auto"/>
          <w:spacing w:val="-6"/>
          <w:sz w:val="24"/>
          <w:szCs w:val="24"/>
          <w:highlight w:val="none"/>
        </w:rPr>
        <w:t>，</w:t>
      </w:r>
      <w:r>
        <w:rPr>
          <w:rFonts w:hint="eastAsia" w:ascii="宋体" w:hAnsi="宋体" w:eastAsia="宋体" w:cs="宋体"/>
          <w:color w:val="auto"/>
          <w:spacing w:val="4"/>
          <w:sz w:val="24"/>
          <w:szCs w:val="24"/>
          <w:highlight w:val="none"/>
        </w:rPr>
        <w:t>出资比例为</w:t>
      </w:r>
      <w:r>
        <w:rPr>
          <w:rFonts w:hint="eastAsia" w:ascii="宋体" w:hAnsi="宋体" w:eastAsia="宋体" w:cs="宋体"/>
          <w:color w:val="auto"/>
          <w:spacing w:val="4"/>
          <w:sz w:val="24"/>
          <w:szCs w:val="24"/>
          <w:highlight w:val="none"/>
          <w:u w:val="single" w:color="auto"/>
        </w:rPr>
        <w:t>100%，</w:t>
      </w:r>
      <w:r>
        <w:rPr>
          <w:rFonts w:hint="eastAsia" w:ascii="宋体" w:hAnsi="宋体" w:eastAsia="宋体" w:cs="宋体"/>
          <w:color w:val="auto"/>
          <w:spacing w:val="4"/>
          <w:sz w:val="24"/>
          <w:szCs w:val="24"/>
          <w:highlight w:val="none"/>
        </w:rPr>
        <w:t>招标</w:t>
      </w:r>
      <w:r>
        <w:rPr>
          <w:rFonts w:hint="eastAsia" w:ascii="宋体" w:hAnsi="宋体" w:eastAsia="宋体" w:cs="宋体"/>
          <w:color w:val="auto"/>
          <w:spacing w:val="3"/>
          <w:sz w:val="24"/>
          <w:szCs w:val="24"/>
          <w:highlight w:val="none"/>
        </w:rPr>
        <w:t>人为</w:t>
      </w:r>
      <w:r>
        <w:rPr>
          <w:rFonts w:hint="eastAsia" w:ascii="宋体" w:hAnsi="宋体" w:eastAsia="宋体" w:cs="宋体"/>
          <w:color w:val="auto"/>
          <w:spacing w:val="3"/>
          <w:sz w:val="24"/>
          <w:szCs w:val="24"/>
          <w:highlight w:val="none"/>
          <w:u w:val="single" w:color="auto"/>
        </w:rPr>
        <w:t>兴</w:t>
      </w:r>
      <w:r>
        <w:rPr>
          <w:rFonts w:hint="eastAsia" w:ascii="宋体" w:hAnsi="宋体" w:eastAsia="宋体" w:cs="宋体"/>
          <w:color w:val="auto"/>
          <w:spacing w:val="9"/>
          <w:sz w:val="24"/>
          <w:szCs w:val="24"/>
          <w:highlight w:val="none"/>
          <w:u w:val="single" w:color="auto"/>
        </w:rPr>
        <w:t>业县公路建设养护中心</w:t>
      </w:r>
      <w:r>
        <w:rPr>
          <w:rFonts w:hint="eastAsia" w:ascii="宋体" w:hAnsi="宋体" w:eastAsia="宋体" w:cs="宋体"/>
          <w:color w:val="auto"/>
          <w:spacing w:val="9"/>
          <w:sz w:val="24"/>
          <w:szCs w:val="24"/>
          <w:highlight w:val="none"/>
        </w:rPr>
        <w:t>，项目已具备招标条件，现对该项目工程施工进行公开招标。</w:t>
      </w:r>
    </w:p>
    <w:p w14:paraId="49434F57">
      <w:pPr>
        <w:spacing w:line="227" w:lineRule="auto"/>
        <w:ind w:left="22"/>
        <w:outlineLvl w:val="1"/>
        <w:rPr>
          <w:rFonts w:hint="eastAsia" w:ascii="宋体" w:hAnsi="宋体" w:eastAsia="宋体" w:cs="宋体"/>
          <w:color w:val="auto"/>
          <w:sz w:val="24"/>
          <w:szCs w:val="24"/>
          <w:highlight w:val="none"/>
        </w:rPr>
      </w:pPr>
      <w:bookmarkStart w:id="15" w:name="_Toc29505"/>
      <w:bookmarkStart w:id="16" w:name="_Toc12121"/>
      <w:bookmarkStart w:id="17" w:name="_Toc29774"/>
      <w:bookmarkStart w:id="18" w:name="_Toc24260"/>
      <w:bookmarkStart w:id="19" w:name="_Toc17771"/>
      <w:r>
        <w:rPr>
          <w:rFonts w:hint="eastAsia" w:ascii="宋体" w:hAnsi="宋体" w:eastAsia="宋体" w:cs="宋体"/>
          <w:color w:val="auto"/>
          <w:spacing w:val="6"/>
          <w:sz w:val="24"/>
          <w:szCs w:val="24"/>
          <w:highlight w:val="none"/>
        </w:rPr>
        <w:t>2</w:t>
      </w:r>
      <w:r>
        <w:rPr>
          <w:rFonts w:hint="eastAsia" w:ascii="宋体" w:hAnsi="宋体" w:eastAsia="宋体" w:cs="宋体"/>
          <w:b/>
          <w:bCs/>
          <w:color w:val="auto"/>
          <w:spacing w:val="6"/>
          <w:sz w:val="24"/>
          <w:szCs w:val="24"/>
          <w:highlight w:val="none"/>
        </w:rPr>
        <w:t>.项目概况与招标范围</w:t>
      </w:r>
      <w:bookmarkEnd w:id="15"/>
      <w:bookmarkEnd w:id="16"/>
      <w:bookmarkEnd w:id="17"/>
      <w:bookmarkEnd w:id="18"/>
      <w:bookmarkEnd w:id="19"/>
    </w:p>
    <w:p w14:paraId="7551C108">
      <w:pPr>
        <w:keepNext w:val="0"/>
        <w:keepLines w:val="0"/>
        <w:pageBreakBefore w:val="0"/>
        <w:widowControl/>
        <w:kinsoku w:val="0"/>
        <w:wordWrap/>
        <w:overflowPunct/>
        <w:topLinePunct w:val="0"/>
        <w:autoSpaceDE w:val="0"/>
        <w:autoSpaceDN w:val="0"/>
        <w:bidi w:val="0"/>
        <w:adjustRightInd w:val="0"/>
        <w:snapToGrid w:val="0"/>
        <w:spacing w:before="162" w:line="400" w:lineRule="exact"/>
        <w:ind w:firstLine="516" w:firstLineChars="200"/>
        <w:textAlignment w:val="baseline"/>
        <w:rPr>
          <w:rFonts w:hint="eastAsia" w:ascii="宋体" w:hAnsi="宋体" w:eastAsia="宋体" w:cs="宋体"/>
          <w:color w:val="auto"/>
          <w:spacing w:val="9"/>
          <w:sz w:val="24"/>
          <w:szCs w:val="24"/>
          <w:highlight w:val="none"/>
          <w:lang w:eastAsia="zh-CN"/>
        </w:rPr>
      </w:pPr>
      <w:r>
        <w:rPr>
          <w:rFonts w:hint="eastAsia" w:ascii="宋体" w:hAnsi="宋体" w:eastAsia="宋体" w:cs="宋体"/>
          <w:color w:val="auto"/>
          <w:spacing w:val="9"/>
          <w:sz w:val="24"/>
          <w:szCs w:val="24"/>
          <w:highlight w:val="none"/>
        </w:rPr>
        <w:t>2.1项目名称：</w:t>
      </w:r>
      <w:r>
        <w:rPr>
          <w:rFonts w:hint="eastAsia" w:ascii="宋体" w:hAnsi="宋体" w:eastAsia="宋体" w:cs="宋体"/>
          <w:color w:val="auto"/>
          <w:spacing w:val="9"/>
          <w:sz w:val="24"/>
          <w:szCs w:val="24"/>
          <w:highlight w:val="none"/>
          <w:lang w:eastAsia="zh-CN"/>
        </w:rPr>
        <w:t>2025年兴业县石南镇、葵阳镇、山心镇、沙塘镇、龙安镇农村公路安全生命防护工程</w:t>
      </w:r>
    </w:p>
    <w:p w14:paraId="4C24533C">
      <w:pPr>
        <w:keepNext w:val="0"/>
        <w:keepLines w:val="0"/>
        <w:pageBreakBefore w:val="0"/>
        <w:widowControl/>
        <w:kinsoku w:val="0"/>
        <w:wordWrap/>
        <w:overflowPunct/>
        <w:topLinePunct w:val="0"/>
        <w:autoSpaceDE w:val="0"/>
        <w:autoSpaceDN w:val="0"/>
        <w:bidi w:val="0"/>
        <w:adjustRightInd w:val="0"/>
        <w:snapToGrid w:val="0"/>
        <w:spacing w:before="162" w:line="400" w:lineRule="exact"/>
        <w:ind w:firstLine="500" w:firstLineChars="200"/>
        <w:textAlignment w:val="baseline"/>
        <w:rPr>
          <w:rFonts w:hint="eastAsia" w:ascii="宋体" w:hAnsi="宋体" w:eastAsia="宋体" w:cs="宋体"/>
          <w:color w:val="auto"/>
          <w:spacing w:val="5"/>
          <w:sz w:val="24"/>
          <w:szCs w:val="24"/>
          <w:highlight w:val="none"/>
          <w:lang w:eastAsia="zh-CN"/>
        </w:rPr>
      </w:pPr>
      <w:r>
        <w:rPr>
          <w:rFonts w:hint="eastAsia" w:ascii="宋体" w:hAnsi="宋体" w:eastAsia="宋体" w:cs="宋体"/>
          <w:color w:val="auto"/>
          <w:spacing w:val="5"/>
          <w:sz w:val="24"/>
          <w:szCs w:val="24"/>
          <w:highlight w:val="none"/>
        </w:rPr>
        <w:t>2.2项目编号：E4509002856026726001001</w:t>
      </w:r>
    </w:p>
    <w:p w14:paraId="6C086338">
      <w:pPr>
        <w:keepNext w:val="0"/>
        <w:keepLines w:val="0"/>
        <w:pageBreakBefore w:val="0"/>
        <w:widowControl/>
        <w:kinsoku w:val="0"/>
        <w:wordWrap/>
        <w:overflowPunct/>
        <w:topLinePunct w:val="0"/>
        <w:autoSpaceDE w:val="0"/>
        <w:autoSpaceDN w:val="0"/>
        <w:bidi w:val="0"/>
        <w:adjustRightInd w:val="0"/>
        <w:snapToGrid w:val="0"/>
        <w:spacing w:before="162" w:line="400" w:lineRule="exact"/>
        <w:ind w:firstLine="508" w:firstLineChars="200"/>
        <w:textAlignment w:val="baseline"/>
        <w:rPr>
          <w:rFonts w:hint="eastAsia" w:ascii="宋体" w:hAnsi="宋体" w:eastAsia="宋体" w:cs="宋体"/>
          <w:color w:val="auto"/>
          <w:spacing w:val="7"/>
          <w:sz w:val="24"/>
          <w:szCs w:val="24"/>
          <w:highlight w:val="none"/>
          <w:lang w:val="en-US" w:eastAsia="zh-CN"/>
        </w:rPr>
      </w:pPr>
      <w:r>
        <w:rPr>
          <w:rFonts w:hint="eastAsia" w:ascii="宋体" w:hAnsi="宋体" w:eastAsia="宋体" w:cs="宋体"/>
          <w:color w:val="auto"/>
          <w:spacing w:val="7"/>
          <w:sz w:val="24"/>
          <w:szCs w:val="24"/>
          <w:highlight w:val="none"/>
        </w:rPr>
        <w:t>2.3资金来源：上级补助</w:t>
      </w:r>
      <w:r>
        <w:rPr>
          <w:rFonts w:hint="eastAsia" w:ascii="宋体" w:hAnsi="宋体" w:eastAsia="宋体" w:cs="宋体"/>
          <w:color w:val="auto"/>
          <w:spacing w:val="7"/>
          <w:sz w:val="24"/>
          <w:szCs w:val="24"/>
          <w:highlight w:val="none"/>
          <w:lang w:val="en-US" w:eastAsia="zh-CN"/>
        </w:rPr>
        <w:t>+地方配方</w:t>
      </w:r>
    </w:p>
    <w:p w14:paraId="45382761">
      <w:pPr>
        <w:keepNext w:val="0"/>
        <w:keepLines w:val="0"/>
        <w:pageBreakBefore w:val="0"/>
        <w:widowControl/>
        <w:kinsoku w:val="0"/>
        <w:wordWrap/>
        <w:overflowPunct/>
        <w:topLinePunct w:val="0"/>
        <w:autoSpaceDE w:val="0"/>
        <w:autoSpaceDN w:val="0"/>
        <w:bidi w:val="0"/>
        <w:adjustRightInd w:val="0"/>
        <w:snapToGrid w:val="0"/>
        <w:spacing w:before="162" w:line="400" w:lineRule="exact"/>
        <w:ind w:firstLine="500" w:firstLineChars="200"/>
        <w:textAlignment w:val="baseline"/>
        <w:rPr>
          <w:rFonts w:hint="eastAsia" w:ascii="宋体" w:hAnsi="宋体" w:eastAsia="宋体" w:cs="宋体"/>
          <w:color w:val="auto"/>
          <w:spacing w:val="5"/>
          <w:sz w:val="24"/>
          <w:szCs w:val="24"/>
          <w:highlight w:val="none"/>
        </w:rPr>
      </w:pPr>
      <w:r>
        <w:rPr>
          <w:rFonts w:hint="eastAsia" w:ascii="宋体" w:hAnsi="宋体" w:eastAsia="宋体" w:cs="宋体"/>
          <w:color w:val="auto"/>
          <w:spacing w:val="5"/>
          <w:sz w:val="24"/>
          <w:szCs w:val="24"/>
          <w:highlight w:val="none"/>
        </w:rPr>
        <w:t>2.4投资金额： 439</w:t>
      </w:r>
      <w:r>
        <w:rPr>
          <w:rFonts w:hint="eastAsia" w:ascii="宋体" w:hAnsi="宋体" w:eastAsia="宋体" w:cs="宋体"/>
          <w:color w:val="auto"/>
          <w:spacing w:val="5"/>
          <w:sz w:val="24"/>
          <w:szCs w:val="24"/>
          <w:highlight w:val="none"/>
          <w:lang w:val="en-US" w:eastAsia="zh-CN"/>
        </w:rPr>
        <w:t>.</w:t>
      </w:r>
      <w:r>
        <w:rPr>
          <w:rFonts w:hint="eastAsia" w:ascii="宋体" w:hAnsi="宋体" w:eastAsia="宋体" w:cs="宋体"/>
          <w:color w:val="auto"/>
          <w:spacing w:val="5"/>
          <w:sz w:val="24"/>
          <w:szCs w:val="24"/>
          <w:highlight w:val="none"/>
        </w:rPr>
        <w:t>457019</w:t>
      </w:r>
      <w:r>
        <w:rPr>
          <w:rFonts w:hint="eastAsia" w:ascii="宋体" w:hAnsi="宋体" w:eastAsia="宋体" w:cs="宋体"/>
          <w:color w:val="auto"/>
          <w:spacing w:val="5"/>
          <w:sz w:val="24"/>
          <w:szCs w:val="24"/>
          <w:highlight w:val="none"/>
          <w:lang w:eastAsia="zh-CN"/>
        </w:rPr>
        <w:t>万</w:t>
      </w:r>
      <w:r>
        <w:rPr>
          <w:rFonts w:hint="eastAsia" w:ascii="宋体" w:hAnsi="宋体" w:eastAsia="宋体" w:cs="宋体"/>
          <w:color w:val="auto"/>
          <w:spacing w:val="5"/>
          <w:sz w:val="24"/>
          <w:szCs w:val="24"/>
          <w:highlight w:val="none"/>
        </w:rPr>
        <w:t>元</w:t>
      </w:r>
    </w:p>
    <w:p w14:paraId="4187EE4F">
      <w:pPr>
        <w:keepNext w:val="0"/>
        <w:keepLines w:val="0"/>
        <w:pageBreakBefore w:val="0"/>
        <w:widowControl/>
        <w:kinsoku w:val="0"/>
        <w:wordWrap/>
        <w:overflowPunct/>
        <w:topLinePunct w:val="0"/>
        <w:autoSpaceDE w:val="0"/>
        <w:autoSpaceDN w:val="0"/>
        <w:bidi w:val="0"/>
        <w:adjustRightInd w:val="0"/>
        <w:snapToGrid w:val="0"/>
        <w:spacing w:before="162" w:line="400" w:lineRule="exact"/>
        <w:ind w:firstLine="508" w:firstLineChars="200"/>
        <w:textAlignment w:val="baseline"/>
        <w:rPr>
          <w:rFonts w:hint="eastAsia" w:ascii="宋体" w:hAnsi="宋体" w:eastAsia="宋体" w:cs="宋体"/>
          <w:color w:val="auto"/>
          <w:spacing w:val="7"/>
          <w:sz w:val="24"/>
          <w:szCs w:val="24"/>
          <w:highlight w:val="none"/>
        </w:rPr>
      </w:pPr>
      <w:r>
        <w:rPr>
          <w:rFonts w:hint="eastAsia" w:ascii="宋体" w:hAnsi="宋体" w:eastAsia="宋体" w:cs="宋体"/>
          <w:color w:val="auto"/>
          <w:spacing w:val="7"/>
          <w:sz w:val="24"/>
          <w:szCs w:val="24"/>
          <w:highlight w:val="none"/>
        </w:rPr>
        <w:t>2.5建设地点：兴业县</w:t>
      </w:r>
    </w:p>
    <w:p w14:paraId="0558EC81">
      <w:pPr>
        <w:keepNext w:val="0"/>
        <w:keepLines w:val="0"/>
        <w:pageBreakBefore w:val="0"/>
        <w:widowControl/>
        <w:kinsoku w:val="0"/>
        <w:wordWrap/>
        <w:overflowPunct/>
        <w:topLinePunct w:val="0"/>
        <w:autoSpaceDE w:val="0"/>
        <w:autoSpaceDN w:val="0"/>
        <w:bidi w:val="0"/>
        <w:adjustRightInd w:val="0"/>
        <w:snapToGrid w:val="0"/>
        <w:spacing w:before="161" w:line="360" w:lineRule="auto"/>
        <w:ind w:firstLine="516" w:firstLineChars="200"/>
        <w:textAlignment w:val="baseline"/>
        <w:rPr>
          <w:rFonts w:hint="eastAsia" w:ascii="宋体" w:hAnsi="宋体" w:eastAsia="宋体" w:cs="宋体"/>
          <w:color w:val="auto"/>
          <w:spacing w:val="9"/>
          <w:sz w:val="24"/>
          <w:szCs w:val="24"/>
          <w:highlight w:val="none"/>
          <w:lang w:eastAsia="zh-CN"/>
        </w:rPr>
      </w:pPr>
      <w:r>
        <w:rPr>
          <w:rFonts w:hint="eastAsia" w:ascii="宋体" w:hAnsi="宋体" w:eastAsia="宋体" w:cs="宋体"/>
          <w:color w:val="auto"/>
          <w:spacing w:val="9"/>
          <w:sz w:val="24"/>
          <w:szCs w:val="24"/>
          <w:highlight w:val="none"/>
        </w:rPr>
        <w:t>2.6建设规模：对兴业县石南镇、葵阳镇、山心镇、沙塘镇、龙安镇农村公路安装安全防护设施</w:t>
      </w:r>
      <w:r>
        <w:rPr>
          <w:rFonts w:hint="eastAsia" w:ascii="宋体" w:hAnsi="宋体" w:eastAsia="宋体" w:cs="宋体"/>
          <w:color w:val="auto"/>
          <w:spacing w:val="9"/>
          <w:sz w:val="24"/>
          <w:szCs w:val="24"/>
          <w:highlight w:val="none"/>
          <w:lang w:eastAsia="zh-CN"/>
        </w:rPr>
        <w:t>，具体内容详见施工图纸及工程量清单。</w:t>
      </w:r>
    </w:p>
    <w:p w14:paraId="3BDF2D11">
      <w:pPr>
        <w:keepNext w:val="0"/>
        <w:keepLines w:val="0"/>
        <w:pageBreakBefore w:val="0"/>
        <w:widowControl/>
        <w:kinsoku w:val="0"/>
        <w:wordWrap/>
        <w:overflowPunct/>
        <w:topLinePunct w:val="0"/>
        <w:autoSpaceDE w:val="0"/>
        <w:autoSpaceDN w:val="0"/>
        <w:bidi w:val="0"/>
        <w:adjustRightInd w:val="0"/>
        <w:snapToGrid w:val="0"/>
        <w:spacing w:before="161" w:line="360" w:lineRule="auto"/>
        <w:ind w:firstLine="492" w:firstLineChars="200"/>
        <w:textAlignment w:val="baseline"/>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2.7计划工期：</w:t>
      </w:r>
      <w:r>
        <w:rPr>
          <w:rFonts w:hint="eastAsia" w:ascii="宋体" w:hAnsi="宋体" w:eastAsia="宋体" w:cs="宋体"/>
          <w:color w:val="auto"/>
          <w:spacing w:val="3"/>
          <w:sz w:val="24"/>
          <w:szCs w:val="24"/>
          <w:highlight w:val="none"/>
          <w:lang w:val="en-US" w:eastAsia="zh-CN"/>
        </w:rPr>
        <w:t>180</w:t>
      </w:r>
      <w:r>
        <w:rPr>
          <w:rFonts w:hint="eastAsia" w:ascii="宋体" w:hAnsi="宋体" w:eastAsia="宋体" w:cs="宋体"/>
          <w:color w:val="auto"/>
          <w:spacing w:val="3"/>
          <w:sz w:val="24"/>
          <w:szCs w:val="24"/>
          <w:highlight w:val="none"/>
        </w:rPr>
        <w:t>日历天</w:t>
      </w:r>
    </w:p>
    <w:p w14:paraId="69BF57AC">
      <w:pPr>
        <w:spacing w:line="228" w:lineRule="auto"/>
        <w:ind w:firstLine="516"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2.8质量要求：标段工程交工验收的质量评定：合格</w:t>
      </w:r>
      <w:r>
        <w:rPr>
          <w:rFonts w:hint="eastAsia" w:ascii="宋体" w:hAnsi="宋体" w:eastAsia="宋体" w:cs="宋体"/>
          <w:color w:val="auto"/>
          <w:spacing w:val="8"/>
          <w:sz w:val="24"/>
          <w:szCs w:val="24"/>
          <w:highlight w:val="none"/>
        </w:rPr>
        <w:t>；竣工验收的质量评定：合格。</w:t>
      </w:r>
    </w:p>
    <w:p w14:paraId="3DFC77EA">
      <w:pPr>
        <w:keepNext w:val="0"/>
        <w:keepLines w:val="0"/>
        <w:pageBreakBefore w:val="0"/>
        <w:widowControl/>
        <w:kinsoku w:val="0"/>
        <w:wordWrap/>
        <w:overflowPunct/>
        <w:topLinePunct w:val="0"/>
        <w:autoSpaceDE w:val="0"/>
        <w:autoSpaceDN w:val="0"/>
        <w:bidi w:val="0"/>
        <w:adjustRightInd w:val="0"/>
        <w:snapToGrid w:val="0"/>
        <w:spacing w:before="160" w:line="400" w:lineRule="exact"/>
        <w:ind w:left="442"/>
        <w:textAlignment w:val="baseline"/>
        <w:rPr>
          <w:rFonts w:hint="eastAsia" w:ascii="宋体" w:hAnsi="宋体" w:eastAsia="宋体" w:cs="宋体"/>
          <w:color w:val="auto"/>
          <w:spacing w:val="9"/>
          <w:sz w:val="24"/>
          <w:szCs w:val="24"/>
          <w:highlight w:val="none"/>
        </w:rPr>
      </w:pPr>
      <w:r>
        <w:rPr>
          <w:rFonts w:hint="eastAsia" w:ascii="宋体" w:hAnsi="宋体" w:eastAsia="宋体" w:cs="宋体"/>
          <w:color w:val="auto"/>
          <w:spacing w:val="7"/>
          <w:sz w:val="24"/>
          <w:szCs w:val="24"/>
          <w:highlight w:val="none"/>
        </w:rPr>
        <w:t>2.9缺陷责任期：工程通过交工验收之日起计算</w:t>
      </w:r>
      <w:r>
        <w:rPr>
          <w:rFonts w:hint="eastAsia" w:ascii="宋体" w:hAnsi="宋体" w:eastAsia="宋体" w:cs="宋体"/>
          <w:color w:val="auto"/>
          <w:spacing w:val="7"/>
          <w:sz w:val="24"/>
          <w:szCs w:val="24"/>
          <w:highlight w:val="none"/>
          <w:lang w:val="en-US" w:eastAsia="zh-CN"/>
        </w:rPr>
        <w:t>1</w:t>
      </w:r>
      <w:r>
        <w:rPr>
          <w:rFonts w:hint="eastAsia" w:ascii="宋体" w:hAnsi="宋体" w:eastAsia="宋体" w:cs="宋体"/>
          <w:color w:val="auto"/>
          <w:spacing w:val="7"/>
          <w:sz w:val="24"/>
          <w:szCs w:val="24"/>
          <w:highlight w:val="none"/>
        </w:rPr>
        <w:t>年。</w:t>
      </w:r>
    </w:p>
    <w:p w14:paraId="3A34E896">
      <w:pPr>
        <w:keepNext w:val="0"/>
        <w:keepLines w:val="0"/>
        <w:pageBreakBefore w:val="0"/>
        <w:widowControl/>
        <w:kinsoku w:val="0"/>
        <w:wordWrap/>
        <w:overflowPunct/>
        <w:topLinePunct w:val="0"/>
        <w:autoSpaceDE w:val="0"/>
        <w:autoSpaceDN w:val="0"/>
        <w:bidi w:val="0"/>
        <w:adjustRightInd w:val="0"/>
        <w:snapToGrid w:val="0"/>
        <w:spacing w:before="161" w:line="400" w:lineRule="exact"/>
        <w:ind w:left="442"/>
        <w:textAlignment w:val="baseline"/>
        <w:rPr>
          <w:rFonts w:hint="eastAsia" w:ascii="宋体" w:hAnsi="宋体" w:eastAsia="宋体" w:cs="宋体"/>
          <w:color w:val="auto"/>
          <w:sz w:val="24"/>
          <w:szCs w:val="24"/>
          <w:highlight w:val="none"/>
          <w:u w:val="none" w:color="auto"/>
        </w:rPr>
      </w:pPr>
      <w:r>
        <w:rPr>
          <w:rFonts w:hint="eastAsia" w:ascii="宋体" w:hAnsi="宋体" w:eastAsia="宋体" w:cs="宋体"/>
          <w:color w:val="auto"/>
          <w:spacing w:val="9"/>
          <w:sz w:val="24"/>
          <w:szCs w:val="24"/>
          <w:highlight w:val="none"/>
        </w:rPr>
        <w:t>2.10招标范围</w:t>
      </w:r>
      <w:r>
        <w:rPr>
          <w:rFonts w:hint="eastAsia" w:ascii="宋体" w:hAnsi="宋体" w:eastAsia="宋体" w:cs="宋体"/>
          <w:color w:val="auto"/>
          <w:spacing w:val="9"/>
          <w:sz w:val="24"/>
          <w:szCs w:val="24"/>
          <w:highlight w:val="none"/>
          <w:u w:val="none" w:color="auto"/>
        </w:rPr>
        <w:t>：施工图设计及工程量清单所包含的全部内容。（各项技术指标以该工程项目施工设计图纸及工程量清单为准）。</w:t>
      </w:r>
    </w:p>
    <w:p w14:paraId="68D02F06">
      <w:pPr>
        <w:keepNext w:val="0"/>
        <w:keepLines w:val="0"/>
        <w:pageBreakBefore w:val="0"/>
        <w:widowControl/>
        <w:kinsoku w:val="0"/>
        <w:wordWrap/>
        <w:overflowPunct/>
        <w:topLinePunct w:val="0"/>
        <w:autoSpaceDE w:val="0"/>
        <w:autoSpaceDN w:val="0"/>
        <w:bidi w:val="0"/>
        <w:adjustRightInd w:val="0"/>
        <w:snapToGrid w:val="0"/>
        <w:spacing w:before="164" w:line="400" w:lineRule="exact"/>
        <w:ind w:left="21" w:right="70" w:firstLine="42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2.11主要技术指标(详见施工图设计)，本招标文件载明的主要技术指标若与施工图设计不</w:t>
      </w:r>
      <w:r>
        <w:rPr>
          <w:rFonts w:hint="eastAsia" w:ascii="宋体" w:hAnsi="宋体" w:eastAsia="宋体" w:cs="宋体"/>
          <w:color w:val="auto"/>
          <w:spacing w:val="4"/>
          <w:sz w:val="24"/>
          <w:szCs w:val="24"/>
          <w:highlight w:val="none"/>
        </w:rPr>
        <w:t>符，以工程量清单为准。</w:t>
      </w:r>
    </w:p>
    <w:p w14:paraId="37837CB8">
      <w:pPr>
        <w:keepNext w:val="0"/>
        <w:keepLines w:val="0"/>
        <w:pageBreakBefore w:val="0"/>
        <w:widowControl/>
        <w:kinsoku w:val="0"/>
        <w:wordWrap/>
        <w:overflowPunct/>
        <w:topLinePunct w:val="0"/>
        <w:autoSpaceDE w:val="0"/>
        <w:autoSpaceDN w:val="0"/>
        <w:bidi w:val="0"/>
        <w:adjustRightInd w:val="0"/>
        <w:snapToGrid w:val="0"/>
        <w:spacing w:before="161" w:line="400" w:lineRule="exact"/>
        <w:ind w:left="44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2.12本项目仅划为分一个标段。</w:t>
      </w:r>
    </w:p>
    <w:p w14:paraId="59908B3D">
      <w:pPr>
        <w:spacing w:before="162" w:line="228" w:lineRule="auto"/>
        <w:ind w:left="443"/>
        <w:outlineLvl w:val="1"/>
        <w:rPr>
          <w:rFonts w:hint="eastAsia" w:ascii="宋体" w:hAnsi="宋体" w:eastAsia="宋体" w:cs="宋体"/>
          <w:color w:val="auto"/>
          <w:sz w:val="24"/>
          <w:szCs w:val="24"/>
          <w:highlight w:val="none"/>
        </w:rPr>
      </w:pPr>
      <w:bookmarkStart w:id="20" w:name="_Toc28310"/>
      <w:bookmarkStart w:id="21" w:name="_Toc18802"/>
      <w:bookmarkStart w:id="22" w:name="_Toc9399"/>
      <w:bookmarkStart w:id="23" w:name="_Toc20456"/>
      <w:bookmarkStart w:id="24" w:name="_Toc23933"/>
      <w:r>
        <w:rPr>
          <w:rFonts w:hint="eastAsia" w:ascii="宋体" w:hAnsi="宋体" w:eastAsia="宋体" w:cs="宋体"/>
          <w:b/>
          <w:bCs/>
          <w:color w:val="auto"/>
          <w:spacing w:val="5"/>
          <w:sz w:val="24"/>
          <w:szCs w:val="24"/>
          <w:highlight w:val="none"/>
        </w:rPr>
        <w:t>3.投标人资格要求</w:t>
      </w:r>
      <w:bookmarkEnd w:id="20"/>
      <w:bookmarkEnd w:id="21"/>
      <w:bookmarkEnd w:id="22"/>
      <w:bookmarkEnd w:id="23"/>
      <w:bookmarkEnd w:id="24"/>
    </w:p>
    <w:p w14:paraId="248FF14F">
      <w:pPr>
        <w:keepNext w:val="0"/>
        <w:keepLines w:val="0"/>
        <w:pageBreakBefore w:val="0"/>
        <w:widowControl/>
        <w:kinsoku w:val="0"/>
        <w:wordWrap/>
        <w:overflowPunct/>
        <w:topLinePunct w:val="0"/>
        <w:autoSpaceDE w:val="0"/>
        <w:autoSpaceDN w:val="0"/>
        <w:bidi w:val="0"/>
        <w:adjustRightInd w:val="0"/>
        <w:snapToGrid w:val="0"/>
        <w:spacing w:before="163" w:line="360" w:lineRule="auto"/>
        <w:ind w:right="69" w:firstLine="51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3.1本次工程招标要求投标人必须在</w:t>
      </w:r>
      <w:r>
        <w:rPr>
          <w:rFonts w:hint="eastAsia" w:ascii="宋体" w:hAnsi="宋体" w:eastAsia="宋体" w:cs="宋体"/>
          <w:color w:val="auto"/>
          <w:spacing w:val="9"/>
          <w:sz w:val="24"/>
          <w:szCs w:val="24"/>
          <w:highlight w:val="none"/>
          <w:u w:val="single" w:color="auto"/>
        </w:rPr>
        <w:t>国家工商行政部门注册，具有公路工程施工总承包叁级(含叁级)以上资质；有省级及以上建设行政主管部门颁发的安全生产许可证，并在人员、设备、</w:t>
      </w:r>
      <w:r>
        <w:rPr>
          <w:rFonts w:hint="eastAsia" w:ascii="宋体" w:hAnsi="宋体" w:eastAsia="宋体" w:cs="宋体"/>
          <w:color w:val="auto"/>
          <w:spacing w:val="10"/>
          <w:sz w:val="24"/>
          <w:szCs w:val="24"/>
          <w:highlight w:val="none"/>
          <w:u w:val="single" w:color="auto"/>
        </w:rPr>
        <w:t>资金等方面具备相应的施工能力。</w:t>
      </w:r>
    </w:p>
    <w:p w14:paraId="47009285">
      <w:pPr>
        <w:keepNext w:val="0"/>
        <w:keepLines w:val="0"/>
        <w:pageBreakBefore w:val="0"/>
        <w:widowControl/>
        <w:kinsoku w:val="0"/>
        <w:wordWrap/>
        <w:overflowPunct/>
        <w:topLinePunct w:val="0"/>
        <w:autoSpaceDE w:val="0"/>
        <w:autoSpaceDN w:val="0"/>
        <w:bidi w:val="0"/>
        <w:adjustRightInd w:val="0"/>
        <w:snapToGrid w:val="0"/>
        <w:spacing w:before="161" w:line="360" w:lineRule="auto"/>
        <w:ind w:right="70"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3.2</w:t>
      </w:r>
      <w:r>
        <w:rPr>
          <w:rFonts w:hint="eastAsia" w:ascii="宋体" w:hAnsi="宋体" w:eastAsia="宋体" w:cs="宋体"/>
          <w:color w:val="auto"/>
          <w:spacing w:val="8"/>
          <w:sz w:val="24"/>
          <w:szCs w:val="24"/>
          <w:highlight w:val="none"/>
          <w:u w:val="single" w:color="auto"/>
        </w:rPr>
        <w:t>项目经理必须在本单位注册，并持有二级（含二级）以上注册建造师注册证书，专业为</w:t>
      </w:r>
      <w:r>
        <w:rPr>
          <w:rFonts w:hint="eastAsia" w:ascii="宋体" w:hAnsi="宋体" w:eastAsia="宋体" w:cs="宋体"/>
          <w:color w:val="auto"/>
          <w:spacing w:val="6"/>
          <w:sz w:val="24"/>
          <w:szCs w:val="24"/>
          <w:highlight w:val="none"/>
          <w:u w:val="single" w:color="auto"/>
        </w:rPr>
        <w:t>公路工程专业(以建造师注册证书中“专业类别”栏所填写的专业为准)，持有省级或省级以上交</w:t>
      </w:r>
      <w:r>
        <w:rPr>
          <w:rFonts w:hint="eastAsia" w:ascii="宋体" w:hAnsi="宋体" w:eastAsia="宋体" w:cs="宋体"/>
          <w:color w:val="auto"/>
          <w:spacing w:val="12"/>
          <w:sz w:val="24"/>
          <w:szCs w:val="24"/>
          <w:highlight w:val="none"/>
          <w:u w:val="single" w:color="auto"/>
        </w:rPr>
        <w:t>通主管部门颁发的有效B类安全生产考核合格证，且不得有在建项目</w:t>
      </w:r>
      <w:r>
        <w:rPr>
          <w:rFonts w:hint="eastAsia" w:ascii="宋体" w:hAnsi="宋体" w:eastAsia="宋体" w:cs="宋体"/>
          <w:color w:val="auto"/>
          <w:spacing w:val="11"/>
          <w:sz w:val="24"/>
          <w:szCs w:val="24"/>
          <w:highlight w:val="none"/>
          <w:u w:val="single" w:color="auto"/>
        </w:rPr>
        <w:t>或在建项目中担任任何职</w:t>
      </w:r>
      <w:r>
        <w:rPr>
          <w:rFonts w:hint="eastAsia" w:ascii="宋体" w:hAnsi="宋体" w:eastAsia="宋体" w:cs="宋体"/>
          <w:color w:val="auto"/>
          <w:spacing w:val="14"/>
          <w:sz w:val="24"/>
          <w:szCs w:val="24"/>
          <w:highlight w:val="none"/>
          <w:u w:val="single" w:color="auto"/>
        </w:rPr>
        <w:t>务。</w:t>
      </w:r>
    </w:p>
    <w:p w14:paraId="15E56569">
      <w:pPr>
        <w:spacing w:before="162" w:line="228" w:lineRule="auto"/>
        <w:ind w:left="443" w:firstLine="256" w:firstLineChars="100"/>
        <w:rPr>
          <w:rFonts w:hint="eastAsia" w:ascii="宋体" w:hAnsi="宋体" w:eastAsia="宋体" w:cs="宋体"/>
          <w:color w:val="auto"/>
          <w:sz w:val="24"/>
          <w:szCs w:val="24"/>
          <w:highlight w:val="none"/>
          <w:u w:val="none" w:color="auto"/>
        </w:rPr>
      </w:pPr>
      <w:r>
        <w:rPr>
          <w:rFonts w:hint="eastAsia" w:ascii="宋体" w:hAnsi="宋体" w:eastAsia="宋体" w:cs="宋体"/>
          <w:color w:val="auto"/>
          <w:spacing w:val="8"/>
          <w:sz w:val="24"/>
          <w:szCs w:val="24"/>
          <w:highlight w:val="none"/>
          <w:u w:val="none" w:color="auto"/>
        </w:rPr>
        <w:t>3.3业绩要求：无。</w:t>
      </w:r>
    </w:p>
    <w:p w14:paraId="098A0D24">
      <w:pPr>
        <w:spacing w:before="160" w:line="328" w:lineRule="auto"/>
        <w:ind w:left="36" w:right="70" w:firstLine="685" w:firstLineChars="293"/>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3.4投标人应进入交通运输部“全国公路建设市场信用信息管理系统</w:t>
      </w:r>
      <w:r>
        <w:rPr>
          <w:rFonts w:hint="eastAsia" w:ascii="宋体" w:hAnsi="宋体" w:eastAsia="宋体" w:cs="宋体"/>
          <w:color w:val="auto"/>
          <w:spacing w:val="9"/>
          <w:sz w:val="24"/>
          <w:szCs w:val="24"/>
          <w:highlight w:val="none"/>
        </w:rPr>
        <w:t>(</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"http://glxy.mot.gov.cn"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http</w:t>
      </w:r>
      <w:r>
        <w:rPr>
          <w:rFonts w:hint="eastAsia" w:ascii="宋体" w:hAnsi="宋体" w:eastAsia="宋体" w:cs="宋体"/>
          <w:color w:val="auto"/>
          <w:spacing w:val="9"/>
          <w:sz w:val="24"/>
          <w:szCs w:val="24"/>
          <w:highlight w:val="none"/>
        </w:rPr>
        <w:t>://</w:t>
      </w:r>
      <w:r>
        <w:rPr>
          <w:rFonts w:hint="eastAsia" w:ascii="宋体" w:hAnsi="宋体" w:eastAsia="宋体" w:cs="宋体"/>
          <w:color w:val="auto"/>
          <w:sz w:val="24"/>
          <w:szCs w:val="24"/>
          <w:highlight w:val="none"/>
        </w:rPr>
        <w:t>glxy</w:t>
      </w:r>
      <w:r>
        <w:rPr>
          <w:rFonts w:hint="eastAsia" w:ascii="宋体" w:hAnsi="宋体" w:eastAsia="宋体" w:cs="宋体"/>
          <w:color w:val="auto"/>
          <w:spacing w:val="9"/>
          <w:sz w:val="24"/>
          <w:szCs w:val="24"/>
          <w:highlight w:val="none"/>
        </w:rPr>
        <w:t>.</w:t>
      </w:r>
      <w:r>
        <w:rPr>
          <w:rFonts w:hint="eastAsia" w:ascii="宋体" w:hAnsi="宋体" w:eastAsia="宋体" w:cs="宋体"/>
          <w:color w:val="auto"/>
          <w:sz w:val="24"/>
          <w:szCs w:val="24"/>
          <w:highlight w:val="none"/>
        </w:rPr>
        <w:t>mot</w:t>
      </w:r>
      <w:r>
        <w:rPr>
          <w:rFonts w:hint="eastAsia" w:ascii="宋体" w:hAnsi="宋体" w:eastAsia="宋体" w:cs="宋体"/>
          <w:color w:val="auto"/>
          <w:spacing w:val="9"/>
          <w:sz w:val="24"/>
          <w:szCs w:val="24"/>
          <w:highlight w:val="none"/>
        </w:rPr>
        <w:t>.</w:t>
      </w:r>
      <w:r>
        <w:rPr>
          <w:rFonts w:hint="eastAsia" w:ascii="宋体" w:hAnsi="宋体" w:eastAsia="宋体" w:cs="宋体"/>
          <w:color w:val="auto"/>
          <w:sz w:val="24"/>
          <w:szCs w:val="24"/>
          <w:highlight w:val="none"/>
        </w:rPr>
        <w:t>gov</w:t>
      </w:r>
      <w:r>
        <w:rPr>
          <w:rFonts w:hint="eastAsia" w:ascii="宋体" w:hAnsi="宋体" w:eastAsia="宋体" w:cs="宋体"/>
          <w:color w:val="auto"/>
          <w:spacing w:val="9"/>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9"/>
          <w:sz w:val="24"/>
          <w:szCs w:val="24"/>
          <w:highlight w:val="none"/>
        </w:rPr>
        <w:t>)”中的公路工程施工资质企业名录，且投标人名称</w:t>
      </w:r>
      <w:r>
        <w:rPr>
          <w:rFonts w:hint="eastAsia" w:ascii="宋体" w:hAnsi="宋体" w:eastAsia="宋体" w:cs="宋体"/>
          <w:color w:val="auto"/>
          <w:spacing w:val="8"/>
          <w:sz w:val="24"/>
          <w:szCs w:val="24"/>
          <w:highlight w:val="none"/>
        </w:rPr>
        <w:t>和资质与该名录中</w:t>
      </w:r>
      <w:r>
        <w:rPr>
          <w:rFonts w:hint="eastAsia" w:ascii="宋体" w:hAnsi="宋体" w:eastAsia="宋体" w:cs="宋体"/>
          <w:color w:val="auto"/>
          <w:spacing w:val="7"/>
          <w:sz w:val="24"/>
          <w:szCs w:val="24"/>
          <w:highlight w:val="none"/>
        </w:rPr>
        <w:t>的相应企业名称和资质完全一致。</w:t>
      </w:r>
    </w:p>
    <w:p w14:paraId="7C212F02">
      <w:pPr>
        <w:spacing w:before="162" w:line="327" w:lineRule="auto"/>
        <w:ind w:firstLine="504"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3.5与招标人存在利益关系可能影响招标公正性的法人、其他组织或者个人，不得参加</w:t>
      </w:r>
      <w:r>
        <w:rPr>
          <w:rFonts w:hint="eastAsia" w:ascii="宋体" w:hAnsi="宋体" w:eastAsia="宋体" w:cs="宋体"/>
          <w:color w:val="auto"/>
          <w:spacing w:val="5"/>
          <w:sz w:val="24"/>
          <w:szCs w:val="24"/>
          <w:highlight w:val="none"/>
        </w:rPr>
        <w:t>投标。</w:t>
      </w:r>
      <w:r>
        <w:rPr>
          <w:rFonts w:hint="eastAsia" w:ascii="宋体" w:hAnsi="宋体" w:eastAsia="宋体" w:cs="宋体"/>
          <w:color w:val="auto"/>
          <w:spacing w:val="10"/>
          <w:sz w:val="24"/>
          <w:szCs w:val="24"/>
          <w:highlight w:val="none"/>
        </w:rPr>
        <w:t>单位负责人为同一人或者存在控股、管理关系的不同单位，不得参</w:t>
      </w:r>
      <w:r>
        <w:rPr>
          <w:rFonts w:hint="eastAsia" w:ascii="宋体" w:hAnsi="宋体" w:eastAsia="宋体" w:cs="宋体"/>
          <w:color w:val="auto"/>
          <w:spacing w:val="9"/>
          <w:sz w:val="24"/>
          <w:szCs w:val="24"/>
          <w:highlight w:val="none"/>
        </w:rPr>
        <w:t>加同一标段投标或者未划分标</w:t>
      </w:r>
      <w:r>
        <w:rPr>
          <w:rFonts w:hint="eastAsia" w:ascii="宋体" w:hAnsi="宋体" w:eastAsia="宋体" w:cs="宋体"/>
          <w:color w:val="auto"/>
          <w:spacing w:val="8"/>
          <w:sz w:val="24"/>
          <w:szCs w:val="24"/>
          <w:highlight w:val="none"/>
        </w:rPr>
        <w:t>段的同一招标项目投标，违反上述规定的，相关投标均无效。</w:t>
      </w:r>
    </w:p>
    <w:p w14:paraId="4B54AC43">
      <w:pPr>
        <w:spacing w:before="160" w:line="328" w:lineRule="auto"/>
        <w:ind w:right="70" w:firstLine="516"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3.6在国家企业信用信息公示系统(</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"http://www.gsxt.gov.cn/"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http</w:t>
      </w:r>
      <w:r>
        <w:rPr>
          <w:rFonts w:hint="eastAsia" w:ascii="宋体" w:hAnsi="宋体" w:eastAsia="宋体" w:cs="宋体"/>
          <w:color w:val="auto"/>
          <w:spacing w:val="9"/>
          <w:sz w:val="24"/>
          <w:szCs w:val="24"/>
          <w:highlight w:val="none"/>
        </w:rPr>
        <w:t>://</w:t>
      </w:r>
      <w:r>
        <w:rPr>
          <w:rFonts w:hint="eastAsia" w:ascii="宋体" w:hAnsi="宋体" w:eastAsia="宋体" w:cs="宋体"/>
          <w:color w:val="auto"/>
          <w:sz w:val="24"/>
          <w:szCs w:val="24"/>
          <w:highlight w:val="none"/>
        </w:rPr>
        <w:t>www</w:t>
      </w:r>
      <w:r>
        <w:rPr>
          <w:rFonts w:hint="eastAsia" w:ascii="宋体" w:hAnsi="宋体" w:eastAsia="宋体" w:cs="宋体"/>
          <w:color w:val="auto"/>
          <w:spacing w:val="9"/>
          <w:sz w:val="24"/>
          <w:szCs w:val="24"/>
          <w:highlight w:val="none"/>
        </w:rPr>
        <w:t>.</w:t>
      </w:r>
      <w:r>
        <w:rPr>
          <w:rFonts w:hint="eastAsia" w:ascii="宋体" w:hAnsi="宋体" w:eastAsia="宋体" w:cs="宋体"/>
          <w:color w:val="auto"/>
          <w:sz w:val="24"/>
          <w:szCs w:val="24"/>
          <w:highlight w:val="none"/>
        </w:rPr>
        <w:t>gsxt</w:t>
      </w:r>
      <w:r>
        <w:rPr>
          <w:rFonts w:hint="eastAsia" w:ascii="宋体" w:hAnsi="宋体" w:eastAsia="宋体" w:cs="宋体"/>
          <w:color w:val="auto"/>
          <w:spacing w:val="9"/>
          <w:sz w:val="24"/>
          <w:szCs w:val="24"/>
          <w:highlight w:val="none"/>
        </w:rPr>
        <w:t>.</w:t>
      </w:r>
      <w:r>
        <w:rPr>
          <w:rFonts w:hint="eastAsia" w:ascii="宋体" w:hAnsi="宋体" w:eastAsia="宋体" w:cs="宋体"/>
          <w:color w:val="auto"/>
          <w:sz w:val="24"/>
          <w:szCs w:val="24"/>
          <w:highlight w:val="none"/>
        </w:rPr>
        <w:t>gov</w:t>
      </w:r>
      <w:r>
        <w:rPr>
          <w:rFonts w:hint="eastAsia" w:ascii="宋体" w:hAnsi="宋体" w:eastAsia="宋体" w:cs="宋体"/>
          <w:color w:val="auto"/>
          <w:spacing w:val="9"/>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pacing w:val="9"/>
          <w:sz w:val="24"/>
          <w:szCs w:val="24"/>
          <w:highlight w:val="none"/>
        </w:rPr>
        <w:t>/</w:t>
      </w:r>
      <w:r>
        <w:rPr>
          <w:rFonts w:hint="eastAsia" w:ascii="宋体" w:hAnsi="宋体" w:eastAsia="宋体" w:cs="宋体"/>
          <w:color w:val="auto"/>
          <w:spacing w:val="9"/>
          <w:sz w:val="24"/>
          <w:szCs w:val="24"/>
          <w:highlight w:val="none"/>
        </w:rPr>
        <w:fldChar w:fldCharType="end"/>
      </w:r>
      <w:r>
        <w:rPr>
          <w:rFonts w:hint="eastAsia" w:ascii="宋体" w:hAnsi="宋体" w:eastAsia="宋体" w:cs="宋体"/>
          <w:color w:val="auto"/>
          <w:spacing w:val="9"/>
          <w:sz w:val="24"/>
          <w:szCs w:val="24"/>
          <w:highlight w:val="none"/>
        </w:rPr>
        <w:t>)中被列入严重违法失信企业</w:t>
      </w:r>
      <w:r>
        <w:rPr>
          <w:rFonts w:hint="eastAsia" w:ascii="宋体" w:hAnsi="宋体" w:eastAsia="宋体" w:cs="宋体"/>
          <w:color w:val="auto"/>
          <w:spacing w:val="8"/>
          <w:sz w:val="24"/>
          <w:szCs w:val="24"/>
          <w:highlight w:val="none"/>
        </w:rPr>
        <w:t>名单、在“信用中国”网站(</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"http://www.creditchina.gov.cn/"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http</w:t>
      </w:r>
      <w:r>
        <w:rPr>
          <w:rFonts w:hint="eastAsia" w:ascii="宋体" w:hAnsi="宋体" w:eastAsia="宋体" w:cs="宋体"/>
          <w:color w:val="auto"/>
          <w:spacing w:val="8"/>
          <w:sz w:val="24"/>
          <w:szCs w:val="24"/>
          <w:highlight w:val="none"/>
        </w:rPr>
        <w:t>://</w:t>
      </w:r>
      <w:r>
        <w:rPr>
          <w:rFonts w:hint="eastAsia" w:ascii="宋体" w:hAnsi="宋体" w:eastAsia="宋体" w:cs="宋体"/>
          <w:color w:val="auto"/>
          <w:sz w:val="24"/>
          <w:szCs w:val="24"/>
          <w:highlight w:val="none"/>
        </w:rPr>
        <w:t>www</w:t>
      </w:r>
      <w:r>
        <w:rPr>
          <w:rFonts w:hint="eastAsia" w:ascii="宋体" w:hAnsi="宋体" w:eastAsia="宋体" w:cs="宋体"/>
          <w:color w:val="auto"/>
          <w:spacing w:val="8"/>
          <w:sz w:val="24"/>
          <w:szCs w:val="24"/>
          <w:highlight w:val="none"/>
        </w:rPr>
        <w:t>.</w:t>
      </w:r>
      <w:r>
        <w:rPr>
          <w:rFonts w:hint="eastAsia" w:ascii="宋体" w:hAnsi="宋体" w:eastAsia="宋体" w:cs="宋体"/>
          <w:color w:val="auto"/>
          <w:sz w:val="24"/>
          <w:szCs w:val="24"/>
          <w:highlight w:val="none"/>
        </w:rPr>
        <w:t>creditchina</w:t>
      </w:r>
      <w:r>
        <w:rPr>
          <w:rFonts w:hint="eastAsia" w:ascii="宋体" w:hAnsi="宋体" w:eastAsia="宋体" w:cs="宋体"/>
          <w:color w:val="auto"/>
          <w:spacing w:val="8"/>
          <w:sz w:val="24"/>
          <w:szCs w:val="24"/>
          <w:highlight w:val="none"/>
        </w:rPr>
        <w:t>.</w:t>
      </w:r>
      <w:r>
        <w:rPr>
          <w:rFonts w:hint="eastAsia" w:ascii="宋体" w:hAnsi="宋体" w:eastAsia="宋体" w:cs="宋体"/>
          <w:color w:val="auto"/>
          <w:sz w:val="24"/>
          <w:szCs w:val="24"/>
          <w:highlight w:val="none"/>
        </w:rPr>
        <w:t>gov</w:t>
      </w:r>
      <w:r>
        <w:rPr>
          <w:rFonts w:hint="eastAsia" w:ascii="宋体" w:hAnsi="宋体" w:eastAsia="宋体" w:cs="宋体"/>
          <w:color w:val="auto"/>
          <w:spacing w:val="8"/>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pacing w:val="8"/>
          <w:sz w:val="24"/>
          <w:szCs w:val="24"/>
          <w:highlight w:val="none"/>
        </w:rPr>
        <w:t>/</w:t>
      </w:r>
      <w:r>
        <w:rPr>
          <w:rFonts w:hint="eastAsia" w:ascii="宋体" w:hAnsi="宋体" w:eastAsia="宋体" w:cs="宋体"/>
          <w:color w:val="auto"/>
          <w:spacing w:val="8"/>
          <w:sz w:val="24"/>
          <w:szCs w:val="24"/>
          <w:highlight w:val="none"/>
        </w:rPr>
        <w:fldChar w:fldCharType="end"/>
      </w:r>
      <w:r>
        <w:rPr>
          <w:rFonts w:hint="eastAsia" w:ascii="宋体" w:hAnsi="宋体" w:eastAsia="宋体" w:cs="宋体"/>
          <w:color w:val="auto"/>
          <w:spacing w:val="8"/>
          <w:sz w:val="24"/>
          <w:szCs w:val="24"/>
          <w:highlight w:val="none"/>
        </w:rPr>
        <w:t>)中被列入失信被执行</w:t>
      </w:r>
      <w:r>
        <w:rPr>
          <w:rFonts w:hint="eastAsia" w:ascii="宋体" w:hAnsi="宋体" w:eastAsia="宋体" w:cs="宋体"/>
          <w:color w:val="auto"/>
          <w:spacing w:val="7"/>
          <w:sz w:val="24"/>
          <w:szCs w:val="24"/>
          <w:highlight w:val="none"/>
        </w:rPr>
        <w:t>人名单的投标人，不得参加投标。</w:t>
      </w:r>
    </w:p>
    <w:p w14:paraId="1561A11A">
      <w:pPr>
        <w:keepNext w:val="0"/>
        <w:keepLines w:val="0"/>
        <w:pageBreakBefore w:val="0"/>
        <w:widowControl/>
        <w:kinsoku w:val="0"/>
        <w:wordWrap/>
        <w:overflowPunct/>
        <w:topLinePunct w:val="0"/>
        <w:autoSpaceDE w:val="0"/>
        <w:autoSpaceDN w:val="0"/>
        <w:bidi w:val="0"/>
        <w:adjustRightInd w:val="0"/>
        <w:snapToGrid w:val="0"/>
        <w:spacing w:before="159" w:line="360" w:lineRule="auto"/>
        <w:ind w:right="70" w:firstLine="504" w:firstLineChars="200"/>
        <w:textAlignment w:val="baseline"/>
        <w:rPr>
          <w:rFonts w:hint="eastAsia" w:ascii="宋体" w:hAnsi="宋体" w:eastAsia="宋体" w:cs="宋体"/>
          <w:color w:val="auto"/>
          <w:sz w:val="24"/>
          <w:szCs w:val="24"/>
          <w:highlight w:val="none"/>
          <w:u w:val="none" w:color="auto"/>
          <w:lang w:eastAsia="zh-CN"/>
        </w:rPr>
      </w:pPr>
      <w:r>
        <w:rPr>
          <w:rFonts w:hint="eastAsia" w:ascii="宋体" w:hAnsi="宋体" w:eastAsia="宋体" w:cs="宋体"/>
          <w:color w:val="auto"/>
          <w:spacing w:val="6"/>
          <w:sz w:val="24"/>
          <w:szCs w:val="24"/>
          <w:highlight w:val="none"/>
        </w:rPr>
        <w:t>3.7</w:t>
      </w:r>
      <w:r>
        <w:rPr>
          <w:rFonts w:hint="eastAsia" w:ascii="宋体" w:hAnsi="宋体" w:eastAsia="宋体" w:cs="宋体"/>
          <w:color w:val="auto"/>
          <w:spacing w:val="6"/>
          <w:sz w:val="24"/>
          <w:szCs w:val="24"/>
          <w:highlight w:val="none"/>
          <w:u w:val="none" w:color="auto"/>
        </w:rPr>
        <w:t>信用评价等级属</w:t>
      </w:r>
      <w:r>
        <w:rPr>
          <w:rFonts w:hint="eastAsia" w:ascii="宋体" w:hAnsi="宋体" w:eastAsia="宋体" w:cs="宋体"/>
          <w:color w:val="auto"/>
          <w:sz w:val="24"/>
          <w:szCs w:val="24"/>
          <w:highlight w:val="none"/>
          <w:u w:val="none" w:color="auto"/>
        </w:rPr>
        <w:t>AA</w:t>
      </w:r>
      <w:r>
        <w:rPr>
          <w:rFonts w:hint="eastAsia" w:ascii="宋体" w:hAnsi="宋体" w:eastAsia="宋体" w:cs="宋体"/>
          <w:color w:val="auto"/>
          <w:spacing w:val="6"/>
          <w:sz w:val="24"/>
          <w:szCs w:val="24"/>
          <w:highlight w:val="none"/>
          <w:u w:val="none" w:color="auto"/>
        </w:rPr>
        <w:t>级、A级、B级和C级的企业，可对本工程投标。投标单位的</w:t>
      </w:r>
      <w:r>
        <w:rPr>
          <w:rFonts w:hint="eastAsia" w:ascii="宋体" w:hAnsi="宋体" w:eastAsia="宋体" w:cs="宋体"/>
          <w:color w:val="auto"/>
          <w:spacing w:val="5"/>
          <w:sz w:val="24"/>
          <w:szCs w:val="24"/>
          <w:highlight w:val="none"/>
          <w:u w:val="none" w:color="auto"/>
        </w:rPr>
        <w:t>信用</w:t>
      </w:r>
      <w:r>
        <w:rPr>
          <w:rFonts w:hint="eastAsia" w:ascii="宋体" w:hAnsi="宋体" w:eastAsia="宋体" w:cs="宋体"/>
          <w:color w:val="auto"/>
          <w:spacing w:val="10"/>
          <w:sz w:val="24"/>
          <w:szCs w:val="24"/>
          <w:highlight w:val="none"/>
          <w:u w:val="none" w:color="auto"/>
        </w:rPr>
        <w:t>评价等级按照《广西壮族自治区交通运输厅关于修订广西公路设市场施</w:t>
      </w:r>
      <w:r>
        <w:rPr>
          <w:rFonts w:hint="eastAsia" w:ascii="宋体" w:hAnsi="宋体" w:eastAsia="宋体" w:cs="宋体"/>
          <w:color w:val="auto"/>
          <w:spacing w:val="9"/>
          <w:sz w:val="24"/>
          <w:szCs w:val="24"/>
          <w:highlight w:val="none"/>
          <w:u w:val="none" w:color="auto"/>
        </w:rPr>
        <w:t>工企业信用评价规则实施</w:t>
      </w:r>
      <w:r>
        <w:rPr>
          <w:rFonts w:hint="eastAsia" w:ascii="宋体" w:hAnsi="宋体" w:eastAsia="宋体" w:cs="宋体"/>
          <w:color w:val="auto"/>
          <w:spacing w:val="8"/>
          <w:sz w:val="24"/>
          <w:szCs w:val="24"/>
          <w:highlight w:val="none"/>
          <w:u w:val="none" w:color="auto"/>
        </w:rPr>
        <w:t>细则的通知》（桂交建管发[2016]59号）、《交通运输部关于公布2023年度公路建设</w:t>
      </w:r>
      <w:r>
        <w:rPr>
          <w:rFonts w:hint="eastAsia" w:ascii="宋体" w:hAnsi="宋体" w:eastAsia="宋体" w:cs="宋体"/>
          <w:color w:val="auto"/>
          <w:spacing w:val="7"/>
          <w:sz w:val="24"/>
          <w:szCs w:val="24"/>
          <w:highlight w:val="none"/>
          <w:u w:val="none" w:color="auto"/>
        </w:rPr>
        <w:t>市场全国</w:t>
      </w:r>
      <w:r>
        <w:rPr>
          <w:rFonts w:hint="eastAsia" w:ascii="宋体" w:hAnsi="宋体" w:eastAsia="宋体" w:cs="宋体"/>
          <w:color w:val="auto"/>
          <w:spacing w:val="8"/>
          <w:sz w:val="24"/>
          <w:szCs w:val="24"/>
          <w:highlight w:val="none"/>
          <w:u w:val="none" w:color="auto"/>
        </w:rPr>
        <w:t>综合信用评价结果的通知》（交通运输部公告2024年第54号）或《广西壮族自治区交通运输厅</w:t>
      </w:r>
      <w:r>
        <w:rPr>
          <w:rFonts w:hint="eastAsia" w:ascii="宋体" w:hAnsi="宋体" w:eastAsia="宋体" w:cs="宋体"/>
          <w:color w:val="auto"/>
          <w:spacing w:val="9"/>
          <w:sz w:val="24"/>
          <w:szCs w:val="24"/>
          <w:highlight w:val="none"/>
          <w:u w:val="none" w:color="auto"/>
        </w:rPr>
        <w:t>关于公布广西公路建设市场2023年度公路设计企业、施工企业、监理企业及监理人员信用评价</w:t>
      </w:r>
      <w:r>
        <w:rPr>
          <w:rFonts w:hint="eastAsia" w:ascii="宋体" w:hAnsi="宋体" w:eastAsia="宋体" w:cs="宋体"/>
          <w:color w:val="auto"/>
          <w:spacing w:val="8"/>
          <w:sz w:val="24"/>
          <w:szCs w:val="24"/>
          <w:highlight w:val="none"/>
          <w:u w:val="none" w:color="auto"/>
        </w:rPr>
        <w:t>结果的通知》（桂交建管函〔2024〕208号）或《2024年度玉林市公路建设市场公路设计、施工</w:t>
      </w:r>
      <w:r>
        <w:rPr>
          <w:rFonts w:hint="eastAsia" w:ascii="宋体" w:hAnsi="宋体" w:eastAsia="宋体" w:cs="宋体"/>
          <w:color w:val="auto"/>
          <w:spacing w:val="10"/>
          <w:sz w:val="24"/>
          <w:szCs w:val="24"/>
          <w:highlight w:val="none"/>
          <w:u w:val="none" w:color="auto"/>
        </w:rPr>
        <w:t>及监理企业信用评价结果的通知》或初次进入玉林市公路建设市场的投</w:t>
      </w:r>
      <w:r>
        <w:rPr>
          <w:rFonts w:hint="eastAsia" w:ascii="宋体" w:hAnsi="宋体" w:eastAsia="宋体" w:cs="宋体"/>
          <w:color w:val="auto"/>
          <w:spacing w:val="9"/>
          <w:sz w:val="24"/>
          <w:szCs w:val="24"/>
          <w:highlight w:val="none"/>
          <w:u w:val="none" w:color="auto"/>
        </w:rPr>
        <w:t>标单位</w:t>
      </w:r>
      <w:r>
        <w:rPr>
          <w:rFonts w:hint="eastAsia" w:ascii="宋体" w:hAnsi="宋体" w:eastAsia="宋体" w:cs="宋体"/>
          <w:color w:val="auto"/>
          <w:spacing w:val="9"/>
          <w:sz w:val="24"/>
          <w:szCs w:val="24"/>
          <w:highlight w:val="none"/>
          <w:u w:val="none" w:color="auto"/>
          <w:lang w:val="en-US" w:eastAsia="zh-CN"/>
        </w:rPr>
        <w:t>,</w:t>
      </w:r>
      <w:r>
        <w:rPr>
          <w:rFonts w:hint="eastAsia" w:ascii="宋体" w:hAnsi="宋体" w:eastAsia="宋体" w:cs="宋体"/>
          <w:color w:val="auto"/>
          <w:spacing w:val="9"/>
          <w:sz w:val="24"/>
          <w:szCs w:val="24"/>
          <w:highlight w:val="none"/>
          <w:u w:val="none" w:color="auto"/>
        </w:rPr>
        <w:t>在递交投标文件</w:t>
      </w:r>
      <w:r>
        <w:rPr>
          <w:rFonts w:hint="eastAsia" w:ascii="宋体" w:hAnsi="宋体" w:eastAsia="宋体" w:cs="宋体"/>
          <w:color w:val="auto"/>
          <w:spacing w:val="7"/>
          <w:sz w:val="24"/>
          <w:szCs w:val="24"/>
          <w:highlight w:val="none"/>
          <w:u w:val="none" w:color="auto"/>
        </w:rPr>
        <w:t>前应向玉林市公路建设市场施工企业信用评价领导小组（玉林市交通运输工程</w:t>
      </w:r>
      <w:r>
        <w:rPr>
          <w:rFonts w:hint="eastAsia" w:ascii="宋体" w:hAnsi="宋体" w:eastAsia="宋体" w:cs="宋体"/>
          <w:color w:val="auto"/>
          <w:spacing w:val="6"/>
          <w:sz w:val="24"/>
          <w:szCs w:val="24"/>
          <w:highlight w:val="none"/>
          <w:u w:val="none" w:color="auto"/>
        </w:rPr>
        <w:t>质量监测鉴定中心）</w:t>
      </w:r>
      <w:r>
        <w:rPr>
          <w:rFonts w:hint="eastAsia" w:ascii="宋体" w:hAnsi="宋体" w:eastAsia="宋体" w:cs="宋体"/>
          <w:color w:val="auto"/>
          <w:spacing w:val="10"/>
          <w:sz w:val="24"/>
          <w:szCs w:val="24"/>
          <w:highlight w:val="none"/>
          <w:u w:val="none" w:color="auto"/>
        </w:rPr>
        <w:t>申请办理信用等级登记手续，其信用评价等级按登记后的确定或</w:t>
      </w:r>
      <w:r>
        <w:rPr>
          <w:rFonts w:hint="eastAsia" w:ascii="宋体" w:hAnsi="宋体" w:eastAsia="宋体" w:cs="宋体"/>
          <w:color w:val="auto"/>
          <w:spacing w:val="9"/>
          <w:sz w:val="24"/>
          <w:szCs w:val="24"/>
          <w:highlight w:val="none"/>
          <w:u w:val="none" w:color="auto"/>
        </w:rPr>
        <w:t>在上述评价公布结果中没有信用</w:t>
      </w:r>
      <w:r>
        <w:rPr>
          <w:rFonts w:hint="eastAsia" w:ascii="宋体" w:hAnsi="宋体" w:eastAsia="宋体" w:cs="宋体"/>
          <w:color w:val="auto"/>
          <w:spacing w:val="10"/>
          <w:sz w:val="24"/>
          <w:szCs w:val="24"/>
          <w:highlight w:val="none"/>
          <w:u w:val="none" w:color="auto"/>
        </w:rPr>
        <w:t>等级评价的投标人应到玉林市交通运输工程质量监测鉴定中心办</w:t>
      </w:r>
      <w:r>
        <w:rPr>
          <w:rFonts w:hint="eastAsia" w:ascii="宋体" w:hAnsi="宋体" w:eastAsia="宋体" w:cs="宋体"/>
          <w:color w:val="auto"/>
          <w:spacing w:val="9"/>
          <w:sz w:val="24"/>
          <w:szCs w:val="24"/>
          <w:highlight w:val="none"/>
          <w:u w:val="none" w:color="auto"/>
        </w:rPr>
        <w:t>理登记手续，其信用评价等级按</w:t>
      </w:r>
      <w:r>
        <w:rPr>
          <w:rFonts w:hint="eastAsia" w:ascii="宋体" w:hAnsi="宋体" w:eastAsia="宋体" w:cs="宋体"/>
          <w:color w:val="auto"/>
          <w:spacing w:val="6"/>
          <w:sz w:val="24"/>
          <w:szCs w:val="24"/>
          <w:highlight w:val="none"/>
          <w:u w:val="none" w:color="auto"/>
        </w:rPr>
        <w:t>登记后的确定</w:t>
      </w:r>
      <w:r>
        <w:rPr>
          <w:rFonts w:hint="eastAsia" w:ascii="宋体" w:hAnsi="宋体" w:eastAsia="宋体" w:cs="宋体"/>
          <w:color w:val="auto"/>
          <w:spacing w:val="6"/>
          <w:sz w:val="24"/>
          <w:szCs w:val="24"/>
          <w:highlight w:val="none"/>
          <w:u w:val="none" w:color="auto"/>
          <w:lang w:eastAsia="zh-CN"/>
        </w:rPr>
        <w:t>。</w:t>
      </w:r>
    </w:p>
    <w:p w14:paraId="4903FE96">
      <w:pPr>
        <w:keepNext w:val="0"/>
        <w:keepLines w:val="0"/>
        <w:pageBreakBefore w:val="0"/>
        <w:widowControl/>
        <w:kinsoku w:val="0"/>
        <w:wordWrap/>
        <w:overflowPunct/>
        <w:topLinePunct w:val="0"/>
        <w:autoSpaceDE w:val="0"/>
        <w:autoSpaceDN w:val="0"/>
        <w:bidi w:val="0"/>
        <w:adjustRightInd w:val="0"/>
        <w:snapToGrid w:val="0"/>
        <w:spacing w:line="360" w:lineRule="auto"/>
        <w:ind w:firstLine="508" w:firstLineChars="200"/>
        <w:textAlignment w:val="baseline"/>
        <w:rPr>
          <w:rFonts w:hint="eastAsia" w:ascii="宋体" w:hAnsi="宋体" w:eastAsia="宋体" w:cs="宋体"/>
          <w:color w:val="auto"/>
          <w:spacing w:val="7"/>
          <w:sz w:val="24"/>
          <w:szCs w:val="24"/>
          <w:highlight w:val="none"/>
          <w:lang w:val="en-US" w:eastAsia="zh-CN"/>
        </w:rPr>
      </w:pPr>
      <w:r>
        <w:rPr>
          <w:rFonts w:hint="eastAsia" w:ascii="宋体" w:hAnsi="宋体" w:eastAsia="宋体" w:cs="宋体"/>
          <w:color w:val="auto"/>
          <w:spacing w:val="7"/>
          <w:sz w:val="24"/>
          <w:szCs w:val="24"/>
          <w:highlight w:val="none"/>
        </w:rPr>
        <w:t>3.8本次招标不接受联合体投标。</w:t>
      </w:r>
    </w:p>
    <w:p w14:paraId="144B6E36">
      <w:pPr>
        <w:keepNext w:val="0"/>
        <w:keepLines w:val="0"/>
        <w:pageBreakBefore w:val="0"/>
        <w:widowControl/>
        <w:kinsoku w:val="0"/>
        <w:wordWrap/>
        <w:overflowPunct/>
        <w:topLinePunct w:val="0"/>
        <w:autoSpaceDE w:val="0"/>
        <w:autoSpaceDN w:val="0"/>
        <w:bidi w:val="0"/>
        <w:adjustRightInd w:val="0"/>
        <w:snapToGrid w:val="0"/>
        <w:spacing w:line="360" w:lineRule="auto"/>
        <w:ind w:firstLine="51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3.9本项目属于专门面向中小企业采购的项目，投标人应为中小企业或监狱企业或残疾人福</w:t>
      </w:r>
      <w:r>
        <w:rPr>
          <w:rFonts w:hint="eastAsia" w:ascii="宋体" w:hAnsi="宋体" w:eastAsia="宋体" w:cs="宋体"/>
          <w:color w:val="auto"/>
          <w:spacing w:val="5"/>
          <w:sz w:val="24"/>
          <w:szCs w:val="24"/>
          <w:highlight w:val="none"/>
        </w:rPr>
        <w:t>利性单位。</w:t>
      </w:r>
    </w:p>
    <w:p w14:paraId="30F28B60">
      <w:pPr>
        <w:spacing w:before="160" w:line="228" w:lineRule="auto"/>
        <w:ind w:left="438"/>
        <w:outlineLvl w:val="1"/>
        <w:rPr>
          <w:rFonts w:hint="eastAsia" w:ascii="宋体" w:hAnsi="宋体" w:eastAsia="宋体" w:cs="宋体"/>
          <w:color w:val="auto"/>
          <w:sz w:val="24"/>
          <w:szCs w:val="24"/>
          <w:highlight w:val="none"/>
        </w:rPr>
      </w:pPr>
      <w:bookmarkStart w:id="25" w:name="_Toc5792"/>
      <w:bookmarkStart w:id="26" w:name="_Toc21375"/>
      <w:bookmarkStart w:id="27" w:name="_Toc17108"/>
      <w:bookmarkStart w:id="28" w:name="_Toc13052"/>
      <w:bookmarkStart w:id="29" w:name="_Toc32335"/>
      <w:r>
        <w:rPr>
          <w:rFonts w:hint="eastAsia" w:ascii="宋体" w:hAnsi="宋体" w:eastAsia="宋体" w:cs="宋体"/>
          <w:b/>
          <w:bCs/>
          <w:color w:val="auto"/>
          <w:spacing w:val="5"/>
          <w:sz w:val="24"/>
          <w:szCs w:val="24"/>
          <w:highlight w:val="none"/>
        </w:rPr>
        <w:t>4.评标办法</w:t>
      </w:r>
      <w:bookmarkEnd w:id="25"/>
      <w:bookmarkEnd w:id="26"/>
      <w:bookmarkEnd w:id="27"/>
      <w:bookmarkEnd w:id="28"/>
      <w:bookmarkEnd w:id="29"/>
    </w:p>
    <w:p w14:paraId="64DD9784">
      <w:pPr>
        <w:spacing w:before="161" w:line="226" w:lineRule="auto"/>
        <w:ind w:firstLine="258" w:firstLineChars="10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9"/>
          <w:sz w:val="24"/>
          <w:szCs w:val="24"/>
          <w:highlight w:val="none"/>
        </w:rPr>
        <w:t>本项目评标办法采用：</w:t>
      </w:r>
      <w:r>
        <w:rPr>
          <w:rFonts w:hint="eastAsia" w:ascii="宋体" w:hAnsi="宋体" w:eastAsia="宋体" w:cs="宋体"/>
          <w:color w:val="auto"/>
          <w:spacing w:val="9"/>
          <w:sz w:val="24"/>
          <w:szCs w:val="24"/>
          <w:highlight w:val="none"/>
          <w:u w:val="single" w:color="auto"/>
        </w:rPr>
        <w:t>技术评分最低标价法</w:t>
      </w:r>
    </w:p>
    <w:p w14:paraId="36145F8E">
      <w:pPr>
        <w:spacing w:before="163" w:line="228" w:lineRule="auto"/>
        <w:ind w:left="443"/>
        <w:outlineLvl w:val="1"/>
        <w:rPr>
          <w:rFonts w:hint="eastAsia" w:ascii="宋体" w:hAnsi="宋体" w:eastAsia="宋体" w:cs="宋体"/>
          <w:color w:val="auto"/>
          <w:sz w:val="24"/>
          <w:szCs w:val="24"/>
          <w:highlight w:val="none"/>
        </w:rPr>
      </w:pPr>
      <w:bookmarkStart w:id="30" w:name="_Toc2385"/>
      <w:bookmarkStart w:id="31" w:name="_Toc9721"/>
      <w:bookmarkStart w:id="32" w:name="_Toc31500"/>
      <w:bookmarkStart w:id="33" w:name="_Toc17748"/>
      <w:bookmarkStart w:id="34" w:name="_Toc29299"/>
      <w:r>
        <w:rPr>
          <w:rFonts w:hint="eastAsia" w:ascii="宋体" w:hAnsi="宋体" w:eastAsia="宋体" w:cs="宋体"/>
          <w:b/>
          <w:bCs/>
          <w:color w:val="auto"/>
          <w:spacing w:val="5"/>
          <w:sz w:val="24"/>
          <w:szCs w:val="24"/>
          <w:highlight w:val="none"/>
        </w:rPr>
        <w:t>5.招标文件获取</w:t>
      </w:r>
      <w:bookmarkEnd w:id="30"/>
      <w:bookmarkEnd w:id="31"/>
      <w:bookmarkEnd w:id="32"/>
      <w:bookmarkEnd w:id="33"/>
      <w:bookmarkEnd w:id="34"/>
    </w:p>
    <w:p w14:paraId="5238492F">
      <w:pPr>
        <w:keepNext w:val="0"/>
        <w:keepLines w:val="0"/>
        <w:pageBreakBefore w:val="0"/>
        <w:widowControl/>
        <w:kinsoku w:val="0"/>
        <w:wordWrap/>
        <w:overflowPunct/>
        <w:topLinePunct w:val="0"/>
        <w:autoSpaceDE w:val="0"/>
        <w:autoSpaceDN w:val="0"/>
        <w:bidi w:val="0"/>
        <w:adjustRightInd w:val="0"/>
        <w:snapToGrid w:val="0"/>
        <w:spacing w:before="164" w:line="360" w:lineRule="auto"/>
        <w:ind w:firstLine="236" w:firstLineChars="1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凡有意参加投标者，请于</w:t>
      </w:r>
      <w:r>
        <w:rPr>
          <w:rFonts w:hint="eastAsia" w:ascii="宋体" w:hAnsi="宋体" w:eastAsia="宋体" w:cs="宋体"/>
          <w:color w:val="auto"/>
          <w:spacing w:val="-2"/>
          <w:sz w:val="24"/>
          <w:szCs w:val="24"/>
          <w:highlight w:val="none"/>
          <w:u w:val="single" w:color="auto"/>
        </w:rPr>
        <w:t>202</w:t>
      </w:r>
      <w:r>
        <w:rPr>
          <w:rFonts w:hint="eastAsia" w:ascii="宋体" w:hAnsi="宋体" w:eastAsia="宋体" w:cs="宋体"/>
          <w:color w:val="auto"/>
          <w:spacing w:val="-2"/>
          <w:sz w:val="24"/>
          <w:szCs w:val="24"/>
          <w:highlight w:val="none"/>
          <w:u w:val="single" w:color="auto"/>
          <w:lang w:val="en-US" w:eastAsia="zh-CN"/>
        </w:rPr>
        <w:t>6</w:t>
      </w:r>
      <w:r>
        <w:rPr>
          <w:rFonts w:hint="eastAsia" w:ascii="宋体" w:hAnsi="宋体" w:eastAsia="宋体" w:cs="宋体"/>
          <w:color w:val="auto"/>
          <w:spacing w:val="-2"/>
          <w:sz w:val="24"/>
          <w:szCs w:val="24"/>
          <w:highlight w:val="none"/>
          <w:u w:val="single" w:color="auto"/>
        </w:rPr>
        <w:t>年月</w:t>
      </w:r>
      <w:r>
        <w:rPr>
          <w:rFonts w:hint="eastAsia" w:ascii="宋体" w:hAnsi="宋体" w:eastAsia="宋体" w:cs="宋体"/>
          <w:color w:val="auto"/>
          <w:spacing w:val="-2"/>
          <w:sz w:val="24"/>
          <w:szCs w:val="24"/>
          <w:highlight w:val="none"/>
          <w:u w:val="single" w:color="auto"/>
          <w:lang w:val="en-US" w:eastAsia="zh-CN"/>
        </w:rPr>
        <w:t xml:space="preserve">  </w:t>
      </w:r>
      <w:r>
        <w:rPr>
          <w:rFonts w:hint="eastAsia" w:ascii="宋体" w:hAnsi="宋体" w:eastAsia="宋体" w:cs="宋体"/>
          <w:color w:val="auto"/>
          <w:spacing w:val="-2"/>
          <w:sz w:val="24"/>
          <w:szCs w:val="24"/>
          <w:highlight w:val="none"/>
          <w:u w:val="single" w:color="auto"/>
        </w:rPr>
        <w:t>日00：00时至202</w:t>
      </w:r>
      <w:r>
        <w:rPr>
          <w:rFonts w:hint="eastAsia" w:ascii="宋体" w:hAnsi="宋体" w:eastAsia="宋体" w:cs="宋体"/>
          <w:color w:val="auto"/>
          <w:spacing w:val="-2"/>
          <w:sz w:val="24"/>
          <w:szCs w:val="24"/>
          <w:highlight w:val="none"/>
          <w:u w:val="single" w:color="auto"/>
          <w:lang w:val="en-US" w:eastAsia="zh-CN"/>
        </w:rPr>
        <w:t>6</w:t>
      </w:r>
      <w:r>
        <w:rPr>
          <w:rFonts w:hint="eastAsia" w:ascii="宋体" w:hAnsi="宋体" w:eastAsia="宋体" w:cs="宋体"/>
          <w:color w:val="auto"/>
          <w:spacing w:val="-2"/>
          <w:sz w:val="24"/>
          <w:szCs w:val="24"/>
          <w:highlight w:val="none"/>
          <w:u w:val="single" w:color="auto"/>
        </w:rPr>
        <w:t>年月</w:t>
      </w:r>
      <w:r>
        <w:rPr>
          <w:rFonts w:hint="eastAsia" w:ascii="宋体" w:hAnsi="宋体" w:eastAsia="宋体" w:cs="宋体"/>
          <w:color w:val="auto"/>
          <w:spacing w:val="-2"/>
          <w:sz w:val="24"/>
          <w:szCs w:val="24"/>
          <w:highlight w:val="none"/>
          <w:u w:val="single" w:color="auto"/>
          <w:lang w:val="en-US" w:eastAsia="zh-CN"/>
        </w:rPr>
        <w:t xml:space="preserve">  </w:t>
      </w:r>
      <w:r>
        <w:rPr>
          <w:rFonts w:hint="eastAsia" w:ascii="宋体" w:hAnsi="宋体" w:eastAsia="宋体" w:cs="宋体"/>
          <w:color w:val="auto"/>
          <w:spacing w:val="-2"/>
          <w:sz w:val="24"/>
          <w:szCs w:val="24"/>
          <w:highlight w:val="none"/>
          <w:u w:val="single" w:color="auto"/>
        </w:rPr>
        <w:t>日09：00时（北</w:t>
      </w:r>
      <w:r>
        <w:rPr>
          <w:rFonts w:hint="eastAsia" w:ascii="宋体" w:hAnsi="宋体" w:eastAsia="宋体" w:cs="宋体"/>
          <w:color w:val="auto"/>
          <w:spacing w:val="8"/>
          <w:sz w:val="24"/>
          <w:szCs w:val="24"/>
          <w:highlight w:val="none"/>
          <w:u w:val="single" w:color="auto"/>
        </w:rPr>
        <w:t>京时</w:t>
      </w:r>
      <w:r>
        <w:rPr>
          <w:rFonts w:hint="eastAsia" w:ascii="宋体" w:hAnsi="宋体" w:eastAsia="宋体" w:cs="宋体"/>
          <w:color w:val="auto"/>
          <w:spacing w:val="8"/>
          <w:sz w:val="24"/>
          <w:szCs w:val="24"/>
          <w:highlight w:val="none"/>
        </w:rPr>
        <w:t>间，下同</w:t>
      </w:r>
      <w:r>
        <w:rPr>
          <w:rFonts w:hint="eastAsia" w:ascii="宋体" w:hAnsi="宋体" w:eastAsia="宋体" w:cs="宋体"/>
          <w:color w:val="auto"/>
          <w:spacing w:val="14"/>
          <w:sz w:val="24"/>
          <w:szCs w:val="24"/>
          <w:highlight w:val="none"/>
        </w:rPr>
        <w:t>），</w:t>
      </w:r>
      <w:r>
        <w:rPr>
          <w:rFonts w:hint="eastAsia" w:ascii="宋体" w:hAnsi="宋体" w:eastAsia="宋体" w:cs="宋体"/>
          <w:color w:val="auto"/>
          <w:spacing w:val="8"/>
          <w:sz w:val="24"/>
          <w:szCs w:val="24"/>
          <w:highlight w:val="none"/>
        </w:rPr>
        <w:t>由潜在投标人使用账号及密码或企业</w:t>
      </w:r>
      <w:r>
        <w:rPr>
          <w:rFonts w:hint="eastAsia" w:ascii="宋体" w:hAnsi="宋体" w:eastAsia="宋体" w:cs="宋体"/>
          <w:color w:val="auto"/>
          <w:sz w:val="24"/>
          <w:szCs w:val="24"/>
          <w:highlight w:val="none"/>
        </w:rPr>
        <w:t>CA</w:t>
      </w:r>
      <w:r>
        <w:rPr>
          <w:rFonts w:hint="eastAsia" w:ascii="宋体" w:hAnsi="宋体" w:eastAsia="宋体" w:cs="宋体"/>
          <w:color w:val="auto"/>
          <w:spacing w:val="8"/>
          <w:sz w:val="24"/>
          <w:szCs w:val="24"/>
          <w:highlight w:val="none"/>
        </w:rPr>
        <w:t>锁登录广西•玉林公共资源电子交易系</w:t>
      </w:r>
      <w:r>
        <w:rPr>
          <w:rFonts w:hint="eastAsia" w:ascii="宋体" w:hAnsi="宋体" w:eastAsia="宋体" w:cs="宋体"/>
          <w:color w:val="auto"/>
          <w:spacing w:val="10"/>
          <w:sz w:val="24"/>
          <w:szCs w:val="24"/>
          <w:highlight w:val="none"/>
        </w:rPr>
        <w:t>统办理免费下载招标文件，逾期不能办理招标文件等资料</w:t>
      </w:r>
      <w:r>
        <w:rPr>
          <w:rFonts w:hint="eastAsia" w:ascii="宋体" w:hAnsi="宋体" w:eastAsia="宋体" w:cs="宋体"/>
          <w:color w:val="auto"/>
          <w:spacing w:val="9"/>
          <w:sz w:val="24"/>
          <w:szCs w:val="24"/>
          <w:highlight w:val="none"/>
        </w:rPr>
        <w:t>下载。图纸获取方式：登陆广西壮族自治区公共资源电子交易系统免费下载，操作流程与下载招标文件相同。联合体投标的，由联合体牵头人完成报名、招标文件等资料下载。</w:t>
      </w:r>
    </w:p>
    <w:p w14:paraId="46534C75">
      <w:pPr>
        <w:spacing w:before="161" w:line="228" w:lineRule="auto"/>
        <w:ind w:left="21"/>
        <w:outlineLvl w:val="1"/>
        <w:rPr>
          <w:rFonts w:hint="eastAsia" w:ascii="宋体" w:hAnsi="宋体" w:eastAsia="宋体" w:cs="宋体"/>
          <w:color w:val="auto"/>
          <w:sz w:val="24"/>
          <w:szCs w:val="24"/>
          <w:highlight w:val="none"/>
        </w:rPr>
      </w:pPr>
      <w:bookmarkStart w:id="35" w:name="_Toc2233"/>
      <w:bookmarkStart w:id="36" w:name="_Toc5665"/>
      <w:bookmarkStart w:id="37" w:name="_Toc1308"/>
      <w:bookmarkStart w:id="38" w:name="_Toc4759"/>
      <w:bookmarkStart w:id="39" w:name="_Toc5014"/>
      <w:r>
        <w:rPr>
          <w:rFonts w:hint="eastAsia" w:ascii="宋体" w:hAnsi="宋体" w:eastAsia="宋体" w:cs="宋体"/>
          <w:b/>
          <w:bCs/>
          <w:color w:val="auto"/>
          <w:spacing w:val="7"/>
          <w:sz w:val="24"/>
          <w:szCs w:val="24"/>
          <w:highlight w:val="none"/>
        </w:rPr>
        <w:t>6.投标文件的递交及电子化开标说明</w:t>
      </w:r>
      <w:bookmarkEnd w:id="35"/>
      <w:bookmarkEnd w:id="36"/>
      <w:bookmarkEnd w:id="37"/>
      <w:bookmarkEnd w:id="38"/>
      <w:bookmarkEnd w:id="39"/>
    </w:p>
    <w:p w14:paraId="3F6611F1">
      <w:pPr>
        <w:spacing w:before="164" w:line="327" w:lineRule="auto"/>
        <w:ind w:left="20" w:right="87" w:firstLine="420"/>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6.1本项目采用全流程电子招标、投标、评标。投标文件递交截止时间（投标截止时间，下</w:t>
      </w:r>
      <w:r>
        <w:rPr>
          <w:rFonts w:hint="eastAsia" w:ascii="宋体" w:hAnsi="宋体" w:eastAsia="宋体" w:cs="宋体"/>
          <w:color w:val="auto"/>
          <w:spacing w:val="6"/>
          <w:sz w:val="24"/>
          <w:szCs w:val="24"/>
          <w:highlight w:val="none"/>
        </w:rPr>
        <w:t>同）为</w:t>
      </w:r>
      <w:r>
        <w:rPr>
          <w:rFonts w:hint="eastAsia" w:ascii="宋体" w:hAnsi="宋体" w:eastAsia="宋体" w:cs="宋体"/>
          <w:color w:val="auto"/>
          <w:spacing w:val="6"/>
          <w:sz w:val="24"/>
          <w:szCs w:val="24"/>
          <w:highlight w:val="none"/>
          <w:u w:val="single" w:color="auto"/>
        </w:rPr>
        <w:t>202</w:t>
      </w:r>
      <w:r>
        <w:rPr>
          <w:rFonts w:hint="eastAsia" w:ascii="宋体" w:hAnsi="宋体" w:eastAsia="宋体" w:cs="宋体"/>
          <w:color w:val="auto"/>
          <w:spacing w:val="6"/>
          <w:sz w:val="24"/>
          <w:szCs w:val="24"/>
          <w:highlight w:val="none"/>
          <w:u w:val="single" w:color="auto"/>
          <w:lang w:val="en-US" w:eastAsia="zh-CN"/>
        </w:rPr>
        <w:t>6</w:t>
      </w:r>
      <w:r>
        <w:rPr>
          <w:rFonts w:hint="eastAsia" w:ascii="宋体" w:hAnsi="宋体" w:eastAsia="宋体" w:cs="宋体"/>
          <w:color w:val="auto"/>
          <w:spacing w:val="6"/>
          <w:sz w:val="24"/>
          <w:szCs w:val="24"/>
          <w:highlight w:val="none"/>
          <w:u w:val="single" w:color="auto"/>
        </w:rPr>
        <w:t>年</w:t>
      </w:r>
      <w:r>
        <w:rPr>
          <w:rFonts w:hint="eastAsia" w:ascii="宋体" w:hAnsi="宋体" w:eastAsia="宋体" w:cs="宋体"/>
          <w:color w:val="auto"/>
          <w:spacing w:val="6"/>
          <w:sz w:val="24"/>
          <w:szCs w:val="24"/>
          <w:highlight w:val="none"/>
          <w:u w:val="single" w:color="auto"/>
          <w:lang w:val="en-US" w:eastAsia="zh-CN"/>
        </w:rPr>
        <w:t xml:space="preserve">   </w:t>
      </w:r>
      <w:r>
        <w:rPr>
          <w:rFonts w:hint="eastAsia" w:ascii="宋体" w:hAnsi="宋体" w:eastAsia="宋体" w:cs="宋体"/>
          <w:color w:val="auto"/>
          <w:spacing w:val="6"/>
          <w:sz w:val="24"/>
          <w:szCs w:val="24"/>
          <w:highlight w:val="none"/>
          <w:u w:val="single" w:color="auto"/>
        </w:rPr>
        <w:t>月日09时</w:t>
      </w:r>
      <w:r>
        <w:rPr>
          <w:rFonts w:hint="eastAsia" w:ascii="宋体" w:hAnsi="宋体" w:eastAsia="宋体" w:cs="宋体"/>
          <w:color w:val="auto"/>
          <w:spacing w:val="6"/>
          <w:sz w:val="24"/>
          <w:szCs w:val="24"/>
          <w:highlight w:val="none"/>
          <w:u w:val="single" w:color="auto"/>
          <w:lang w:val="en-US" w:eastAsia="zh-CN"/>
        </w:rPr>
        <w:t>3</w:t>
      </w:r>
      <w:r>
        <w:rPr>
          <w:rFonts w:hint="eastAsia" w:ascii="宋体" w:hAnsi="宋体" w:eastAsia="宋体" w:cs="宋体"/>
          <w:color w:val="auto"/>
          <w:spacing w:val="6"/>
          <w:sz w:val="24"/>
          <w:szCs w:val="24"/>
          <w:highlight w:val="none"/>
          <w:u w:val="single" w:color="auto"/>
        </w:rPr>
        <w:t>0</w:t>
      </w:r>
      <w:r>
        <w:rPr>
          <w:rFonts w:hint="eastAsia" w:ascii="宋体" w:hAnsi="宋体" w:eastAsia="宋体" w:cs="宋体"/>
          <w:color w:val="auto"/>
          <w:spacing w:val="5"/>
          <w:sz w:val="24"/>
          <w:szCs w:val="24"/>
          <w:highlight w:val="none"/>
          <w:u w:val="single" w:color="auto"/>
        </w:rPr>
        <w:t>分，</w:t>
      </w:r>
      <w:r>
        <w:rPr>
          <w:rFonts w:hint="eastAsia" w:ascii="宋体" w:hAnsi="宋体" w:eastAsia="宋体" w:cs="宋体"/>
          <w:color w:val="auto"/>
          <w:spacing w:val="5"/>
          <w:sz w:val="24"/>
          <w:szCs w:val="24"/>
          <w:highlight w:val="none"/>
        </w:rPr>
        <w:t>投标人应当在投标截止时间前，按招标公告第6.2款递交投</w:t>
      </w:r>
      <w:r>
        <w:rPr>
          <w:rFonts w:hint="eastAsia" w:ascii="宋体" w:hAnsi="宋体" w:eastAsia="宋体" w:cs="宋体"/>
          <w:color w:val="auto"/>
          <w:spacing w:val="4"/>
          <w:sz w:val="24"/>
          <w:szCs w:val="24"/>
          <w:highlight w:val="none"/>
        </w:rPr>
        <w:t>标文件。</w:t>
      </w:r>
    </w:p>
    <w:p w14:paraId="0EF30EDD">
      <w:pPr>
        <w:spacing w:before="163" w:line="327" w:lineRule="auto"/>
        <w:ind w:left="35" w:right="87" w:firstLine="406"/>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6.2投标人必须在投标截止时间前，通过</w:t>
      </w:r>
      <w:r>
        <w:rPr>
          <w:rFonts w:hint="eastAsia" w:ascii="宋体" w:hAnsi="宋体" w:eastAsia="宋体" w:cs="宋体"/>
          <w:color w:val="auto"/>
          <w:spacing w:val="6"/>
          <w:sz w:val="24"/>
          <w:szCs w:val="24"/>
          <w:highlight w:val="none"/>
        </w:rPr>
        <w:t>互联网使用</w:t>
      </w:r>
      <w:r>
        <w:rPr>
          <w:rFonts w:hint="eastAsia" w:ascii="宋体" w:hAnsi="宋体" w:eastAsia="宋体" w:cs="宋体"/>
          <w:color w:val="auto"/>
          <w:sz w:val="24"/>
          <w:szCs w:val="24"/>
          <w:highlight w:val="none"/>
        </w:rPr>
        <w:t>CA</w:t>
      </w:r>
      <w:r>
        <w:rPr>
          <w:rFonts w:hint="eastAsia" w:ascii="宋体" w:hAnsi="宋体" w:eastAsia="宋体" w:cs="宋体"/>
          <w:color w:val="auto"/>
          <w:spacing w:val="6"/>
          <w:sz w:val="24"/>
          <w:szCs w:val="24"/>
          <w:highlight w:val="none"/>
        </w:rPr>
        <w:t>数字证书登录玉林“公共资源交易平</w:t>
      </w:r>
      <w:r>
        <w:rPr>
          <w:rFonts w:hint="eastAsia" w:ascii="宋体" w:hAnsi="宋体" w:eastAsia="宋体" w:cs="宋体"/>
          <w:color w:val="auto"/>
          <w:spacing w:val="9"/>
          <w:sz w:val="24"/>
          <w:szCs w:val="24"/>
          <w:highlight w:val="none"/>
        </w:rPr>
        <w:t>台”，将加密的电子投标文件上传，并保存上传成功后系统自动生</w:t>
      </w:r>
      <w:r>
        <w:rPr>
          <w:rFonts w:hint="eastAsia" w:ascii="宋体" w:hAnsi="宋体" w:eastAsia="宋体" w:cs="宋体"/>
          <w:color w:val="auto"/>
          <w:spacing w:val="8"/>
          <w:sz w:val="24"/>
          <w:szCs w:val="24"/>
          <w:highlight w:val="none"/>
        </w:rPr>
        <w:t>成的电子签收凭证，递交时间</w:t>
      </w:r>
      <w:r>
        <w:rPr>
          <w:rFonts w:hint="eastAsia" w:ascii="宋体" w:hAnsi="宋体" w:eastAsia="宋体" w:cs="宋体"/>
          <w:color w:val="auto"/>
          <w:spacing w:val="9"/>
          <w:sz w:val="24"/>
          <w:szCs w:val="24"/>
          <w:highlight w:val="none"/>
        </w:rPr>
        <w:t>即为电子签收凭证时间。逾期未完成上传或未按规定加密的电子投标文件，招标人将拒收。</w:t>
      </w:r>
    </w:p>
    <w:p w14:paraId="0B48D83F">
      <w:pPr>
        <w:spacing w:before="162" w:line="338" w:lineRule="auto"/>
        <w:ind w:left="24" w:right="87" w:firstLine="416"/>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6.3未取得广西壮族自治区公共资源交易平台系统数字证书(CA)的潜在投标人，</w:t>
      </w:r>
      <w:r>
        <w:rPr>
          <w:rFonts w:hint="eastAsia" w:ascii="宋体" w:hAnsi="宋体" w:eastAsia="宋体" w:cs="宋体"/>
          <w:color w:val="auto"/>
          <w:spacing w:val="10"/>
          <w:sz w:val="24"/>
          <w:szCs w:val="24"/>
          <w:highlight w:val="none"/>
        </w:rPr>
        <w:t>应先办理交易主体注册手续，取得数字证书(</w:t>
      </w:r>
      <w:r>
        <w:rPr>
          <w:rFonts w:hint="eastAsia" w:ascii="宋体" w:hAnsi="宋体" w:eastAsia="宋体" w:cs="宋体"/>
          <w:color w:val="auto"/>
          <w:sz w:val="24"/>
          <w:szCs w:val="24"/>
          <w:highlight w:val="none"/>
        </w:rPr>
        <w:t>CA</w:t>
      </w:r>
      <w:r>
        <w:rPr>
          <w:rFonts w:hint="eastAsia" w:ascii="宋体" w:hAnsi="宋体" w:eastAsia="宋体" w:cs="宋体"/>
          <w:color w:val="auto"/>
          <w:spacing w:val="10"/>
          <w:sz w:val="24"/>
          <w:szCs w:val="24"/>
          <w:highlight w:val="none"/>
        </w:rPr>
        <w:t>)，具体登记方法请登</w:t>
      </w:r>
      <w:r>
        <w:rPr>
          <w:rFonts w:hint="eastAsia" w:ascii="宋体" w:hAnsi="宋体" w:eastAsia="宋体" w:cs="宋体"/>
          <w:color w:val="auto"/>
          <w:spacing w:val="9"/>
          <w:sz w:val="24"/>
          <w:szCs w:val="24"/>
          <w:highlight w:val="none"/>
        </w:rPr>
        <w:t>录广西壮族自治区公共资源交易平台系</w:t>
      </w:r>
      <w:r>
        <w:rPr>
          <w:rFonts w:hint="eastAsia" w:ascii="宋体" w:hAnsi="宋体" w:eastAsia="宋体" w:cs="宋体"/>
          <w:color w:val="auto"/>
          <w:spacing w:val="-3"/>
          <w:sz w:val="24"/>
          <w:szCs w:val="24"/>
          <w:highlight w:val="none"/>
        </w:rPr>
        <w:t>统数字证书(CA)交叉互认平台</w:t>
      </w:r>
      <w:r>
        <w:rPr>
          <w:rFonts w:hint="eastAsia" w:ascii="宋体" w:hAnsi="宋体" w:eastAsia="宋体" w:cs="宋体"/>
          <w:color w:val="auto"/>
          <w:spacing w:val="19"/>
          <w:sz w:val="24"/>
          <w:szCs w:val="24"/>
          <w:highlight w:val="none"/>
        </w:rPr>
        <w:t>（</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"http://ggzy.jgswj.gxzf.gov.cn/gxggzy/CAhrpt/CAlogin.html"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http</w:t>
      </w:r>
      <w:r>
        <w:rPr>
          <w:rFonts w:hint="eastAsia" w:ascii="宋体" w:hAnsi="宋体" w:eastAsia="宋体" w:cs="宋体"/>
          <w:color w:val="auto"/>
          <w:spacing w:val="19"/>
          <w:sz w:val="24"/>
          <w:szCs w:val="24"/>
          <w:highlight w:val="none"/>
        </w:rPr>
        <w:t>://</w:t>
      </w:r>
      <w:r>
        <w:rPr>
          <w:rFonts w:hint="eastAsia" w:ascii="宋体" w:hAnsi="宋体" w:eastAsia="宋体" w:cs="宋体"/>
          <w:color w:val="auto"/>
          <w:sz w:val="24"/>
          <w:szCs w:val="24"/>
          <w:highlight w:val="none"/>
        </w:rPr>
        <w:t>ggzy</w:t>
      </w:r>
      <w:r>
        <w:rPr>
          <w:rFonts w:hint="eastAsia" w:ascii="宋体" w:hAnsi="宋体" w:eastAsia="宋体" w:cs="宋体"/>
          <w:color w:val="auto"/>
          <w:spacing w:val="19"/>
          <w:sz w:val="24"/>
          <w:szCs w:val="24"/>
          <w:highlight w:val="none"/>
        </w:rPr>
        <w:t>.</w:t>
      </w:r>
      <w:r>
        <w:rPr>
          <w:rFonts w:hint="eastAsia" w:ascii="宋体" w:hAnsi="宋体" w:eastAsia="宋体" w:cs="宋体"/>
          <w:color w:val="auto"/>
          <w:sz w:val="24"/>
          <w:szCs w:val="24"/>
          <w:highlight w:val="none"/>
        </w:rPr>
        <w:t>jgswj</w:t>
      </w:r>
      <w:r>
        <w:rPr>
          <w:rFonts w:hint="eastAsia" w:ascii="宋体" w:hAnsi="宋体" w:eastAsia="宋体" w:cs="宋体"/>
          <w:color w:val="auto"/>
          <w:spacing w:val="19"/>
          <w:sz w:val="24"/>
          <w:szCs w:val="24"/>
          <w:highlight w:val="none"/>
        </w:rPr>
        <w:t>.</w:t>
      </w:r>
      <w:r>
        <w:rPr>
          <w:rFonts w:hint="eastAsia" w:ascii="宋体" w:hAnsi="宋体" w:eastAsia="宋体" w:cs="宋体"/>
          <w:color w:val="auto"/>
          <w:sz w:val="24"/>
          <w:szCs w:val="24"/>
          <w:highlight w:val="none"/>
        </w:rPr>
        <w:t>gxzf</w:t>
      </w:r>
      <w:r>
        <w:rPr>
          <w:rFonts w:hint="eastAsia" w:ascii="宋体" w:hAnsi="宋体" w:eastAsia="宋体" w:cs="宋体"/>
          <w:color w:val="auto"/>
          <w:spacing w:val="19"/>
          <w:sz w:val="24"/>
          <w:szCs w:val="24"/>
          <w:highlight w:val="none"/>
        </w:rPr>
        <w:t>.</w:t>
      </w:r>
      <w:r>
        <w:rPr>
          <w:rFonts w:hint="eastAsia" w:ascii="宋体" w:hAnsi="宋体" w:eastAsia="宋体" w:cs="宋体"/>
          <w:color w:val="auto"/>
          <w:sz w:val="24"/>
          <w:szCs w:val="24"/>
          <w:highlight w:val="none"/>
        </w:rPr>
        <w:t>gov</w:t>
      </w:r>
      <w:r>
        <w:rPr>
          <w:rFonts w:hint="eastAsia" w:ascii="宋体" w:hAnsi="宋体" w:eastAsia="宋体" w:cs="宋体"/>
          <w:color w:val="auto"/>
          <w:spacing w:val="19"/>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pacing w:val="19"/>
          <w:sz w:val="24"/>
          <w:szCs w:val="24"/>
          <w:highlight w:val="none"/>
        </w:rPr>
        <w:t>/</w:t>
      </w:r>
      <w:r>
        <w:rPr>
          <w:rFonts w:hint="eastAsia" w:ascii="宋体" w:hAnsi="宋体" w:eastAsia="宋体" w:cs="宋体"/>
          <w:color w:val="auto"/>
          <w:sz w:val="24"/>
          <w:szCs w:val="24"/>
          <w:highlight w:val="none"/>
        </w:rPr>
        <w:t>gxggzy</w:t>
      </w:r>
      <w:r>
        <w:rPr>
          <w:rFonts w:hint="eastAsia" w:ascii="宋体" w:hAnsi="宋体" w:eastAsia="宋体" w:cs="宋体"/>
          <w:color w:val="auto"/>
          <w:spacing w:val="19"/>
          <w:sz w:val="24"/>
          <w:szCs w:val="24"/>
          <w:highlight w:val="none"/>
        </w:rPr>
        <w:t>/</w:t>
      </w:r>
      <w:r>
        <w:rPr>
          <w:rFonts w:hint="eastAsia" w:ascii="宋体" w:hAnsi="宋体" w:eastAsia="宋体" w:cs="宋体"/>
          <w:color w:val="auto"/>
          <w:sz w:val="24"/>
          <w:szCs w:val="24"/>
          <w:highlight w:val="none"/>
        </w:rPr>
        <w:t>CAhrpt</w:t>
      </w:r>
      <w:r>
        <w:rPr>
          <w:rFonts w:hint="eastAsia" w:ascii="宋体" w:hAnsi="宋体" w:eastAsia="宋体" w:cs="宋体"/>
          <w:color w:val="auto"/>
          <w:spacing w:val="19"/>
          <w:sz w:val="24"/>
          <w:szCs w:val="24"/>
          <w:highlight w:val="none"/>
        </w:rPr>
        <w:t>/</w:t>
      </w:r>
      <w:r>
        <w:rPr>
          <w:rFonts w:hint="eastAsia" w:ascii="宋体" w:hAnsi="宋体" w:eastAsia="宋体" w:cs="宋体"/>
          <w:color w:val="auto"/>
          <w:sz w:val="24"/>
          <w:szCs w:val="24"/>
          <w:highlight w:val="none"/>
        </w:rPr>
        <w:t>CAlogin</w:t>
      </w:r>
      <w:r>
        <w:rPr>
          <w:rFonts w:hint="eastAsia" w:ascii="宋体" w:hAnsi="宋体" w:eastAsia="宋体" w:cs="宋体"/>
          <w:color w:val="auto"/>
          <w:spacing w:val="19"/>
          <w:sz w:val="24"/>
          <w:szCs w:val="24"/>
          <w:highlight w:val="none"/>
        </w:rPr>
        <w:t>.</w:t>
      </w:r>
      <w:r>
        <w:rPr>
          <w:rFonts w:hint="eastAsia" w:ascii="宋体" w:hAnsi="宋体" w:eastAsia="宋体" w:cs="宋体"/>
          <w:color w:val="auto"/>
          <w:sz w:val="24"/>
          <w:szCs w:val="24"/>
          <w:highlight w:val="none"/>
        </w:rPr>
        <w:t>html</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19"/>
          <w:sz w:val="24"/>
          <w:szCs w:val="24"/>
          <w:highlight w:val="none"/>
        </w:rPr>
        <w:t>）。</w:t>
      </w:r>
    </w:p>
    <w:p w14:paraId="5F7AD71C">
      <w:pPr>
        <w:spacing w:before="170" w:line="327" w:lineRule="auto"/>
        <w:ind w:left="20" w:right="16" w:firstLine="420"/>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6.4投标单位法定代表人或其委托代理人可以到本项目招标文件规定的开标地点，也可以登</w:t>
      </w:r>
      <w:r>
        <w:rPr>
          <w:rFonts w:hint="eastAsia" w:ascii="宋体" w:hAnsi="宋体" w:eastAsia="宋体" w:cs="宋体"/>
          <w:color w:val="auto"/>
          <w:spacing w:val="8"/>
          <w:sz w:val="24"/>
          <w:szCs w:val="24"/>
          <w:highlight w:val="none"/>
        </w:rPr>
        <w:t>录广西壮族自治区网上开标子系统（不见面</w:t>
      </w:r>
      <w:r>
        <w:rPr>
          <w:rFonts w:hint="eastAsia" w:ascii="宋体" w:hAnsi="宋体" w:eastAsia="宋体" w:cs="宋体"/>
          <w:color w:val="auto"/>
          <w:spacing w:val="-53"/>
          <w:sz w:val="24"/>
          <w:szCs w:val="24"/>
          <w:highlight w:val="none"/>
        </w:rPr>
        <w:t>），</w:t>
      </w:r>
      <w:r>
        <w:rPr>
          <w:rFonts w:hint="eastAsia" w:ascii="宋体" w:hAnsi="宋体" w:eastAsia="宋体" w:cs="宋体"/>
          <w:color w:val="auto"/>
          <w:spacing w:val="8"/>
          <w:sz w:val="24"/>
          <w:szCs w:val="24"/>
          <w:highlight w:val="none"/>
        </w:rPr>
        <w:t>在招标文件规定的时</w:t>
      </w:r>
      <w:r>
        <w:rPr>
          <w:rFonts w:hint="eastAsia" w:ascii="宋体" w:hAnsi="宋体" w:eastAsia="宋体" w:cs="宋体"/>
          <w:color w:val="auto"/>
          <w:spacing w:val="-6"/>
          <w:sz w:val="24"/>
          <w:szCs w:val="24"/>
          <w:highlight w:val="none"/>
        </w:rPr>
        <w:t>间内用CA数字证书进行解密。因投标人原因造成投标文件在规定时间内未解密的，</w:t>
      </w:r>
      <w:r>
        <w:rPr>
          <w:rFonts w:hint="eastAsia" w:ascii="宋体" w:hAnsi="宋体" w:eastAsia="宋体" w:cs="宋体"/>
          <w:color w:val="auto"/>
          <w:spacing w:val="9"/>
          <w:sz w:val="24"/>
          <w:szCs w:val="24"/>
          <w:highlight w:val="none"/>
        </w:rPr>
        <w:t>视为投标人撤销其投标文件。</w:t>
      </w:r>
    </w:p>
    <w:p w14:paraId="218C3B0F">
      <w:pPr>
        <w:spacing w:before="161" w:line="228" w:lineRule="auto"/>
        <w:ind w:left="44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其他：/</w:t>
      </w:r>
    </w:p>
    <w:p w14:paraId="581E2801">
      <w:pPr>
        <w:spacing w:before="163" w:line="378" w:lineRule="auto"/>
        <w:ind w:left="18" w:right="32" w:firstLine="422"/>
        <w:jc w:val="both"/>
        <w:rPr>
          <w:rFonts w:hint="eastAsia" w:ascii="宋体" w:hAnsi="宋体" w:eastAsia="宋体" w:cs="宋体"/>
          <w:color w:val="auto"/>
          <w:spacing w:val="8"/>
          <w:sz w:val="24"/>
          <w:szCs w:val="24"/>
          <w:highlight w:val="none"/>
          <w:lang w:eastAsia="zh-CN"/>
        </w:rPr>
      </w:pPr>
      <w:r>
        <w:rPr>
          <w:rFonts w:hint="eastAsia" w:ascii="宋体" w:hAnsi="宋体" w:eastAsia="宋体" w:cs="宋体"/>
          <w:color w:val="auto"/>
          <w:spacing w:val="9"/>
          <w:sz w:val="24"/>
          <w:szCs w:val="24"/>
          <w:highlight w:val="none"/>
        </w:rPr>
        <w:t>6.5如使用广西壮族自治区网上开标子系统，投标截止公布投标人名单后，由招标人或招标</w:t>
      </w:r>
      <w:r>
        <w:rPr>
          <w:rFonts w:hint="eastAsia" w:ascii="宋体" w:hAnsi="宋体" w:eastAsia="宋体" w:cs="宋体"/>
          <w:color w:val="auto"/>
          <w:spacing w:val="7"/>
          <w:sz w:val="24"/>
          <w:szCs w:val="24"/>
          <w:highlight w:val="none"/>
        </w:rPr>
        <w:t>代理点击进入投标文件解密环节，解密时间为60分钟</w:t>
      </w:r>
      <w:r>
        <w:rPr>
          <w:rFonts w:hint="eastAsia" w:ascii="宋体" w:hAnsi="宋体" w:eastAsia="宋体" w:cs="宋体"/>
          <w:color w:val="auto"/>
          <w:spacing w:val="6"/>
          <w:sz w:val="24"/>
          <w:szCs w:val="24"/>
          <w:highlight w:val="none"/>
        </w:rPr>
        <w:t>。在解密时间结束前投标人须通过广西壮族</w:t>
      </w:r>
      <w:r>
        <w:rPr>
          <w:rFonts w:hint="eastAsia" w:ascii="宋体" w:hAnsi="宋体" w:eastAsia="宋体" w:cs="宋体"/>
          <w:color w:val="auto"/>
          <w:spacing w:val="5"/>
          <w:sz w:val="24"/>
          <w:szCs w:val="24"/>
          <w:highlight w:val="none"/>
        </w:rPr>
        <w:t>自治区网上开标子系统（</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"http://171.109.4.245:8888/BidOpening/"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http</w:t>
      </w:r>
      <w:r>
        <w:rPr>
          <w:rFonts w:hint="eastAsia" w:ascii="宋体" w:hAnsi="宋体" w:eastAsia="宋体" w:cs="宋体"/>
          <w:color w:val="auto"/>
          <w:spacing w:val="5"/>
          <w:sz w:val="24"/>
          <w:szCs w:val="24"/>
          <w:highlight w:val="none"/>
        </w:rPr>
        <w:t>://171.109.4.245:8888/</w:t>
      </w:r>
      <w:r>
        <w:rPr>
          <w:rFonts w:hint="eastAsia" w:ascii="宋体" w:hAnsi="宋体" w:eastAsia="宋体" w:cs="宋体"/>
          <w:color w:val="auto"/>
          <w:sz w:val="24"/>
          <w:szCs w:val="24"/>
          <w:highlight w:val="none"/>
        </w:rPr>
        <w:t>BidOpening</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5"/>
          <w:sz w:val="24"/>
          <w:szCs w:val="24"/>
          <w:highlight w:val="none"/>
        </w:rPr>
        <w:fldChar w:fldCharType="end"/>
      </w:r>
      <w:r>
        <w:rPr>
          <w:rFonts w:hint="eastAsia" w:ascii="宋体" w:hAnsi="宋体" w:eastAsia="宋体" w:cs="宋体"/>
          <w:color w:val="auto"/>
          <w:spacing w:val="5"/>
          <w:sz w:val="24"/>
          <w:szCs w:val="24"/>
          <w:highlight w:val="none"/>
        </w:rPr>
        <w:t>）使用个人</w:t>
      </w:r>
      <w:r>
        <w:rPr>
          <w:rFonts w:hint="eastAsia" w:ascii="宋体" w:hAnsi="宋体" w:eastAsia="宋体" w:cs="宋体"/>
          <w:color w:val="auto"/>
          <w:sz w:val="24"/>
          <w:szCs w:val="24"/>
          <w:highlight w:val="none"/>
        </w:rPr>
        <w:t>CA</w:t>
      </w:r>
      <w:r>
        <w:rPr>
          <w:rFonts w:hint="eastAsia" w:ascii="宋体" w:hAnsi="宋体" w:eastAsia="宋体" w:cs="宋体"/>
          <w:color w:val="auto"/>
          <w:spacing w:val="5"/>
          <w:sz w:val="24"/>
          <w:szCs w:val="24"/>
          <w:highlight w:val="none"/>
        </w:rPr>
        <w:t>数字证书签到，</w:t>
      </w:r>
      <w:r>
        <w:rPr>
          <w:rFonts w:hint="eastAsia" w:ascii="宋体" w:hAnsi="宋体" w:eastAsia="宋体" w:cs="宋体"/>
          <w:color w:val="auto"/>
          <w:spacing w:val="8"/>
          <w:sz w:val="24"/>
          <w:szCs w:val="24"/>
          <w:highlight w:val="none"/>
        </w:rPr>
        <w:t>并使用加密投标文件的</w:t>
      </w:r>
      <w:r>
        <w:rPr>
          <w:rFonts w:hint="eastAsia" w:ascii="宋体" w:hAnsi="宋体" w:eastAsia="宋体" w:cs="宋体"/>
          <w:color w:val="auto"/>
          <w:sz w:val="24"/>
          <w:szCs w:val="24"/>
          <w:highlight w:val="none"/>
        </w:rPr>
        <w:t>CA</w:t>
      </w:r>
      <w:r>
        <w:rPr>
          <w:rFonts w:hint="eastAsia" w:ascii="宋体" w:hAnsi="宋体" w:eastAsia="宋体" w:cs="宋体"/>
          <w:color w:val="auto"/>
          <w:spacing w:val="8"/>
          <w:sz w:val="24"/>
          <w:szCs w:val="24"/>
          <w:highlight w:val="none"/>
        </w:rPr>
        <w:t>数字证书解密投标文件</w:t>
      </w:r>
      <w:r>
        <w:rPr>
          <w:rFonts w:hint="eastAsia" w:ascii="宋体" w:hAnsi="宋体" w:eastAsia="宋体" w:cs="宋体"/>
          <w:color w:val="auto"/>
          <w:spacing w:val="8"/>
          <w:sz w:val="24"/>
          <w:szCs w:val="24"/>
          <w:highlight w:val="none"/>
          <w:lang w:eastAsia="zh-CN"/>
        </w:rPr>
        <w:t>。</w:t>
      </w:r>
    </w:p>
    <w:p w14:paraId="6706328C">
      <w:pPr>
        <w:spacing w:before="163" w:line="378" w:lineRule="auto"/>
        <w:ind w:left="18" w:right="32" w:firstLine="422"/>
        <w:jc w:val="both"/>
        <w:rPr>
          <w:rFonts w:hint="eastAsia" w:ascii="宋体" w:hAnsi="宋体" w:eastAsia="宋体" w:cs="宋体"/>
          <w:color w:val="auto"/>
          <w:spacing w:val="1"/>
          <w:sz w:val="24"/>
          <w:szCs w:val="24"/>
          <w:highlight w:val="none"/>
        </w:rPr>
      </w:pPr>
      <w:r>
        <w:rPr>
          <w:rFonts w:hint="eastAsia" w:ascii="宋体" w:hAnsi="宋体" w:eastAsia="宋体" w:cs="宋体"/>
          <w:color w:val="auto"/>
          <w:spacing w:val="12"/>
          <w:sz w:val="24"/>
          <w:szCs w:val="24"/>
          <w:highlight w:val="none"/>
        </w:rPr>
        <w:t>6.6广西壮族自治区网上开标子系统（不见面）登录方式：各投标人使用</w:t>
      </w:r>
      <w:r>
        <w:rPr>
          <w:rFonts w:hint="eastAsia" w:ascii="宋体" w:hAnsi="宋体" w:eastAsia="宋体" w:cs="宋体"/>
          <w:color w:val="auto"/>
          <w:sz w:val="24"/>
          <w:szCs w:val="24"/>
          <w:highlight w:val="none"/>
        </w:rPr>
        <w:t>IE</w:t>
      </w:r>
      <w:r>
        <w:rPr>
          <w:rFonts w:hint="eastAsia" w:ascii="宋体" w:hAnsi="宋体" w:eastAsia="宋体" w:cs="宋体"/>
          <w:color w:val="auto"/>
          <w:spacing w:val="12"/>
          <w:sz w:val="24"/>
          <w:szCs w:val="24"/>
          <w:highlight w:val="none"/>
        </w:rPr>
        <w:t>浏览器（</w:t>
      </w:r>
      <w:r>
        <w:rPr>
          <w:rFonts w:hint="eastAsia" w:ascii="宋体" w:hAnsi="宋体" w:eastAsia="宋体" w:cs="宋体"/>
          <w:color w:val="auto"/>
          <w:sz w:val="24"/>
          <w:szCs w:val="24"/>
          <w:highlight w:val="none"/>
        </w:rPr>
        <w:t>IE</w:t>
      </w:r>
      <w:r>
        <w:rPr>
          <w:rFonts w:hint="eastAsia" w:ascii="宋体" w:hAnsi="宋体" w:eastAsia="宋体" w:cs="宋体"/>
          <w:color w:val="auto"/>
          <w:spacing w:val="12"/>
          <w:sz w:val="24"/>
          <w:szCs w:val="24"/>
          <w:highlight w:val="none"/>
        </w:rPr>
        <w:t>11</w:t>
      </w:r>
      <w:r>
        <w:rPr>
          <w:rFonts w:hint="eastAsia" w:ascii="宋体" w:hAnsi="宋体" w:eastAsia="宋体" w:cs="宋体"/>
          <w:color w:val="auto"/>
          <w:spacing w:val="5"/>
          <w:sz w:val="24"/>
          <w:szCs w:val="24"/>
          <w:highlight w:val="none"/>
        </w:rPr>
        <w:t>版本）打开登录页面（登录地址：</w:t>
      </w:r>
      <w:r>
        <w:rPr>
          <w:rFonts w:hint="eastAsia" w:ascii="宋体" w:hAnsi="宋体" w:eastAsia="宋体" w:cs="宋体"/>
          <w:color w:val="auto"/>
          <w:spacing w:val="-6"/>
          <w:sz w:val="24"/>
          <w:szCs w:val="24"/>
          <w:highlight w:val="none"/>
        </w:rPr>
        <w:fldChar w:fldCharType="begin"/>
      </w:r>
      <w:r>
        <w:rPr>
          <w:rFonts w:hint="eastAsia" w:ascii="宋体" w:hAnsi="宋体" w:eastAsia="宋体" w:cs="宋体"/>
          <w:color w:val="auto"/>
          <w:spacing w:val="-6"/>
          <w:sz w:val="24"/>
          <w:szCs w:val="24"/>
          <w:highlight w:val="none"/>
        </w:rPr>
        <w:instrText xml:space="preserve"> HYPERLINK "http://171.109.4.245:8888/BidOpening/" </w:instrText>
      </w:r>
      <w:r>
        <w:rPr>
          <w:rFonts w:hint="eastAsia" w:ascii="宋体" w:hAnsi="宋体" w:eastAsia="宋体" w:cs="宋体"/>
          <w:color w:val="auto"/>
          <w:spacing w:val="-6"/>
          <w:sz w:val="24"/>
          <w:szCs w:val="24"/>
          <w:highlight w:val="none"/>
        </w:rPr>
        <w:fldChar w:fldCharType="separate"/>
      </w:r>
      <w:r>
        <w:rPr>
          <w:rFonts w:hint="eastAsia" w:ascii="宋体" w:hAnsi="宋体" w:eastAsia="宋体" w:cs="宋体"/>
          <w:color w:val="auto"/>
          <w:spacing w:val="-6"/>
          <w:sz w:val="24"/>
          <w:szCs w:val="24"/>
          <w:highlight w:val="none"/>
        </w:rPr>
        <w:t>http://171.109.4.245:8888/BidOpening/</w:t>
      </w:r>
      <w:r>
        <w:rPr>
          <w:rFonts w:hint="eastAsia" w:ascii="宋体" w:hAnsi="宋体" w:eastAsia="宋体" w:cs="宋体"/>
          <w:color w:val="auto"/>
          <w:spacing w:val="-6"/>
          <w:sz w:val="24"/>
          <w:szCs w:val="24"/>
          <w:highlight w:val="none"/>
        </w:rPr>
        <w:fldChar w:fldCharType="end"/>
      </w:r>
      <w:r>
        <w:rPr>
          <w:rFonts w:hint="eastAsia" w:ascii="宋体" w:hAnsi="宋体" w:eastAsia="宋体" w:cs="宋体"/>
          <w:color w:val="auto"/>
          <w:spacing w:val="-6"/>
          <w:sz w:val="24"/>
          <w:szCs w:val="24"/>
          <w:highlight w:val="none"/>
        </w:rPr>
        <w:t>），使用CA锁或“桂交易移动CA”登录。</w:t>
      </w:r>
      <w:r>
        <w:rPr>
          <w:rFonts w:hint="eastAsia" w:ascii="宋体" w:hAnsi="宋体" w:eastAsia="宋体" w:cs="宋体"/>
          <w:color w:val="auto"/>
          <w:spacing w:val="8"/>
          <w:sz w:val="24"/>
          <w:szCs w:val="24"/>
          <w:highlight w:val="none"/>
        </w:rPr>
        <w:t>如首次登录广西壮族自治区网上开标子系统，请根据登录页面</w:t>
      </w:r>
      <w:r>
        <w:rPr>
          <w:rFonts w:hint="eastAsia" w:ascii="宋体" w:hAnsi="宋体" w:eastAsia="宋体" w:cs="宋体"/>
          <w:color w:val="auto"/>
          <w:spacing w:val="7"/>
          <w:sz w:val="24"/>
          <w:szCs w:val="24"/>
          <w:highlight w:val="none"/>
        </w:rPr>
        <w:t>的帮助手册设</w:t>
      </w:r>
      <w:r>
        <w:rPr>
          <w:rFonts w:hint="eastAsia" w:ascii="宋体" w:hAnsi="宋体" w:eastAsia="宋体" w:cs="宋体"/>
          <w:color w:val="auto"/>
          <w:spacing w:val="8"/>
          <w:sz w:val="24"/>
          <w:szCs w:val="24"/>
          <w:highlight w:val="none"/>
        </w:rPr>
        <w:t>置浏览器及安装网上开标直播插件。使用“桂交易移动</w:t>
      </w:r>
      <w:r>
        <w:rPr>
          <w:rFonts w:hint="eastAsia" w:ascii="宋体" w:hAnsi="宋体" w:eastAsia="宋体" w:cs="宋体"/>
          <w:color w:val="auto"/>
          <w:sz w:val="24"/>
          <w:szCs w:val="24"/>
          <w:highlight w:val="none"/>
        </w:rPr>
        <w:t>CA</w:t>
      </w:r>
      <w:r>
        <w:rPr>
          <w:rFonts w:hint="eastAsia" w:ascii="宋体" w:hAnsi="宋体" w:eastAsia="宋体" w:cs="宋体"/>
          <w:color w:val="auto"/>
          <w:spacing w:val="8"/>
          <w:sz w:val="24"/>
          <w:szCs w:val="24"/>
          <w:highlight w:val="none"/>
        </w:rPr>
        <w:t>”投标的操作流程，详见</w:t>
      </w:r>
      <w:r>
        <w:rPr>
          <w:rFonts w:hint="eastAsia" w:ascii="宋体" w:hAnsi="宋体" w:eastAsia="宋体" w:cs="宋体"/>
          <w:color w:val="auto"/>
          <w:spacing w:val="7"/>
          <w:sz w:val="24"/>
          <w:szCs w:val="24"/>
          <w:highlight w:val="none"/>
        </w:rPr>
        <w:t>“桂交易移动</w:t>
      </w:r>
      <w:r>
        <w:rPr>
          <w:rFonts w:hint="eastAsia" w:ascii="宋体" w:hAnsi="宋体" w:eastAsia="宋体" w:cs="宋体"/>
          <w:color w:val="auto"/>
          <w:sz w:val="24"/>
          <w:szCs w:val="24"/>
          <w:highlight w:val="none"/>
        </w:rPr>
        <w:t>CA</w:t>
      </w:r>
      <w:r>
        <w:rPr>
          <w:rFonts w:hint="eastAsia" w:ascii="宋体" w:hAnsi="宋体" w:eastAsia="宋体" w:cs="宋体"/>
          <w:color w:val="auto"/>
          <w:spacing w:val="1"/>
          <w:sz w:val="24"/>
          <w:szCs w:val="24"/>
          <w:highlight w:val="none"/>
        </w:rPr>
        <w:t>”</w:t>
      </w:r>
      <w:r>
        <w:rPr>
          <w:rFonts w:hint="eastAsia" w:ascii="宋体" w:hAnsi="宋体" w:eastAsia="宋体" w:cs="宋体"/>
          <w:color w:val="auto"/>
          <w:sz w:val="24"/>
          <w:szCs w:val="24"/>
          <w:highlight w:val="none"/>
        </w:rPr>
        <w:t>APP</w:t>
      </w:r>
      <w:r>
        <w:rPr>
          <w:rFonts w:hint="eastAsia" w:ascii="宋体" w:hAnsi="宋体" w:eastAsia="宋体" w:cs="宋体"/>
          <w:color w:val="auto"/>
          <w:spacing w:val="1"/>
          <w:sz w:val="24"/>
          <w:szCs w:val="24"/>
          <w:highlight w:val="none"/>
        </w:rPr>
        <w:t>下载。</w:t>
      </w:r>
    </w:p>
    <w:p w14:paraId="6DC06C1A">
      <w:pPr>
        <w:spacing w:before="160" w:line="303" w:lineRule="auto"/>
        <w:ind w:firstLine="51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6.7以“桂交易移动</w:t>
      </w:r>
      <w:r>
        <w:rPr>
          <w:rFonts w:hint="eastAsia" w:ascii="宋体" w:hAnsi="宋体" w:eastAsia="宋体" w:cs="宋体"/>
          <w:color w:val="auto"/>
          <w:sz w:val="24"/>
          <w:szCs w:val="24"/>
          <w:highlight w:val="none"/>
        </w:rPr>
        <w:t>CA</w:t>
      </w:r>
      <w:r>
        <w:rPr>
          <w:rFonts w:hint="eastAsia" w:ascii="宋体" w:hAnsi="宋体" w:eastAsia="宋体" w:cs="宋体"/>
          <w:color w:val="auto"/>
          <w:spacing w:val="8"/>
          <w:sz w:val="24"/>
          <w:szCs w:val="24"/>
          <w:highlight w:val="none"/>
        </w:rPr>
        <w:t>”制作的投标文件，只能用生成投标文件时加密投标文件</w:t>
      </w:r>
      <w:r>
        <w:rPr>
          <w:rFonts w:hint="eastAsia" w:ascii="宋体" w:hAnsi="宋体" w:eastAsia="宋体" w:cs="宋体"/>
          <w:color w:val="auto"/>
          <w:spacing w:val="7"/>
          <w:sz w:val="24"/>
          <w:szCs w:val="24"/>
          <w:highlight w:val="none"/>
        </w:rPr>
        <w:t>的“桂交易</w:t>
      </w:r>
      <w:r>
        <w:rPr>
          <w:rFonts w:hint="eastAsia" w:ascii="宋体" w:hAnsi="宋体" w:eastAsia="宋体" w:cs="宋体"/>
          <w:color w:val="auto"/>
          <w:spacing w:val="4"/>
          <w:sz w:val="24"/>
          <w:szCs w:val="24"/>
          <w:highlight w:val="none"/>
        </w:rPr>
        <w:t>移动</w:t>
      </w:r>
      <w:r>
        <w:rPr>
          <w:rFonts w:hint="eastAsia" w:ascii="宋体" w:hAnsi="宋体" w:eastAsia="宋体" w:cs="宋体"/>
          <w:color w:val="auto"/>
          <w:sz w:val="24"/>
          <w:szCs w:val="24"/>
          <w:highlight w:val="none"/>
        </w:rPr>
        <w:t>CA</w:t>
      </w:r>
      <w:r>
        <w:rPr>
          <w:rFonts w:hint="eastAsia" w:ascii="宋体" w:hAnsi="宋体" w:eastAsia="宋体" w:cs="宋体"/>
          <w:color w:val="auto"/>
          <w:spacing w:val="4"/>
          <w:sz w:val="24"/>
          <w:szCs w:val="24"/>
          <w:highlight w:val="none"/>
        </w:rPr>
        <w:t>”证书解密，以</w:t>
      </w:r>
      <w:r>
        <w:rPr>
          <w:rFonts w:hint="eastAsia" w:ascii="宋体" w:hAnsi="宋体" w:eastAsia="宋体" w:cs="宋体"/>
          <w:color w:val="auto"/>
          <w:sz w:val="24"/>
          <w:szCs w:val="24"/>
          <w:highlight w:val="none"/>
        </w:rPr>
        <w:t>CA</w:t>
      </w:r>
      <w:r>
        <w:rPr>
          <w:rFonts w:hint="eastAsia" w:ascii="宋体" w:hAnsi="宋体" w:eastAsia="宋体" w:cs="宋体"/>
          <w:color w:val="auto"/>
          <w:spacing w:val="4"/>
          <w:sz w:val="24"/>
          <w:szCs w:val="24"/>
          <w:highlight w:val="none"/>
        </w:rPr>
        <w:t>锁制作的投标文件，只能用生成投标文件时加密投</w:t>
      </w:r>
      <w:r>
        <w:rPr>
          <w:rFonts w:hint="eastAsia" w:ascii="宋体" w:hAnsi="宋体" w:eastAsia="宋体" w:cs="宋体"/>
          <w:color w:val="auto"/>
          <w:spacing w:val="3"/>
          <w:sz w:val="24"/>
          <w:szCs w:val="24"/>
          <w:highlight w:val="none"/>
        </w:rPr>
        <w:t>标文件</w:t>
      </w:r>
      <w:r>
        <w:rPr>
          <w:rFonts w:hint="eastAsia" w:ascii="宋体" w:hAnsi="宋体" w:eastAsia="宋体" w:cs="宋体"/>
          <w:color w:val="auto"/>
          <w:sz w:val="24"/>
          <w:szCs w:val="24"/>
          <w:highlight w:val="none"/>
        </w:rPr>
        <w:t>CA</w:t>
      </w:r>
      <w:r>
        <w:rPr>
          <w:rFonts w:hint="eastAsia" w:ascii="宋体" w:hAnsi="宋体" w:eastAsia="宋体" w:cs="宋体"/>
          <w:color w:val="auto"/>
          <w:spacing w:val="3"/>
          <w:sz w:val="24"/>
          <w:szCs w:val="24"/>
          <w:highlight w:val="none"/>
        </w:rPr>
        <w:t>证书解密。</w:t>
      </w:r>
    </w:p>
    <w:p w14:paraId="47D5FB2D">
      <w:pPr>
        <w:pStyle w:val="2"/>
        <w:rPr>
          <w:rFonts w:hint="eastAsia" w:ascii="宋体" w:hAnsi="宋体" w:eastAsia="宋体" w:cs="宋体"/>
          <w:color w:val="auto"/>
          <w:highlight w:val="none"/>
        </w:rPr>
      </w:pPr>
    </w:p>
    <w:p w14:paraId="05B5C7DA">
      <w:pPr>
        <w:pStyle w:val="2"/>
        <w:rPr>
          <w:rFonts w:hint="eastAsia" w:ascii="宋体" w:hAnsi="宋体" w:eastAsia="宋体" w:cs="宋体"/>
          <w:color w:val="auto"/>
          <w:spacing w:val="1"/>
          <w:sz w:val="24"/>
          <w:szCs w:val="24"/>
          <w:highlight w:val="none"/>
        </w:rPr>
      </w:pPr>
    </w:p>
    <w:p w14:paraId="59C93496">
      <w:pPr>
        <w:spacing w:before="163" w:line="302" w:lineRule="auto"/>
        <w:ind w:left="18" w:right="71" w:firstLine="422"/>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6.8到广西壮族自治区公共资源交易中心现场的人员，需按中心官方网站最新发布的疫情防</w:t>
      </w:r>
      <w:r>
        <w:rPr>
          <w:rFonts w:hint="eastAsia" w:ascii="宋体" w:hAnsi="宋体" w:eastAsia="宋体" w:cs="宋体"/>
          <w:color w:val="auto"/>
          <w:spacing w:val="6"/>
          <w:sz w:val="24"/>
          <w:szCs w:val="24"/>
          <w:highlight w:val="none"/>
        </w:rPr>
        <w:t>控要求进场。</w:t>
      </w:r>
    </w:p>
    <w:p w14:paraId="0D421588">
      <w:pPr>
        <w:spacing w:before="160" w:line="226" w:lineRule="auto"/>
        <w:ind w:left="24"/>
        <w:outlineLvl w:val="1"/>
        <w:rPr>
          <w:rFonts w:hint="eastAsia" w:ascii="宋体" w:hAnsi="宋体" w:eastAsia="宋体" w:cs="宋体"/>
          <w:color w:val="auto"/>
          <w:sz w:val="24"/>
          <w:szCs w:val="24"/>
          <w:highlight w:val="none"/>
        </w:rPr>
      </w:pPr>
      <w:bookmarkStart w:id="40" w:name="_Toc10932"/>
      <w:bookmarkStart w:id="41" w:name="_Toc31115"/>
      <w:bookmarkStart w:id="42" w:name="_Toc28944"/>
      <w:bookmarkStart w:id="43" w:name="_Toc16648"/>
      <w:bookmarkStart w:id="44" w:name="_Toc17478"/>
      <w:r>
        <w:rPr>
          <w:rFonts w:hint="eastAsia" w:ascii="宋体" w:hAnsi="宋体" w:eastAsia="宋体" w:cs="宋体"/>
          <w:b/>
          <w:bCs/>
          <w:color w:val="auto"/>
          <w:spacing w:val="5"/>
          <w:sz w:val="24"/>
          <w:szCs w:val="24"/>
          <w:highlight w:val="none"/>
        </w:rPr>
        <w:t>7.发布公告的媒介</w:t>
      </w:r>
      <w:bookmarkEnd w:id="40"/>
      <w:bookmarkEnd w:id="41"/>
      <w:bookmarkEnd w:id="42"/>
      <w:bookmarkEnd w:id="43"/>
      <w:bookmarkEnd w:id="44"/>
    </w:p>
    <w:p w14:paraId="70C6C4C1">
      <w:pPr>
        <w:spacing w:before="163" w:line="377" w:lineRule="auto"/>
        <w:ind w:left="17" w:right="70" w:firstLine="423"/>
        <w:jc w:val="both"/>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本次招标公告同时在广西壮族自治区招标投标公共服务平台</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"http://zbtb.gxi.gov.cn:9000/"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http</w:t>
      </w:r>
      <w:r>
        <w:rPr>
          <w:rFonts w:hint="eastAsia" w:ascii="宋体" w:hAnsi="宋体" w:eastAsia="宋体" w:cs="宋体"/>
          <w:color w:val="auto"/>
          <w:spacing w:val="11"/>
          <w:sz w:val="24"/>
          <w:szCs w:val="24"/>
          <w:highlight w:val="none"/>
        </w:rPr>
        <w:t>://</w:t>
      </w:r>
      <w:r>
        <w:rPr>
          <w:rFonts w:hint="eastAsia" w:ascii="宋体" w:hAnsi="宋体" w:eastAsia="宋体" w:cs="宋体"/>
          <w:color w:val="auto"/>
          <w:sz w:val="24"/>
          <w:szCs w:val="24"/>
          <w:highlight w:val="none"/>
        </w:rPr>
        <w:t>zbtb</w:t>
      </w:r>
      <w:r>
        <w:rPr>
          <w:rFonts w:hint="eastAsia" w:ascii="宋体" w:hAnsi="宋体" w:eastAsia="宋体" w:cs="宋体"/>
          <w:color w:val="auto"/>
          <w:spacing w:val="11"/>
          <w:sz w:val="24"/>
          <w:szCs w:val="24"/>
          <w:highlight w:val="none"/>
        </w:rPr>
        <w:t>.</w:t>
      </w:r>
      <w:r>
        <w:rPr>
          <w:rFonts w:hint="eastAsia" w:ascii="宋体" w:hAnsi="宋体" w:eastAsia="宋体" w:cs="宋体"/>
          <w:color w:val="auto"/>
          <w:sz w:val="24"/>
          <w:szCs w:val="24"/>
          <w:highlight w:val="none"/>
        </w:rPr>
        <w:t>gxi</w:t>
      </w:r>
      <w:r>
        <w:rPr>
          <w:rFonts w:hint="eastAsia" w:ascii="宋体" w:hAnsi="宋体" w:eastAsia="宋体" w:cs="宋体"/>
          <w:color w:val="auto"/>
          <w:spacing w:val="11"/>
          <w:sz w:val="24"/>
          <w:szCs w:val="24"/>
          <w:highlight w:val="none"/>
        </w:rPr>
        <w:t>.</w:t>
      </w:r>
      <w:r>
        <w:rPr>
          <w:rFonts w:hint="eastAsia" w:ascii="宋体" w:hAnsi="宋体" w:eastAsia="宋体" w:cs="宋体"/>
          <w:color w:val="auto"/>
          <w:sz w:val="24"/>
          <w:szCs w:val="24"/>
          <w:highlight w:val="none"/>
        </w:rPr>
        <w:t>gov</w:t>
      </w:r>
      <w:r>
        <w:rPr>
          <w:rFonts w:hint="eastAsia" w:ascii="宋体" w:hAnsi="宋体" w:eastAsia="宋体" w:cs="宋体"/>
          <w:color w:val="auto"/>
          <w:spacing w:val="11"/>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pacing w:val="11"/>
          <w:sz w:val="24"/>
          <w:szCs w:val="24"/>
          <w:highlight w:val="none"/>
        </w:rPr>
        <w:t>:9000/</w:t>
      </w:r>
      <w:r>
        <w:rPr>
          <w:rFonts w:hint="eastAsia" w:ascii="宋体" w:hAnsi="宋体" w:eastAsia="宋体" w:cs="宋体"/>
          <w:color w:val="auto"/>
          <w:spacing w:val="11"/>
          <w:sz w:val="24"/>
          <w:szCs w:val="24"/>
          <w:highlight w:val="none"/>
        </w:rPr>
        <w:fldChar w:fldCharType="end"/>
      </w:r>
      <w:r>
        <w:rPr>
          <w:rFonts w:hint="eastAsia" w:ascii="宋体" w:hAnsi="宋体" w:eastAsia="宋体" w:cs="宋体"/>
          <w:color w:val="auto"/>
          <w:spacing w:val="11"/>
          <w:sz w:val="24"/>
          <w:szCs w:val="24"/>
          <w:highlight w:val="none"/>
        </w:rPr>
        <w:t>、中国政府采购网</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"https://www.ccgp.gov.cn"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www</w:t>
      </w:r>
      <w:r>
        <w:rPr>
          <w:rFonts w:hint="eastAsia" w:ascii="宋体" w:hAnsi="宋体" w:eastAsia="宋体" w:cs="宋体"/>
          <w:color w:val="auto"/>
          <w:spacing w:val="11"/>
          <w:sz w:val="24"/>
          <w:szCs w:val="24"/>
          <w:highlight w:val="none"/>
        </w:rPr>
        <w:t>.</w:t>
      </w:r>
      <w:r>
        <w:rPr>
          <w:rFonts w:hint="eastAsia" w:ascii="宋体" w:hAnsi="宋体" w:eastAsia="宋体" w:cs="宋体"/>
          <w:color w:val="auto"/>
          <w:sz w:val="24"/>
          <w:szCs w:val="24"/>
          <w:highlight w:val="none"/>
        </w:rPr>
        <w:t>ccgp</w:t>
      </w:r>
      <w:r>
        <w:rPr>
          <w:rFonts w:hint="eastAsia" w:ascii="宋体" w:hAnsi="宋体" w:eastAsia="宋体" w:cs="宋体"/>
          <w:color w:val="auto"/>
          <w:spacing w:val="11"/>
          <w:sz w:val="24"/>
          <w:szCs w:val="24"/>
          <w:highlight w:val="none"/>
        </w:rPr>
        <w:t>.</w:t>
      </w:r>
      <w:r>
        <w:rPr>
          <w:rFonts w:hint="eastAsia" w:ascii="宋体" w:hAnsi="宋体" w:eastAsia="宋体" w:cs="宋体"/>
          <w:color w:val="auto"/>
          <w:sz w:val="24"/>
          <w:szCs w:val="24"/>
          <w:highlight w:val="none"/>
        </w:rPr>
        <w:t>gov</w:t>
      </w:r>
      <w:r>
        <w:rPr>
          <w:rFonts w:hint="eastAsia" w:ascii="宋体" w:hAnsi="宋体" w:eastAsia="宋体" w:cs="宋体"/>
          <w:color w:val="auto"/>
          <w:spacing w:val="11"/>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11"/>
          <w:sz w:val="24"/>
          <w:szCs w:val="24"/>
          <w:highlight w:val="none"/>
        </w:rPr>
        <w:t>、广西壮族自治区政府采</w:t>
      </w:r>
      <w:r>
        <w:rPr>
          <w:rFonts w:hint="eastAsia" w:ascii="宋体" w:hAnsi="宋体" w:eastAsia="宋体" w:cs="宋体"/>
          <w:color w:val="auto"/>
          <w:spacing w:val="14"/>
          <w:sz w:val="24"/>
          <w:szCs w:val="24"/>
          <w:highlight w:val="none"/>
        </w:rPr>
        <w:t>购网</w:t>
      </w:r>
      <w:r>
        <w:rPr>
          <w:rFonts w:hint="eastAsia" w:ascii="宋体" w:hAnsi="宋体" w:eastAsia="宋体" w:cs="宋体"/>
          <w:color w:val="auto"/>
          <w:sz w:val="24"/>
          <w:szCs w:val="24"/>
          <w:highlight w:val="none"/>
        </w:rPr>
        <w:t>zfcg</w:t>
      </w:r>
      <w:r>
        <w:rPr>
          <w:rFonts w:hint="eastAsia" w:ascii="宋体" w:hAnsi="宋体" w:eastAsia="宋体" w:cs="宋体"/>
          <w:color w:val="auto"/>
          <w:spacing w:val="14"/>
          <w:sz w:val="24"/>
          <w:szCs w:val="24"/>
          <w:highlight w:val="none"/>
        </w:rPr>
        <w:t>.</w:t>
      </w:r>
      <w:r>
        <w:rPr>
          <w:rFonts w:hint="eastAsia" w:ascii="宋体" w:hAnsi="宋体" w:eastAsia="宋体" w:cs="宋体"/>
          <w:color w:val="auto"/>
          <w:sz w:val="24"/>
          <w:szCs w:val="24"/>
          <w:highlight w:val="none"/>
        </w:rPr>
        <w:t>gxzf</w:t>
      </w:r>
      <w:r>
        <w:rPr>
          <w:rFonts w:hint="eastAsia" w:ascii="宋体" w:hAnsi="宋体" w:eastAsia="宋体" w:cs="宋体"/>
          <w:color w:val="auto"/>
          <w:spacing w:val="14"/>
          <w:sz w:val="24"/>
          <w:szCs w:val="24"/>
          <w:highlight w:val="none"/>
        </w:rPr>
        <w:t>.</w:t>
      </w:r>
      <w:r>
        <w:rPr>
          <w:rFonts w:hint="eastAsia" w:ascii="宋体" w:hAnsi="宋体" w:eastAsia="宋体" w:cs="宋体"/>
          <w:color w:val="auto"/>
          <w:sz w:val="24"/>
          <w:szCs w:val="24"/>
          <w:highlight w:val="none"/>
        </w:rPr>
        <w:t>gov</w:t>
      </w:r>
      <w:r>
        <w:rPr>
          <w:rFonts w:hint="eastAsia" w:ascii="宋体" w:hAnsi="宋体" w:eastAsia="宋体" w:cs="宋体"/>
          <w:color w:val="auto"/>
          <w:spacing w:val="14"/>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pacing w:val="14"/>
          <w:sz w:val="24"/>
          <w:szCs w:val="24"/>
          <w:highlight w:val="none"/>
        </w:rPr>
        <w:t>、广西玉林兴业县人发政府门户网</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"http://www.xingye.gov.cn/"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http</w:t>
      </w:r>
      <w:r>
        <w:rPr>
          <w:rFonts w:hint="eastAsia" w:ascii="宋体" w:hAnsi="宋体" w:eastAsia="宋体" w:cs="宋体"/>
          <w:color w:val="auto"/>
          <w:spacing w:val="14"/>
          <w:sz w:val="24"/>
          <w:szCs w:val="24"/>
          <w:highlight w:val="none"/>
        </w:rPr>
        <w:t>://</w:t>
      </w:r>
      <w:r>
        <w:rPr>
          <w:rFonts w:hint="eastAsia" w:ascii="宋体" w:hAnsi="宋体" w:eastAsia="宋体" w:cs="宋体"/>
          <w:color w:val="auto"/>
          <w:sz w:val="24"/>
          <w:szCs w:val="24"/>
          <w:highlight w:val="none"/>
        </w:rPr>
        <w:t>www</w:t>
      </w:r>
      <w:r>
        <w:rPr>
          <w:rFonts w:hint="eastAsia" w:ascii="宋体" w:hAnsi="宋体" w:eastAsia="宋体" w:cs="宋体"/>
          <w:color w:val="auto"/>
          <w:spacing w:val="14"/>
          <w:sz w:val="24"/>
          <w:szCs w:val="24"/>
          <w:highlight w:val="none"/>
        </w:rPr>
        <w:t>.</w:t>
      </w:r>
      <w:r>
        <w:rPr>
          <w:rFonts w:hint="eastAsia" w:ascii="宋体" w:hAnsi="宋体" w:eastAsia="宋体" w:cs="宋体"/>
          <w:color w:val="auto"/>
          <w:sz w:val="24"/>
          <w:szCs w:val="24"/>
          <w:highlight w:val="none"/>
        </w:rPr>
        <w:t>xingye</w:t>
      </w:r>
      <w:r>
        <w:rPr>
          <w:rFonts w:hint="eastAsia" w:ascii="宋体" w:hAnsi="宋体" w:eastAsia="宋体" w:cs="宋体"/>
          <w:color w:val="auto"/>
          <w:spacing w:val="14"/>
          <w:sz w:val="24"/>
          <w:szCs w:val="24"/>
          <w:highlight w:val="none"/>
        </w:rPr>
        <w:t>.</w:t>
      </w:r>
      <w:r>
        <w:rPr>
          <w:rFonts w:hint="eastAsia" w:ascii="宋体" w:hAnsi="宋体" w:eastAsia="宋体" w:cs="宋体"/>
          <w:color w:val="auto"/>
          <w:sz w:val="24"/>
          <w:szCs w:val="24"/>
          <w:highlight w:val="none"/>
        </w:rPr>
        <w:t>gov</w:t>
      </w:r>
      <w:r>
        <w:rPr>
          <w:rFonts w:hint="eastAsia" w:ascii="宋体" w:hAnsi="宋体" w:eastAsia="宋体" w:cs="宋体"/>
          <w:color w:val="auto"/>
          <w:spacing w:val="14"/>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pacing w:val="14"/>
          <w:sz w:val="24"/>
          <w:szCs w:val="24"/>
          <w:highlight w:val="none"/>
        </w:rPr>
        <w:t>/</w:t>
      </w:r>
      <w:r>
        <w:rPr>
          <w:rFonts w:hint="eastAsia" w:ascii="宋体" w:hAnsi="宋体" w:eastAsia="宋体" w:cs="宋体"/>
          <w:color w:val="auto"/>
          <w:spacing w:val="14"/>
          <w:sz w:val="24"/>
          <w:szCs w:val="24"/>
          <w:highlight w:val="none"/>
        </w:rPr>
        <w:fldChar w:fldCharType="end"/>
      </w:r>
      <w:r>
        <w:rPr>
          <w:rFonts w:hint="eastAsia" w:ascii="宋体" w:hAnsi="宋体" w:eastAsia="宋体" w:cs="宋体"/>
          <w:color w:val="auto"/>
          <w:spacing w:val="14"/>
          <w:sz w:val="24"/>
          <w:szCs w:val="24"/>
          <w:highlight w:val="none"/>
        </w:rPr>
        <w:t>及全国</w:t>
      </w:r>
      <w:r>
        <w:rPr>
          <w:rFonts w:hint="eastAsia" w:ascii="宋体" w:hAnsi="宋体" w:eastAsia="宋体" w:cs="宋体"/>
          <w:color w:val="auto"/>
          <w:spacing w:val="9"/>
          <w:sz w:val="24"/>
          <w:szCs w:val="24"/>
          <w:highlight w:val="none"/>
        </w:rPr>
        <w:t>公共资源交易平台(广西.玉林)</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"http://202.103.240.162/ylggzy/"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http</w:t>
      </w:r>
      <w:r>
        <w:rPr>
          <w:rFonts w:hint="eastAsia" w:ascii="宋体" w:hAnsi="宋体" w:eastAsia="宋体" w:cs="宋体"/>
          <w:color w:val="auto"/>
          <w:spacing w:val="9"/>
          <w:sz w:val="24"/>
          <w:szCs w:val="24"/>
          <w:highlight w:val="none"/>
        </w:rPr>
        <w:t>://2</w:t>
      </w:r>
      <w:r>
        <w:rPr>
          <w:rFonts w:hint="eastAsia" w:ascii="宋体" w:hAnsi="宋体" w:eastAsia="宋体" w:cs="宋体"/>
          <w:color w:val="auto"/>
          <w:spacing w:val="8"/>
          <w:sz w:val="24"/>
          <w:szCs w:val="24"/>
          <w:highlight w:val="none"/>
        </w:rPr>
        <w:t>02.103.240.162/</w:t>
      </w:r>
      <w:r>
        <w:rPr>
          <w:rFonts w:hint="eastAsia" w:ascii="宋体" w:hAnsi="宋体" w:eastAsia="宋体" w:cs="宋体"/>
          <w:color w:val="auto"/>
          <w:sz w:val="24"/>
          <w:szCs w:val="24"/>
          <w:highlight w:val="none"/>
        </w:rPr>
        <w:t>ylggzy</w:t>
      </w:r>
      <w:r>
        <w:rPr>
          <w:rFonts w:hint="eastAsia" w:ascii="宋体" w:hAnsi="宋体" w:eastAsia="宋体" w:cs="宋体"/>
          <w:color w:val="auto"/>
          <w:spacing w:val="8"/>
          <w:sz w:val="24"/>
          <w:szCs w:val="24"/>
          <w:highlight w:val="none"/>
        </w:rPr>
        <w:t>/</w:t>
      </w:r>
      <w:r>
        <w:rPr>
          <w:rFonts w:hint="eastAsia" w:ascii="宋体" w:hAnsi="宋体" w:eastAsia="宋体" w:cs="宋体"/>
          <w:color w:val="auto"/>
          <w:spacing w:val="8"/>
          <w:sz w:val="24"/>
          <w:szCs w:val="24"/>
          <w:highlight w:val="none"/>
        </w:rPr>
        <w:fldChar w:fldCharType="end"/>
      </w:r>
      <w:r>
        <w:rPr>
          <w:rFonts w:hint="eastAsia" w:ascii="宋体" w:hAnsi="宋体" w:eastAsia="宋体" w:cs="宋体"/>
          <w:color w:val="auto"/>
          <w:spacing w:val="8"/>
          <w:sz w:val="24"/>
          <w:szCs w:val="24"/>
          <w:highlight w:val="none"/>
        </w:rPr>
        <w:t>(公告发布媒介包含但不限于上</w:t>
      </w:r>
      <w:r>
        <w:rPr>
          <w:rFonts w:hint="eastAsia" w:ascii="宋体" w:hAnsi="宋体" w:eastAsia="宋体" w:cs="宋体"/>
          <w:color w:val="auto"/>
          <w:spacing w:val="7"/>
          <w:sz w:val="24"/>
          <w:szCs w:val="24"/>
          <w:highlight w:val="none"/>
        </w:rPr>
        <w:t>述媒介)等网站上发布。</w:t>
      </w:r>
    </w:p>
    <w:p w14:paraId="2CD2BD22">
      <w:pPr>
        <w:spacing w:line="229" w:lineRule="auto"/>
        <w:ind w:left="18"/>
        <w:outlineLvl w:val="1"/>
        <w:rPr>
          <w:rFonts w:hint="eastAsia" w:ascii="宋体" w:hAnsi="宋体" w:eastAsia="宋体" w:cs="宋体"/>
          <w:color w:val="auto"/>
          <w:sz w:val="24"/>
          <w:szCs w:val="24"/>
          <w:highlight w:val="none"/>
        </w:rPr>
      </w:pPr>
      <w:bookmarkStart w:id="45" w:name="_Toc6869"/>
      <w:bookmarkStart w:id="46" w:name="_Toc9480"/>
      <w:bookmarkStart w:id="47" w:name="_Toc28703"/>
      <w:bookmarkStart w:id="48" w:name="_Toc14863"/>
      <w:bookmarkStart w:id="49" w:name="_Toc15159"/>
      <w:r>
        <w:rPr>
          <w:rFonts w:hint="eastAsia" w:ascii="宋体" w:hAnsi="宋体" w:eastAsia="宋体" w:cs="宋体"/>
          <w:b/>
          <w:bCs/>
          <w:color w:val="auto"/>
          <w:spacing w:val="5"/>
          <w:sz w:val="24"/>
          <w:szCs w:val="24"/>
          <w:highlight w:val="none"/>
        </w:rPr>
        <w:t>8.联系方式</w:t>
      </w:r>
      <w:bookmarkEnd w:id="45"/>
      <w:bookmarkEnd w:id="46"/>
      <w:bookmarkEnd w:id="47"/>
      <w:bookmarkEnd w:id="48"/>
      <w:bookmarkEnd w:id="49"/>
    </w:p>
    <w:p w14:paraId="6E5521A4">
      <w:pPr>
        <w:spacing w:before="162" w:line="227" w:lineRule="auto"/>
        <w:ind w:left="6163" w:leftChars="9" w:hanging="6144" w:hangingChars="240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8"/>
          <w:sz w:val="24"/>
          <w:szCs w:val="24"/>
          <w:highlight w:val="none"/>
        </w:rPr>
        <w:t>招标人:兴业县公路建设养护中心</w:t>
      </w:r>
      <w:r>
        <w:rPr>
          <w:rFonts w:hint="eastAsia" w:ascii="宋体" w:hAnsi="宋体" w:eastAsia="宋体" w:cs="宋体"/>
          <w:color w:val="auto"/>
          <w:spacing w:val="8"/>
          <w:sz w:val="24"/>
          <w:szCs w:val="24"/>
          <w:highlight w:val="none"/>
          <w:lang w:val="en-US" w:eastAsia="zh-CN"/>
        </w:rPr>
        <w:t xml:space="preserve">       </w:t>
      </w:r>
      <w:r>
        <w:rPr>
          <w:rFonts w:hint="eastAsia" w:ascii="宋体" w:hAnsi="宋体" w:eastAsia="宋体" w:cs="宋体"/>
          <w:color w:val="auto"/>
          <w:spacing w:val="8"/>
          <w:sz w:val="24"/>
          <w:szCs w:val="24"/>
          <w:highlight w:val="none"/>
        </w:rPr>
        <w:t>招标代理机构:</w:t>
      </w:r>
      <w:r>
        <w:rPr>
          <w:rFonts w:hint="eastAsia" w:ascii="宋体" w:hAnsi="宋体" w:eastAsia="宋体" w:cs="宋体"/>
          <w:color w:val="auto"/>
          <w:spacing w:val="8"/>
          <w:sz w:val="24"/>
          <w:szCs w:val="24"/>
          <w:highlight w:val="none"/>
          <w:lang w:eastAsia="zh-CN"/>
        </w:rPr>
        <w:t xml:space="preserve">广西建能建设工程咨询有限公司   </w:t>
      </w:r>
    </w:p>
    <w:p w14:paraId="68FE6BBA">
      <w:pPr>
        <w:spacing w:before="161" w:line="228" w:lineRule="auto"/>
        <w:ind w:left="5080" w:hanging="5080" w:hangingChars="200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地址:兴业县石南镇兴业大道169号</w:t>
      </w:r>
      <w:r>
        <w:rPr>
          <w:rFonts w:hint="eastAsia" w:ascii="宋体" w:hAnsi="宋体" w:eastAsia="宋体" w:cs="宋体"/>
          <w:color w:val="auto"/>
          <w:spacing w:val="7"/>
          <w:sz w:val="24"/>
          <w:szCs w:val="24"/>
          <w:highlight w:val="none"/>
          <w:lang w:val="en-US" w:eastAsia="zh-CN"/>
        </w:rPr>
        <w:t xml:space="preserve">      </w:t>
      </w:r>
      <w:r>
        <w:rPr>
          <w:rFonts w:hint="eastAsia" w:ascii="宋体" w:hAnsi="宋体" w:eastAsia="宋体" w:cs="宋体"/>
          <w:color w:val="auto"/>
          <w:spacing w:val="7"/>
          <w:sz w:val="24"/>
          <w:szCs w:val="24"/>
          <w:highlight w:val="none"/>
        </w:rPr>
        <w:t>地址:</w:t>
      </w:r>
      <w:r>
        <w:rPr>
          <w:rFonts w:hint="eastAsia" w:ascii="宋体" w:hAnsi="宋体" w:eastAsia="宋体" w:cs="宋体"/>
          <w:color w:val="auto"/>
          <w:spacing w:val="7"/>
          <w:sz w:val="24"/>
          <w:szCs w:val="24"/>
          <w:highlight w:val="none"/>
          <w:lang w:eastAsia="zh-CN"/>
        </w:rPr>
        <w:t xml:space="preserve">玉林市名山旺瑶村玉林市地委职工住宅7栋5号     </w:t>
      </w:r>
    </w:p>
    <w:p w14:paraId="4928C231">
      <w:pPr>
        <w:spacing w:before="161" w:line="228" w:lineRule="auto"/>
        <w:ind w:left="3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邮编:537800</w:t>
      </w:r>
      <w:r>
        <w:rPr>
          <w:rFonts w:hint="eastAsia" w:ascii="宋体" w:hAnsi="宋体" w:eastAsia="宋体" w:cs="宋体"/>
          <w:color w:val="auto"/>
          <w:spacing w:val="3"/>
          <w:sz w:val="24"/>
          <w:szCs w:val="24"/>
          <w:highlight w:val="none"/>
          <w:lang w:val="en-US" w:eastAsia="zh-CN"/>
        </w:rPr>
        <w:t xml:space="preserve">                         </w:t>
      </w:r>
      <w:r>
        <w:rPr>
          <w:rFonts w:hint="eastAsia" w:ascii="宋体" w:hAnsi="宋体" w:eastAsia="宋体" w:cs="宋体"/>
          <w:color w:val="auto"/>
          <w:spacing w:val="3"/>
          <w:sz w:val="24"/>
          <w:szCs w:val="24"/>
          <w:highlight w:val="none"/>
        </w:rPr>
        <w:t>邮编:537000</w:t>
      </w:r>
    </w:p>
    <w:p w14:paraId="0C829E69">
      <w:pPr>
        <w:spacing w:before="165" w:line="228" w:lineRule="auto"/>
        <w:ind w:left="2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6"/>
          <w:sz w:val="24"/>
          <w:szCs w:val="24"/>
          <w:highlight w:val="none"/>
        </w:rPr>
        <w:t>联系人:宾工</w:t>
      </w:r>
      <w:r>
        <w:rPr>
          <w:rFonts w:hint="eastAsia" w:ascii="宋体" w:hAnsi="宋体" w:eastAsia="宋体" w:cs="宋体"/>
          <w:color w:val="auto"/>
          <w:spacing w:val="6"/>
          <w:sz w:val="24"/>
          <w:szCs w:val="24"/>
          <w:highlight w:val="none"/>
          <w:lang w:val="en-US" w:eastAsia="zh-CN"/>
        </w:rPr>
        <w:t xml:space="preserve">                         </w:t>
      </w:r>
      <w:r>
        <w:rPr>
          <w:rFonts w:hint="eastAsia" w:ascii="宋体" w:hAnsi="宋体" w:eastAsia="宋体" w:cs="宋体"/>
          <w:color w:val="auto"/>
          <w:spacing w:val="5"/>
          <w:sz w:val="24"/>
          <w:szCs w:val="24"/>
          <w:highlight w:val="none"/>
        </w:rPr>
        <w:t>联系人:</w:t>
      </w:r>
      <w:r>
        <w:rPr>
          <w:rFonts w:hint="eastAsia" w:ascii="宋体" w:hAnsi="宋体" w:eastAsia="宋体" w:cs="宋体"/>
          <w:color w:val="auto"/>
          <w:spacing w:val="5"/>
          <w:sz w:val="24"/>
          <w:szCs w:val="24"/>
          <w:highlight w:val="none"/>
          <w:lang w:eastAsia="zh-CN"/>
        </w:rPr>
        <w:t xml:space="preserve">梁芬 </w:t>
      </w:r>
    </w:p>
    <w:p w14:paraId="55ECF459">
      <w:pPr>
        <w:spacing w:before="160" w:line="230" w:lineRule="auto"/>
        <w:ind w:left="44"/>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rPr>
        <w:t>电话:0775-3778506</w:t>
      </w:r>
      <w:r>
        <w:rPr>
          <w:rFonts w:hint="eastAsia" w:ascii="宋体" w:hAnsi="宋体" w:eastAsia="宋体" w:cs="宋体"/>
          <w:color w:val="auto"/>
          <w:spacing w:val="3"/>
          <w:sz w:val="24"/>
          <w:szCs w:val="24"/>
          <w:highlight w:val="none"/>
          <w:lang w:val="en-US" w:eastAsia="zh-CN"/>
        </w:rPr>
        <w:t xml:space="preserve">                   </w:t>
      </w:r>
      <w:r>
        <w:rPr>
          <w:rFonts w:hint="eastAsia" w:ascii="宋体" w:hAnsi="宋体" w:eastAsia="宋体" w:cs="宋体"/>
          <w:color w:val="auto"/>
          <w:spacing w:val="3"/>
          <w:sz w:val="24"/>
          <w:szCs w:val="24"/>
          <w:highlight w:val="none"/>
        </w:rPr>
        <w:t>电话:</w:t>
      </w:r>
      <w:r>
        <w:rPr>
          <w:rFonts w:hint="eastAsia" w:ascii="宋体" w:hAnsi="宋体" w:eastAsia="宋体" w:cs="宋体"/>
          <w:color w:val="auto"/>
          <w:spacing w:val="3"/>
          <w:sz w:val="24"/>
          <w:szCs w:val="24"/>
          <w:highlight w:val="none"/>
          <w:lang w:eastAsia="zh-CN"/>
        </w:rPr>
        <w:t>0775-2288899</w:t>
      </w:r>
    </w:p>
    <w:p w14:paraId="6C2C785D">
      <w:pPr>
        <w:spacing w:before="159" w:line="227" w:lineRule="auto"/>
        <w:ind w:left="18"/>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5"/>
          <w:sz w:val="24"/>
          <w:szCs w:val="24"/>
          <w:highlight w:val="none"/>
        </w:rPr>
        <w:t>传真:0775-3778506</w:t>
      </w:r>
      <w:r>
        <w:rPr>
          <w:rFonts w:hint="eastAsia" w:ascii="宋体" w:hAnsi="宋体" w:eastAsia="宋体" w:cs="宋体"/>
          <w:color w:val="auto"/>
          <w:spacing w:val="5"/>
          <w:sz w:val="24"/>
          <w:szCs w:val="24"/>
          <w:highlight w:val="none"/>
          <w:lang w:val="en-US" w:eastAsia="zh-CN"/>
        </w:rPr>
        <w:t xml:space="preserve">                   </w:t>
      </w:r>
      <w:r>
        <w:rPr>
          <w:rFonts w:hint="eastAsia" w:ascii="宋体" w:hAnsi="宋体" w:eastAsia="宋体" w:cs="宋体"/>
          <w:color w:val="auto"/>
          <w:spacing w:val="5"/>
          <w:sz w:val="24"/>
          <w:szCs w:val="24"/>
          <w:highlight w:val="none"/>
        </w:rPr>
        <w:t>传真:</w:t>
      </w:r>
      <w:r>
        <w:rPr>
          <w:rFonts w:hint="eastAsia" w:ascii="宋体" w:hAnsi="宋体" w:eastAsia="宋体" w:cs="宋体"/>
          <w:color w:val="auto"/>
          <w:spacing w:val="5"/>
          <w:sz w:val="24"/>
          <w:szCs w:val="24"/>
          <w:highlight w:val="none"/>
          <w:lang w:eastAsia="zh-CN"/>
        </w:rPr>
        <w:t>0775-2288899</w:t>
      </w:r>
    </w:p>
    <w:p w14:paraId="32FEAB9B">
      <w:pPr>
        <w:spacing w:before="163" w:line="228" w:lineRule="auto"/>
        <w:ind w:left="44"/>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电子邮箱:</w:t>
      </w:r>
      <w:r>
        <w:rPr>
          <w:rFonts w:hint="eastAsia" w:ascii="宋体" w:hAnsi="宋体" w:eastAsia="宋体" w:cs="宋体"/>
          <w:color w:val="auto"/>
          <w:spacing w:val="-3"/>
          <w:sz w:val="24"/>
          <w:szCs w:val="24"/>
          <w:highlight w:val="none"/>
          <w:lang w:val="en-US" w:eastAsia="zh-CN"/>
        </w:rPr>
        <w:t xml:space="preserve">                             </w:t>
      </w:r>
      <w:r>
        <w:rPr>
          <w:rFonts w:hint="eastAsia" w:ascii="宋体" w:hAnsi="宋体" w:eastAsia="宋体" w:cs="宋体"/>
          <w:color w:val="auto"/>
          <w:spacing w:val="-3"/>
          <w:sz w:val="24"/>
          <w:szCs w:val="24"/>
          <w:highlight w:val="none"/>
        </w:rPr>
        <w:t>电子邮箱:</w:t>
      </w:r>
    </w:p>
    <w:p w14:paraId="2F5D352A">
      <w:pPr>
        <w:spacing w:before="160" w:line="233" w:lineRule="auto"/>
        <w:ind w:left="36"/>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网址:</w:t>
      </w:r>
      <w:r>
        <w:rPr>
          <w:rFonts w:hint="eastAsia" w:ascii="宋体" w:hAnsi="宋体" w:eastAsia="宋体" w:cs="宋体"/>
          <w:color w:val="auto"/>
          <w:spacing w:val="-9"/>
          <w:sz w:val="24"/>
          <w:szCs w:val="24"/>
          <w:highlight w:val="none"/>
          <w:lang w:val="en-US" w:eastAsia="zh-CN"/>
        </w:rPr>
        <w:t xml:space="preserve">                                   </w:t>
      </w:r>
      <w:r>
        <w:rPr>
          <w:rFonts w:hint="eastAsia" w:ascii="宋体" w:hAnsi="宋体" w:eastAsia="宋体" w:cs="宋体"/>
          <w:color w:val="auto"/>
          <w:spacing w:val="-9"/>
          <w:sz w:val="24"/>
          <w:szCs w:val="24"/>
          <w:highlight w:val="none"/>
        </w:rPr>
        <w:t>网址:</w:t>
      </w:r>
    </w:p>
    <w:p w14:paraId="46E0AA4F">
      <w:pPr>
        <w:spacing w:before="156" w:line="228" w:lineRule="auto"/>
        <w:ind w:left="2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开户银行:</w:t>
      </w:r>
      <w:r>
        <w:rPr>
          <w:rFonts w:hint="eastAsia" w:ascii="宋体" w:hAnsi="宋体" w:eastAsia="宋体" w:cs="宋体"/>
          <w:color w:val="auto"/>
          <w:spacing w:val="3"/>
          <w:sz w:val="24"/>
          <w:szCs w:val="24"/>
          <w:highlight w:val="none"/>
          <w:lang w:val="en-US" w:eastAsia="zh-CN"/>
        </w:rPr>
        <w:t xml:space="preserve">                           </w:t>
      </w:r>
      <w:r>
        <w:rPr>
          <w:rFonts w:hint="eastAsia" w:ascii="宋体" w:hAnsi="宋体" w:eastAsia="宋体" w:cs="宋体"/>
          <w:color w:val="auto"/>
          <w:spacing w:val="2"/>
          <w:sz w:val="24"/>
          <w:szCs w:val="24"/>
          <w:highlight w:val="none"/>
        </w:rPr>
        <w:t>开户银行:</w:t>
      </w:r>
    </w:p>
    <w:p w14:paraId="2C0EE748">
      <w:pPr>
        <w:spacing w:before="163" w:line="229" w:lineRule="auto"/>
        <w:ind w:left="23"/>
        <w:rPr>
          <w:rFonts w:hint="eastAsia" w:ascii="宋体" w:hAnsi="宋体" w:eastAsia="宋体" w:cs="宋体"/>
          <w:color w:val="auto"/>
          <w:spacing w:val="8"/>
          <w:sz w:val="24"/>
          <w:szCs w:val="24"/>
          <w:highlight w:val="none"/>
        </w:rPr>
      </w:pPr>
      <w:r>
        <w:rPr>
          <w:rFonts w:hint="eastAsia" w:ascii="宋体" w:hAnsi="宋体" w:eastAsia="宋体" w:cs="宋体"/>
          <w:color w:val="auto"/>
          <w:spacing w:val="-2"/>
          <w:sz w:val="24"/>
          <w:szCs w:val="24"/>
          <w:highlight w:val="none"/>
        </w:rPr>
        <w:t>账号:</w:t>
      </w:r>
      <w:r>
        <w:rPr>
          <w:rFonts w:hint="eastAsia" w:ascii="宋体" w:hAnsi="宋体" w:eastAsia="宋体" w:cs="宋体"/>
          <w:color w:val="auto"/>
          <w:spacing w:val="-2"/>
          <w:sz w:val="24"/>
          <w:szCs w:val="24"/>
          <w:highlight w:val="none"/>
          <w:lang w:val="en-US" w:eastAsia="zh-CN"/>
        </w:rPr>
        <w:t xml:space="preserve">                                 </w:t>
      </w:r>
      <w:r>
        <w:rPr>
          <w:rFonts w:hint="eastAsia" w:ascii="宋体" w:hAnsi="宋体" w:eastAsia="宋体" w:cs="宋体"/>
          <w:color w:val="auto"/>
          <w:spacing w:val="-2"/>
          <w:sz w:val="24"/>
          <w:szCs w:val="24"/>
          <w:highlight w:val="none"/>
        </w:rPr>
        <w:t>账号:</w:t>
      </w:r>
    </w:p>
    <w:p w14:paraId="4B41DA9C">
      <w:pPr>
        <w:spacing w:before="160" w:line="228" w:lineRule="auto"/>
        <w:ind w:left="23"/>
        <w:rPr>
          <w:rFonts w:hint="eastAsia" w:ascii="宋体" w:hAnsi="宋体" w:eastAsia="宋体" w:cs="宋体"/>
          <w:color w:val="auto"/>
          <w:spacing w:val="8"/>
          <w:sz w:val="24"/>
          <w:szCs w:val="24"/>
          <w:highlight w:val="none"/>
        </w:rPr>
      </w:pPr>
    </w:p>
    <w:p w14:paraId="5B24DED4">
      <w:pPr>
        <w:spacing w:before="160" w:line="228" w:lineRule="auto"/>
        <w:ind w:left="23"/>
        <w:rPr>
          <w:rFonts w:hint="eastAsia" w:ascii="宋体" w:hAnsi="宋体" w:eastAsia="宋体" w:cs="宋体"/>
          <w:color w:val="auto"/>
          <w:spacing w:val="7"/>
          <w:sz w:val="24"/>
          <w:szCs w:val="24"/>
          <w:highlight w:val="none"/>
        </w:rPr>
      </w:pPr>
      <w:r>
        <w:rPr>
          <w:rFonts w:hint="eastAsia" w:ascii="宋体" w:hAnsi="宋体" w:eastAsia="宋体" w:cs="宋体"/>
          <w:color w:val="auto"/>
          <w:spacing w:val="8"/>
          <w:sz w:val="24"/>
          <w:szCs w:val="24"/>
          <w:highlight w:val="none"/>
        </w:rPr>
        <w:t>交易服务单位:兴业县公共资源交易中心</w:t>
      </w:r>
    </w:p>
    <w:p w14:paraId="33FA6C2C">
      <w:pPr>
        <w:spacing w:before="161" w:line="228" w:lineRule="auto"/>
        <w:ind w:left="23"/>
        <w:rPr>
          <w:rFonts w:hint="eastAsia" w:ascii="宋体" w:hAnsi="宋体" w:eastAsia="宋体" w:cs="宋体"/>
          <w:color w:val="auto"/>
          <w:spacing w:val="5"/>
          <w:sz w:val="24"/>
          <w:szCs w:val="24"/>
          <w:highlight w:val="none"/>
        </w:rPr>
      </w:pPr>
      <w:r>
        <w:rPr>
          <w:rFonts w:hint="eastAsia" w:ascii="宋体" w:hAnsi="宋体" w:eastAsia="宋体" w:cs="宋体"/>
          <w:color w:val="auto"/>
          <w:spacing w:val="7"/>
          <w:sz w:val="24"/>
          <w:szCs w:val="24"/>
          <w:highlight w:val="none"/>
        </w:rPr>
        <w:t>交易服务地址:兴业县民主路1号（兴业县政务服务中心三楼）</w:t>
      </w:r>
    </w:p>
    <w:p w14:paraId="4BD0AE51">
      <w:pPr>
        <w:spacing w:before="161" w:line="228" w:lineRule="auto"/>
        <w:ind w:left="23"/>
        <w:rPr>
          <w:rFonts w:hint="eastAsia" w:ascii="宋体" w:hAnsi="宋体" w:eastAsia="宋体" w:cs="宋体"/>
          <w:color w:val="auto"/>
          <w:spacing w:val="8"/>
          <w:sz w:val="24"/>
          <w:szCs w:val="24"/>
          <w:highlight w:val="none"/>
        </w:rPr>
      </w:pPr>
      <w:r>
        <w:rPr>
          <w:rFonts w:hint="eastAsia" w:ascii="宋体" w:hAnsi="宋体" w:eastAsia="宋体" w:cs="宋体"/>
          <w:color w:val="auto"/>
          <w:spacing w:val="5"/>
          <w:sz w:val="24"/>
          <w:szCs w:val="24"/>
          <w:highlight w:val="none"/>
        </w:rPr>
        <w:t>交易服务电话:0775-3770557</w:t>
      </w:r>
    </w:p>
    <w:p w14:paraId="2FED6358">
      <w:pPr>
        <w:spacing w:before="163" w:line="228" w:lineRule="auto"/>
        <w:rPr>
          <w:rFonts w:hint="eastAsia" w:ascii="宋体" w:hAnsi="宋体" w:eastAsia="宋体" w:cs="宋体"/>
          <w:color w:val="auto"/>
          <w:spacing w:val="6"/>
          <w:sz w:val="24"/>
          <w:szCs w:val="24"/>
          <w:highlight w:val="none"/>
        </w:rPr>
      </w:pPr>
      <w:r>
        <w:rPr>
          <w:rFonts w:hint="eastAsia" w:ascii="宋体" w:hAnsi="宋体" w:eastAsia="宋体" w:cs="宋体"/>
          <w:color w:val="auto"/>
          <w:spacing w:val="8"/>
          <w:sz w:val="24"/>
          <w:szCs w:val="24"/>
          <w:highlight w:val="none"/>
        </w:rPr>
        <w:t>行政监督部门:兴业县交通运输局</w:t>
      </w:r>
    </w:p>
    <w:p w14:paraId="0D512A03">
      <w:pPr>
        <w:spacing w:before="161" w:line="228" w:lineRule="auto"/>
        <w:ind w:left="23"/>
        <w:rPr>
          <w:rFonts w:hint="eastAsia" w:ascii="宋体" w:hAnsi="宋体" w:eastAsia="宋体" w:cs="宋体"/>
          <w:color w:val="auto"/>
          <w:spacing w:val="5"/>
          <w:sz w:val="24"/>
          <w:szCs w:val="24"/>
          <w:highlight w:val="none"/>
        </w:rPr>
      </w:pPr>
      <w:r>
        <w:rPr>
          <w:rFonts w:hint="eastAsia" w:ascii="宋体" w:hAnsi="宋体" w:eastAsia="宋体" w:cs="宋体"/>
          <w:color w:val="auto"/>
          <w:spacing w:val="6"/>
          <w:sz w:val="24"/>
          <w:szCs w:val="24"/>
          <w:highlight w:val="none"/>
        </w:rPr>
        <w:t>行政监督地址:兴业县石南镇兴业大道169号</w:t>
      </w:r>
    </w:p>
    <w:p w14:paraId="3B4EEDDE">
      <w:pPr>
        <w:spacing w:before="162" w:line="228" w:lineRule="auto"/>
        <w:ind w:left="23"/>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行政监督电话:0775-3761515</w:t>
      </w:r>
    </w:p>
    <w:p w14:paraId="064366A8">
      <w:pPr>
        <w:spacing w:before="163" w:line="228" w:lineRule="auto"/>
        <w:ind w:left="610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202</w:t>
      </w:r>
      <w:r>
        <w:rPr>
          <w:rFonts w:hint="eastAsia" w:ascii="宋体" w:hAnsi="宋体" w:eastAsia="宋体" w:cs="宋体"/>
          <w:color w:val="auto"/>
          <w:spacing w:val="2"/>
          <w:sz w:val="24"/>
          <w:szCs w:val="24"/>
          <w:highlight w:val="none"/>
          <w:lang w:val="en-US" w:eastAsia="zh-CN"/>
        </w:rPr>
        <w:t>6</w:t>
      </w:r>
      <w:r>
        <w:rPr>
          <w:rFonts w:hint="eastAsia" w:ascii="宋体" w:hAnsi="宋体" w:eastAsia="宋体" w:cs="宋体"/>
          <w:color w:val="auto"/>
          <w:spacing w:val="2"/>
          <w:sz w:val="24"/>
          <w:szCs w:val="24"/>
          <w:highlight w:val="none"/>
        </w:rPr>
        <w:t>年</w:t>
      </w:r>
      <w:r>
        <w:rPr>
          <w:rFonts w:hint="eastAsia" w:ascii="宋体" w:hAnsi="宋体" w:eastAsia="宋体" w:cs="宋体"/>
          <w:color w:val="auto"/>
          <w:spacing w:val="2"/>
          <w:sz w:val="24"/>
          <w:szCs w:val="24"/>
          <w:highlight w:val="none"/>
          <w:lang w:val="en-US" w:eastAsia="zh-CN"/>
        </w:rPr>
        <w:t>02</w:t>
      </w:r>
      <w:r>
        <w:rPr>
          <w:rFonts w:hint="eastAsia" w:ascii="宋体" w:hAnsi="宋体" w:eastAsia="宋体" w:cs="宋体"/>
          <w:color w:val="auto"/>
          <w:spacing w:val="2"/>
          <w:sz w:val="24"/>
          <w:szCs w:val="24"/>
          <w:highlight w:val="none"/>
        </w:rPr>
        <w:t>月</w:t>
      </w:r>
      <w:r>
        <w:rPr>
          <w:rFonts w:hint="eastAsia" w:ascii="宋体" w:hAnsi="宋体" w:eastAsia="宋体" w:cs="宋体"/>
          <w:color w:val="auto"/>
          <w:spacing w:val="2"/>
          <w:sz w:val="24"/>
          <w:szCs w:val="24"/>
          <w:highlight w:val="none"/>
          <w:lang w:val="en-US" w:eastAsia="zh-CN"/>
        </w:rPr>
        <w:t xml:space="preserve">   </w:t>
      </w:r>
      <w:r>
        <w:rPr>
          <w:rFonts w:hint="eastAsia" w:ascii="宋体" w:hAnsi="宋体" w:eastAsia="宋体" w:cs="宋体"/>
          <w:color w:val="auto"/>
          <w:spacing w:val="2"/>
          <w:sz w:val="24"/>
          <w:szCs w:val="24"/>
          <w:highlight w:val="none"/>
        </w:rPr>
        <w:t>日</w:t>
      </w:r>
    </w:p>
    <w:p w14:paraId="6B8A0841">
      <w:pPr>
        <w:spacing w:line="228" w:lineRule="auto"/>
        <w:rPr>
          <w:rFonts w:hint="eastAsia" w:ascii="宋体" w:hAnsi="宋体" w:eastAsia="宋体" w:cs="宋体"/>
          <w:color w:val="auto"/>
          <w:sz w:val="24"/>
          <w:szCs w:val="24"/>
          <w:highlight w:val="none"/>
        </w:rPr>
        <w:sectPr>
          <w:headerReference r:id="rId9" w:type="default"/>
          <w:footerReference r:id="rId10" w:type="default"/>
          <w:pgSz w:w="11907" w:h="16840"/>
          <w:pgMar w:top="1182" w:right="1220" w:bottom="1011" w:left="1786" w:header="849" w:footer="852" w:gutter="0"/>
          <w:pgNumType w:fmt="decimal"/>
          <w:cols w:space="720" w:num="1"/>
        </w:sectPr>
      </w:pPr>
    </w:p>
    <w:p w14:paraId="1DD434D3">
      <w:pPr>
        <w:pStyle w:val="4"/>
        <w:spacing w:line="387" w:lineRule="auto"/>
        <w:rPr>
          <w:rFonts w:hint="eastAsia" w:ascii="宋体" w:hAnsi="宋体" w:eastAsia="宋体" w:cs="宋体"/>
          <w:color w:val="auto"/>
          <w:highlight w:val="none"/>
        </w:rPr>
      </w:pPr>
    </w:p>
    <w:p w14:paraId="442D0FCA">
      <w:pPr>
        <w:spacing w:before="139" w:line="225" w:lineRule="auto"/>
        <w:ind w:left="2616"/>
        <w:outlineLvl w:val="0"/>
        <w:rPr>
          <w:rFonts w:hint="eastAsia" w:ascii="宋体" w:hAnsi="宋体" w:eastAsia="宋体" w:cs="宋体"/>
          <w:color w:val="auto"/>
          <w:sz w:val="43"/>
          <w:szCs w:val="43"/>
          <w:highlight w:val="none"/>
        </w:rPr>
      </w:pPr>
      <w:bookmarkStart w:id="50" w:name="_Toc23527"/>
      <w:bookmarkStart w:id="51" w:name="_Toc27753"/>
      <w:bookmarkStart w:id="52" w:name="_Toc27107"/>
      <w:bookmarkStart w:id="53" w:name="_Toc28438"/>
      <w:bookmarkStart w:id="54" w:name="_Toc28350"/>
      <w:r>
        <w:rPr>
          <w:rFonts w:hint="eastAsia" w:ascii="宋体" w:hAnsi="宋体" w:eastAsia="宋体" w:cs="宋体"/>
          <w:b/>
          <w:bCs/>
          <w:color w:val="auto"/>
          <w:spacing w:val="4"/>
          <w:sz w:val="43"/>
          <w:szCs w:val="43"/>
          <w:highlight w:val="none"/>
        </w:rPr>
        <w:t>第二章投标人须知</w:t>
      </w:r>
      <w:bookmarkEnd w:id="50"/>
      <w:bookmarkEnd w:id="51"/>
      <w:bookmarkEnd w:id="52"/>
      <w:bookmarkEnd w:id="53"/>
      <w:bookmarkEnd w:id="54"/>
    </w:p>
    <w:p w14:paraId="6EC0A490">
      <w:pPr>
        <w:pStyle w:val="4"/>
        <w:spacing w:line="396" w:lineRule="auto"/>
        <w:rPr>
          <w:rFonts w:hint="eastAsia" w:ascii="宋体" w:hAnsi="宋体" w:eastAsia="宋体" w:cs="宋体"/>
          <w:color w:val="auto"/>
          <w:highlight w:val="none"/>
        </w:rPr>
      </w:pPr>
    </w:p>
    <w:p w14:paraId="31B0F950">
      <w:pPr>
        <w:spacing w:before="140" w:line="225" w:lineRule="auto"/>
        <w:ind w:left="2833"/>
        <w:outlineLvl w:val="0"/>
        <w:rPr>
          <w:rFonts w:hint="eastAsia" w:ascii="宋体" w:hAnsi="宋体" w:eastAsia="宋体" w:cs="宋体"/>
          <w:color w:val="auto"/>
          <w:sz w:val="43"/>
          <w:szCs w:val="43"/>
          <w:highlight w:val="none"/>
        </w:rPr>
      </w:pPr>
      <w:bookmarkStart w:id="55" w:name="_Toc6106"/>
      <w:bookmarkStart w:id="56" w:name="_Toc12726"/>
      <w:bookmarkStart w:id="57" w:name="_Toc17176"/>
      <w:bookmarkStart w:id="58" w:name="_Toc5666"/>
      <w:bookmarkStart w:id="59" w:name="_Toc20475"/>
      <w:r>
        <w:rPr>
          <w:rFonts w:hint="eastAsia" w:ascii="宋体" w:hAnsi="宋体" w:eastAsia="宋体" w:cs="宋体"/>
          <w:b/>
          <w:bCs/>
          <w:color w:val="auto"/>
          <w:spacing w:val="5"/>
          <w:sz w:val="43"/>
          <w:szCs w:val="43"/>
          <w:highlight w:val="none"/>
        </w:rPr>
        <w:t>投标人须知前附表</w:t>
      </w:r>
      <w:bookmarkEnd w:id="55"/>
      <w:bookmarkEnd w:id="56"/>
      <w:bookmarkEnd w:id="57"/>
      <w:bookmarkEnd w:id="58"/>
      <w:bookmarkEnd w:id="59"/>
    </w:p>
    <w:p w14:paraId="6107EB53">
      <w:pPr>
        <w:spacing w:before="25"/>
        <w:rPr>
          <w:rFonts w:hint="eastAsia" w:ascii="宋体" w:hAnsi="宋体" w:eastAsia="宋体" w:cs="宋体"/>
          <w:color w:val="auto"/>
          <w:highlight w:val="none"/>
        </w:rPr>
      </w:pPr>
    </w:p>
    <w:tbl>
      <w:tblPr>
        <w:tblStyle w:val="24"/>
        <w:tblW w:w="94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81"/>
        <w:gridCol w:w="2888"/>
        <w:gridCol w:w="5404"/>
      </w:tblGrid>
      <w:tr w14:paraId="488DB2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1181" w:type="dxa"/>
            <w:vAlign w:val="top"/>
          </w:tcPr>
          <w:p w14:paraId="74A726B7">
            <w:pPr>
              <w:pStyle w:val="25"/>
              <w:spacing w:before="222" w:line="228" w:lineRule="auto"/>
              <w:ind w:left="280"/>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条款号</w:t>
            </w:r>
          </w:p>
        </w:tc>
        <w:tc>
          <w:tcPr>
            <w:tcW w:w="2888" w:type="dxa"/>
            <w:vAlign w:val="top"/>
          </w:tcPr>
          <w:p w14:paraId="0D805C4F">
            <w:pPr>
              <w:pStyle w:val="25"/>
              <w:spacing w:before="222" w:line="228" w:lineRule="auto"/>
              <w:ind w:left="971"/>
              <w:rPr>
                <w:rFonts w:hint="eastAsia" w:ascii="宋体" w:hAnsi="宋体" w:eastAsia="宋体" w:cs="宋体"/>
                <w:color w:val="auto"/>
                <w:sz w:val="24"/>
                <w:szCs w:val="24"/>
                <w:highlight w:val="none"/>
              </w:rPr>
            </w:pPr>
            <w:r>
              <w:rPr>
                <w:rFonts w:hint="eastAsia" w:ascii="宋体" w:hAnsi="宋体" w:eastAsia="宋体" w:cs="宋体"/>
                <w:b/>
                <w:bCs/>
                <w:color w:val="auto"/>
                <w:spacing w:val="6"/>
                <w:sz w:val="24"/>
                <w:szCs w:val="24"/>
                <w:highlight w:val="none"/>
              </w:rPr>
              <w:t>条款名称</w:t>
            </w:r>
          </w:p>
        </w:tc>
        <w:tc>
          <w:tcPr>
            <w:tcW w:w="5404" w:type="dxa"/>
            <w:vAlign w:val="top"/>
          </w:tcPr>
          <w:p w14:paraId="281A1009">
            <w:pPr>
              <w:pStyle w:val="25"/>
              <w:spacing w:before="222" w:line="228" w:lineRule="auto"/>
              <w:ind w:left="2191"/>
              <w:rPr>
                <w:rFonts w:hint="eastAsia" w:ascii="宋体" w:hAnsi="宋体" w:eastAsia="宋体" w:cs="宋体"/>
                <w:color w:val="auto"/>
                <w:sz w:val="24"/>
                <w:szCs w:val="24"/>
                <w:highlight w:val="none"/>
              </w:rPr>
            </w:pPr>
            <w:r>
              <w:rPr>
                <w:rFonts w:hint="eastAsia" w:ascii="宋体" w:hAnsi="宋体" w:eastAsia="宋体" w:cs="宋体"/>
                <w:b/>
                <w:bCs/>
                <w:color w:val="auto"/>
                <w:spacing w:val="6"/>
                <w:sz w:val="24"/>
                <w:szCs w:val="24"/>
                <w:highlight w:val="none"/>
              </w:rPr>
              <w:t>编列内容</w:t>
            </w:r>
          </w:p>
        </w:tc>
      </w:tr>
      <w:tr w14:paraId="68E792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91" w:hRule="atLeast"/>
        </w:trPr>
        <w:tc>
          <w:tcPr>
            <w:tcW w:w="1181" w:type="dxa"/>
            <w:vAlign w:val="top"/>
          </w:tcPr>
          <w:p w14:paraId="634CCAFB">
            <w:pPr>
              <w:spacing w:line="267" w:lineRule="auto"/>
              <w:rPr>
                <w:rFonts w:hint="eastAsia" w:ascii="宋体" w:hAnsi="宋体" w:eastAsia="宋体" w:cs="宋体"/>
                <w:color w:val="auto"/>
                <w:sz w:val="24"/>
                <w:szCs w:val="24"/>
                <w:highlight w:val="none"/>
              </w:rPr>
            </w:pPr>
          </w:p>
          <w:p w14:paraId="6B16DC87">
            <w:pPr>
              <w:spacing w:line="267" w:lineRule="auto"/>
              <w:rPr>
                <w:rFonts w:hint="eastAsia" w:ascii="宋体" w:hAnsi="宋体" w:eastAsia="宋体" w:cs="宋体"/>
                <w:color w:val="auto"/>
                <w:sz w:val="24"/>
                <w:szCs w:val="24"/>
                <w:highlight w:val="none"/>
              </w:rPr>
            </w:pPr>
          </w:p>
          <w:p w14:paraId="2F0C7D37">
            <w:pPr>
              <w:spacing w:line="267" w:lineRule="auto"/>
              <w:rPr>
                <w:rFonts w:hint="eastAsia" w:ascii="宋体" w:hAnsi="宋体" w:eastAsia="宋体" w:cs="宋体"/>
                <w:color w:val="auto"/>
                <w:sz w:val="24"/>
                <w:szCs w:val="24"/>
                <w:highlight w:val="none"/>
              </w:rPr>
            </w:pPr>
          </w:p>
          <w:p w14:paraId="17431E90">
            <w:pPr>
              <w:spacing w:before="58" w:line="195" w:lineRule="auto"/>
              <w:ind w:left="403"/>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1.1.2</w:t>
            </w:r>
          </w:p>
        </w:tc>
        <w:tc>
          <w:tcPr>
            <w:tcW w:w="2888" w:type="dxa"/>
            <w:vAlign w:val="top"/>
          </w:tcPr>
          <w:p w14:paraId="2E499C9D">
            <w:pPr>
              <w:spacing w:line="250" w:lineRule="auto"/>
              <w:rPr>
                <w:rFonts w:hint="eastAsia" w:ascii="宋体" w:hAnsi="宋体" w:eastAsia="宋体" w:cs="宋体"/>
                <w:color w:val="auto"/>
                <w:sz w:val="24"/>
                <w:szCs w:val="24"/>
                <w:highlight w:val="none"/>
              </w:rPr>
            </w:pPr>
          </w:p>
          <w:p w14:paraId="53B1F0EC">
            <w:pPr>
              <w:spacing w:line="250" w:lineRule="auto"/>
              <w:rPr>
                <w:rFonts w:hint="eastAsia" w:ascii="宋体" w:hAnsi="宋体" w:eastAsia="宋体" w:cs="宋体"/>
                <w:color w:val="auto"/>
                <w:sz w:val="24"/>
                <w:szCs w:val="24"/>
                <w:highlight w:val="none"/>
              </w:rPr>
            </w:pPr>
          </w:p>
          <w:p w14:paraId="18BCBE2C">
            <w:pPr>
              <w:spacing w:line="251" w:lineRule="auto"/>
              <w:rPr>
                <w:rFonts w:hint="eastAsia" w:ascii="宋体" w:hAnsi="宋体" w:eastAsia="宋体" w:cs="宋体"/>
                <w:color w:val="auto"/>
                <w:sz w:val="24"/>
                <w:szCs w:val="24"/>
                <w:highlight w:val="none"/>
              </w:rPr>
            </w:pPr>
          </w:p>
          <w:p w14:paraId="5BADAC92">
            <w:pPr>
              <w:pStyle w:val="25"/>
              <w:spacing w:before="65" w:line="228" w:lineRule="auto"/>
              <w:ind w:left="111"/>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招标人</w:t>
            </w:r>
          </w:p>
        </w:tc>
        <w:tc>
          <w:tcPr>
            <w:tcW w:w="5404" w:type="dxa"/>
            <w:vAlign w:val="top"/>
          </w:tcPr>
          <w:p w14:paraId="714EFD48">
            <w:pPr>
              <w:pStyle w:val="25"/>
              <w:spacing w:before="206" w:line="228" w:lineRule="auto"/>
              <w:ind w:left="116"/>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名称：兴业县公路建设养护中心</w:t>
            </w:r>
          </w:p>
          <w:p w14:paraId="7ACA9B69">
            <w:pPr>
              <w:pStyle w:val="25"/>
              <w:spacing w:before="160" w:line="228" w:lineRule="auto"/>
              <w:ind w:left="113"/>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地址：兴业县石南镇兴业大道169号</w:t>
            </w:r>
          </w:p>
          <w:p w14:paraId="73A565C4">
            <w:pPr>
              <w:pStyle w:val="25"/>
              <w:spacing w:before="164" w:line="228" w:lineRule="auto"/>
              <w:ind w:left="114"/>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联系人：宾工</w:t>
            </w:r>
          </w:p>
          <w:p w14:paraId="5CBA8302">
            <w:pPr>
              <w:pStyle w:val="25"/>
              <w:spacing w:before="160" w:line="230" w:lineRule="auto"/>
              <w:ind w:left="138"/>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电话：0775-3778506</w:t>
            </w:r>
          </w:p>
        </w:tc>
      </w:tr>
      <w:tr w14:paraId="639563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54" w:hRule="atLeast"/>
        </w:trPr>
        <w:tc>
          <w:tcPr>
            <w:tcW w:w="1181" w:type="dxa"/>
            <w:vAlign w:val="top"/>
          </w:tcPr>
          <w:p w14:paraId="382CE09C">
            <w:pPr>
              <w:spacing w:line="276" w:lineRule="auto"/>
              <w:rPr>
                <w:rFonts w:hint="eastAsia" w:ascii="宋体" w:hAnsi="宋体" w:eastAsia="宋体" w:cs="宋体"/>
                <w:color w:val="auto"/>
                <w:sz w:val="24"/>
                <w:szCs w:val="24"/>
                <w:highlight w:val="none"/>
              </w:rPr>
            </w:pPr>
          </w:p>
          <w:p w14:paraId="0CB2E250">
            <w:pPr>
              <w:spacing w:line="276" w:lineRule="auto"/>
              <w:rPr>
                <w:rFonts w:hint="eastAsia" w:ascii="宋体" w:hAnsi="宋体" w:eastAsia="宋体" w:cs="宋体"/>
                <w:color w:val="auto"/>
                <w:sz w:val="24"/>
                <w:szCs w:val="24"/>
                <w:highlight w:val="none"/>
              </w:rPr>
            </w:pPr>
          </w:p>
          <w:p w14:paraId="7AEAA79B">
            <w:pPr>
              <w:spacing w:line="276" w:lineRule="auto"/>
              <w:rPr>
                <w:rFonts w:hint="eastAsia" w:ascii="宋体" w:hAnsi="宋体" w:eastAsia="宋体" w:cs="宋体"/>
                <w:color w:val="auto"/>
                <w:sz w:val="24"/>
                <w:szCs w:val="24"/>
                <w:highlight w:val="none"/>
              </w:rPr>
            </w:pPr>
          </w:p>
          <w:p w14:paraId="1FFA8CF9">
            <w:pPr>
              <w:spacing w:before="58" w:line="195" w:lineRule="auto"/>
              <w:ind w:left="403"/>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1.1.3</w:t>
            </w:r>
          </w:p>
        </w:tc>
        <w:tc>
          <w:tcPr>
            <w:tcW w:w="2888" w:type="dxa"/>
            <w:vAlign w:val="top"/>
          </w:tcPr>
          <w:p w14:paraId="62612592">
            <w:pPr>
              <w:spacing w:line="259" w:lineRule="auto"/>
              <w:rPr>
                <w:rFonts w:hint="eastAsia" w:ascii="宋体" w:hAnsi="宋体" w:eastAsia="宋体" w:cs="宋体"/>
                <w:color w:val="auto"/>
                <w:sz w:val="24"/>
                <w:szCs w:val="24"/>
                <w:highlight w:val="none"/>
              </w:rPr>
            </w:pPr>
          </w:p>
          <w:p w14:paraId="58E067D1">
            <w:pPr>
              <w:spacing w:line="259" w:lineRule="auto"/>
              <w:rPr>
                <w:rFonts w:hint="eastAsia" w:ascii="宋体" w:hAnsi="宋体" w:eastAsia="宋体" w:cs="宋体"/>
                <w:color w:val="auto"/>
                <w:sz w:val="24"/>
                <w:szCs w:val="24"/>
                <w:highlight w:val="none"/>
              </w:rPr>
            </w:pPr>
          </w:p>
          <w:p w14:paraId="2B5D8BFB">
            <w:pPr>
              <w:spacing w:line="260" w:lineRule="auto"/>
              <w:rPr>
                <w:rFonts w:hint="eastAsia" w:ascii="宋体" w:hAnsi="宋体" w:eastAsia="宋体" w:cs="宋体"/>
                <w:color w:val="auto"/>
                <w:sz w:val="24"/>
                <w:szCs w:val="24"/>
                <w:highlight w:val="none"/>
              </w:rPr>
            </w:pPr>
          </w:p>
          <w:p w14:paraId="3DFA9CC2">
            <w:pPr>
              <w:pStyle w:val="25"/>
              <w:spacing w:before="65" w:line="227" w:lineRule="auto"/>
              <w:ind w:left="111"/>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招标代理机构</w:t>
            </w:r>
          </w:p>
        </w:tc>
        <w:tc>
          <w:tcPr>
            <w:tcW w:w="5404" w:type="dxa"/>
            <w:vAlign w:val="top"/>
          </w:tcPr>
          <w:p w14:paraId="1B84BF0A">
            <w:pPr>
              <w:pStyle w:val="25"/>
              <w:spacing w:before="31" w:line="227" w:lineRule="auto"/>
              <w:ind w:left="116"/>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9"/>
                <w:sz w:val="24"/>
                <w:szCs w:val="24"/>
                <w:highlight w:val="none"/>
              </w:rPr>
              <w:t>名称：</w:t>
            </w:r>
            <w:r>
              <w:rPr>
                <w:rFonts w:hint="eastAsia" w:ascii="宋体" w:hAnsi="宋体" w:eastAsia="宋体" w:cs="宋体"/>
                <w:color w:val="auto"/>
                <w:spacing w:val="9"/>
                <w:sz w:val="24"/>
                <w:szCs w:val="24"/>
                <w:highlight w:val="none"/>
                <w:lang w:eastAsia="zh-CN"/>
              </w:rPr>
              <w:t xml:space="preserve">广西建能建设工程咨询有限公司   </w:t>
            </w:r>
          </w:p>
          <w:p w14:paraId="28ABB85D">
            <w:pPr>
              <w:pStyle w:val="25"/>
              <w:spacing w:before="161" w:line="228" w:lineRule="auto"/>
              <w:ind w:left="113"/>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7"/>
                <w:sz w:val="24"/>
                <w:szCs w:val="24"/>
                <w:highlight w:val="none"/>
              </w:rPr>
              <w:t>地址：</w:t>
            </w:r>
            <w:r>
              <w:rPr>
                <w:rFonts w:hint="eastAsia" w:ascii="宋体" w:hAnsi="宋体" w:eastAsia="宋体" w:cs="宋体"/>
                <w:color w:val="auto"/>
                <w:spacing w:val="7"/>
                <w:sz w:val="24"/>
                <w:szCs w:val="24"/>
                <w:highlight w:val="none"/>
                <w:lang w:eastAsia="zh-CN"/>
              </w:rPr>
              <w:t xml:space="preserve">玉林市名山旺瑶村玉林市地委职工住宅7栋5号     </w:t>
            </w:r>
          </w:p>
          <w:p w14:paraId="37554BB0">
            <w:pPr>
              <w:pStyle w:val="25"/>
              <w:spacing w:before="161" w:line="230" w:lineRule="auto"/>
              <w:ind w:left="114"/>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8"/>
                <w:sz w:val="24"/>
                <w:szCs w:val="24"/>
                <w:highlight w:val="none"/>
              </w:rPr>
              <w:t>联系人：</w:t>
            </w:r>
            <w:r>
              <w:rPr>
                <w:rFonts w:hint="eastAsia" w:ascii="宋体" w:hAnsi="宋体" w:eastAsia="宋体" w:cs="宋体"/>
                <w:color w:val="auto"/>
                <w:spacing w:val="8"/>
                <w:sz w:val="24"/>
                <w:szCs w:val="24"/>
                <w:highlight w:val="none"/>
                <w:lang w:eastAsia="zh-CN"/>
              </w:rPr>
              <w:t xml:space="preserve">梁芬 </w:t>
            </w:r>
          </w:p>
          <w:p w14:paraId="56CE4369">
            <w:pPr>
              <w:pStyle w:val="25"/>
              <w:spacing w:before="159" w:line="230" w:lineRule="auto"/>
              <w:ind w:left="138"/>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rPr>
              <w:t>电话：</w:t>
            </w:r>
            <w:r>
              <w:rPr>
                <w:rFonts w:hint="eastAsia" w:ascii="宋体" w:hAnsi="宋体" w:eastAsia="宋体" w:cs="宋体"/>
                <w:color w:val="auto"/>
                <w:spacing w:val="3"/>
                <w:sz w:val="24"/>
                <w:szCs w:val="24"/>
                <w:highlight w:val="none"/>
                <w:lang w:eastAsia="zh-CN"/>
              </w:rPr>
              <w:t>0775-2288899</w:t>
            </w:r>
          </w:p>
        </w:tc>
      </w:tr>
      <w:tr w14:paraId="38D510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5" w:hRule="atLeast"/>
        </w:trPr>
        <w:tc>
          <w:tcPr>
            <w:tcW w:w="1181" w:type="dxa"/>
            <w:vAlign w:val="top"/>
          </w:tcPr>
          <w:p w14:paraId="73A952E3">
            <w:pPr>
              <w:spacing w:line="455" w:lineRule="auto"/>
              <w:rPr>
                <w:rFonts w:hint="eastAsia" w:ascii="宋体" w:hAnsi="宋体" w:eastAsia="宋体" w:cs="宋体"/>
                <w:color w:val="auto"/>
                <w:sz w:val="24"/>
                <w:szCs w:val="24"/>
                <w:highlight w:val="none"/>
              </w:rPr>
            </w:pPr>
          </w:p>
          <w:p w14:paraId="06652D73">
            <w:pPr>
              <w:spacing w:before="57" w:line="195" w:lineRule="auto"/>
              <w:ind w:left="403"/>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1.1.4</w:t>
            </w:r>
          </w:p>
        </w:tc>
        <w:tc>
          <w:tcPr>
            <w:tcW w:w="2888" w:type="dxa"/>
            <w:vAlign w:val="top"/>
          </w:tcPr>
          <w:p w14:paraId="731568C2">
            <w:pPr>
              <w:spacing w:line="401" w:lineRule="auto"/>
              <w:rPr>
                <w:rFonts w:hint="eastAsia" w:ascii="宋体" w:hAnsi="宋体" w:eastAsia="宋体" w:cs="宋体"/>
                <w:color w:val="auto"/>
                <w:sz w:val="24"/>
                <w:szCs w:val="24"/>
                <w:highlight w:val="none"/>
              </w:rPr>
            </w:pPr>
          </w:p>
          <w:p w14:paraId="12651930">
            <w:pPr>
              <w:pStyle w:val="25"/>
              <w:spacing w:before="65" w:line="228" w:lineRule="auto"/>
              <w:ind w:left="114"/>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项目名称及项目招标编号</w:t>
            </w:r>
          </w:p>
        </w:tc>
        <w:tc>
          <w:tcPr>
            <w:tcW w:w="5404" w:type="dxa"/>
            <w:vAlign w:val="top"/>
          </w:tcPr>
          <w:p w14:paraId="4EBC2BDB">
            <w:pPr>
              <w:pStyle w:val="25"/>
              <w:spacing w:before="61" w:line="377" w:lineRule="auto"/>
              <w:ind w:right="109"/>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7"/>
                <w:sz w:val="24"/>
                <w:szCs w:val="24"/>
                <w:highlight w:val="none"/>
              </w:rPr>
              <w:t>项目名称：</w:t>
            </w:r>
            <w:r>
              <w:rPr>
                <w:rFonts w:hint="eastAsia" w:ascii="宋体" w:hAnsi="宋体" w:eastAsia="宋体" w:cs="宋体"/>
                <w:color w:val="auto"/>
                <w:spacing w:val="7"/>
                <w:sz w:val="24"/>
                <w:szCs w:val="24"/>
                <w:highlight w:val="none"/>
                <w:lang w:eastAsia="zh-CN"/>
              </w:rPr>
              <w:t>2025年兴业县石南镇、葵阳镇、山心镇、沙塘镇、龙安镇农村公路安全生命防护工程</w:t>
            </w:r>
          </w:p>
          <w:p w14:paraId="5552A4C6">
            <w:pPr>
              <w:pStyle w:val="25"/>
              <w:spacing w:line="227" w:lineRule="auto"/>
              <w:ind w:left="116"/>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6"/>
                <w:sz w:val="24"/>
                <w:szCs w:val="24"/>
                <w:highlight w:val="none"/>
              </w:rPr>
              <w:t>项目招标编号：E4509002856026726001001</w:t>
            </w:r>
          </w:p>
        </w:tc>
      </w:tr>
      <w:tr w14:paraId="612B79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6" w:hRule="atLeast"/>
        </w:trPr>
        <w:tc>
          <w:tcPr>
            <w:tcW w:w="1181" w:type="dxa"/>
            <w:vAlign w:val="top"/>
          </w:tcPr>
          <w:p w14:paraId="7D08E444">
            <w:pPr>
              <w:spacing w:before="166" w:line="195" w:lineRule="auto"/>
              <w:ind w:left="403"/>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1.1.5</w:t>
            </w:r>
          </w:p>
        </w:tc>
        <w:tc>
          <w:tcPr>
            <w:tcW w:w="2888" w:type="dxa"/>
            <w:vAlign w:val="top"/>
          </w:tcPr>
          <w:p w14:paraId="647C4D95">
            <w:pPr>
              <w:pStyle w:val="25"/>
              <w:spacing w:before="120" w:line="229" w:lineRule="auto"/>
              <w:ind w:left="113"/>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建设地点</w:t>
            </w:r>
          </w:p>
        </w:tc>
        <w:tc>
          <w:tcPr>
            <w:tcW w:w="5404" w:type="dxa"/>
            <w:vAlign w:val="top"/>
          </w:tcPr>
          <w:p w14:paraId="4D46D39F">
            <w:pPr>
              <w:pStyle w:val="25"/>
              <w:spacing w:before="120" w:line="229" w:lineRule="auto"/>
              <w:ind w:left="117"/>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兴业县</w:t>
            </w:r>
          </w:p>
        </w:tc>
      </w:tr>
      <w:tr w14:paraId="3543B8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6" w:hRule="atLeast"/>
        </w:trPr>
        <w:tc>
          <w:tcPr>
            <w:tcW w:w="1181" w:type="dxa"/>
            <w:vAlign w:val="top"/>
          </w:tcPr>
          <w:p w14:paraId="1F6F17D0">
            <w:pPr>
              <w:spacing w:before="86" w:line="195" w:lineRule="auto"/>
              <w:ind w:left="403"/>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1.2.1</w:t>
            </w:r>
          </w:p>
        </w:tc>
        <w:tc>
          <w:tcPr>
            <w:tcW w:w="2888" w:type="dxa"/>
            <w:vAlign w:val="top"/>
          </w:tcPr>
          <w:p w14:paraId="163E2CA4">
            <w:pPr>
              <w:pStyle w:val="25"/>
              <w:spacing w:before="40" w:line="228" w:lineRule="auto"/>
              <w:ind w:left="119"/>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资金来源</w:t>
            </w:r>
          </w:p>
        </w:tc>
        <w:tc>
          <w:tcPr>
            <w:tcW w:w="5404" w:type="dxa"/>
            <w:vAlign w:val="top"/>
          </w:tcPr>
          <w:p w14:paraId="57941DB4">
            <w:pPr>
              <w:pStyle w:val="25"/>
              <w:spacing w:before="36" w:line="228" w:lineRule="auto"/>
              <w:ind w:left="115"/>
              <w:rPr>
                <w:rFonts w:hint="eastAsia" w:ascii="宋体" w:hAnsi="宋体" w:eastAsia="宋体" w:cs="宋体"/>
                <w:color w:val="auto"/>
                <w:sz w:val="24"/>
                <w:szCs w:val="24"/>
                <w:highlight w:val="none"/>
                <w:lang w:val="en-US" w:eastAsia="zh-CN"/>
              </w:rPr>
            </w:pPr>
            <w:r>
              <w:rPr>
                <w:rFonts w:hint="eastAsia" w:ascii="宋体" w:hAnsi="宋体" w:eastAsia="宋体" w:cs="宋体"/>
                <w:color w:val="auto"/>
                <w:spacing w:val="8"/>
                <w:sz w:val="24"/>
                <w:szCs w:val="24"/>
                <w:highlight w:val="none"/>
              </w:rPr>
              <w:t>上级补助</w:t>
            </w:r>
            <w:r>
              <w:rPr>
                <w:rFonts w:hint="eastAsia" w:ascii="宋体" w:hAnsi="宋体" w:eastAsia="宋体" w:cs="宋体"/>
                <w:color w:val="auto"/>
                <w:spacing w:val="8"/>
                <w:sz w:val="24"/>
                <w:szCs w:val="24"/>
                <w:highlight w:val="none"/>
                <w:lang w:val="en-US" w:eastAsia="zh-CN"/>
              </w:rPr>
              <w:t>+地方配套</w:t>
            </w:r>
          </w:p>
        </w:tc>
      </w:tr>
      <w:tr w14:paraId="303C88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6" w:hRule="atLeast"/>
        </w:trPr>
        <w:tc>
          <w:tcPr>
            <w:tcW w:w="1181" w:type="dxa"/>
            <w:vAlign w:val="top"/>
          </w:tcPr>
          <w:p w14:paraId="11E6D49B">
            <w:pPr>
              <w:spacing w:before="84" w:line="195" w:lineRule="auto"/>
              <w:ind w:left="40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1.2.2</w:t>
            </w:r>
          </w:p>
        </w:tc>
        <w:tc>
          <w:tcPr>
            <w:tcW w:w="2888" w:type="dxa"/>
            <w:vAlign w:val="top"/>
          </w:tcPr>
          <w:p w14:paraId="3685456D">
            <w:pPr>
              <w:pStyle w:val="25"/>
              <w:spacing w:before="42" w:line="228" w:lineRule="auto"/>
              <w:ind w:left="11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资金落实情况</w:t>
            </w:r>
          </w:p>
        </w:tc>
        <w:tc>
          <w:tcPr>
            <w:tcW w:w="5404" w:type="dxa"/>
            <w:vAlign w:val="top"/>
          </w:tcPr>
          <w:p w14:paraId="72C3D173">
            <w:pPr>
              <w:pStyle w:val="25"/>
              <w:spacing w:before="35" w:line="228" w:lineRule="auto"/>
              <w:ind w:left="13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已落实</w:t>
            </w:r>
          </w:p>
        </w:tc>
      </w:tr>
      <w:tr w14:paraId="61A35B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1181" w:type="dxa"/>
            <w:vAlign w:val="top"/>
          </w:tcPr>
          <w:p w14:paraId="5F56D459">
            <w:pPr>
              <w:spacing w:before="57" w:line="195" w:lineRule="auto"/>
              <w:ind w:left="403"/>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1.3.1</w:t>
            </w:r>
          </w:p>
        </w:tc>
        <w:tc>
          <w:tcPr>
            <w:tcW w:w="2888" w:type="dxa"/>
            <w:vAlign w:val="top"/>
          </w:tcPr>
          <w:p w14:paraId="0196FA6F">
            <w:pPr>
              <w:pStyle w:val="25"/>
              <w:spacing w:before="36" w:line="228" w:lineRule="auto"/>
              <w:ind w:left="111"/>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招标范围</w:t>
            </w:r>
          </w:p>
        </w:tc>
        <w:tc>
          <w:tcPr>
            <w:tcW w:w="5404" w:type="dxa"/>
            <w:vAlign w:val="top"/>
          </w:tcPr>
          <w:p w14:paraId="7C5A59CE">
            <w:pPr>
              <w:pStyle w:val="25"/>
              <w:spacing w:before="35" w:line="226" w:lineRule="auto"/>
              <w:ind w:left="116"/>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见招标公告或投标邀请书。</w:t>
            </w:r>
          </w:p>
        </w:tc>
      </w:tr>
      <w:tr w14:paraId="01979B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47" w:hRule="atLeast"/>
        </w:trPr>
        <w:tc>
          <w:tcPr>
            <w:tcW w:w="1181" w:type="dxa"/>
            <w:vAlign w:val="top"/>
          </w:tcPr>
          <w:p w14:paraId="71B8C88B">
            <w:pPr>
              <w:spacing w:line="276" w:lineRule="auto"/>
              <w:rPr>
                <w:rFonts w:hint="eastAsia" w:ascii="宋体" w:hAnsi="宋体" w:eastAsia="宋体" w:cs="宋体"/>
                <w:color w:val="auto"/>
                <w:sz w:val="24"/>
                <w:szCs w:val="24"/>
                <w:highlight w:val="none"/>
              </w:rPr>
            </w:pPr>
          </w:p>
          <w:p w14:paraId="49E531F1">
            <w:pPr>
              <w:spacing w:line="277" w:lineRule="auto"/>
              <w:rPr>
                <w:rFonts w:hint="eastAsia" w:ascii="宋体" w:hAnsi="宋体" w:eastAsia="宋体" w:cs="宋体"/>
                <w:color w:val="auto"/>
                <w:sz w:val="24"/>
                <w:szCs w:val="24"/>
                <w:highlight w:val="none"/>
              </w:rPr>
            </w:pPr>
          </w:p>
          <w:p w14:paraId="365F980E">
            <w:pPr>
              <w:spacing w:line="277" w:lineRule="auto"/>
              <w:rPr>
                <w:rFonts w:hint="eastAsia" w:ascii="宋体" w:hAnsi="宋体" w:eastAsia="宋体" w:cs="宋体"/>
                <w:color w:val="auto"/>
                <w:sz w:val="24"/>
                <w:szCs w:val="24"/>
                <w:highlight w:val="none"/>
              </w:rPr>
            </w:pPr>
          </w:p>
          <w:p w14:paraId="7E734211">
            <w:pPr>
              <w:spacing w:before="58" w:line="195" w:lineRule="auto"/>
              <w:ind w:left="40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1.3.2</w:t>
            </w:r>
          </w:p>
        </w:tc>
        <w:tc>
          <w:tcPr>
            <w:tcW w:w="2888" w:type="dxa"/>
            <w:vAlign w:val="top"/>
          </w:tcPr>
          <w:p w14:paraId="07D74990">
            <w:pPr>
              <w:spacing w:line="260" w:lineRule="auto"/>
              <w:rPr>
                <w:rFonts w:hint="eastAsia" w:ascii="宋体" w:hAnsi="宋体" w:eastAsia="宋体" w:cs="宋体"/>
                <w:color w:val="auto"/>
                <w:sz w:val="24"/>
                <w:szCs w:val="24"/>
                <w:highlight w:val="none"/>
              </w:rPr>
            </w:pPr>
          </w:p>
          <w:p w14:paraId="0786D6FB">
            <w:pPr>
              <w:spacing w:line="260" w:lineRule="auto"/>
              <w:rPr>
                <w:rFonts w:hint="eastAsia" w:ascii="宋体" w:hAnsi="宋体" w:eastAsia="宋体" w:cs="宋体"/>
                <w:color w:val="auto"/>
                <w:sz w:val="24"/>
                <w:szCs w:val="24"/>
                <w:highlight w:val="none"/>
              </w:rPr>
            </w:pPr>
          </w:p>
          <w:p w14:paraId="10D21009">
            <w:pPr>
              <w:spacing w:line="260" w:lineRule="auto"/>
              <w:rPr>
                <w:rFonts w:hint="eastAsia" w:ascii="宋体" w:hAnsi="宋体" w:eastAsia="宋体" w:cs="宋体"/>
                <w:color w:val="auto"/>
                <w:sz w:val="24"/>
                <w:szCs w:val="24"/>
                <w:highlight w:val="none"/>
              </w:rPr>
            </w:pPr>
          </w:p>
          <w:p w14:paraId="293ADC7C">
            <w:pPr>
              <w:pStyle w:val="25"/>
              <w:spacing w:before="65" w:line="228" w:lineRule="auto"/>
              <w:ind w:left="11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计划工期</w:t>
            </w:r>
          </w:p>
        </w:tc>
        <w:tc>
          <w:tcPr>
            <w:tcW w:w="5404" w:type="dxa"/>
            <w:vAlign w:val="top"/>
          </w:tcPr>
          <w:p w14:paraId="451CB5AE">
            <w:pPr>
              <w:pStyle w:val="25"/>
              <w:spacing w:before="33" w:line="228" w:lineRule="auto"/>
              <w:ind w:left="113"/>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计划工期：/个月或</w:t>
            </w:r>
            <w:r>
              <w:rPr>
                <w:rFonts w:hint="eastAsia" w:ascii="宋体" w:hAnsi="宋体" w:eastAsia="宋体" w:cs="宋体"/>
                <w:color w:val="auto"/>
                <w:spacing w:val="4"/>
                <w:sz w:val="24"/>
                <w:szCs w:val="24"/>
                <w:highlight w:val="none"/>
                <w:lang w:val="en-US" w:eastAsia="zh-CN"/>
              </w:rPr>
              <w:t>180</w:t>
            </w:r>
            <w:r>
              <w:rPr>
                <w:rFonts w:hint="eastAsia" w:ascii="宋体" w:hAnsi="宋体" w:eastAsia="宋体" w:cs="宋体"/>
                <w:color w:val="auto"/>
                <w:spacing w:val="4"/>
                <w:sz w:val="24"/>
                <w:szCs w:val="24"/>
                <w:highlight w:val="none"/>
              </w:rPr>
              <w:t>日历天</w:t>
            </w:r>
          </w:p>
          <w:p w14:paraId="02C510D1">
            <w:pPr>
              <w:pStyle w:val="25"/>
              <w:spacing w:before="160" w:line="228" w:lineRule="auto"/>
              <w:ind w:left="113"/>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计划开工日期：202</w:t>
            </w:r>
            <w:r>
              <w:rPr>
                <w:rFonts w:hint="eastAsia" w:ascii="宋体" w:hAnsi="宋体" w:eastAsia="宋体" w:cs="宋体"/>
                <w:color w:val="auto"/>
                <w:spacing w:val="4"/>
                <w:sz w:val="24"/>
                <w:szCs w:val="24"/>
                <w:highlight w:val="none"/>
                <w:lang w:val="en-US" w:eastAsia="zh-CN"/>
              </w:rPr>
              <w:t>6</w:t>
            </w:r>
            <w:r>
              <w:rPr>
                <w:rFonts w:hint="eastAsia" w:ascii="宋体" w:hAnsi="宋体" w:eastAsia="宋体" w:cs="宋体"/>
                <w:color w:val="auto"/>
                <w:spacing w:val="4"/>
                <w:sz w:val="24"/>
                <w:szCs w:val="24"/>
                <w:highlight w:val="none"/>
              </w:rPr>
              <w:t>年</w:t>
            </w:r>
            <w:r>
              <w:rPr>
                <w:rFonts w:hint="eastAsia" w:ascii="宋体" w:hAnsi="宋体" w:eastAsia="宋体" w:cs="宋体"/>
                <w:color w:val="auto"/>
                <w:spacing w:val="13"/>
                <w:sz w:val="24"/>
                <w:szCs w:val="24"/>
                <w:highlight w:val="none"/>
                <w:lang w:val="en-US" w:eastAsia="zh-CN"/>
              </w:rPr>
              <w:t>0</w:t>
            </w:r>
            <w:r>
              <w:rPr>
                <w:rFonts w:hint="eastAsia" w:ascii="宋体" w:hAnsi="宋体" w:eastAsia="宋体" w:cs="宋体"/>
                <w:color w:val="auto"/>
                <w:spacing w:val="4"/>
                <w:sz w:val="24"/>
                <w:szCs w:val="24"/>
                <w:highlight w:val="none"/>
              </w:rPr>
              <w:t>月日</w:t>
            </w:r>
          </w:p>
          <w:p w14:paraId="7E1E98A5">
            <w:pPr>
              <w:pStyle w:val="25"/>
              <w:spacing w:before="161" w:line="228" w:lineRule="auto"/>
              <w:ind w:left="113"/>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计划交工日期：202</w:t>
            </w:r>
            <w:r>
              <w:rPr>
                <w:rFonts w:hint="eastAsia" w:ascii="宋体" w:hAnsi="宋体" w:eastAsia="宋体" w:cs="宋体"/>
                <w:color w:val="auto"/>
                <w:spacing w:val="4"/>
                <w:sz w:val="24"/>
                <w:szCs w:val="24"/>
                <w:highlight w:val="none"/>
                <w:lang w:val="en-US" w:eastAsia="zh-CN"/>
              </w:rPr>
              <w:t xml:space="preserve"> </w:t>
            </w:r>
            <w:r>
              <w:rPr>
                <w:rFonts w:hint="eastAsia" w:ascii="宋体" w:hAnsi="宋体" w:eastAsia="宋体" w:cs="宋体"/>
                <w:color w:val="auto"/>
                <w:spacing w:val="4"/>
                <w:sz w:val="24"/>
                <w:szCs w:val="24"/>
                <w:highlight w:val="none"/>
              </w:rPr>
              <w:t>年</w:t>
            </w:r>
            <w:r>
              <w:rPr>
                <w:rFonts w:hint="eastAsia" w:ascii="宋体" w:hAnsi="宋体" w:eastAsia="宋体" w:cs="宋体"/>
                <w:color w:val="auto"/>
                <w:spacing w:val="4"/>
                <w:sz w:val="24"/>
                <w:szCs w:val="24"/>
                <w:highlight w:val="none"/>
                <w:lang w:val="en-US" w:eastAsia="zh-CN"/>
              </w:rPr>
              <w:t>0</w:t>
            </w:r>
            <w:r>
              <w:rPr>
                <w:rFonts w:hint="eastAsia" w:ascii="宋体" w:hAnsi="宋体" w:eastAsia="宋体" w:cs="宋体"/>
                <w:color w:val="auto"/>
                <w:spacing w:val="4"/>
                <w:sz w:val="24"/>
                <w:szCs w:val="24"/>
                <w:highlight w:val="none"/>
              </w:rPr>
              <w:t>月日</w:t>
            </w:r>
          </w:p>
          <w:p w14:paraId="5ADA2EE4">
            <w:pPr>
              <w:pStyle w:val="25"/>
              <w:spacing w:before="161" w:line="225" w:lineRule="auto"/>
              <w:ind w:left="122"/>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阶段工期要求②：/</w:t>
            </w:r>
          </w:p>
          <w:p w14:paraId="61D022BB">
            <w:pPr>
              <w:pStyle w:val="25"/>
              <w:spacing w:before="166" w:line="228" w:lineRule="auto"/>
              <w:ind w:left="113"/>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缺陷责任期：自实际交工日期起计算</w:t>
            </w:r>
            <w:r>
              <w:rPr>
                <w:rFonts w:hint="eastAsia" w:ascii="宋体" w:hAnsi="宋体" w:eastAsia="宋体" w:cs="宋体"/>
                <w:color w:val="auto"/>
                <w:spacing w:val="5"/>
                <w:sz w:val="24"/>
                <w:szCs w:val="24"/>
                <w:highlight w:val="none"/>
                <w:lang w:val="en-US" w:eastAsia="zh-CN"/>
              </w:rPr>
              <w:t>1</w:t>
            </w:r>
            <w:r>
              <w:rPr>
                <w:rFonts w:hint="eastAsia" w:ascii="宋体" w:hAnsi="宋体" w:eastAsia="宋体" w:cs="宋体"/>
                <w:color w:val="auto"/>
                <w:spacing w:val="5"/>
                <w:sz w:val="24"/>
                <w:szCs w:val="24"/>
                <w:highlight w:val="none"/>
              </w:rPr>
              <w:t>年。</w:t>
            </w:r>
          </w:p>
        </w:tc>
      </w:tr>
      <w:tr w14:paraId="4E1B75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1181" w:type="dxa"/>
            <w:vAlign w:val="top"/>
          </w:tcPr>
          <w:p w14:paraId="0A29ACD0">
            <w:pPr>
              <w:spacing w:before="55" w:line="195" w:lineRule="auto"/>
              <w:ind w:left="40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1.3.3</w:t>
            </w:r>
          </w:p>
        </w:tc>
        <w:tc>
          <w:tcPr>
            <w:tcW w:w="2888" w:type="dxa"/>
            <w:vAlign w:val="top"/>
          </w:tcPr>
          <w:p w14:paraId="3B69A105">
            <w:pPr>
              <w:pStyle w:val="25"/>
              <w:spacing w:before="34" w:line="228" w:lineRule="auto"/>
              <w:ind w:left="111"/>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质量要求</w:t>
            </w:r>
          </w:p>
        </w:tc>
        <w:tc>
          <w:tcPr>
            <w:tcW w:w="5404" w:type="dxa"/>
            <w:vAlign w:val="top"/>
          </w:tcPr>
          <w:p w14:paraId="52C00D10">
            <w:pPr>
              <w:pStyle w:val="25"/>
              <w:spacing w:before="33" w:line="228" w:lineRule="auto"/>
              <w:ind w:left="114"/>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标段工程交工验收的质量评定：合格</w:t>
            </w:r>
          </w:p>
          <w:p w14:paraId="4289AB16">
            <w:pPr>
              <w:pStyle w:val="25"/>
              <w:spacing w:before="161" w:line="228" w:lineRule="auto"/>
              <w:ind w:left="114"/>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竣工验收的质量评定：合格</w:t>
            </w:r>
          </w:p>
        </w:tc>
      </w:tr>
      <w:tr w14:paraId="032EBC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3" w:hRule="atLeast"/>
        </w:trPr>
        <w:tc>
          <w:tcPr>
            <w:tcW w:w="1181" w:type="dxa"/>
            <w:vAlign w:val="top"/>
          </w:tcPr>
          <w:p w14:paraId="40BA3668">
            <w:pPr>
              <w:spacing w:before="119" w:line="195" w:lineRule="auto"/>
              <w:ind w:left="132" w:firstLine="238" w:firstLineChars="1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1.3.4</w:t>
            </w:r>
          </w:p>
        </w:tc>
        <w:tc>
          <w:tcPr>
            <w:tcW w:w="2888" w:type="dxa"/>
            <w:vAlign w:val="top"/>
          </w:tcPr>
          <w:p w14:paraId="3B2D69AB">
            <w:pPr>
              <w:pStyle w:val="25"/>
              <w:spacing w:before="74" w:line="228" w:lineRule="auto"/>
              <w:ind w:left="114"/>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安全目标</w:t>
            </w:r>
          </w:p>
        </w:tc>
        <w:tc>
          <w:tcPr>
            <w:tcW w:w="5404" w:type="dxa"/>
            <w:vAlign w:val="top"/>
          </w:tcPr>
          <w:p w14:paraId="5D62A45A">
            <w:pPr>
              <w:pStyle w:val="25"/>
              <w:spacing w:before="73" w:line="228" w:lineRule="auto"/>
              <w:ind w:left="115"/>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无重大施工事故及无重大人员伤亡事故</w:t>
            </w:r>
          </w:p>
        </w:tc>
      </w:tr>
      <w:tr w14:paraId="130C1C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181" w:type="dxa"/>
            <w:vAlign w:val="top"/>
          </w:tcPr>
          <w:p w14:paraId="4A4426CF">
            <w:pPr>
              <w:spacing w:before="77" w:line="195" w:lineRule="auto"/>
              <w:ind w:left="403"/>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1.4.1</w:t>
            </w:r>
          </w:p>
        </w:tc>
        <w:tc>
          <w:tcPr>
            <w:tcW w:w="2888" w:type="dxa"/>
            <w:vAlign w:val="top"/>
          </w:tcPr>
          <w:p w14:paraId="7052E9A6">
            <w:pPr>
              <w:pStyle w:val="25"/>
              <w:spacing w:before="36" w:line="228" w:lineRule="auto"/>
              <w:ind w:left="113"/>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投标人资质条件、能力和信</w:t>
            </w:r>
            <w:r>
              <w:rPr>
                <w:rFonts w:hint="eastAsia" w:ascii="宋体" w:hAnsi="宋体" w:eastAsia="宋体" w:cs="宋体"/>
                <w:color w:val="auto"/>
                <w:spacing w:val="1"/>
                <w:sz w:val="24"/>
                <w:szCs w:val="24"/>
                <w:highlight w:val="none"/>
              </w:rPr>
              <w:t>誉</w:t>
            </w:r>
          </w:p>
        </w:tc>
        <w:tc>
          <w:tcPr>
            <w:tcW w:w="5404" w:type="dxa"/>
            <w:vAlign w:val="top"/>
          </w:tcPr>
          <w:p w14:paraId="213BC856">
            <w:pPr>
              <w:pStyle w:val="25"/>
              <w:spacing w:before="36" w:line="227" w:lineRule="auto"/>
              <w:ind w:left="122"/>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资质要求：见附录1</w:t>
            </w:r>
          </w:p>
        </w:tc>
      </w:tr>
    </w:tbl>
    <w:p w14:paraId="6272B1A1">
      <w:pPr>
        <w:pStyle w:val="4"/>
        <w:rPr>
          <w:rFonts w:hint="eastAsia" w:ascii="宋体" w:hAnsi="宋体" w:eastAsia="宋体" w:cs="宋体"/>
          <w:color w:val="auto"/>
          <w:sz w:val="24"/>
          <w:szCs w:val="24"/>
          <w:highlight w:val="none"/>
        </w:rPr>
      </w:pPr>
    </w:p>
    <w:p w14:paraId="3F0E2C41">
      <w:pPr>
        <w:rPr>
          <w:rFonts w:hint="eastAsia" w:ascii="宋体" w:hAnsi="宋体" w:eastAsia="宋体" w:cs="宋体"/>
          <w:color w:val="auto"/>
          <w:sz w:val="24"/>
          <w:szCs w:val="24"/>
          <w:highlight w:val="none"/>
        </w:rPr>
        <w:sectPr>
          <w:headerReference r:id="rId11" w:type="default"/>
          <w:footerReference r:id="rId12" w:type="default"/>
          <w:pgSz w:w="11907" w:h="16840"/>
          <w:pgMar w:top="1182" w:right="1114" w:bottom="1014" w:left="1620" w:header="849" w:footer="852" w:gutter="0"/>
          <w:pgNumType w:fmt="decimal"/>
          <w:cols w:space="720" w:num="1"/>
        </w:sectPr>
      </w:pPr>
    </w:p>
    <w:p w14:paraId="384A0F30">
      <w:pPr>
        <w:spacing w:before="16"/>
        <w:rPr>
          <w:rFonts w:hint="eastAsia" w:ascii="宋体" w:hAnsi="宋体" w:eastAsia="宋体" w:cs="宋体"/>
          <w:color w:val="auto"/>
          <w:sz w:val="24"/>
          <w:szCs w:val="24"/>
          <w:highlight w:val="none"/>
        </w:rPr>
      </w:pPr>
    </w:p>
    <w:tbl>
      <w:tblPr>
        <w:tblStyle w:val="24"/>
        <w:tblW w:w="916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81"/>
        <w:gridCol w:w="2774"/>
        <w:gridCol w:w="5212"/>
      </w:tblGrid>
      <w:tr w14:paraId="4D9E1C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52" w:hRule="atLeast"/>
        </w:trPr>
        <w:tc>
          <w:tcPr>
            <w:tcW w:w="1181" w:type="dxa"/>
            <w:vAlign w:val="top"/>
          </w:tcPr>
          <w:p w14:paraId="16198FE2">
            <w:pPr>
              <w:rPr>
                <w:rFonts w:hint="eastAsia" w:ascii="宋体" w:hAnsi="宋体" w:eastAsia="宋体" w:cs="宋体"/>
                <w:color w:val="auto"/>
                <w:sz w:val="24"/>
                <w:szCs w:val="24"/>
                <w:highlight w:val="none"/>
              </w:rPr>
            </w:pPr>
          </w:p>
        </w:tc>
        <w:tc>
          <w:tcPr>
            <w:tcW w:w="2774" w:type="dxa"/>
            <w:vAlign w:val="top"/>
          </w:tcPr>
          <w:p w14:paraId="54F61BF5">
            <w:pPr>
              <w:pStyle w:val="25"/>
              <w:spacing w:before="37" w:line="227" w:lineRule="auto"/>
              <w:rPr>
                <w:rFonts w:hint="eastAsia" w:ascii="宋体" w:hAnsi="宋体" w:eastAsia="宋体" w:cs="宋体"/>
                <w:color w:val="auto"/>
                <w:sz w:val="24"/>
                <w:szCs w:val="24"/>
                <w:highlight w:val="none"/>
              </w:rPr>
            </w:pPr>
          </w:p>
        </w:tc>
        <w:tc>
          <w:tcPr>
            <w:tcW w:w="5212" w:type="dxa"/>
            <w:vAlign w:val="top"/>
          </w:tcPr>
          <w:p w14:paraId="37C229D5">
            <w:pPr>
              <w:pStyle w:val="25"/>
              <w:spacing w:before="37" w:line="227" w:lineRule="auto"/>
              <w:ind w:left="114"/>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财务要求：见附录2</w:t>
            </w:r>
          </w:p>
          <w:p w14:paraId="653CD7C2">
            <w:pPr>
              <w:pStyle w:val="25"/>
              <w:spacing w:before="162" w:line="227" w:lineRule="auto"/>
              <w:ind w:left="112"/>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业绩要求：见附录3</w:t>
            </w:r>
          </w:p>
          <w:p w14:paraId="100BC39C">
            <w:pPr>
              <w:pStyle w:val="25"/>
              <w:spacing w:before="162" w:line="227" w:lineRule="auto"/>
              <w:ind w:left="113"/>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信誉要求：见附录4</w:t>
            </w:r>
          </w:p>
          <w:p w14:paraId="7FB82DEC">
            <w:pPr>
              <w:pStyle w:val="25"/>
              <w:spacing w:before="162" w:line="227" w:lineRule="auto"/>
              <w:ind w:left="116"/>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项目经理和项目总工资格：见附录5</w:t>
            </w:r>
          </w:p>
          <w:p w14:paraId="412C6073">
            <w:pPr>
              <w:pStyle w:val="25"/>
              <w:spacing w:before="162" w:line="225" w:lineRule="auto"/>
              <w:ind w:left="114"/>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其他要求⑤：见附录6、附录7</w:t>
            </w:r>
          </w:p>
        </w:tc>
      </w:tr>
    </w:tbl>
    <w:p w14:paraId="60DE6117">
      <w:pPr>
        <w:pStyle w:val="4"/>
        <w:spacing w:line="343" w:lineRule="auto"/>
        <w:rPr>
          <w:rFonts w:hint="eastAsia" w:ascii="宋体" w:hAnsi="宋体" w:eastAsia="宋体" w:cs="宋体"/>
          <w:color w:val="auto"/>
          <w:highlight w:val="none"/>
        </w:rPr>
      </w:pPr>
    </w:p>
    <w:p w14:paraId="671F5EFE">
      <w:pPr>
        <w:pStyle w:val="4"/>
        <w:spacing w:line="343" w:lineRule="auto"/>
        <w:rPr>
          <w:rFonts w:hint="eastAsia" w:ascii="宋体" w:hAnsi="宋体" w:eastAsia="宋体" w:cs="宋体"/>
          <w:color w:val="auto"/>
          <w:highlight w:val="none"/>
        </w:rPr>
      </w:pPr>
    </w:p>
    <w:p w14:paraId="119B220B">
      <w:pPr>
        <w:spacing w:before="65" w:line="377" w:lineRule="auto"/>
        <w:ind w:left="185" w:right="177" w:hanging="1"/>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①a.“投标人须知前附表”用于进一步明确正文中的未尽事宜，由招</w:t>
      </w:r>
      <w:r>
        <w:rPr>
          <w:rFonts w:hint="eastAsia" w:ascii="宋体" w:hAnsi="宋体" w:eastAsia="宋体" w:cs="宋体"/>
          <w:color w:val="auto"/>
          <w:spacing w:val="7"/>
          <w:sz w:val="20"/>
          <w:szCs w:val="20"/>
          <w:highlight w:val="none"/>
        </w:rPr>
        <w:t>标人根据招标项目具体特点</w:t>
      </w:r>
      <w:r>
        <w:rPr>
          <w:rFonts w:hint="eastAsia" w:ascii="宋体" w:hAnsi="宋体" w:eastAsia="宋体" w:cs="宋体"/>
          <w:color w:val="auto"/>
          <w:spacing w:val="9"/>
          <w:sz w:val="20"/>
          <w:szCs w:val="20"/>
          <w:highlight w:val="none"/>
        </w:rPr>
        <w:t>和实际需要编制和填写，且应与招标文件中其他章节相衔接，并不得与本章正文内容相抵触。</w:t>
      </w:r>
      <w:r>
        <w:rPr>
          <w:rFonts w:hint="eastAsia" w:ascii="宋体" w:hAnsi="宋体" w:eastAsia="宋体" w:cs="宋体"/>
          <w:color w:val="auto"/>
          <w:spacing w:val="8"/>
          <w:sz w:val="20"/>
          <w:szCs w:val="20"/>
          <w:highlight w:val="none"/>
        </w:rPr>
        <w:t>b.“投标人须知前附表”中的附录表格同属“投标人须知前附表”内容，具</w:t>
      </w:r>
      <w:r>
        <w:rPr>
          <w:rFonts w:hint="eastAsia" w:ascii="宋体" w:hAnsi="宋体" w:eastAsia="宋体" w:cs="宋体"/>
          <w:color w:val="auto"/>
          <w:spacing w:val="7"/>
          <w:sz w:val="20"/>
          <w:szCs w:val="20"/>
          <w:highlight w:val="none"/>
        </w:rPr>
        <w:t>有同等效力。</w:t>
      </w:r>
    </w:p>
    <w:p w14:paraId="02C7DA5D">
      <w:pPr>
        <w:spacing w:before="162" w:line="225" w:lineRule="auto"/>
        <w:ind w:left="183"/>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②招标人如有阶段工期要求，请在此补充。</w:t>
      </w:r>
    </w:p>
    <w:p w14:paraId="4B698566">
      <w:pPr>
        <w:spacing w:before="167" w:line="225" w:lineRule="auto"/>
        <w:ind w:left="183"/>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③招标人应根据招标项目具体特点和实际需要，对工程施工过程中的人员安全提出目标要求。</w:t>
      </w:r>
    </w:p>
    <w:p w14:paraId="226BD488">
      <w:pPr>
        <w:spacing w:before="164" w:line="225" w:lineRule="auto"/>
        <w:ind w:left="183"/>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④本项适用于未进行资格预审的情况。</w:t>
      </w:r>
    </w:p>
    <w:p w14:paraId="1A92F030">
      <w:pPr>
        <w:spacing w:before="163" w:line="327" w:lineRule="auto"/>
        <w:ind w:left="183" w:right="177"/>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⑤对于特别复杂的特大桥梁和特长隧道项目主体工程以及其他有特殊要求的工程，招标人还可增</w:t>
      </w:r>
      <w:r>
        <w:rPr>
          <w:rFonts w:hint="eastAsia" w:ascii="宋体" w:hAnsi="宋体" w:eastAsia="宋体" w:cs="宋体"/>
          <w:color w:val="auto"/>
          <w:spacing w:val="6"/>
          <w:sz w:val="20"/>
          <w:szCs w:val="20"/>
          <w:highlight w:val="none"/>
        </w:rPr>
        <w:t>加附录6、附录7对投标人的其他管理和技术人员（例如项目副经理、专业工程师等）以及主要</w:t>
      </w:r>
      <w:r>
        <w:rPr>
          <w:rFonts w:hint="eastAsia" w:ascii="宋体" w:hAnsi="宋体" w:eastAsia="宋体" w:cs="宋体"/>
          <w:color w:val="auto"/>
          <w:spacing w:val="8"/>
          <w:sz w:val="20"/>
          <w:szCs w:val="20"/>
          <w:highlight w:val="none"/>
        </w:rPr>
        <w:t>机械设备和试验检测设备提出要求。</w:t>
      </w:r>
    </w:p>
    <w:p w14:paraId="585757F0">
      <w:pPr>
        <w:spacing w:line="327" w:lineRule="auto"/>
        <w:rPr>
          <w:rFonts w:hint="eastAsia" w:ascii="宋体" w:hAnsi="宋体" w:eastAsia="宋体" w:cs="宋体"/>
          <w:color w:val="auto"/>
          <w:sz w:val="20"/>
          <w:szCs w:val="20"/>
          <w:highlight w:val="none"/>
        </w:rPr>
        <w:sectPr>
          <w:footerReference r:id="rId13" w:type="default"/>
          <w:pgSz w:w="11907" w:h="16840"/>
          <w:pgMar w:top="1182" w:right="1114" w:bottom="1014" w:left="1620" w:header="849" w:footer="852" w:gutter="0"/>
          <w:pgNumType w:fmt="decimal"/>
          <w:cols w:space="720" w:num="1"/>
        </w:sectPr>
      </w:pPr>
    </w:p>
    <w:p w14:paraId="58A9F30B">
      <w:pPr>
        <w:spacing w:before="16"/>
        <w:rPr>
          <w:rFonts w:hint="eastAsia" w:ascii="宋体" w:hAnsi="宋体" w:eastAsia="宋体" w:cs="宋体"/>
          <w:color w:val="auto"/>
          <w:highlight w:val="none"/>
        </w:rPr>
      </w:pPr>
    </w:p>
    <w:tbl>
      <w:tblPr>
        <w:tblStyle w:val="24"/>
        <w:tblW w:w="933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07"/>
        <w:gridCol w:w="2072"/>
        <w:gridCol w:w="6159"/>
      </w:tblGrid>
      <w:tr w14:paraId="3ADF16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5" w:hRule="atLeast"/>
        </w:trPr>
        <w:tc>
          <w:tcPr>
            <w:tcW w:w="1107" w:type="dxa"/>
            <w:vAlign w:val="top"/>
          </w:tcPr>
          <w:p w14:paraId="6E3FBE05">
            <w:pPr>
              <w:pStyle w:val="25"/>
              <w:spacing w:before="72" w:line="228" w:lineRule="auto"/>
              <w:ind w:left="244"/>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条款号</w:t>
            </w:r>
          </w:p>
        </w:tc>
        <w:tc>
          <w:tcPr>
            <w:tcW w:w="2072" w:type="dxa"/>
            <w:vAlign w:val="top"/>
          </w:tcPr>
          <w:p w14:paraId="21BE8A7C">
            <w:pPr>
              <w:pStyle w:val="25"/>
              <w:spacing w:before="72" w:line="228" w:lineRule="auto"/>
              <w:ind w:left="1016"/>
              <w:rPr>
                <w:rFonts w:hint="eastAsia" w:ascii="宋体" w:hAnsi="宋体" w:eastAsia="宋体" w:cs="宋体"/>
                <w:color w:val="auto"/>
                <w:sz w:val="24"/>
                <w:szCs w:val="24"/>
                <w:highlight w:val="none"/>
              </w:rPr>
            </w:pPr>
            <w:r>
              <w:rPr>
                <w:rFonts w:hint="eastAsia" w:ascii="宋体" w:hAnsi="宋体" w:eastAsia="宋体" w:cs="宋体"/>
                <w:b/>
                <w:bCs/>
                <w:color w:val="auto"/>
                <w:spacing w:val="6"/>
                <w:sz w:val="24"/>
                <w:szCs w:val="24"/>
                <w:highlight w:val="none"/>
              </w:rPr>
              <w:t>条款名称</w:t>
            </w:r>
          </w:p>
        </w:tc>
        <w:tc>
          <w:tcPr>
            <w:tcW w:w="6159" w:type="dxa"/>
            <w:vAlign w:val="top"/>
          </w:tcPr>
          <w:p w14:paraId="114413DE">
            <w:pPr>
              <w:pStyle w:val="25"/>
              <w:spacing w:before="72" w:line="228" w:lineRule="auto"/>
              <w:ind w:left="2183"/>
              <w:rPr>
                <w:rFonts w:hint="eastAsia" w:ascii="宋体" w:hAnsi="宋体" w:eastAsia="宋体" w:cs="宋体"/>
                <w:color w:val="auto"/>
                <w:sz w:val="24"/>
                <w:szCs w:val="24"/>
                <w:highlight w:val="none"/>
              </w:rPr>
            </w:pPr>
            <w:r>
              <w:rPr>
                <w:rFonts w:hint="eastAsia" w:ascii="宋体" w:hAnsi="宋体" w:eastAsia="宋体" w:cs="宋体"/>
                <w:b/>
                <w:bCs/>
                <w:color w:val="auto"/>
                <w:spacing w:val="6"/>
                <w:sz w:val="24"/>
                <w:szCs w:val="24"/>
                <w:highlight w:val="none"/>
              </w:rPr>
              <w:t>编列内容</w:t>
            </w:r>
          </w:p>
        </w:tc>
      </w:tr>
      <w:tr w14:paraId="25E464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0" w:hRule="atLeast"/>
        </w:trPr>
        <w:tc>
          <w:tcPr>
            <w:tcW w:w="1107" w:type="dxa"/>
            <w:vAlign w:val="top"/>
          </w:tcPr>
          <w:p w14:paraId="2917B0FF">
            <w:pPr>
              <w:spacing w:line="372" w:lineRule="auto"/>
              <w:rPr>
                <w:rFonts w:hint="eastAsia" w:ascii="宋体" w:hAnsi="宋体" w:eastAsia="宋体" w:cs="宋体"/>
                <w:color w:val="auto"/>
                <w:sz w:val="24"/>
                <w:szCs w:val="24"/>
                <w:highlight w:val="none"/>
              </w:rPr>
            </w:pPr>
          </w:p>
          <w:p w14:paraId="4131EC32">
            <w:pPr>
              <w:pStyle w:val="25"/>
              <w:spacing w:before="65" w:line="225" w:lineRule="auto"/>
              <w:ind w:left="25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1.4.2①</w:t>
            </w:r>
          </w:p>
        </w:tc>
        <w:tc>
          <w:tcPr>
            <w:tcW w:w="2072" w:type="dxa"/>
            <w:vAlign w:val="top"/>
          </w:tcPr>
          <w:p w14:paraId="74B39F4A">
            <w:pPr>
              <w:spacing w:line="372" w:lineRule="auto"/>
              <w:rPr>
                <w:rFonts w:hint="eastAsia" w:ascii="宋体" w:hAnsi="宋体" w:eastAsia="宋体" w:cs="宋体"/>
                <w:color w:val="auto"/>
                <w:sz w:val="24"/>
                <w:szCs w:val="24"/>
                <w:highlight w:val="none"/>
              </w:rPr>
            </w:pPr>
          </w:p>
          <w:p w14:paraId="427997C2">
            <w:pPr>
              <w:pStyle w:val="25"/>
              <w:spacing w:before="65" w:line="228" w:lineRule="auto"/>
              <w:ind w:left="116"/>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是否接受联合体投标</w:t>
            </w:r>
          </w:p>
        </w:tc>
        <w:tc>
          <w:tcPr>
            <w:tcW w:w="6159" w:type="dxa"/>
            <w:vAlign w:val="top"/>
          </w:tcPr>
          <w:p w14:paraId="5C851EDE">
            <w:pPr>
              <w:pStyle w:val="25"/>
              <w:spacing w:before="31" w:line="228" w:lineRule="auto"/>
              <w:ind w:left="121"/>
              <w:rPr>
                <w:rFonts w:hint="eastAsia" w:ascii="宋体" w:hAnsi="宋体" w:eastAsia="宋体" w:cs="宋体"/>
                <w:color w:val="auto"/>
                <w:spacing w:val="15"/>
                <w:sz w:val="24"/>
                <w:szCs w:val="24"/>
                <w:highlight w:val="none"/>
                <w:lang w:eastAsia="zh-CN"/>
              </w:rPr>
            </w:pPr>
            <w:r>
              <w:rPr>
                <w:rFonts w:hint="eastAsia" w:ascii="宋体" w:hAnsi="宋体" w:eastAsia="宋体" w:cs="宋体"/>
                <w:color w:val="auto"/>
                <w:spacing w:val="6"/>
                <w:sz w:val="24"/>
                <w:szCs w:val="24"/>
                <w:highlight w:val="none"/>
              </w:rPr>
              <w:t>☑不接受</w:t>
            </w:r>
          </w:p>
          <w:p w14:paraId="2D8FC36F">
            <w:pPr>
              <w:pStyle w:val="25"/>
              <w:spacing w:before="31" w:line="228" w:lineRule="auto"/>
              <w:ind w:left="121"/>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□接受，应满足下列要求：</w:t>
            </w:r>
          </w:p>
          <w:p w14:paraId="6924252C">
            <w:pPr>
              <w:pStyle w:val="25"/>
              <w:spacing w:before="160" w:line="228" w:lineRule="auto"/>
              <w:ind w:left="123"/>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（1）联合体所有成员数量不得超过</w:t>
            </w:r>
            <w:r>
              <w:rPr>
                <w:rFonts w:hint="eastAsia" w:ascii="宋体" w:hAnsi="宋体" w:eastAsia="宋体" w:cs="宋体"/>
                <w:color w:val="auto"/>
                <w:spacing w:val="5"/>
                <w:sz w:val="24"/>
                <w:szCs w:val="24"/>
                <w:highlight w:val="none"/>
                <w:u w:val="single" w:color="auto"/>
                <w:lang w:val="en-US" w:eastAsia="zh-CN"/>
              </w:rPr>
              <w:t xml:space="preserve">  </w:t>
            </w:r>
            <w:r>
              <w:rPr>
                <w:rFonts w:hint="eastAsia" w:ascii="宋体" w:hAnsi="宋体" w:eastAsia="宋体" w:cs="宋体"/>
                <w:color w:val="auto"/>
                <w:spacing w:val="5"/>
                <w:sz w:val="24"/>
                <w:szCs w:val="24"/>
                <w:highlight w:val="none"/>
                <w:u w:val="single" w:color="auto"/>
              </w:rPr>
              <w:t>/</w:t>
            </w:r>
            <w:r>
              <w:rPr>
                <w:rFonts w:hint="eastAsia" w:ascii="宋体" w:hAnsi="宋体" w:eastAsia="宋体" w:cs="宋体"/>
                <w:color w:val="auto"/>
                <w:spacing w:val="5"/>
                <w:sz w:val="24"/>
                <w:szCs w:val="24"/>
                <w:highlight w:val="none"/>
                <w:u w:val="single" w:color="auto"/>
                <w:lang w:val="en-US" w:eastAsia="zh-CN"/>
              </w:rPr>
              <w:t xml:space="preserve">  </w:t>
            </w:r>
            <w:r>
              <w:rPr>
                <w:rFonts w:hint="eastAsia" w:ascii="宋体" w:hAnsi="宋体" w:eastAsia="宋体" w:cs="宋体"/>
                <w:color w:val="auto"/>
                <w:spacing w:val="6"/>
                <w:sz w:val="24"/>
                <w:szCs w:val="24"/>
                <w:highlight w:val="none"/>
              </w:rPr>
              <w:t>家；</w:t>
            </w:r>
          </w:p>
          <w:p w14:paraId="114D70CB">
            <w:pPr>
              <w:pStyle w:val="25"/>
              <w:spacing w:before="161" w:line="227" w:lineRule="auto"/>
              <w:ind w:left="123"/>
              <w:rPr>
                <w:rFonts w:hint="eastAsia" w:ascii="宋体" w:hAnsi="宋体" w:eastAsia="宋体" w:cs="宋体"/>
                <w:color w:val="auto"/>
                <w:spacing w:val="-33"/>
                <w:sz w:val="24"/>
                <w:szCs w:val="24"/>
                <w:highlight w:val="none"/>
                <w:u w:val="single" w:color="auto"/>
                <w:lang w:val="en-US" w:eastAsia="zh-CN"/>
              </w:rPr>
            </w:pPr>
            <w:r>
              <w:rPr>
                <w:rFonts w:hint="eastAsia" w:ascii="宋体" w:hAnsi="宋体" w:eastAsia="宋体" w:cs="宋体"/>
                <w:color w:val="auto"/>
                <w:spacing w:val="5"/>
                <w:sz w:val="24"/>
                <w:szCs w:val="24"/>
                <w:highlight w:val="none"/>
              </w:rPr>
              <w:t>（2）联合体牵头人应具有</w:t>
            </w:r>
            <w:r>
              <w:rPr>
                <w:rFonts w:hint="eastAsia" w:ascii="宋体" w:hAnsi="宋体" w:eastAsia="宋体" w:cs="宋体"/>
                <w:color w:val="auto"/>
                <w:spacing w:val="5"/>
                <w:sz w:val="24"/>
                <w:szCs w:val="24"/>
                <w:highlight w:val="none"/>
                <w:u w:val="single" w:color="auto"/>
                <w:lang w:val="en-US" w:eastAsia="zh-CN"/>
              </w:rPr>
              <w:t xml:space="preserve">  </w:t>
            </w:r>
            <w:r>
              <w:rPr>
                <w:rFonts w:hint="eastAsia" w:ascii="宋体" w:hAnsi="宋体" w:eastAsia="宋体" w:cs="宋体"/>
                <w:color w:val="auto"/>
                <w:spacing w:val="5"/>
                <w:sz w:val="24"/>
                <w:szCs w:val="24"/>
                <w:highlight w:val="none"/>
                <w:u w:val="single" w:color="auto"/>
              </w:rPr>
              <w:t>/</w:t>
            </w:r>
            <w:r>
              <w:rPr>
                <w:rFonts w:hint="eastAsia" w:ascii="宋体" w:hAnsi="宋体" w:eastAsia="宋体" w:cs="宋体"/>
                <w:color w:val="auto"/>
                <w:spacing w:val="5"/>
                <w:sz w:val="24"/>
                <w:szCs w:val="24"/>
                <w:highlight w:val="none"/>
                <w:u w:val="single" w:color="auto"/>
                <w:lang w:val="en-US" w:eastAsia="zh-CN"/>
              </w:rPr>
              <w:t xml:space="preserve">  </w:t>
            </w:r>
          </w:p>
          <w:p w14:paraId="690081F2">
            <w:pPr>
              <w:pStyle w:val="25"/>
              <w:spacing w:before="161" w:line="227" w:lineRule="auto"/>
              <w:ind w:left="123"/>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资质；</w:t>
            </w:r>
          </w:p>
        </w:tc>
      </w:tr>
      <w:tr w14:paraId="56B608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3" w:hRule="atLeast"/>
        </w:trPr>
        <w:tc>
          <w:tcPr>
            <w:tcW w:w="1107" w:type="dxa"/>
            <w:vAlign w:val="top"/>
          </w:tcPr>
          <w:p w14:paraId="0BDEF93F">
            <w:pPr>
              <w:spacing w:line="246" w:lineRule="auto"/>
              <w:rPr>
                <w:rFonts w:hint="eastAsia" w:ascii="宋体" w:hAnsi="宋体" w:eastAsia="宋体" w:cs="宋体"/>
                <w:color w:val="auto"/>
                <w:sz w:val="24"/>
                <w:szCs w:val="24"/>
                <w:highlight w:val="none"/>
              </w:rPr>
            </w:pPr>
          </w:p>
          <w:p w14:paraId="1E735E8A">
            <w:pPr>
              <w:spacing w:line="247" w:lineRule="auto"/>
              <w:rPr>
                <w:rFonts w:hint="eastAsia" w:ascii="宋体" w:hAnsi="宋体" w:eastAsia="宋体" w:cs="宋体"/>
                <w:color w:val="auto"/>
                <w:sz w:val="24"/>
                <w:szCs w:val="24"/>
                <w:highlight w:val="none"/>
              </w:rPr>
            </w:pPr>
          </w:p>
          <w:p w14:paraId="4BD3ECF4">
            <w:pPr>
              <w:spacing w:line="247" w:lineRule="auto"/>
              <w:rPr>
                <w:rFonts w:hint="eastAsia" w:ascii="宋体" w:hAnsi="宋体" w:eastAsia="宋体" w:cs="宋体"/>
                <w:color w:val="auto"/>
                <w:sz w:val="24"/>
                <w:szCs w:val="24"/>
                <w:highlight w:val="none"/>
              </w:rPr>
            </w:pPr>
          </w:p>
          <w:p w14:paraId="6DC5578E">
            <w:pPr>
              <w:spacing w:line="247" w:lineRule="auto"/>
              <w:rPr>
                <w:rFonts w:hint="eastAsia" w:ascii="宋体" w:hAnsi="宋体" w:eastAsia="宋体" w:cs="宋体"/>
                <w:color w:val="auto"/>
                <w:sz w:val="24"/>
                <w:szCs w:val="24"/>
                <w:highlight w:val="none"/>
              </w:rPr>
            </w:pPr>
          </w:p>
          <w:p w14:paraId="51C5EE38">
            <w:pPr>
              <w:spacing w:line="247" w:lineRule="auto"/>
              <w:rPr>
                <w:rFonts w:hint="eastAsia" w:ascii="宋体" w:hAnsi="宋体" w:eastAsia="宋体" w:cs="宋体"/>
                <w:color w:val="auto"/>
                <w:sz w:val="24"/>
                <w:szCs w:val="24"/>
                <w:highlight w:val="none"/>
              </w:rPr>
            </w:pPr>
          </w:p>
          <w:p w14:paraId="1EA36916">
            <w:pPr>
              <w:spacing w:before="58" w:line="195" w:lineRule="auto"/>
              <w:ind w:left="36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1.4.3</w:t>
            </w:r>
          </w:p>
        </w:tc>
        <w:tc>
          <w:tcPr>
            <w:tcW w:w="2072" w:type="dxa"/>
            <w:vAlign w:val="top"/>
          </w:tcPr>
          <w:p w14:paraId="05330372">
            <w:pPr>
              <w:spacing w:line="245" w:lineRule="auto"/>
              <w:rPr>
                <w:rFonts w:hint="eastAsia" w:ascii="宋体" w:hAnsi="宋体" w:eastAsia="宋体" w:cs="宋体"/>
                <w:color w:val="auto"/>
                <w:sz w:val="24"/>
                <w:szCs w:val="24"/>
                <w:highlight w:val="none"/>
              </w:rPr>
            </w:pPr>
          </w:p>
          <w:p w14:paraId="59BF8993">
            <w:pPr>
              <w:spacing w:line="245" w:lineRule="auto"/>
              <w:rPr>
                <w:rFonts w:hint="eastAsia" w:ascii="宋体" w:hAnsi="宋体" w:eastAsia="宋体" w:cs="宋体"/>
                <w:color w:val="auto"/>
                <w:sz w:val="24"/>
                <w:szCs w:val="24"/>
                <w:highlight w:val="none"/>
              </w:rPr>
            </w:pPr>
          </w:p>
          <w:p w14:paraId="15023C56">
            <w:pPr>
              <w:spacing w:line="245" w:lineRule="auto"/>
              <w:rPr>
                <w:rFonts w:hint="eastAsia" w:ascii="宋体" w:hAnsi="宋体" w:eastAsia="宋体" w:cs="宋体"/>
                <w:color w:val="auto"/>
                <w:sz w:val="24"/>
                <w:szCs w:val="24"/>
                <w:highlight w:val="none"/>
              </w:rPr>
            </w:pPr>
          </w:p>
          <w:p w14:paraId="15038966">
            <w:pPr>
              <w:spacing w:line="245" w:lineRule="auto"/>
              <w:rPr>
                <w:rFonts w:hint="eastAsia" w:ascii="宋体" w:hAnsi="宋体" w:eastAsia="宋体" w:cs="宋体"/>
                <w:color w:val="auto"/>
                <w:sz w:val="24"/>
                <w:szCs w:val="24"/>
                <w:highlight w:val="none"/>
              </w:rPr>
            </w:pPr>
          </w:p>
          <w:p w14:paraId="74045041">
            <w:pPr>
              <w:pStyle w:val="25"/>
              <w:spacing w:before="65" w:line="378" w:lineRule="auto"/>
              <w:ind w:left="113" w:right="106" w:firstLine="1"/>
              <w:rPr>
                <w:rFonts w:hint="eastAsia" w:ascii="宋体" w:hAnsi="宋体" w:eastAsia="宋体" w:cs="宋体"/>
                <w:color w:val="auto"/>
                <w:sz w:val="24"/>
                <w:szCs w:val="24"/>
                <w:highlight w:val="none"/>
              </w:rPr>
            </w:pPr>
            <w:r>
              <w:rPr>
                <w:rFonts w:hint="eastAsia" w:ascii="宋体" w:hAnsi="宋体" w:eastAsia="宋体" w:cs="宋体"/>
                <w:color w:val="auto"/>
                <w:spacing w:val="19"/>
                <w:sz w:val="24"/>
                <w:szCs w:val="24"/>
                <w:highlight w:val="none"/>
              </w:rPr>
              <w:t>投标人不得存在的其他关联</w:t>
            </w:r>
            <w:r>
              <w:rPr>
                <w:rFonts w:hint="eastAsia" w:ascii="宋体" w:hAnsi="宋体" w:eastAsia="宋体" w:cs="宋体"/>
                <w:color w:val="auto"/>
                <w:spacing w:val="4"/>
                <w:sz w:val="24"/>
                <w:szCs w:val="24"/>
                <w:highlight w:val="none"/>
              </w:rPr>
              <w:t>情形</w:t>
            </w:r>
          </w:p>
        </w:tc>
        <w:tc>
          <w:tcPr>
            <w:tcW w:w="6159" w:type="dxa"/>
            <w:vAlign w:val="top"/>
          </w:tcPr>
          <w:p w14:paraId="46CAC1F4">
            <w:pPr>
              <w:pStyle w:val="25"/>
              <w:spacing w:before="32" w:line="372" w:lineRule="auto"/>
              <w:ind w:right="109"/>
              <w:jc w:val="both"/>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具有投资参股关系的关联企业，或具有直接管</w:t>
            </w:r>
            <w:r>
              <w:rPr>
                <w:rFonts w:hint="eastAsia" w:ascii="宋体" w:hAnsi="宋体" w:eastAsia="宋体" w:cs="宋体"/>
                <w:color w:val="auto"/>
                <w:spacing w:val="6"/>
                <w:sz w:val="24"/>
                <w:szCs w:val="24"/>
                <w:highlight w:val="none"/>
              </w:rPr>
              <w:t>理和被管</w:t>
            </w:r>
            <w:r>
              <w:rPr>
                <w:rFonts w:hint="eastAsia" w:ascii="宋体" w:hAnsi="宋体" w:eastAsia="宋体" w:cs="宋体"/>
                <w:color w:val="auto"/>
                <w:spacing w:val="7"/>
                <w:sz w:val="24"/>
                <w:szCs w:val="24"/>
                <w:highlight w:val="none"/>
              </w:rPr>
              <w:t>理关系的母子公司，或同一母公司的子公司，或法定代</w:t>
            </w:r>
            <w:r>
              <w:rPr>
                <w:rFonts w:hint="eastAsia" w:ascii="宋体" w:hAnsi="宋体" w:eastAsia="宋体" w:cs="宋体"/>
                <w:color w:val="auto"/>
                <w:spacing w:val="16"/>
                <w:sz w:val="24"/>
                <w:szCs w:val="24"/>
                <w:highlight w:val="none"/>
              </w:rPr>
              <w:t>表人为同一人的两个及两个以上法人不得同时对同一</w:t>
            </w:r>
            <w:r>
              <w:rPr>
                <w:rFonts w:hint="eastAsia" w:ascii="宋体" w:hAnsi="宋体" w:eastAsia="宋体" w:cs="宋体"/>
                <w:color w:val="auto"/>
                <w:spacing w:val="7"/>
                <w:sz w:val="24"/>
                <w:szCs w:val="24"/>
                <w:highlight w:val="none"/>
              </w:rPr>
              <w:t>标段投标，否则均按废标处理。国务院国有资产监督管理机构直接监管的中央企业均不属于本条规定的“母</w:t>
            </w:r>
            <w:r>
              <w:rPr>
                <w:rFonts w:hint="eastAsia" w:ascii="宋体" w:hAnsi="宋体" w:eastAsia="宋体" w:cs="宋体"/>
                <w:color w:val="auto"/>
                <w:spacing w:val="-6"/>
                <w:sz w:val="24"/>
                <w:szCs w:val="24"/>
                <w:highlight w:val="none"/>
              </w:rPr>
              <w:t>公司”，其一级子公司可同时对同一标段投标，</w:t>
            </w:r>
            <w:r>
              <w:rPr>
                <w:rFonts w:hint="eastAsia" w:ascii="宋体" w:hAnsi="宋体" w:eastAsia="宋体" w:cs="宋体"/>
                <w:color w:val="auto"/>
                <w:spacing w:val="5"/>
                <w:sz w:val="24"/>
                <w:szCs w:val="24"/>
                <w:highlight w:val="none"/>
              </w:rPr>
              <w:t>但同属一</w:t>
            </w:r>
            <w:r>
              <w:rPr>
                <w:rFonts w:hint="eastAsia" w:ascii="宋体" w:hAnsi="宋体" w:eastAsia="宋体" w:cs="宋体"/>
                <w:color w:val="auto"/>
                <w:spacing w:val="9"/>
                <w:sz w:val="24"/>
                <w:szCs w:val="24"/>
                <w:highlight w:val="none"/>
              </w:rPr>
              <w:t>个子公司的二级子公司不得同时对同一标段投标</w:t>
            </w:r>
          </w:p>
        </w:tc>
      </w:tr>
      <w:tr w14:paraId="0DEB44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1107" w:type="dxa"/>
            <w:vAlign w:val="top"/>
          </w:tcPr>
          <w:p w14:paraId="39315B39">
            <w:pPr>
              <w:spacing w:before="282" w:line="195" w:lineRule="auto"/>
              <w:ind w:left="36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1.4.4</w:t>
            </w:r>
          </w:p>
        </w:tc>
        <w:tc>
          <w:tcPr>
            <w:tcW w:w="2072" w:type="dxa"/>
            <w:vAlign w:val="top"/>
          </w:tcPr>
          <w:p w14:paraId="5EE6016F">
            <w:pPr>
              <w:pStyle w:val="25"/>
              <w:spacing w:before="32" w:line="360" w:lineRule="auto"/>
              <w:ind w:left="112" w:right="106" w:firstLine="2"/>
              <w:rPr>
                <w:rFonts w:hint="eastAsia" w:ascii="宋体" w:hAnsi="宋体" w:eastAsia="宋体" w:cs="宋体"/>
                <w:color w:val="auto"/>
                <w:sz w:val="24"/>
                <w:szCs w:val="24"/>
                <w:highlight w:val="none"/>
              </w:rPr>
            </w:pPr>
            <w:r>
              <w:rPr>
                <w:rFonts w:hint="eastAsia" w:ascii="宋体" w:hAnsi="宋体" w:eastAsia="宋体" w:cs="宋体"/>
                <w:color w:val="auto"/>
                <w:spacing w:val="19"/>
                <w:sz w:val="24"/>
                <w:szCs w:val="24"/>
                <w:highlight w:val="none"/>
              </w:rPr>
              <w:t>投标人不得存在的其他不良</w:t>
            </w:r>
            <w:r>
              <w:rPr>
                <w:rFonts w:hint="eastAsia" w:ascii="宋体" w:hAnsi="宋体" w:eastAsia="宋体" w:cs="宋体"/>
                <w:color w:val="auto"/>
                <w:spacing w:val="8"/>
                <w:sz w:val="24"/>
                <w:szCs w:val="24"/>
                <w:highlight w:val="none"/>
              </w:rPr>
              <w:t>状况或不良信用记录</w:t>
            </w:r>
          </w:p>
        </w:tc>
        <w:tc>
          <w:tcPr>
            <w:tcW w:w="6159" w:type="dxa"/>
            <w:vAlign w:val="top"/>
          </w:tcPr>
          <w:p w14:paraId="142F78A7">
            <w:pPr>
              <w:pStyle w:val="25"/>
              <w:spacing w:before="236" w:line="228" w:lineRule="auto"/>
              <w:ind w:left="115"/>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详见投标人须知总则1.4.4项</w:t>
            </w:r>
          </w:p>
        </w:tc>
      </w:tr>
      <w:tr w14:paraId="067BF6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1107" w:type="dxa"/>
            <w:vAlign w:val="top"/>
          </w:tcPr>
          <w:p w14:paraId="54C29984">
            <w:pPr>
              <w:spacing w:before="280" w:line="195" w:lineRule="auto"/>
              <w:ind w:left="36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1.9.1</w:t>
            </w:r>
          </w:p>
        </w:tc>
        <w:tc>
          <w:tcPr>
            <w:tcW w:w="2072" w:type="dxa"/>
            <w:vAlign w:val="top"/>
          </w:tcPr>
          <w:p w14:paraId="5EC0E47D">
            <w:pPr>
              <w:pStyle w:val="25"/>
              <w:spacing w:before="237" w:line="228" w:lineRule="auto"/>
              <w:ind w:left="113"/>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踏勘现场</w:t>
            </w:r>
          </w:p>
        </w:tc>
        <w:tc>
          <w:tcPr>
            <w:tcW w:w="6159" w:type="dxa"/>
            <w:vAlign w:val="top"/>
          </w:tcPr>
          <w:p w14:paraId="20B1FAC8">
            <w:pPr>
              <w:pStyle w:val="25"/>
              <w:keepNext w:val="0"/>
              <w:keepLines w:val="0"/>
              <w:pageBreakBefore w:val="0"/>
              <w:widowControl/>
              <w:kinsoku w:val="0"/>
              <w:wordWrap/>
              <w:overflowPunct/>
              <w:topLinePunct w:val="0"/>
              <w:autoSpaceDE w:val="0"/>
              <w:autoSpaceDN w:val="0"/>
              <w:bidi w:val="0"/>
              <w:adjustRightInd w:val="0"/>
              <w:snapToGrid w:val="0"/>
              <w:spacing w:before="33" w:line="360" w:lineRule="auto"/>
              <w:ind w:left="121"/>
              <w:textAlignment w:val="baseline"/>
              <w:rPr>
                <w:rFonts w:hint="eastAsia" w:ascii="宋体" w:hAnsi="宋体" w:eastAsia="宋体" w:cs="宋体"/>
                <w:color w:val="auto"/>
                <w:spacing w:val="15"/>
                <w:sz w:val="24"/>
                <w:szCs w:val="24"/>
                <w:highlight w:val="none"/>
                <w:lang w:eastAsia="zh-CN"/>
              </w:rPr>
            </w:pPr>
            <w:r>
              <w:rPr>
                <w:rFonts w:hint="eastAsia" w:ascii="宋体" w:hAnsi="宋体" w:eastAsia="宋体" w:cs="宋体"/>
                <w:color w:val="auto"/>
                <w:spacing w:val="5"/>
                <w:sz w:val="24"/>
                <w:szCs w:val="24"/>
                <w:highlight w:val="none"/>
              </w:rPr>
              <w:t>☑不组织</w:t>
            </w:r>
          </w:p>
          <w:p w14:paraId="211FCB46">
            <w:pPr>
              <w:pStyle w:val="25"/>
              <w:keepNext w:val="0"/>
              <w:keepLines w:val="0"/>
              <w:pageBreakBefore w:val="0"/>
              <w:widowControl/>
              <w:kinsoku w:val="0"/>
              <w:wordWrap/>
              <w:overflowPunct/>
              <w:topLinePunct w:val="0"/>
              <w:autoSpaceDE w:val="0"/>
              <w:autoSpaceDN w:val="0"/>
              <w:bidi w:val="0"/>
              <w:adjustRightInd w:val="0"/>
              <w:snapToGrid w:val="0"/>
              <w:spacing w:before="33" w:line="360" w:lineRule="auto"/>
              <w:ind w:left="121"/>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5"/>
                <w:sz w:val="24"/>
                <w:szCs w:val="24"/>
                <w:highlight w:val="none"/>
              </w:rPr>
              <w:t>□组织，踏勘时间：</w:t>
            </w:r>
            <w:r>
              <w:rPr>
                <w:rFonts w:hint="eastAsia" w:ascii="宋体" w:hAnsi="宋体" w:eastAsia="宋体" w:cs="宋体"/>
                <w:color w:val="auto"/>
                <w:spacing w:val="5"/>
                <w:sz w:val="24"/>
                <w:szCs w:val="24"/>
                <w:highlight w:val="none"/>
                <w:u w:val="single" w:color="auto"/>
                <w:lang w:val="en-US" w:eastAsia="zh-CN"/>
              </w:rPr>
              <w:t xml:space="preserve">  </w:t>
            </w:r>
            <w:r>
              <w:rPr>
                <w:rFonts w:hint="eastAsia" w:ascii="宋体" w:hAnsi="宋体" w:eastAsia="宋体" w:cs="宋体"/>
                <w:color w:val="auto"/>
                <w:spacing w:val="5"/>
                <w:sz w:val="24"/>
                <w:szCs w:val="24"/>
                <w:highlight w:val="none"/>
                <w:u w:val="single" w:color="auto"/>
              </w:rPr>
              <w:t>/</w:t>
            </w:r>
            <w:r>
              <w:rPr>
                <w:rFonts w:hint="eastAsia" w:ascii="宋体" w:hAnsi="宋体" w:eastAsia="宋体" w:cs="宋体"/>
                <w:color w:val="auto"/>
                <w:spacing w:val="5"/>
                <w:sz w:val="24"/>
                <w:szCs w:val="24"/>
                <w:highlight w:val="none"/>
                <w:u w:val="single" w:color="auto"/>
                <w:lang w:val="en-US" w:eastAsia="zh-CN"/>
              </w:rPr>
              <w:t xml:space="preserve">  </w:t>
            </w:r>
          </w:p>
          <w:p w14:paraId="35C26274">
            <w:pPr>
              <w:pStyle w:val="25"/>
              <w:keepNext w:val="0"/>
              <w:keepLines w:val="0"/>
              <w:pageBreakBefore w:val="0"/>
              <w:widowControl/>
              <w:kinsoku w:val="0"/>
              <w:wordWrap/>
              <w:overflowPunct/>
              <w:topLinePunct w:val="0"/>
              <w:autoSpaceDE w:val="0"/>
              <w:autoSpaceDN w:val="0"/>
              <w:bidi w:val="0"/>
              <w:adjustRightInd w:val="0"/>
              <w:snapToGrid w:val="0"/>
              <w:spacing w:before="160" w:line="360" w:lineRule="auto"/>
              <w:ind w:left="113"/>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7"/>
                <w:sz w:val="24"/>
                <w:szCs w:val="24"/>
                <w:highlight w:val="none"/>
              </w:rPr>
              <w:t>踏勘集中地点：</w:t>
            </w:r>
            <w:r>
              <w:rPr>
                <w:rFonts w:hint="eastAsia" w:ascii="宋体" w:hAnsi="宋体" w:eastAsia="宋体" w:cs="宋体"/>
                <w:color w:val="auto"/>
                <w:spacing w:val="5"/>
                <w:sz w:val="24"/>
                <w:szCs w:val="24"/>
                <w:highlight w:val="none"/>
                <w:u w:val="single" w:color="auto"/>
                <w:lang w:val="en-US" w:eastAsia="zh-CN"/>
              </w:rPr>
              <w:t xml:space="preserve">  </w:t>
            </w:r>
            <w:r>
              <w:rPr>
                <w:rFonts w:hint="eastAsia" w:ascii="宋体" w:hAnsi="宋体" w:eastAsia="宋体" w:cs="宋体"/>
                <w:color w:val="auto"/>
                <w:spacing w:val="5"/>
                <w:sz w:val="24"/>
                <w:szCs w:val="24"/>
                <w:highlight w:val="none"/>
                <w:u w:val="single" w:color="auto"/>
              </w:rPr>
              <w:t>/</w:t>
            </w:r>
            <w:r>
              <w:rPr>
                <w:rFonts w:hint="eastAsia" w:ascii="宋体" w:hAnsi="宋体" w:eastAsia="宋体" w:cs="宋体"/>
                <w:color w:val="auto"/>
                <w:spacing w:val="5"/>
                <w:sz w:val="24"/>
                <w:szCs w:val="24"/>
                <w:highlight w:val="none"/>
                <w:u w:val="single" w:color="auto"/>
                <w:lang w:val="en-US" w:eastAsia="zh-CN"/>
              </w:rPr>
              <w:t xml:space="preserve">  </w:t>
            </w:r>
          </w:p>
        </w:tc>
      </w:tr>
      <w:tr w14:paraId="58F1A9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1107" w:type="dxa"/>
            <w:vAlign w:val="top"/>
          </w:tcPr>
          <w:p w14:paraId="696C4EB1">
            <w:pPr>
              <w:spacing w:before="281" w:line="195" w:lineRule="auto"/>
              <w:ind w:left="31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1.10.1</w:t>
            </w:r>
          </w:p>
        </w:tc>
        <w:tc>
          <w:tcPr>
            <w:tcW w:w="2072" w:type="dxa"/>
            <w:vAlign w:val="top"/>
          </w:tcPr>
          <w:p w14:paraId="678AE5FB">
            <w:pPr>
              <w:pStyle w:val="25"/>
              <w:spacing w:before="236" w:line="227" w:lineRule="auto"/>
              <w:ind w:left="115"/>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投标预备会</w:t>
            </w:r>
          </w:p>
        </w:tc>
        <w:tc>
          <w:tcPr>
            <w:tcW w:w="6159" w:type="dxa"/>
            <w:vAlign w:val="top"/>
          </w:tcPr>
          <w:p w14:paraId="65861B45">
            <w:pPr>
              <w:pStyle w:val="25"/>
              <w:spacing w:before="32" w:line="229" w:lineRule="auto"/>
              <w:ind w:left="121"/>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☑不召开</w:t>
            </w:r>
          </w:p>
          <w:p w14:paraId="43B3B005">
            <w:pPr>
              <w:pStyle w:val="25"/>
              <w:spacing w:before="159" w:line="229" w:lineRule="auto"/>
              <w:ind w:left="134"/>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□召开</w:t>
            </w:r>
            <w:r>
              <w:rPr>
                <w:rFonts w:hint="eastAsia" w:ascii="宋体" w:hAnsi="宋体" w:eastAsia="宋体" w:cs="宋体"/>
                <w:color w:val="auto"/>
                <w:spacing w:val="5"/>
                <w:sz w:val="24"/>
                <w:szCs w:val="24"/>
                <w:highlight w:val="none"/>
                <w:u w:val="single" w:color="auto"/>
                <w:lang w:val="en-US" w:eastAsia="zh-CN"/>
              </w:rPr>
              <w:t xml:space="preserve">  </w:t>
            </w:r>
            <w:r>
              <w:rPr>
                <w:rFonts w:hint="eastAsia" w:ascii="宋体" w:hAnsi="宋体" w:eastAsia="宋体" w:cs="宋体"/>
                <w:color w:val="auto"/>
                <w:spacing w:val="5"/>
                <w:sz w:val="24"/>
                <w:szCs w:val="24"/>
                <w:highlight w:val="none"/>
                <w:u w:val="single" w:color="auto"/>
              </w:rPr>
              <w:t>/</w:t>
            </w:r>
            <w:r>
              <w:rPr>
                <w:rFonts w:hint="eastAsia" w:ascii="宋体" w:hAnsi="宋体" w:eastAsia="宋体" w:cs="宋体"/>
                <w:color w:val="auto"/>
                <w:spacing w:val="5"/>
                <w:sz w:val="24"/>
                <w:szCs w:val="24"/>
                <w:highlight w:val="none"/>
                <w:u w:val="single" w:color="auto"/>
                <w:lang w:val="en-US" w:eastAsia="zh-CN"/>
              </w:rPr>
              <w:t xml:space="preserve">  </w:t>
            </w:r>
          </w:p>
        </w:tc>
      </w:tr>
      <w:tr w14:paraId="5760F3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8" w:hRule="atLeast"/>
        </w:trPr>
        <w:tc>
          <w:tcPr>
            <w:tcW w:w="1107" w:type="dxa"/>
            <w:vAlign w:val="top"/>
          </w:tcPr>
          <w:p w14:paraId="6986F66D">
            <w:pPr>
              <w:spacing w:line="313" w:lineRule="auto"/>
              <w:rPr>
                <w:rFonts w:hint="eastAsia" w:ascii="宋体" w:hAnsi="宋体" w:eastAsia="宋体" w:cs="宋体"/>
                <w:color w:val="auto"/>
                <w:sz w:val="24"/>
                <w:szCs w:val="24"/>
                <w:highlight w:val="none"/>
              </w:rPr>
            </w:pPr>
          </w:p>
          <w:p w14:paraId="667F64D3">
            <w:pPr>
              <w:spacing w:line="314" w:lineRule="auto"/>
              <w:rPr>
                <w:rFonts w:hint="eastAsia" w:ascii="宋体" w:hAnsi="宋体" w:eastAsia="宋体" w:cs="宋体"/>
                <w:color w:val="auto"/>
                <w:sz w:val="24"/>
                <w:szCs w:val="24"/>
                <w:highlight w:val="none"/>
              </w:rPr>
            </w:pPr>
          </w:p>
          <w:p w14:paraId="0D417EE4">
            <w:pPr>
              <w:spacing w:before="57" w:line="195" w:lineRule="auto"/>
              <w:ind w:left="31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1.10.2</w:t>
            </w:r>
          </w:p>
        </w:tc>
        <w:tc>
          <w:tcPr>
            <w:tcW w:w="2072" w:type="dxa"/>
            <w:vAlign w:val="top"/>
          </w:tcPr>
          <w:p w14:paraId="085E1589">
            <w:pPr>
              <w:spacing w:line="374" w:lineRule="auto"/>
              <w:rPr>
                <w:rFonts w:hint="eastAsia" w:ascii="宋体" w:hAnsi="宋体" w:eastAsia="宋体" w:cs="宋体"/>
                <w:color w:val="auto"/>
                <w:sz w:val="24"/>
                <w:szCs w:val="24"/>
                <w:highlight w:val="none"/>
              </w:rPr>
            </w:pPr>
          </w:p>
          <w:p w14:paraId="682F7651">
            <w:pPr>
              <w:pStyle w:val="25"/>
              <w:spacing w:before="65" w:line="379" w:lineRule="auto"/>
              <w:ind w:left="136" w:right="106" w:hanging="21"/>
              <w:rPr>
                <w:rFonts w:hint="eastAsia" w:ascii="宋体" w:hAnsi="宋体" w:eastAsia="宋体" w:cs="宋体"/>
                <w:color w:val="auto"/>
                <w:sz w:val="24"/>
                <w:szCs w:val="24"/>
                <w:highlight w:val="none"/>
              </w:rPr>
            </w:pPr>
            <w:r>
              <w:rPr>
                <w:rFonts w:hint="eastAsia" w:ascii="宋体" w:hAnsi="宋体" w:eastAsia="宋体" w:cs="宋体"/>
                <w:color w:val="auto"/>
                <w:spacing w:val="19"/>
                <w:sz w:val="24"/>
                <w:szCs w:val="24"/>
                <w:highlight w:val="none"/>
              </w:rPr>
              <w:t>投标人在投标预备会前提出</w:t>
            </w:r>
            <w:r>
              <w:rPr>
                <w:rFonts w:hint="eastAsia" w:ascii="宋体" w:hAnsi="宋体" w:eastAsia="宋体" w:cs="宋体"/>
                <w:color w:val="auto"/>
                <w:spacing w:val="-7"/>
                <w:sz w:val="24"/>
                <w:szCs w:val="24"/>
                <w:highlight w:val="none"/>
              </w:rPr>
              <w:t>问题</w:t>
            </w:r>
          </w:p>
        </w:tc>
        <w:tc>
          <w:tcPr>
            <w:tcW w:w="6159" w:type="dxa"/>
            <w:vAlign w:val="top"/>
          </w:tcPr>
          <w:p w14:paraId="76C6AB39">
            <w:pPr>
              <w:pStyle w:val="25"/>
              <w:spacing w:before="33" w:line="230" w:lineRule="auto"/>
              <w:ind w:left="122"/>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rPr>
              <w:t>时间：</w:t>
            </w:r>
            <w:r>
              <w:rPr>
                <w:rFonts w:hint="eastAsia" w:ascii="宋体" w:hAnsi="宋体" w:eastAsia="宋体" w:cs="宋体"/>
                <w:color w:val="auto"/>
                <w:spacing w:val="5"/>
                <w:sz w:val="24"/>
                <w:szCs w:val="24"/>
                <w:highlight w:val="none"/>
                <w:u w:val="single" w:color="auto"/>
                <w:lang w:val="en-US" w:eastAsia="zh-CN"/>
              </w:rPr>
              <w:t xml:space="preserve">  </w:t>
            </w:r>
            <w:r>
              <w:rPr>
                <w:rFonts w:hint="eastAsia" w:ascii="宋体" w:hAnsi="宋体" w:eastAsia="宋体" w:cs="宋体"/>
                <w:color w:val="auto"/>
                <w:spacing w:val="5"/>
                <w:sz w:val="24"/>
                <w:szCs w:val="24"/>
                <w:highlight w:val="none"/>
                <w:u w:val="single" w:color="auto"/>
              </w:rPr>
              <w:t>/</w:t>
            </w:r>
            <w:r>
              <w:rPr>
                <w:rFonts w:hint="eastAsia" w:ascii="宋体" w:hAnsi="宋体" w:eastAsia="宋体" w:cs="宋体"/>
                <w:color w:val="auto"/>
                <w:spacing w:val="5"/>
                <w:sz w:val="24"/>
                <w:szCs w:val="24"/>
                <w:highlight w:val="none"/>
                <w:u w:val="single" w:color="auto"/>
                <w:lang w:val="en-US" w:eastAsia="zh-CN"/>
              </w:rPr>
              <w:t xml:space="preserve">  </w:t>
            </w:r>
          </w:p>
          <w:p w14:paraId="42A83298">
            <w:pPr>
              <w:pStyle w:val="25"/>
              <w:keepNext w:val="0"/>
              <w:keepLines w:val="0"/>
              <w:pageBreakBefore w:val="0"/>
              <w:widowControl/>
              <w:kinsoku w:val="0"/>
              <w:wordWrap/>
              <w:overflowPunct/>
              <w:topLinePunct w:val="0"/>
              <w:autoSpaceDE w:val="0"/>
              <w:autoSpaceDN w:val="0"/>
              <w:bidi w:val="0"/>
              <w:adjustRightInd w:val="0"/>
              <w:snapToGrid w:val="0"/>
              <w:spacing w:before="159" w:line="365" w:lineRule="auto"/>
              <w:ind w:left="113" w:right="0" w:firstLine="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形式：如有疑问，应在规定的时间前，使用</w:t>
            </w:r>
            <w:r>
              <w:rPr>
                <w:rFonts w:hint="eastAsia" w:ascii="宋体" w:hAnsi="宋体" w:eastAsia="宋体" w:cs="宋体"/>
                <w:color w:val="auto"/>
                <w:sz w:val="24"/>
                <w:szCs w:val="24"/>
                <w:highlight w:val="none"/>
              </w:rPr>
              <w:t>CA</w:t>
            </w:r>
            <w:r>
              <w:rPr>
                <w:rFonts w:hint="eastAsia" w:ascii="宋体" w:hAnsi="宋体" w:eastAsia="宋体" w:cs="宋体"/>
                <w:color w:val="auto"/>
                <w:spacing w:val="12"/>
                <w:sz w:val="24"/>
                <w:szCs w:val="24"/>
                <w:highlight w:val="none"/>
              </w:rPr>
              <w:t>数字</w:t>
            </w:r>
            <w:r>
              <w:rPr>
                <w:rFonts w:hint="eastAsia" w:ascii="宋体" w:hAnsi="宋体" w:eastAsia="宋体" w:cs="宋体"/>
                <w:color w:val="auto"/>
                <w:spacing w:val="2"/>
                <w:sz w:val="24"/>
                <w:szCs w:val="24"/>
                <w:highlight w:val="none"/>
              </w:rPr>
              <w:t>证书登录“电子交易平台”，在“网上提问”菜单以书</w:t>
            </w:r>
            <w:r>
              <w:rPr>
                <w:rFonts w:hint="eastAsia" w:ascii="宋体" w:hAnsi="宋体" w:eastAsia="宋体" w:cs="宋体"/>
                <w:color w:val="auto"/>
                <w:spacing w:val="8"/>
                <w:sz w:val="24"/>
                <w:szCs w:val="24"/>
                <w:highlight w:val="none"/>
              </w:rPr>
              <w:t>面形式将提出的问题送达招标人。</w:t>
            </w:r>
          </w:p>
        </w:tc>
      </w:tr>
      <w:tr w14:paraId="479FCC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5" w:hRule="atLeast"/>
        </w:trPr>
        <w:tc>
          <w:tcPr>
            <w:tcW w:w="1107" w:type="dxa"/>
            <w:vAlign w:val="top"/>
          </w:tcPr>
          <w:p w14:paraId="40BA5B2C">
            <w:pPr>
              <w:spacing w:line="314" w:lineRule="auto"/>
              <w:rPr>
                <w:rFonts w:hint="eastAsia" w:ascii="宋体" w:hAnsi="宋体" w:eastAsia="宋体" w:cs="宋体"/>
                <w:color w:val="auto"/>
                <w:sz w:val="24"/>
                <w:szCs w:val="24"/>
                <w:highlight w:val="none"/>
              </w:rPr>
            </w:pPr>
          </w:p>
          <w:p w14:paraId="63CCC8F7">
            <w:pPr>
              <w:spacing w:line="314" w:lineRule="auto"/>
              <w:rPr>
                <w:rFonts w:hint="eastAsia" w:ascii="宋体" w:hAnsi="宋体" w:eastAsia="宋体" w:cs="宋体"/>
                <w:color w:val="auto"/>
                <w:sz w:val="24"/>
                <w:szCs w:val="24"/>
                <w:highlight w:val="none"/>
              </w:rPr>
            </w:pPr>
          </w:p>
          <w:p w14:paraId="6F2C9AB2">
            <w:pPr>
              <w:spacing w:before="57" w:line="195" w:lineRule="auto"/>
              <w:ind w:left="396"/>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1.11</w:t>
            </w:r>
          </w:p>
        </w:tc>
        <w:tc>
          <w:tcPr>
            <w:tcW w:w="2072" w:type="dxa"/>
            <w:vAlign w:val="top"/>
          </w:tcPr>
          <w:p w14:paraId="340A2743">
            <w:pPr>
              <w:spacing w:line="289" w:lineRule="auto"/>
              <w:rPr>
                <w:rFonts w:hint="eastAsia" w:ascii="宋体" w:hAnsi="宋体" w:eastAsia="宋体" w:cs="宋体"/>
                <w:color w:val="auto"/>
                <w:sz w:val="24"/>
                <w:szCs w:val="24"/>
                <w:highlight w:val="none"/>
              </w:rPr>
            </w:pPr>
          </w:p>
          <w:p w14:paraId="0C278D5A">
            <w:pPr>
              <w:spacing w:line="289" w:lineRule="auto"/>
              <w:rPr>
                <w:rFonts w:hint="eastAsia" w:ascii="宋体" w:hAnsi="宋体" w:eastAsia="宋体" w:cs="宋体"/>
                <w:color w:val="auto"/>
                <w:sz w:val="24"/>
                <w:szCs w:val="24"/>
                <w:highlight w:val="none"/>
              </w:rPr>
            </w:pPr>
          </w:p>
          <w:p w14:paraId="154DDDF5">
            <w:pPr>
              <w:pStyle w:val="25"/>
              <w:spacing w:before="65" w:line="228" w:lineRule="auto"/>
              <w:ind w:left="11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分包</w:t>
            </w:r>
          </w:p>
        </w:tc>
        <w:tc>
          <w:tcPr>
            <w:tcW w:w="6159" w:type="dxa"/>
            <w:vAlign w:val="top"/>
          </w:tcPr>
          <w:p w14:paraId="12869329">
            <w:pPr>
              <w:pStyle w:val="25"/>
              <w:spacing w:before="34" w:line="241" w:lineRule="auto"/>
              <w:ind w:left="12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☑不允许</w:t>
            </w:r>
          </w:p>
          <w:p w14:paraId="37DBDBCE">
            <w:pPr>
              <w:pStyle w:val="25"/>
              <w:spacing w:before="147" w:line="302" w:lineRule="auto"/>
              <w:ind w:left="955" w:right="2507" w:hanging="821"/>
              <w:rPr>
                <w:rFonts w:hint="eastAsia" w:ascii="宋体" w:hAnsi="宋体" w:eastAsia="宋体" w:cs="宋体"/>
                <w:color w:val="auto"/>
                <w:spacing w:val="5"/>
                <w:sz w:val="24"/>
                <w:szCs w:val="24"/>
                <w:highlight w:val="none"/>
              </w:rPr>
            </w:pPr>
            <w:r>
              <w:rPr>
                <w:rFonts w:hint="eastAsia" w:ascii="宋体" w:hAnsi="宋体" w:eastAsia="宋体" w:cs="宋体"/>
                <w:color w:val="auto"/>
                <w:spacing w:val="5"/>
                <w:sz w:val="24"/>
                <w:szCs w:val="24"/>
                <w:highlight w:val="none"/>
                <w:lang w:eastAsia="zh-CN"/>
              </w:rPr>
              <w:t>□</w:t>
            </w:r>
            <w:r>
              <w:rPr>
                <w:rFonts w:hint="eastAsia" w:ascii="宋体" w:hAnsi="宋体" w:eastAsia="宋体" w:cs="宋体"/>
                <w:color w:val="auto"/>
                <w:spacing w:val="5"/>
                <w:sz w:val="24"/>
                <w:szCs w:val="24"/>
                <w:highlight w:val="none"/>
              </w:rPr>
              <w:t>允许，</w:t>
            </w:r>
          </w:p>
          <w:p w14:paraId="1C38237B">
            <w:pPr>
              <w:pStyle w:val="25"/>
              <w:spacing w:before="147" w:line="302" w:lineRule="auto"/>
              <w:ind w:left="955" w:right="2507" w:hanging="821"/>
              <w:rPr>
                <w:rFonts w:hint="eastAsia" w:ascii="宋体" w:hAnsi="宋体" w:eastAsia="宋体" w:cs="宋体"/>
                <w:color w:val="auto"/>
                <w:spacing w:val="5"/>
                <w:sz w:val="24"/>
                <w:szCs w:val="24"/>
                <w:highlight w:val="none"/>
                <w:lang w:eastAsia="zh-CN"/>
              </w:rPr>
            </w:pPr>
            <w:r>
              <w:rPr>
                <w:rFonts w:hint="eastAsia" w:ascii="宋体" w:hAnsi="宋体" w:eastAsia="宋体" w:cs="宋体"/>
                <w:color w:val="auto"/>
                <w:spacing w:val="5"/>
                <w:sz w:val="24"/>
                <w:szCs w:val="24"/>
                <w:highlight w:val="none"/>
              </w:rPr>
              <w:t>分包内容</w:t>
            </w:r>
            <w:r>
              <w:rPr>
                <w:rFonts w:hint="eastAsia" w:ascii="宋体" w:hAnsi="宋体" w:eastAsia="宋体" w:cs="宋体"/>
                <w:color w:val="auto"/>
                <w:spacing w:val="5"/>
                <w:sz w:val="24"/>
                <w:szCs w:val="24"/>
                <w:highlight w:val="none"/>
                <w:lang w:eastAsia="zh-CN"/>
              </w:rPr>
              <w:t>要求：</w:t>
            </w:r>
            <w:r>
              <w:rPr>
                <w:rFonts w:hint="eastAsia" w:ascii="宋体" w:hAnsi="宋体" w:eastAsia="宋体" w:cs="宋体"/>
                <w:color w:val="auto"/>
                <w:spacing w:val="5"/>
                <w:sz w:val="24"/>
                <w:szCs w:val="24"/>
                <w:highlight w:val="none"/>
                <w:u w:val="single" w:color="auto"/>
                <w:lang w:val="en-US" w:eastAsia="zh-CN"/>
              </w:rPr>
              <w:t xml:space="preserve">  </w:t>
            </w:r>
            <w:r>
              <w:rPr>
                <w:rFonts w:hint="eastAsia" w:ascii="宋体" w:hAnsi="宋体" w:eastAsia="宋体" w:cs="宋体"/>
                <w:color w:val="auto"/>
                <w:spacing w:val="5"/>
                <w:sz w:val="24"/>
                <w:szCs w:val="24"/>
                <w:highlight w:val="none"/>
                <w:u w:val="single" w:color="auto"/>
              </w:rPr>
              <w:t>/</w:t>
            </w:r>
            <w:r>
              <w:rPr>
                <w:rFonts w:hint="eastAsia" w:ascii="宋体" w:hAnsi="宋体" w:eastAsia="宋体" w:cs="宋体"/>
                <w:color w:val="auto"/>
                <w:spacing w:val="5"/>
                <w:sz w:val="24"/>
                <w:szCs w:val="24"/>
                <w:highlight w:val="none"/>
                <w:u w:val="single" w:color="auto"/>
                <w:lang w:val="en-US" w:eastAsia="zh-CN"/>
              </w:rPr>
              <w:t xml:space="preserve">  </w:t>
            </w:r>
          </w:p>
          <w:p w14:paraId="2170DB32">
            <w:pPr>
              <w:pStyle w:val="25"/>
              <w:spacing w:before="147" w:line="302" w:lineRule="auto"/>
              <w:ind w:left="955" w:right="2507" w:hanging="821"/>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6"/>
                <w:sz w:val="24"/>
                <w:szCs w:val="24"/>
                <w:highlight w:val="none"/>
              </w:rPr>
              <w:t>分包金额要求：</w:t>
            </w:r>
            <w:r>
              <w:rPr>
                <w:rFonts w:hint="eastAsia" w:ascii="宋体" w:hAnsi="宋体" w:eastAsia="宋体" w:cs="宋体"/>
                <w:color w:val="auto"/>
                <w:spacing w:val="5"/>
                <w:sz w:val="24"/>
                <w:szCs w:val="24"/>
                <w:highlight w:val="none"/>
                <w:u w:val="single" w:color="auto"/>
                <w:lang w:val="en-US" w:eastAsia="zh-CN"/>
              </w:rPr>
              <w:t xml:space="preserve">  </w:t>
            </w:r>
            <w:r>
              <w:rPr>
                <w:rFonts w:hint="eastAsia" w:ascii="宋体" w:hAnsi="宋体" w:eastAsia="宋体" w:cs="宋体"/>
                <w:color w:val="auto"/>
                <w:spacing w:val="5"/>
                <w:sz w:val="24"/>
                <w:szCs w:val="24"/>
                <w:highlight w:val="none"/>
                <w:u w:val="single" w:color="auto"/>
              </w:rPr>
              <w:t>/</w:t>
            </w:r>
            <w:r>
              <w:rPr>
                <w:rFonts w:hint="eastAsia" w:ascii="宋体" w:hAnsi="宋体" w:eastAsia="宋体" w:cs="宋体"/>
                <w:color w:val="auto"/>
                <w:spacing w:val="5"/>
                <w:sz w:val="24"/>
                <w:szCs w:val="24"/>
                <w:highlight w:val="none"/>
                <w:u w:val="single" w:color="auto"/>
                <w:lang w:val="en-US" w:eastAsia="zh-CN"/>
              </w:rPr>
              <w:t xml:space="preserve">  </w:t>
            </w:r>
          </w:p>
          <w:p w14:paraId="72E4511F">
            <w:pPr>
              <w:pStyle w:val="25"/>
              <w:spacing w:before="161" w:line="228"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7"/>
                <w:sz w:val="24"/>
                <w:szCs w:val="24"/>
                <w:highlight w:val="none"/>
              </w:rPr>
              <w:t>接受分包的第三人资质要求：</w:t>
            </w:r>
            <w:r>
              <w:rPr>
                <w:rFonts w:hint="eastAsia" w:ascii="宋体" w:hAnsi="宋体" w:eastAsia="宋体" w:cs="宋体"/>
                <w:color w:val="auto"/>
                <w:spacing w:val="5"/>
                <w:sz w:val="24"/>
                <w:szCs w:val="24"/>
                <w:highlight w:val="none"/>
                <w:u w:val="single" w:color="auto"/>
                <w:lang w:val="en-US" w:eastAsia="zh-CN"/>
              </w:rPr>
              <w:t xml:space="preserve">  </w:t>
            </w:r>
            <w:r>
              <w:rPr>
                <w:rFonts w:hint="eastAsia" w:ascii="宋体" w:hAnsi="宋体" w:eastAsia="宋体" w:cs="宋体"/>
                <w:color w:val="auto"/>
                <w:spacing w:val="5"/>
                <w:sz w:val="24"/>
                <w:szCs w:val="24"/>
                <w:highlight w:val="none"/>
                <w:u w:val="single" w:color="auto"/>
              </w:rPr>
              <w:t>/</w:t>
            </w:r>
            <w:r>
              <w:rPr>
                <w:rFonts w:hint="eastAsia" w:ascii="宋体" w:hAnsi="宋体" w:eastAsia="宋体" w:cs="宋体"/>
                <w:color w:val="auto"/>
                <w:spacing w:val="5"/>
                <w:sz w:val="24"/>
                <w:szCs w:val="24"/>
                <w:highlight w:val="none"/>
                <w:u w:val="single" w:color="auto"/>
                <w:lang w:val="en-US" w:eastAsia="zh-CN"/>
              </w:rPr>
              <w:t xml:space="preserve">  </w:t>
            </w:r>
          </w:p>
        </w:tc>
      </w:tr>
      <w:tr w14:paraId="7FF709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1107" w:type="dxa"/>
            <w:vAlign w:val="top"/>
          </w:tcPr>
          <w:p w14:paraId="086FA175">
            <w:pPr>
              <w:spacing w:before="282" w:line="195" w:lineRule="auto"/>
              <w:ind w:left="42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2.1</w:t>
            </w:r>
          </w:p>
        </w:tc>
        <w:tc>
          <w:tcPr>
            <w:tcW w:w="2072" w:type="dxa"/>
            <w:vAlign w:val="top"/>
          </w:tcPr>
          <w:p w14:paraId="14EB405E">
            <w:pPr>
              <w:pStyle w:val="25"/>
              <w:spacing w:before="238" w:line="228" w:lineRule="auto"/>
              <w:ind w:left="115"/>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构成招标文件的其他资料</w:t>
            </w:r>
          </w:p>
        </w:tc>
        <w:tc>
          <w:tcPr>
            <w:tcW w:w="6159" w:type="dxa"/>
            <w:vAlign w:val="top"/>
          </w:tcPr>
          <w:p w14:paraId="6B882258">
            <w:pPr>
              <w:pStyle w:val="25"/>
              <w:spacing w:before="36" w:line="358" w:lineRule="auto"/>
              <w:ind w:left="115" w:right="109"/>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工程量清单、施工图设计及招标文件的澄清</w:t>
            </w:r>
            <w:r>
              <w:rPr>
                <w:rFonts w:hint="eastAsia" w:ascii="宋体" w:hAnsi="宋体" w:eastAsia="宋体" w:cs="宋体"/>
                <w:color w:val="auto"/>
                <w:spacing w:val="7"/>
                <w:sz w:val="24"/>
                <w:szCs w:val="24"/>
                <w:highlight w:val="none"/>
                <w:lang w:eastAsia="zh-CN"/>
              </w:rPr>
              <w:t>、</w:t>
            </w:r>
            <w:r>
              <w:rPr>
                <w:rFonts w:hint="eastAsia" w:ascii="宋体" w:hAnsi="宋体" w:eastAsia="宋体" w:cs="宋体"/>
                <w:color w:val="auto"/>
                <w:spacing w:val="7"/>
                <w:sz w:val="24"/>
                <w:szCs w:val="24"/>
                <w:highlight w:val="none"/>
              </w:rPr>
              <w:t>修改</w:t>
            </w:r>
            <w:r>
              <w:rPr>
                <w:rFonts w:hint="eastAsia" w:ascii="宋体" w:hAnsi="宋体" w:eastAsia="宋体" w:cs="宋体"/>
                <w:color w:val="auto"/>
                <w:spacing w:val="6"/>
                <w:sz w:val="24"/>
                <w:szCs w:val="24"/>
                <w:highlight w:val="none"/>
              </w:rPr>
              <w:t>、补充通知等内容。</w:t>
            </w:r>
          </w:p>
        </w:tc>
      </w:tr>
      <w:tr w14:paraId="24A88A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0" w:hRule="atLeast"/>
        </w:trPr>
        <w:tc>
          <w:tcPr>
            <w:tcW w:w="1107" w:type="dxa"/>
            <w:vMerge w:val="restart"/>
            <w:tcBorders>
              <w:bottom w:val="nil"/>
            </w:tcBorders>
            <w:vAlign w:val="top"/>
          </w:tcPr>
          <w:p w14:paraId="02026038">
            <w:pPr>
              <w:spacing w:line="260" w:lineRule="auto"/>
              <w:rPr>
                <w:rFonts w:hint="eastAsia" w:ascii="宋体" w:hAnsi="宋体" w:eastAsia="宋体" w:cs="宋体"/>
                <w:color w:val="auto"/>
                <w:sz w:val="24"/>
                <w:szCs w:val="24"/>
                <w:highlight w:val="none"/>
              </w:rPr>
            </w:pPr>
          </w:p>
          <w:p w14:paraId="2D7CB956">
            <w:pPr>
              <w:spacing w:line="260" w:lineRule="auto"/>
              <w:rPr>
                <w:rFonts w:hint="eastAsia" w:ascii="宋体" w:hAnsi="宋体" w:eastAsia="宋体" w:cs="宋体"/>
                <w:color w:val="auto"/>
                <w:sz w:val="24"/>
                <w:szCs w:val="24"/>
                <w:highlight w:val="none"/>
              </w:rPr>
            </w:pPr>
          </w:p>
          <w:p w14:paraId="162DC18B">
            <w:pPr>
              <w:spacing w:line="260" w:lineRule="auto"/>
              <w:rPr>
                <w:rFonts w:hint="eastAsia" w:ascii="宋体" w:hAnsi="宋体" w:eastAsia="宋体" w:cs="宋体"/>
                <w:color w:val="auto"/>
                <w:sz w:val="24"/>
                <w:szCs w:val="24"/>
                <w:highlight w:val="none"/>
              </w:rPr>
            </w:pPr>
          </w:p>
          <w:p w14:paraId="6B9033B0">
            <w:pPr>
              <w:spacing w:line="260" w:lineRule="auto"/>
              <w:rPr>
                <w:rFonts w:hint="eastAsia" w:ascii="宋体" w:hAnsi="宋体" w:eastAsia="宋体" w:cs="宋体"/>
                <w:color w:val="auto"/>
                <w:sz w:val="24"/>
                <w:szCs w:val="24"/>
                <w:highlight w:val="none"/>
              </w:rPr>
            </w:pPr>
          </w:p>
          <w:p w14:paraId="3CABB356">
            <w:pPr>
              <w:spacing w:before="57" w:line="195" w:lineRule="auto"/>
              <w:ind w:left="34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2.2.1</w:t>
            </w:r>
          </w:p>
        </w:tc>
        <w:tc>
          <w:tcPr>
            <w:tcW w:w="2072" w:type="dxa"/>
            <w:vMerge w:val="restart"/>
            <w:tcBorders>
              <w:bottom w:val="nil"/>
            </w:tcBorders>
            <w:vAlign w:val="top"/>
          </w:tcPr>
          <w:p w14:paraId="54FBC7CE">
            <w:pPr>
              <w:spacing w:line="270" w:lineRule="auto"/>
              <w:rPr>
                <w:rFonts w:hint="eastAsia" w:ascii="宋体" w:hAnsi="宋体" w:eastAsia="宋体" w:cs="宋体"/>
                <w:color w:val="auto"/>
                <w:sz w:val="24"/>
                <w:szCs w:val="24"/>
                <w:highlight w:val="none"/>
              </w:rPr>
            </w:pPr>
          </w:p>
          <w:p w14:paraId="0DF03A7A">
            <w:pPr>
              <w:spacing w:line="270" w:lineRule="auto"/>
              <w:rPr>
                <w:rFonts w:hint="eastAsia" w:ascii="宋体" w:hAnsi="宋体" w:eastAsia="宋体" w:cs="宋体"/>
                <w:color w:val="auto"/>
                <w:sz w:val="24"/>
                <w:szCs w:val="24"/>
                <w:highlight w:val="none"/>
              </w:rPr>
            </w:pPr>
          </w:p>
          <w:p w14:paraId="162112CB">
            <w:pPr>
              <w:spacing w:line="270" w:lineRule="auto"/>
              <w:rPr>
                <w:rFonts w:hint="eastAsia" w:ascii="宋体" w:hAnsi="宋体" w:eastAsia="宋体" w:cs="宋体"/>
                <w:color w:val="auto"/>
                <w:sz w:val="24"/>
                <w:szCs w:val="24"/>
                <w:highlight w:val="none"/>
              </w:rPr>
            </w:pPr>
          </w:p>
          <w:p w14:paraId="4A271622">
            <w:pPr>
              <w:pStyle w:val="25"/>
              <w:spacing w:before="65" w:line="228" w:lineRule="auto"/>
              <w:ind w:left="115"/>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投标人要求澄清招标文件</w:t>
            </w:r>
          </w:p>
        </w:tc>
        <w:tc>
          <w:tcPr>
            <w:tcW w:w="6159" w:type="dxa"/>
            <w:vAlign w:val="top"/>
          </w:tcPr>
          <w:p w14:paraId="3CD671E9">
            <w:pPr>
              <w:pStyle w:val="25"/>
              <w:spacing w:before="37" w:line="364" w:lineRule="auto"/>
              <w:ind w:left="113" w:right="109" w:firstLine="8"/>
              <w:jc w:val="both"/>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时间：递交投标文件截止之日10天前，投标</w:t>
            </w:r>
            <w:r>
              <w:rPr>
                <w:rFonts w:hint="eastAsia" w:ascii="宋体" w:hAnsi="宋体" w:eastAsia="宋体" w:cs="宋体"/>
                <w:color w:val="auto"/>
                <w:spacing w:val="4"/>
                <w:sz w:val="24"/>
                <w:szCs w:val="24"/>
                <w:highlight w:val="none"/>
              </w:rPr>
              <w:t>人不在规</w:t>
            </w:r>
            <w:r>
              <w:rPr>
                <w:rFonts w:hint="eastAsia" w:ascii="宋体" w:hAnsi="宋体" w:eastAsia="宋体" w:cs="宋体"/>
                <w:color w:val="auto"/>
                <w:spacing w:val="7"/>
                <w:sz w:val="24"/>
                <w:szCs w:val="24"/>
                <w:highlight w:val="none"/>
              </w:rPr>
              <w:t>定期限内提出，招标人有权不予答复，</w:t>
            </w:r>
            <w:r>
              <w:rPr>
                <w:rFonts w:hint="eastAsia" w:ascii="宋体" w:hAnsi="宋体" w:eastAsia="宋体" w:cs="宋体"/>
                <w:color w:val="auto"/>
                <w:spacing w:val="-6"/>
                <w:sz w:val="24"/>
                <w:szCs w:val="24"/>
                <w:highlight w:val="none"/>
              </w:rPr>
              <w:t>或答复后投标截止时间由招标人确定是否顺延。</w:t>
            </w:r>
          </w:p>
        </w:tc>
      </w:tr>
      <w:tr w14:paraId="53572E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3" w:hRule="atLeast"/>
        </w:trPr>
        <w:tc>
          <w:tcPr>
            <w:tcW w:w="1107" w:type="dxa"/>
            <w:vMerge w:val="continue"/>
            <w:tcBorders>
              <w:top w:val="nil"/>
              <w:bottom w:val="single" w:color="auto" w:sz="4" w:space="0"/>
            </w:tcBorders>
            <w:vAlign w:val="top"/>
          </w:tcPr>
          <w:p w14:paraId="05726265">
            <w:pPr>
              <w:rPr>
                <w:rFonts w:hint="eastAsia" w:ascii="宋体" w:hAnsi="宋体" w:eastAsia="宋体" w:cs="宋体"/>
                <w:color w:val="auto"/>
                <w:sz w:val="24"/>
                <w:szCs w:val="24"/>
                <w:highlight w:val="none"/>
              </w:rPr>
            </w:pPr>
          </w:p>
        </w:tc>
        <w:tc>
          <w:tcPr>
            <w:tcW w:w="2072" w:type="dxa"/>
            <w:vMerge w:val="continue"/>
            <w:tcBorders>
              <w:top w:val="nil"/>
              <w:bottom w:val="single" w:color="auto" w:sz="4" w:space="0"/>
            </w:tcBorders>
            <w:vAlign w:val="top"/>
          </w:tcPr>
          <w:p w14:paraId="04B933EC">
            <w:pPr>
              <w:rPr>
                <w:rFonts w:hint="eastAsia" w:ascii="宋体" w:hAnsi="宋体" w:eastAsia="宋体" w:cs="宋体"/>
                <w:color w:val="auto"/>
                <w:sz w:val="24"/>
                <w:szCs w:val="24"/>
                <w:highlight w:val="none"/>
              </w:rPr>
            </w:pPr>
          </w:p>
        </w:tc>
        <w:tc>
          <w:tcPr>
            <w:tcW w:w="6159" w:type="dxa"/>
            <w:vAlign w:val="top"/>
          </w:tcPr>
          <w:p w14:paraId="3754F597">
            <w:pPr>
              <w:pStyle w:val="25"/>
              <w:spacing w:before="33" w:line="366" w:lineRule="auto"/>
              <w:ind w:left="112" w:right="109" w:firstLine="2"/>
              <w:jc w:val="both"/>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形式：如有疑问，应在规定的时间前，使用</w:t>
            </w:r>
            <w:r>
              <w:rPr>
                <w:rFonts w:hint="eastAsia" w:ascii="宋体" w:hAnsi="宋体" w:eastAsia="宋体" w:cs="宋体"/>
                <w:color w:val="auto"/>
                <w:sz w:val="24"/>
                <w:szCs w:val="24"/>
                <w:highlight w:val="none"/>
              </w:rPr>
              <w:t>CA</w:t>
            </w:r>
            <w:r>
              <w:rPr>
                <w:rFonts w:hint="eastAsia" w:ascii="宋体" w:hAnsi="宋体" w:eastAsia="宋体" w:cs="宋体"/>
                <w:color w:val="auto"/>
                <w:spacing w:val="12"/>
                <w:sz w:val="24"/>
                <w:szCs w:val="24"/>
                <w:highlight w:val="none"/>
              </w:rPr>
              <w:t>数字</w:t>
            </w:r>
            <w:r>
              <w:rPr>
                <w:rFonts w:hint="eastAsia" w:ascii="宋体" w:hAnsi="宋体" w:eastAsia="宋体" w:cs="宋体"/>
                <w:color w:val="auto"/>
                <w:spacing w:val="2"/>
                <w:sz w:val="24"/>
                <w:szCs w:val="24"/>
                <w:highlight w:val="none"/>
              </w:rPr>
              <w:t>证书登录“电子交易平台”，在“网上提问”菜单以书</w:t>
            </w:r>
            <w:r>
              <w:rPr>
                <w:rFonts w:hint="eastAsia" w:ascii="宋体" w:hAnsi="宋体" w:eastAsia="宋体" w:cs="宋体"/>
                <w:color w:val="auto"/>
                <w:spacing w:val="8"/>
                <w:sz w:val="24"/>
                <w:szCs w:val="24"/>
                <w:highlight w:val="none"/>
              </w:rPr>
              <w:t>面形式要求招标人对招标文件予以澄清。</w:t>
            </w:r>
          </w:p>
        </w:tc>
      </w:tr>
      <w:tr w14:paraId="51DA32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3" w:hRule="atLeast"/>
        </w:trPr>
        <w:tc>
          <w:tcPr>
            <w:tcW w:w="1107" w:type="dxa"/>
            <w:tcBorders>
              <w:top w:val="single" w:color="auto" w:sz="4" w:space="0"/>
              <w:left w:val="single" w:color="auto" w:sz="4" w:space="0"/>
              <w:bottom w:val="single" w:color="auto" w:sz="4" w:space="0"/>
              <w:right w:val="single" w:color="auto" w:sz="4" w:space="0"/>
            </w:tcBorders>
            <w:vAlign w:val="top"/>
          </w:tcPr>
          <w:p w14:paraId="785108D3">
            <w:pPr>
              <w:spacing w:line="277" w:lineRule="auto"/>
              <w:rPr>
                <w:rFonts w:hint="eastAsia" w:ascii="宋体" w:hAnsi="宋体" w:eastAsia="宋体" w:cs="宋体"/>
                <w:color w:val="auto"/>
                <w:sz w:val="24"/>
                <w:szCs w:val="24"/>
                <w:highlight w:val="none"/>
              </w:rPr>
            </w:pPr>
          </w:p>
          <w:p w14:paraId="277EFB1F">
            <w:pPr>
              <w:spacing w:line="278" w:lineRule="auto"/>
              <w:rPr>
                <w:rFonts w:hint="eastAsia" w:ascii="宋体" w:hAnsi="宋体" w:eastAsia="宋体" w:cs="宋体"/>
                <w:color w:val="auto"/>
                <w:sz w:val="24"/>
                <w:szCs w:val="24"/>
                <w:highlight w:val="none"/>
              </w:rPr>
            </w:pPr>
          </w:p>
          <w:p w14:paraId="08C99DDB">
            <w:pPr>
              <w:spacing w:line="278" w:lineRule="auto"/>
              <w:rPr>
                <w:rFonts w:hint="eastAsia" w:ascii="宋体" w:hAnsi="宋体" w:eastAsia="宋体" w:cs="宋体"/>
                <w:color w:val="auto"/>
                <w:sz w:val="24"/>
                <w:szCs w:val="24"/>
                <w:highlight w:val="none"/>
              </w:rPr>
            </w:pPr>
          </w:p>
          <w:p w14:paraId="6E308FD3">
            <w:pPr>
              <w:spacing w:before="58" w:line="195" w:lineRule="auto"/>
              <w:ind w:left="344" w:leftChars="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2.2.2</w:t>
            </w:r>
          </w:p>
        </w:tc>
        <w:tc>
          <w:tcPr>
            <w:tcW w:w="2072" w:type="dxa"/>
            <w:tcBorders>
              <w:top w:val="single" w:color="auto" w:sz="4" w:space="0"/>
              <w:left w:val="single" w:color="auto" w:sz="4" w:space="0"/>
              <w:bottom w:val="single" w:color="auto" w:sz="4" w:space="0"/>
              <w:right w:val="single" w:color="auto" w:sz="4" w:space="0"/>
            </w:tcBorders>
            <w:vAlign w:val="top"/>
          </w:tcPr>
          <w:p w14:paraId="3C80748F">
            <w:pPr>
              <w:spacing w:line="300" w:lineRule="auto"/>
              <w:rPr>
                <w:rFonts w:hint="eastAsia" w:ascii="宋体" w:hAnsi="宋体" w:eastAsia="宋体" w:cs="宋体"/>
                <w:color w:val="auto"/>
                <w:sz w:val="24"/>
                <w:szCs w:val="24"/>
                <w:highlight w:val="none"/>
              </w:rPr>
            </w:pPr>
          </w:p>
          <w:p w14:paraId="5D6D6D2A">
            <w:pPr>
              <w:spacing w:line="301" w:lineRule="auto"/>
              <w:rPr>
                <w:rFonts w:hint="eastAsia" w:ascii="宋体" w:hAnsi="宋体" w:eastAsia="宋体" w:cs="宋体"/>
                <w:color w:val="auto"/>
                <w:sz w:val="24"/>
                <w:szCs w:val="24"/>
                <w:highlight w:val="none"/>
              </w:rPr>
            </w:pPr>
          </w:p>
          <w:p w14:paraId="11CA28BC">
            <w:pPr>
              <w:pStyle w:val="25"/>
              <w:spacing w:before="65" w:line="228" w:lineRule="auto"/>
              <w:ind w:left="113" w:leftChars="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招标文件澄清发出的形式</w:t>
            </w:r>
          </w:p>
        </w:tc>
        <w:tc>
          <w:tcPr>
            <w:tcW w:w="6159" w:type="dxa"/>
            <w:tcBorders>
              <w:left w:val="single" w:color="auto" w:sz="4" w:space="0"/>
            </w:tcBorders>
            <w:vAlign w:val="top"/>
          </w:tcPr>
          <w:p w14:paraId="30F62037">
            <w:pPr>
              <w:pStyle w:val="25"/>
              <w:spacing w:before="37" w:line="370" w:lineRule="auto"/>
              <w:ind w:left="112" w:leftChars="0" w:right="109" w:rightChars="0"/>
              <w:jc w:val="both"/>
              <w:rPr>
                <w:rFonts w:hint="eastAsia" w:ascii="宋体" w:hAnsi="宋体" w:eastAsia="宋体" w:cs="宋体"/>
                <w:color w:val="auto"/>
                <w:spacing w:val="12"/>
                <w:sz w:val="24"/>
                <w:szCs w:val="24"/>
                <w:highlight w:val="none"/>
              </w:rPr>
            </w:pPr>
            <w:r>
              <w:rPr>
                <w:rFonts w:hint="eastAsia" w:ascii="宋体" w:hAnsi="宋体" w:eastAsia="宋体" w:cs="宋体"/>
                <w:color w:val="auto"/>
                <w:spacing w:val="4"/>
                <w:sz w:val="24"/>
                <w:szCs w:val="24"/>
                <w:highlight w:val="none"/>
              </w:rPr>
              <w:t>招标人对招标文件的澄清通过“电子交易平台”以电子</w:t>
            </w:r>
            <w:r>
              <w:rPr>
                <w:rFonts w:hint="eastAsia" w:ascii="宋体" w:hAnsi="宋体" w:eastAsia="宋体" w:cs="宋体"/>
                <w:color w:val="auto"/>
                <w:spacing w:val="7"/>
                <w:sz w:val="24"/>
                <w:szCs w:val="24"/>
                <w:highlight w:val="none"/>
              </w:rPr>
              <w:t>澄清通知的形式发给所有成功报名的投标人。投标人应注意及时浏览网上发出的澄清通知，因投标人自身原因</w:t>
            </w:r>
            <w:r>
              <w:rPr>
                <w:rFonts w:hint="eastAsia" w:ascii="宋体" w:hAnsi="宋体" w:eastAsia="宋体" w:cs="宋体"/>
                <w:color w:val="auto"/>
                <w:spacing w:val="16"/>
                <w:sz w:val="24"/>
                <w:szCs w:val="24"/>
                <w:highlight w:val="none"/>
              </w:rPr>
              <w:t>未及时获知澄清</w:t>
            </w:r>
            <w:r>
              <w:rPr>
                <w:rFonts w:hint="eastAsia" w:ascii="宋体" w:hAnsi="宋体" w:eastAsia="宋体" w:cs="宋体"/>
                <w:color w:val="auto"/>
                <w:spacing w:val="-6"/>
                <w:sz w:val="24"/>
                <w:szCs w:val="24"/>
                <w:highlight w:val="none"/>
              </w:rPr>
              <w:t>内容而导致的任何后果将由投标人自行承担。</w:t>
            </w:r>
          </w:p>
        </w:tc>
      </w:tr>
      <w:tr w14:paraId="0C0DF1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5" w:hRule="atLeast"/>
        </w:trPr>
        <w:tc>
          <w:tcPr>
            <w:tcW w:w="1107" w:type="dxa"/>
            <w:tcBorders>
              <w:top w:val="single" w:color="auto" w:sz="4" w:space="0"/>
              <w:left w:val="single" w:color="auto" w:sz="4" w:space="0"/>
              <w:bottom w:val="single" w:color="auto" w:sz="4" w:space="0"/>
              <w:right w:val="single" w:color="auto" w:sz="4" w:space="0"/>
            </w:tcBorders>
            <w:vAlign w:val="top"/>
          </w:tcPr>
          <w:p w14:paraId="5EBDA20D">
            <w:pPr>
              <w:spacing w:line="265" w:lineRule="auto"/>
              <w:rPr>
                <w:rFonts w:hint="eastAsia" w:ascii="宋体" w:hAnsi="宋体" w:eastAsia="宋体" w:cs="宋体"/>
                <w:color w:val="auto"/>
                <w:sz w:val="24"/>
                <w:szCs w:val="24"/>
                <w:highlight w:val="none"/>
              </w:rPr>
            </w:pPr>
          </w:p>
          <w:p w14:paraId="4ED13183">
            <w:pPr>
              <w:spacing w:before="58" w:line="195" w:lineRule="auto"/>
              <w:ind w:left="344" w:leftChars="0"/>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2.2.3</w:t>
            </w:r>
          </w:p>
        </w:tc>
        <w:tc>
          <w:tcPr>
            <w:tcW w:w="2072" w:type="dxa"/>
            <w:tcBorders>
              <w:top w:val="single" w:color="auto" w:sz="4" w:space="0"/>
              <w:left w:val="single" w:color="auto" w:sz="4" w:space="0"/>
              <w:bottom w:val="single" w:color="auto" w:sz="4" w:space="0"/>
              <w:right w:val="single" w:color="auto" w:sz="4" w:space="0"/>
            </w:tcBorders>
            <w:vAlign w:val="top"/>
          </w:tcPr>
          <w:p w14:paraId="388B33A7">
            <w:pPr>
              <w:pStyle w:val="25"/>
              <w:spacing w:before="76" w:line="378" w:lineRule="auto"/>
              <w:ind w:left="112" w:leftChars="0" w:right="106" w:rightChars="0" w:firstLine="2" w:firstLineChars="0"/>
              <w:rPr>
                <w:rFonts w:hint="eastAsia" w:ascii="宋体" w:hAnsi="宋体" w:eastAsia="宋体" w:cs="宋体"/>
                <w:color w:val="auto"/>
                <w:spacing w:val="9"/>
                <w:sz w:val="24"/>
                <w:szCs w:val="24"/>
                <w:highlight w:val="none"/>
              </w:rPr>
            </w:pPr>
            <w:r>
              <w:rPr>
                <w:rFonts w:hint="eastAsia" w:ascii="宋体" w:hAnsi="宋体" w:eastAsia="宋体" w:cs="宋体"/>
                <w:color w:val="auto"/>
                <w:spacing w:val="19"/>
                <w:sz w:val="24"/>
                <w:szCs w:val="24"/>
                <w:highlight w:val="none"/>
              </w:rPr>
              <w:t>投标人确认收到招标文件澄</w:t>
            </w:r>
            <w:r>
              <w:rPr>
                <w:rFonts w:hint="eastAsia" w:ascii="宋体" w:hAnsi="宋体" w:eastAsia="宋体" w:cs="宋体"/>
                <w:color w:val="auto"/>
                <w:sz w:val="24"/>
                <w:szCs w:val="24"/>
                <w:highlight w:val="none"/>
              </w:rPr>
              <w:t>清</w:t>
            </w:r>
          </w:p>
        </w:tc>
        <w:tc>
          <w:tcPr>
            <w:tcW w:w="6159" w:type="dxa"/>
            <w:tcBorders>
              <w:left w:val="single" w:color="auto" w:sz="4" w:space="0"/>
            </w:tcBorders>
            <w:vAlign w:val="top"/>
          </w:tcPr>
          <w:p w14:paraId="2B58661C">
            <w:pPr>
              <w:pStyle w:val="25"/>
              <w:spacing w:before="75" w:line="378" w:lineRule="auto"/>
              <w:ind w:left="115" w:leftChars="0" w:right="109" w:rightChars="0"/>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形式：“电子交易平台”的电子澄清通知一经发出均视</w:t>
            </w:r>
            <w:r>
              <w:rPr>
                <w:rFonts w:hint="eastAsia" w:ascii="宋体" w:hAnsi="宋体" w:eastAsia="宋体" w:cs="宋体"/>
                <w:color w:val="auto"/>
                <w:spacing w:val="8"/>
                <w:sz w:val="24"/>
                <w:szCs w:val="24"/>
                <w:highlight w:val="none"/>
              </w:rPr>
              <w:t>为投标人已收到招标文件澄清文件。</w:t>
            </w:r>
          </w:p>
        </w:tc>
      </w:tr>
      <w:tr w14:paraId="6A70FF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5" w:hRule="atLeast"/>
        </w:trPr>
        <w:tc>
          <w:tcPr>
            <w:tcW w:w="1107" w:type="dxa"/>
            <w:tcBorders>
              <w:top w:val="single" w:color="auto" w:sz="4" w:space="0"/>
              <w:left w:val="single" w:color="auto" w:sz="4" w:space="0"/>
              <w:bottom w:val="single" w:color="auto" w:sz="4" w:space="0"/>
              <w:right w:val="single" w:color="auto" w:sz="4" w:space="0"/>
            </w:tcBorders>
            <w:vAlign w:val="top"/>
          </w:tcPr>
          <w:p w14:paraId="739BD45D">
            <w:pPr>
              <w:spacing w:line="325" w:lineRule="auto"/>
              <w:rPr>
                <w:rFonts w:hint="eastAsia" w:ascii="宋体" w:hAnsi="宋体" w:eastAsia="宋体" w:cs="宋体"/>
                <w:color w:val="auto"/>
                <w:sz w:val="24"/>
                <w:szCs w:val="24"/>
                <w:highlight w:val="none"/>
              </w:rPr>
            </w:pPr>
          </w:p>
          <w:p w14:paraId="5F44CEF3">
            <w:pPr>
              <w:spacing w:line="325" w:lineRule="auto"/>
              <w:rPr>
                <w:rFonts w:hint="eastAsia" w:ascii="宋体" w:hAnsi="宋体" w:eastAsia="宋体" w:cs="宋体"/>
                <w:color w:val="auto"/>
                <w:sz w:val="24"/>
                <w:szCs w:val="24"/>
                <w:highlight w:val="none"/>
              </w:rPr>
            </w:pPr>
          </w:p>
          <w:p w14:paraId="0E6F96F7">
            <w:pPr>
              <w:spacing w:before="58" w:line="195" w:lineRule="auto"/>
              <w:ind w:left="344" w:leftChars="0"/>
              <w:rPr>
                <w:rFonts w:hint="eastAsia" w:ascii="宋体" w:hAnsi="宋体" w:eastAsia="宋体" w:cs="宋体"/>
                <w:color w:val="auto"/>
                <w:spacing w:val="3"/>
                <w:sz w:val="24"/>
                <w:szCs w:val="24"/>
                <w:highlight w:val="none"/>
              </w:rPr>
            </w:pPr>
            <w:r>
              <w:rPr>
                <w:rFonts w:hint="eastAsia" w:ascii="宋体" w:hAnsi="宋体" w:eastAsia="宋体" w:cs="宋体"/>
                <w:color w:val="auto"/>
                <w:spacing w:val="2"/>
                <w:sz w:val="24"/>
                <w:szCs w:val="24"/>
                <w:highlight w:val="none"/>
              </w:rPr>
              <w:t>2.3.1</w:t>
            </w:r>
          </w:p>
        </w:tc>
        <w:tc>
          <w:tcPr>
            <w:tcW w:w="2072" w:type="dxa"/>
            <w:tcBorders>
              <w:top w:val="single" w:color="auto" w:sz="4" w:space="0"/>
              <w:left w:val="single" w:color="auto" w:sz="4" w:space="0"/>
              <w:bottom w:val="single" w:color="auto" w:sz="4" w:space="0"/>
              <w:right w:val="single" w:color="auto" w:sz="4" w:space="0"/>
            </w:tcBorders>
            <w:vAlign w:val="top"/>
          </w:tcPr>
          <w:p w14:paraId="234FDEC2">
            <w:pPr>
              <w:spacing w:line="259" w:lineRule="auto"/>
              <w:rPr>
                <w:rFonts w:hint="eastAsia" w:ascii="宋体" w:hAnsi="宋体" w:eastAsia="宋体" w:cs="宋体"/>
                <w:color w:val="auto"/>
                <w:sz w:val="24"/>
                <w:szCs w:val="24"/>
                <w:highlight w:val="none"/>
              </w:rPr>
            </w:pPr>
          </w:p>
          <w:p w14:paraId="6324383D">
            <w:pPr>
              <w:spacing w:line="259" w:lineRule="auto"/>
              <w:rPr>
                <w:rFonts w:hint="eastAsia" w:ascii="宋体" w:hAnsi="宋体" w:eastAsia="宋体" w:cs="宋体"/>
                <w:color w:val="auto"/>
                <w:sz w:val="24"/>
                <w:szCs w:val="24"/>
                <w:highlight w:val="none"/>
              </w:rPr>
            </w:pPr>
          </w:p>
          <w:p w14:paraId="7E758AE9">
            <w:pPr>
              <w:spacing w:line="260" w:lineRule="auto"/>
              <w:rPr>
                <w:rFonts w:hint="eastAsia" w:ascii="宋体" w:hAnsi="宋体" w:eastAsia="宋体" w:cs="宋体"/>
                <w:color w:val="auto"/>
                <w:sz w:val="24"/>
                <w:szCs w:val="24"/>
                <w:highlight w:val="none"/>
              </w:rPr>
            </w:pPr>
          </w:p>
          <w:p w14:paraId="2A57BDBF">
            <w:pPr>
              <w:pStyle w:val="25"/>
              <w:spacing w:before="65" w:line="228" w:lineRule="auto"/>
              <w:ind w:left="113" w:leftChars="0"/>
              <w:rPr>
                <w:rFonts w:hint="eastAsia" w:ascii="宋体" w:hAnsi="宋体" w:eastAsia="宋体" w:cs="宋体"/>
                <w:color w:val="auto"/>
                <w:spacing w:val="19"/>
                <w:sz w:val="24"/>
                <w:szCs w:val="24"/>
                <w:highlight w:val="none"/>
              </w:rPr>
            </w:pPr>
            <w:r>
              <w:rPr>
                <w:rFonts w:hint="eastAsia" w:ascii="宋体" w:hAnsi="宋体" w:eastAsia="宋体" w:cs="宋体"/>
                <w:color w:val="auto"/>
                <w:spacing w:val="9"/>
                <w:sz w:val="24"/>
                <w:szCs w:val="24"/>
                <w:highlight w:val="none"/>
              </w:rPr>
              <w:t>招标文件修改发出的形式</w:t>
            </w:r>
          </w:p>
        </w:tc>
        <w:tc>
          <w:tcPr>
            <w:tcW w:w="6159" w:type="dxa"/>
            <w:tcBorders>
              <w:left w:val="single" w:color="auto" w:sz="4" w:space="0"/>
            </w:tcBorders>
            <w:vAlign w:val="top"/>
          </w:tcPr>
          <w:p w14:paraId="51234AB8">
            <w:pPr>
              <w:pStyle w:val="25"/>
              <w:keepNext w:val="0"/>
              <w:keepLines w:val="0"/>
              <w:pageBreakBefore w:val="0"/>
              <w:widowControl/>
              <w:kinsoku w:val="0"/>
              <w:wordWrap/>
              <w:overflowPunct/>
              <w:topLinePunct w:val="0"/>
              <w:autoSpaceDE w:val="0"/>
              <w:autoSpaceDN w:val="0"/>
              <w:bidi w:val="0"/>
              <w:adjustRightInd w:val="0"/>
              <w:snapToGrid w:val="0"/>
              <w:spacing w:before="31" w:line="370" w:lineRule="auto"/>
              <w:ind w:left="113" w:leftChars="0" w:right="0" w:rightChars="0" w:firstLine="0" w:firstLineChars="0"/>
              <w:jc w:val="both"/>
              <w:textAlignment w:val="baseline"/>
              <w:rPr>
                <w:rFonts w:hint="eastAsia" w:ascii="宋体" w:hAnsi="宋体" w:eastAsia="宋体" w:cs="宋体"/>
                <w:color w:val="auto"/>
                <w:spacing w:val="4"/>
                <w:sz w:val="24"/>
                <w:szCs w:val="24"/>
                <w:highlight w:val="none"/>
              </w:rPr>
            </w:pPr>
            <w:r>
              <w:rPr>
                <w:rFonts w:hint="eastAsia" w:ascii="宋体" w:hAnsi="宋体" w:eastAsia="宋体" w:cs="宋体"/>
                <w:color w:val="auto"/>
                <w:spacing w:val="5"/>
                <w:sz w:val="24"/>
                <w:szCs w:val="24"/>
                <w:highlight w:val="none"/>
              </w:rPr>
              <w:t>招标人可以书面形式修改招标文件，并通过“电子交易</w:t>
            </w:r>
            <w:r>
              <w:rPr>
                <w:rFonts w:hint="eastAsia" w:ascii="宋体" w:hAnsi="宋体" w:eastAsia="宋体" w:cs="宋体"/>
                <w:color w:val="auto"/>
                <w:spacing w:val="6"/>
                <w:sz w:val="24"/>
                <w:szCs w:val="24"/>
                <w:highlight w:val="none"/>
              </w:rPr>
              <w:t>平台”以平台信息通知的方式提醒投标人查</w:t>
            </w:r>
            <w:r>
              <w:rPr>
                <w:rFonts w:hint="eastAsia" w:ascii="宋体" w:hAnsi="宋体" w:eastAsia="宋体" w:cs="宋体"/>
                <w:color w:val="auto"/>
                <w:spacing w:val="5"/>
                <w:sz w:val="24"/>
                <w:szCs w:val="24"/>
                <w:highlight w:val="none"/>
              </w:rPr>
              <w:t>看。投标人</w:t>
            </w:r>
            <w:r>
              <w:rPr>
                <w:rFonts w:hint="eastAsia" w:ascii="宋体" w:hAnsi="宋体" w:eastAsia="宋体" w:cs="宋体"/>
                <w:color w:val="auto"/>
                <w:spacing w:val="7"/>
                <w:sz w:val="24"/>
                <w:szCs w:val="24"/>
                <w:highlight w:val="none"/>
              </w:rPr>
              <w:t>应注意及时浏览网上发出的招标文件修改，因投标人自</w:t>
            </w:r>
            <w:r>
              <w:rPr>
                <w:rFonts w:hint="eastAsia" w:ascii="宋体" w:hAnsi="宋体" w:eastAsia="宋体" w:cs="宋体"/>
                <w:color w:val="auto"/>
                <w:spacing w:val="16"/>
                <w:sz w:val="24"/>
                <w:szCs w:val="24"/>
                <w:highlight w:val="none"/>
              </w:rPr>
              <w:t>身原因未及时获知招标文件修改内容而导致的任何后</w:t>
            </w:r>
            <w:r>
              <w:rPr>
                <w:rFonts w:hint="eastAsia" w:ascii="宋体" w:hAnsi="宋体" w:eastAsia="宋体" w:cs="宋体"/>
                <w:color w:val="auto"/>
                <w:spacing w:val="8"/>
                <w:sz w:val="24"/>
                <w:szCs w:val="24"/>
                <w:highlight w:val="none"/>
              </w:rPr>
              <w:t>果将由投标人自行承担。</w:t>
            </w:r>
          </w:p>
        </w:tc>
      </w:tr>
      <w:tr w14:paraId="6C1E2F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trPr>
        <w:tc>
          <w:tcPr>
            <w:tcW w:w="1107" w:type="dxa"/>
            <w:tcBorders>
              <w:top w:val="single" w:color="auto" w:sz="4" w:space="0"/>
              <w:left w:val="single" w:color="auto" w:sz="4" w:space="0"/>
              <w:bottom w:val="single" w:color="auto" w:sz="4" w:space="0"/>
              <w:right w:val="single" w:color="auto" w:sz="4" w:space="0"/>
            </w:tcBorders>
            <w:vAlign w:val="top"/>
          </w:tcPr>
          <w:p w14:paraId="38A9212A">
            <w:pPr>
              <w:spacing w:before="281" w:line="195" w:lineRule="auto"/>
              <w:ind w:left="344" w:leftChars="0"/>
              <w:rPr>
                <w:rFonts w:hint="eastAsia" w:ascii="宋体" w:hAnsi="宋体" w:eastAsia="宋体" w:cs="宋体"/>
                <w:color w:val="auto"/>
                <w:spacing w:val="2"/>
                <w:sz w:val="24"/>
                <w:szCs w:val="24"/>
                <w:highlight w:val="none"/>
              </w:rPr>
            </w:pPr>
            <w:r>
              <w:rPr>
                <w:rFonts w:hint="eastAsia" w:ascii="宋体" w:hAnsi="宋体" w:eastAsia="宋体" w:cs="宋体"/>
                <w:color w:val="auto"/>
                <w:spacing w:val="3"/>
                <w:sz w:val="24"/>
                <w:szCs w:val="24"/>
                <w:highlight w:val="none"/>
              </w:rPr>
              <w:t>2.3.2</w:t>
            </w:r>
          </w:p>
        </w:tc>
        <w:tc>
          <w:tcPr>
            <w:tcW w:w="2072" w:type="dxa"/>
            <w:tcBorders>
              <w:top w:val="single" w:color="auto" w:sz="4" w:space="0"/>
              <w:left w:val="single" w:color="auto" w:sz="4" w:space="0"/>
              <w:bottom w:val="single" w:color="auto" w:sz="4" w:space="0"/>
              <w:right w:val="single" w:color="auto" w:sz="4" w:space="0"/>
            </w:tcBorders>
            <w:vAlign w:val="top"/>
          </w:tcPr>
          <w:p w14:paraId="56A62BE9">
            <w:pPr>
              <w:pStyle w:val="25"/>
              <w:spacing w:before="34" w:line="359" w:lineRule="auto"/>
              <w:ind w:left="119" w:leftChars="0" w:right="106" w:rightChars="0" w:hanging="4" w:firstLineChars="0"/>
              <w:rPr>
                <w:rFonts w:hint="eastAsia" w:ascii="宋体" w:hAnsi="宋体" w:eastAsia="宋体" w:cs="宋体"/>
                <w:color w:val="auto"/>
                <w:spacing w:val="9"/>
                <w:sz w:val="24"/>
                <w:szCs w:val="24"/>
                <w:highlight w:val="none"/>
              </w:rPr>
            </w:pPr>
            <w:r>
              <w:rPr>
                <w:rFonts w:hint="eastAsia" w:ascii="宋体" w:hAnsi="宋体" w:eastAsia="宋体" w:cs="宋体"/>
                <w:color w:val="auto"/>
                <w:spacing w:val="19"/>
                <w:sz w:val="24"/>
                <w:szCs w:val="24"/>
                <w:highlight w:val="none"/>
              </w:rPr>
              <w:t>投标人确认收到招标文件修</w:t>
            </w:r>
            <w:r>
              <w:rPr>
                <w:rFonts w:hint="eastAsia" w:ascii="宋体" w:hAnsi="宋体" w:eastAsia="宋体" w:cs="宋体"/>
                <w:color w:val="auto"/>
                <w:sz w:val="24"/>
                <w:szCs w:val="24"/>
                <w:highlight w:val="none"/>
              </w:rPr>
              <w:t>改</w:t>
            </w:r>
          </w:p>
        </w:tc>
        <w:tc>
          <w:tcPr>
            <w:tcW w:w="6159" w:type="dxa"/>
            <w:tcBorders>
              <w:left w:val="single" w:color="auto" w:sz="4" w:space="0"/>
            </w:tcBorders>
            <w:vAlign w:val="top"/>
          </w:tcPr>
          <w:p w14:paraId="0A4C6C8E">
            <w:pPr>
              <w:pStyle w:val="25"/>
              <w:spacing w:before="34" w:line="359" w:lineRule="auto"/>
              <w:ind w:left="115" w:leftChars="0" w:right="109" w:rightChars="0"/>
              <w:rPr>
                <w:rFonts w:hint="eastAsia" w:ascii="宋体" w:hAnsi="宋体" w:eastAsia="宋体" w:cs="宋体"/>
                <w:color w:val="auto"/>
                <w:spacing w:val="5"/>
                <w:sz w:val="24"/>
                <w:szCs w:val="24"/>
                <w:highlight w:val="none"/>
              </w:rPr>
            </w:pPr>
            <w:r>
              <w:rPr>
                <w:rFonts w:hint="eastAsia" w:ascii="宋体" w:hAnsi="宋体" w:eastAsia="宋体" w:cs="宋体"/>
                <w:color w:val="auto"/>
                <w:spacing w:val="4"/>
                <w:sz w:val="24"/>
                <w:szCs w:val="24"/>
                <w:highlight w:val="none"/>
              </w:rPr>
              <w:t>形式：“电子交易平台”的电子修改通知一经发出均视</w:t>
            </w:r>
            <w:r>
              <w:rPr>
                <w:rFonts w:hint="eastAsia" w:ascii="宋体" w:hAnsi="宋体" w:eastAsia="宋体" w:cs="宋体"/>
                <w:color w:val="auto"/>
                <w:spacing w:val="8"/>
                <w:sz w:val="24"/>
                <w:szCs w:val="24"/>
                <w:highlight w:val="none"/>
              </w:rPr>
              <w:t>为投标人已收到招标文件修改文件。</w:t>
            </w:r>
          </w:p>
        </w:tc>
      </w:tr>
      <w:tr w14:paraId="3B906E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5" w:hRule="atLeast"/>
        </w:trPr>
        <w:tc>
          <w:tcPr>
            <w:tcW w:w="1107" w:type="dxa"/>
            <w:tcBorders>
              <w:top w:val="single" w:color="auto" w:sz="4" w:space="0"/>
              <w:left w:val="single" w:color="auto" w:sz="4" w:space="0"/>
              <w:bottom w:val="single" w:color="auto" w:sz="4" w:space="0"/>
              <w:right w:val="single" w:color="auto" w:sz="4" w:space="0"/>
            </w:tcBorders>
            <w:vAlign w:val="top"/>
          </w:tcPr>
          <w:p w14:paraId="72048690">
            <w:pPr>
              <w:spacing w:before="282" w:line="195" w:lineRule="auto"/>
              <w:ind w:left="348" w:leftChars="0"/>
              <w:rPr>
                <w:rFonts w:hint="eastAsia" w:ascii="宋体" w:hAnsi="宋体" w:eastAsia="宋体" w:cs="宋体"/>
                <w:color w:val="auto"/>
                <w:spacing w:val="3"/>
                <w:sz w:val="24"/>
                <w:szCs w:val="24"/>
                <w:highlight w:val="none"/>
              </w:rPr>
            </w:pPr>
            <w:r>
              <w:rPr>
                <w:rFonts w:hint="eastAsia" w:ascii="宋体" w:hAnsi="宋体" w:eastAsia="宋体" w:cs="宋体"/>
                <w:color w:val="auto"/>
                <w:spacing w:val="-4"/>
                <w:sz w:val="24"/>
                <w:szCs w:val="24"/>
                <w:highlight w:val="none"/>
              </w:rPr>
              <w:t>3.1.1</w:t>
            </w:r>
          </w:p>
        </w:tc>
        <w:tc>
          <w:tcPr>
            <w:tcW w:w="2072" w:type="dxa"/>
            <w:tcBorders>
              <w:top w:val="single" w:color="auto" w:sz="4" w:space="0"/>
              <w:left w:val="single" w:color="auto" w:sz="4" w:space="0"/>
              <w:bottom w:val="single" w:color="auto" w:sz="4" w:space="0"/>
              <w:right w:val="single" w:color="auto" w:sz="4" w:space="0"/>
            </w:tcBorders>
            <w:vAlign w:val="top"/>
          </w:tcPr>
          <w:p w14:paraId="43321711">
            <w:pPr>
              <w:pStyle w:val="25"/>
              <w:spacing w:before="238" w:line="228" w:lineRule="auto"/>
              <w:ind w:left="115" w:leftChars="0"/>
              <w:rPr>
                <w:rFonts w:hint="eastAsia" w:ascii="宋体" w:hAnsi="宋体" w:eastAsia="宋体" w:cs="宋体"/>
                <w:color w:val="auto"/>
                <w:spacing w:val="19"/>
                <w:sz w:val="24"/>
                <w:szCs w:val="24"/>
                <w:highlight w:val="none"/>
              </w:rPr>
            </w:pPr>
            <w:r>
              <w:rPr>
                <w:rFonts w:hint="eastAsia" w:ascii="宋体" w:hAnsi="宋体" w:eastAsia="宋体" w:cs="宋体"/>
                <w:color w:val="auto"/>
                <w:spacing w:val="8"/>
                <w:sz w:val="24"/>
                <w:szCs w:val="24"/>
                <w:highlight w:val="none"/>
              </w:rPr>
              <w:t>投标文件密封形式</w:t>
            </w:r>
          </w:p>
        </w:tc>
        <w:tc>
          <w:tcPr>
            <w:tcW w:w="6159" w:type="dxa"/>
            <w:tcBorders>
              <w:left w:val="single" w:color="auto" w:sz="4" w:space="0"/>
            </w:tcBorders>
            <w:vAlign w:val="top"/>
          </w:tcPr>
          <w:p w14:paraId="04A1BE0B">
            <w:pPr>
              <w:pStyle w:val="25"/>
              <w:spacing w:before="34" w:line="228" w:lineRule="auto"/>
              <w:ind w:left="121"/>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☑双信封</w:t>
            </w:r>
          </w:p>
          <w:p w14:paraId="380971B4">
            <w:pPr>
              <w:pStyle w:val="25"/>
              <w:spacing w:before="160" w:line="228" w:lineRule="auto"/>
              <w:ind w:left="134" w:leftChars="0"/>
              <w:rPr>
                <w:rFonts w:hint="eastAsia" w:ascii="宋体" w:hAnsi="宋体" w:eastAsia="宋体" w:cs="宋体"/>
                <w:color w:val="auto"/>
                <w:spacing w:val="4"/>
                <w:sz w:val="24"/>
                <w:szCs w:val="24"/>
                <w:highlight w:val="none"/>
              </w:rPr>
            </w:pPr>
            <w:r>
              <w:rPr>
                <w:rFonts w:hint="eastAsia" w:ascii="宋体" w:hAnsi="宋体" w:eastAsia="宋体" w:cs="宋体"/>
                <w:color w:val="auto"/>
                <w:spacing w:val="2"/>
                <w:sz w:val="24"/>
                <w:szCs w:val="24"/>
                <w:highlight w:val="none"/>
              </w:rPr>
              <w:t>□单信封</w:t>
            </w:r>
          </w:p>
        </w:tc>
      </w:tr>
      <w:tr w14:paraId="0888B6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5" w:hRule="atLeast"/>
        </w:trPr>
        <w:tc>
          <w:tcPr>
            <w:tcW w:w="1107" w:type="dxa"/>
            <w:tcBorders>
              <w:top w:val="single" w:color="auto" w:sz="4" w:space="0"/>
              <w:left w:val="single" w:color="auto" w:sz="4" w:space="0"/>
              <w:bottom w:val="single" w:color="auto" w:sz="4" w:space="0"/>
              <w:right w:val="single" w:color="auto" w:sz="4" w:space="0"/>
            </w:tcBorders>
            <w:vAlign w:val="top"/>
          </w:tcPr>
          <w:p w14:paraId="088C53E9">
            <w:pPr>
              <w:spacing w:before="283" w:line="195" w:lineRule="auto"/>
              <w:ind w:left="348" w:leftChars="0"/>
              <w:rPr>
                <w:rFonts w:hint="eastAsia" w:ascii="宋体" w:hAnsi="宋体" w:eastAsia="宋体" w:cs="宋体"/>
                <w:color w:val="auto"/>
                <w:spacing w:val="3"/>
                <w:sz w:val="24"/>
                <w:szCs w:val="24"/>
                <w:highlight w:val="none"/>
              </w:rPr>
            </w:pPr>
            <w:r>
              <w:rPr>
                <w:rFonts w:hint="eastAsia" w:ascii="宋体" w:hAnsi="宋体" w:eastAsia="宋体" w:cs="宋体"/>
                <w:color w:val="auto"/>
                <w:spacing w:val="-4"/>
                <w:sz w:val="24"/>
                <w:szCs w:val="24"/>
                <w:highlight w:val="none"/>
              </w:rPr>
              <w:t>3.1.1</w:t>
            </w:r>
          </w:p>
        </w:tc>
        <w:tc>
          <w:tcPr>
            <w:tcW w:w="2072" w:type="dxa"/>
            <w:tcBorders>
              <w:top w:val="single" w:color="auto" w:sz="4" w:space="0"/>
              <w:left w:val="single" w:color="auto" w:sz="4" w:space="0"/>
              <w:bottom w:val="single" w:color="auto" w:sz="4" w:space="0"/>
              <w:right w:val="single" w:color="auto" w:sz="4" w:space="0"/>
            </w:tcBorders>
            <w:vAlign w:val="top"/>
          </w:tcPr>
          <w:p w14:paraId="06203673">
            <w:pPr>
              <w:pStyle w:val="25"/>
              <w:spacing w:before="237" w:line="228" w:lineRule="auto"/>
              <w:ind w:left="115" w:leftChars="0"/>
              <w:rPr>
                <w:rFonts w:hint="eastAsia" w:ascii="宋体" w:hAnsi="宋体" w:eastAsia="宋体" w:cs="宋体"/>
                <w:color w:val="auto"/>
                <w:spacing w:val="19"/>
                <w:sz w:val="24"/>
                <w:szCs w:val="24"/>
                <w:highlight w:val="none"/>
              </w:rPr>
            </w:pPr>
            <w:r>
              <w:rPr>
                <w:rFonts w:hint="eastAsia" w:ascii="宋体" w:hAnsi="宋体" w:eastAsia="宋体" w:cs="宋体"/>
                <w:color w:val="auto"/>
                <w:spacing w:val="8"/>
                <w:sz w:val="24"/>
                <w:szCs w:val="24"/>
                <w:highlight w:val="none"/>
              </w:rPr>
              <w:t>构成投标文件的其他资料</w:t>
            </w:r>
          </w:p>
        </w:tc>
        <w:tc>
          <w:tcPr>
            <w:tcW w:w="6159" w:type="dxa"/>
            <w:tcBorders>
              <w:left w:val="single" w:color="auto" w:sz="4" w:space="0"/>
            </w:tcBorders>
            <w:vAlign w:val="top"/>
          </w:tcPr>
          <w:p w14:paraId="29FA6D82">
            <w:pPr>
              <w:pStyle w:val="25"/>
              <w:spacing w:before="33" w:line="359" w:lineRule="auto"/>
              <w:ind w:left="113" w:leftChars="0" w:right="109" w:rightChars="0" w:firstLine="1" w:firstLineChars="0"/>
              <w:rPr>
                <w:rFonts w:hint="eastAsia" w:ascii="宋体" w:hAnsi="宋体" w:eastAsia="宋体" w:cs="宋体"/>
                <w:color w:val="auto"/>
                <w:spacing w:val="4"/>
                <w:sz w:val="24"/>
                <w:szCs w:val="24"/>
                <w:highlight w:val="none"/>
              </w:rPr>
            </w:pPr>
            <w:r>
              <w:rPr>
                <w:rFonts w:hint="eastAsia" w:ascii="宋体" w:hAnsi="宋体" w:eastAsia="宋体" w:cs="宋体"/>
                <w:color w:val="auto"/>
                <w:spacing w:val="16"/>
                <w:sz w:val="24"/>
                <w:szCs w:val="24"/>
                <w:highlight w:val="none"/>
              </w:rPr>
              <w:t>投标人在评标过程中作出的符合法律法规和招标</w:t>
            </w:r>
            <w:r>
              <w:rPr>
                <w:rFonts w:hint="eastAsia" w:ascii="宋体" w:hAnsi="宋体" w:eastAsia="宋体" w:cs="宋体"/>
                <w:color w:val="auto"/>
                <w:spacing w:val="15"/>
                <w:sz w:val="24"/>
                <w:szCs w:val="24"/>
                <w:highlight w:val="none"/>
              </w:rPr>
              <w:t>文件</w:t>
            </w:r>
            <w:r>
              <w:rPr>
                <w:rFonts w:hint="eastAsia" w:ascii="宋体" w:hAnsi="宋体" w:eastAsia="宋体" w:cs="宋体"/>
                <w:color w:val="auto"/>
                <w:spacing w:val="8"/>
                <w:sz w:val="24"/>
                <w:szCs w:val="24"/>
                <w:highlight w:val="none"/>
              </w:rPr>
              <w:t>规定的澄清确认，构成投标文件的组成部分。</w:t>
            </w:r>
          </w:p>
        </w:tc>
      </w:tr>
      <w:tr w14:paraId="314054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5" w:hRule="atLeast"/>
        </w:trPr>
        <w:tc>
          <w:tcPr>
            <w:tcW w:w="1107" w:type="dxa"/>
            <w:tcBorders>
              <w:top w:val="single" w:color="auto" w:sz="4" w:space="0"/>
              <w:left w:val="single" w:color="auto" w:sz="4" w:space="0"/>
              <w:bottom w:val="single" w:color="auto" w:sz="4" w:space="0"/>
              <w:right w:val="single" w:color="auto" w:sz="4" w:space="0"/>
            </w:tcBorders>
            <w:vAlign w:val="top"/>
          </w:tcPr>
          <w:p w14:paraId="58651735">
            <w:pPr>
              <w:spacing w:before="282" w:line="195" w:lineRule="auto"/>
              <w:ind w:left="348" w:leftChars="0"/>
              <w:rPr>
                <w:rFonts w:hint="eastAsia" w:ascii="宋体" w:hAnsi="宋体" w:eastAsia="宋体" w:cs="宋体"/>
                <w:color w:val="auto"/>
                <w:spacing w:val="3"/>
                <w:sz w:val="24"/>
                <w:szCs w:val="24"/>
                <w:highlight w:val="none"/>
              </w:rPr>
            </w:pPr>
            <w:r>
              <w:rPr>
                <w:rFonts w:hint="eastAsia" w:ascii="宋体" w:hAnsi="宋体" w:eastAsia="宋体" w:cs="宋体"/>
                <w:color w:val="auto"/>
                <w:spacing w:val="1"/>
                <w:sz w:val="24"/>
                <w:szCs w:val="24"/>
                <w:highlight w:val="none"/>
              </w:rPr>
              <w:t>3.2.1</w:t>
            </w:r>
          </w:p>
        </w:tc>
        <w:tc>
          <w:tcPr>
            <w:tcW w:w="2072" w:type="dxa"/>
            <w:tcBorders>
              <w:top w:val="single" w:color="auto" w:sz="4" w:space="0"/>
              <w:left w:val="single" w:color="auto" w:sz="4" w:space="0"/>
              <w:bottom w:val="single" w:color="auto" w:sz="4" w:space="0"/>
              <w:right w:val="single" w:color="auto" w:sz="4" w:space="0"/>
            </w:tcBorders>
            <w:vAlign w:val="top"/>
          </w:tcPr>
          <w:p w14:paraId="796A5922">
            <w:pPr>
              <w:pStyle w:val="25"/>
              <w:spacing w:before="239" w:line="228" w:lineRule="auto"/>
              <w:ind w:left="113" w:leftChars="0"/>
              <w:rPr>
                <w:rFonts w:hint="eastAsia" w:ascii="宋体" w:hAnsi="宋体" w:eastAsia="宋体" w:cs="宋体"/>
                <w:color w:val="auto"/>
                <w:spacing w:val="19"/>
                <w:sz w:val="24"/>
                <w:szCs w:val="24"/>
                <w:highlight w:val="none"/>
              </w:rPr>
            </w:pPr>
            <w:r>
              <w:rPr>
                <w:rFonts w:hint="eastAsia" w:ascii="宋体" w:hAnsi="宋体" w:eastAsia="宋体" w:cs="宋体"/>
                <w:color w:val="auto"/>
                <w:spacing w:val="8"/>
                <w:sz w:val="24"/>
                <w:szCs w:val="24"/>
                <w:highlight w:val="none"/>
              </w:rPr>
              <w:t>增值税税金的计算方法</w:t>
            </w:r>
          </w:p>
        </w:tc>
        <w:tc>
          <w:tcPr>
            <w:tcW w:w="6159" w:type="dxa"/>
            <w:tcBorders>
              <w:left w:val="single" w:color="auto" w:sz="4" w:space="0"/>
            </w:tcBorders>
            <w:vAlign w:val="top"/>
          </w:tcPr>
          <w:p w14:paraId="680E3304">
            <w:pPr>
              <w:pStyle w:val="25"/>
              <w:spacing w:before="36" w:line="228" w:lineRule="auto"/>
              <w:ind w:left="121"/>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☑一般计税方法</w:t>
            </w:r>
          </w:p>
          <w:p w14:paraId="43E1DFA0">
            <w:pPr>
              <w:pStyle w:val="25"/>
              <w:spacing w:before="160" w:line="227" w:lineRule="auto"/>
              <w:ind w:left="134" w:leftChars="0"/>
              <w:rPr>
                <w:rFonts w:hint="eastAsia" w:ascii="宋体" w:hAnsi="宋体" w:eastAsia="宋体" w:cs="宋体"/>
                <w:color w:val="auto"/>
                <w:spacing w:val="4"/>
                <w:sz w:val="24"/>
                <w:szCs w:val="24"/>
                <w:highlight w:val="none"/>
              </w:rPr>
            </w:pPr>
            <w:r>
              <w:rPr>
                <w:rFonts w:hint="eastAsia" w:ascii="宋体" w:hAnsi="宋体" w:eastAsia="宋体" w:cs="宋体"/>
                <w:color w:val="auto"/>
                <w:spacing w:val="5"/>
                <w:sz w:val="24"/>
                <w:szCs w:val="24"/>
                <w:highlight w:val="none"/>
              </w:rPr>
              <w:t>□简易计税方法</w:t>
            </w:r>
          </w:p>
        </w:tc>
      </w:tr>
      <w:tr w14:paraId="5A66F6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5" w:hRule="atLeast"/>
        </w:trPr>
        <w:tc>
          <w:tcPr>
            <w:tcW w:w="1107" w:type="dxa"/>
            <w:tcBorders>
              <w:top w:val="single" w:color="auto" w:sz="4" w:space="0"/>
              <w:left w:val="single" w:color="auto" w:sz="4" w:space="0"/>
              <w:bottom w:val="single" w:color="auto" w:sz="4" w:space="0"/>
              <w:right w:val="single" w:color="auto" w:sz="4" w:space="0"/>
            </w:tcBorders>
            <w:vAlign w:val="top"/>
          </w:tcPr>
          <w:p w14:paraId="44388F6D">
            <w:pPr>
              <w:spacing w:line="325" w:lineRule="auto"/>
              <w:rPr>
                <w:rFonts w:hint="eastAsia" w:ascii="宋体" w:hAnsi="宋体" w:eastAsia="宋体" w:cs="宋体"/>
                <w:color w:val="auto"/>
                <w:sz w:val="24"/>
                <w:szCs w:val="24"/>
                <w:highlight w:val="none"/>
              </w:rPr>
            </w:pPr>
          </w:p>
          <w:p w14:paraId="50E4B20A">
            <w:pPr>
              <w:spacing w:line="326" w:lineRule="auto"/>
              <w:rPr>
                <w:rFonts w:hint="eastAsia" w:ascii="宋体" w:hAnsi="宋体" w:eastAsia="宋体" w:cs="宋体"/>
                <w:color w:val="auto"/>
                <w:sz w:val="24"/>
                <w:szCs w:val="24"/>
                <w:highlight w:val="none"/>
              </w:rPr>
            </w:pPr>
          </w:p>
          <w:p w14:paraId="0FA3FBEF">
            <w:pPr>
              <w:spacing w:before="58" w:line="195" w:lineRule="auto"/>
              <w:ind w:left="348" w:leftChars="0"/>
              <w:rPr>
                <w:rFonts w:hint="eastAsia" w:ascii="宋体" w:hAnsi="宋体" w:eastAsia="宋体" w:cs="宋体"/>
                <w:color w:val="auto"/>
                <w:spacing w:val="3"/>
                <w:sz w:val="24"/>
                <w:szCs w:val="24"/>
                <w:highlight w:val="none"/>
              </w:rPr>
            </w:pPr>
            <w:r>
              <w:rPr>
                <w:rFonts w:hint="eastAsia" w:ascii="宋体" w:hAnsi="宋体" w:eastAsia="宋体" w:cs="宋体"/>
                <w:color w:val="auto"/>
                <w:spacing w:val="1"/>
                <w:sz w:val="24"/>
                <w:szCs w:val="24"/>
                <w:highlight w:val="none"/>
              </w:rPr>
              <w:t>3.2.1</w:t>
            </w:r>
          </w:p>
        </w:tc>
        <w:tc>
          <w:tcPr>
            <w:tcW w:w="2072" w:type="dxa"/>
            <w:tcBorders>
              <w:top w:val="single" w:color="auto" w:sz="4" w:space="0"/>
              <w:left w:val="single" w:color="auto" w:sz="4" w:space="0"/>
              <w:bottom w:val="single" w:color="auto" w:sz="4" w:space="0"/>
              <w:right w:val="single" w:color="auto" w:sz="4" w:space="0"/>
            </w:tcBorders>
            <w:vAlign w:val="top"/>
          </w:tcPr>
          <w:p w14:paraId="54A94259">
            <w:pPr>
              <w:spacing w:line="300" w:lineRule="auto"/>
              <w:rPr>
                <w:rFonts w:hint="eastAsia" w:ascii="宋体" w:hAnsi="宋体" w:eastAsia="宋体" w:cs="宋体"/>
                <w:color w:val="auto"/>
                <w:sz w:val="24"/>
                <w:szCs w:val="24"/>
                <w:highlight w:val="none"/>
              </w:rPr>
            </w:pPr>
          </w:p>
          <w:p w14:paraId="70C37CAB">
            <w:pPr>
              <w:spacing w:line="301" w:lineRule="auto"/>
              <w:rPr>
                <w:rFonts w:hint="eastAsia" w:ascii="宋体" w:hAnsi="宋体" w:eastAsia="宋体" w:cs="宋体"/>
                <w:color w:val="auto"/>
                <w:sz w:val="24"/>
                <w:szCs w:val="24"/>
                <w:highlight w:val="none"/>
              </w:rPr>
            </w:pPr>
          </w:p>
          <w:p w14:paraId="65F87B5B">
            <w:pPr>
              <w:pStyle w:val="25"/>
              <w:spacing w:before="65" w:line="228" w:lineRule="auto"/>
              <w:ind w:left="115" w:leftChars="0"/>
              <w:rPr>
                <w:rFonts w:hint="eastAsia" w:ascii="宋体" w:hAnsi="宋体" w:eastAsia="宋体" w:cs="宋体"/>
                <w:color w:val="auto"/>
                <w:spacing w:val="19"/>
                <w:sz w:val="24"/>
                <w:szCs w:val="24"/>
                <w:highlight w:val="none"/>
              </w:rPr>
            </w:pPr>
            <w:r>
              <w:rPr>
                <w:rFonts w:hint="eastAsia" w:ascii="宋体" w:hAnsi="宋体" w:eastAsia="宋体" w:cs="宋体"/>
                <w:color w:val="auto"/>
                <w:spacing w:val="8"/>
                <w:sz w:val="24"/>
                <w:szCs w:val="24"/>
                <w:highlight w:val="none"/>
              </w:rPr>
              <w:t>工程量清单的填写方式</w:t>
            </w:r>
          </w:p>
        </w:tc>
        <w:tc>
          <w:tcPr>
            <w:tcW w:w="6159" w:type="dxa"/>
            <w:tcBorders>
              <w:left w:val="single" w:color="auto" w:sz="4" w:space="0"/>
            </w:tcBorders>
            <w:vAlign w:val="top"/>
          </w:tcPr>
          <w:p w14:paraId="2C94479B">
            <w:pPr>
              <w:pStyle w:val="25"/>
              <w:spacing w:before="35" w:line="374" w:lineRule="auto"/>
              <w:ind w:left="114" w:right="109" w:firstLine="6"/>
              <w:jc w:val="both"/>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☑投标人按照招标人提供的工程量固化清单</w:t>
            </w:r>
            <w:r>
              <w:rPr>
                <w:rFonts w:hint="eastAsia" w:ascii="宋体" w:hAnsi="宋体" w:eastAsia="宋体" w:cs="宋体"/>
                <w:color w:val="auto"/>
                <w:spacing w:val="10"/>
                <w:sz w:val="24"/>
                <w:szCs w:val="24"/>
                <w:highlight w:val="none"/>
              </w:rPr>
              <w:t>电子文件</w:t>
            </w:r>
            <w:r>
              <w:rPr>
                <w:rFonts w:hint="eastAsia" w:ascii="宋体" w:hAnsi="宋体" w:eastAsia="宋体" w:cs="宋体"/>
                <w:color w:val="auto"/>
                <w:spacing w:val="4"/>
                <w:sz w:val="24"/>
                <w:szCs w:val="24"/>
                <w:highlight w:val="none"/>
              </w:rPr>
              <w:t>填写工程量清单，下载网站：全国公共资源交易平台(广</w:t>
            </w:r>
            <w:r>
              <w:rPr>
                <w:rFonts w:hint="eastAsia" w:ascii="宋体" w:hAnsi="宋体" w:eastAsia="宋体" w:cs="宋体"/>
                <w:color w:val="auto"/>
                <w:spacing w:val="-10"/>
                <w:sz w:val="24"/>
                <w:szCs w:val="24"/>
                <w:highlight w:val="none"/>
              </w:rPr>
              <w:t>西·玉林)</w:t>
            </w:r>
          </w:p>
          <w:p w14:paraId="696A7621">
            <w:pPr>
              <w:pStyle w:val="25"/>
              <w:spacing w:before="10" w:line="358" w:lineRule="auto"/>
              <w:ind w:left="112" w:leftChars="0" w:right="109" w:rightChars="0" w:firstLine="21" w:firstLineChars="0"/>
              <w:rPr>
                <w:rFonts w:hint="eastAsia" w:ascii="宋体" w:hAnsi="宋体" w:eastAsia="宋体" w:cs="宋体"/>
                <w:color w:val="auto"/>
                <w:spacing w:val="4"/>
                <w:sz w:val="24"/>
                <w:szCs w:val="24"/>
                <w:highlight w:val="none"/>
              </w:rPr>
            </w:pPr>
            <w:r>
              <w:rPr>
                <w:rFonts w:hint="eastAsia" w:ascii="宋体" w:hAnsi="宋体" w:eastAsia="宋体" w:cs="宋体"/>
                <w:color w:val="auto"/>
                <w:spacing w:val="15"/>
                <w:sz w:val="24"/>
                <w:szCs w:val="24"/>
                <w:highlight w:val="none"/>
              </w:rPr>
              <w:t>□投标人按照招标人提供的书面工程量清单填写工程</w:t>
            </w:r>
            <w:r>
              <w:rPr>
                <w:rFonts w:hint="eastAsia" w:ascii="宋体" w:hAnsi="宋体" w:eastAsia="宋体" w:cs="宋体"/>
                <w:color w:val="auto"/>
                <w:spacing w:val="6"/>
                <w:sz w:val="24"/>
                <w:szCs w:val="24"/>
                <w:highlight w:val="none"/>
              </w:rPr>
              <w:t>量清单</w:t>
            </w:r>
          </w:p>
        </w:tc>
      </w:tr>
      <w:tr w14:paraId="72F0E4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5" w:hRule="atLeast"/>
        </w:trPr>
        <w:tc>
          <w:tcPr>
            <w:tcW w:w="1107" w:type="dxa"/>
            <w:tcBorders>
              <w:top w:val="single" w:color="auto" w:sz="4" w:space="0"/>
              <w:left w:val="single" w:color="auto" w:sz="4" w:space="0"/>
              <w:bottom w:val="single" w:color="auto" w:sz="4" w:space="0"/>
              <w:right w:val="single" w:color="auto" w:sz="4" w:space="0"/>
            </w:tcBorders>
            <w:vAlign w:val="top"/>
          </w:tcPr>
          <w:p w14:paraId="4ECD677F">
            <w:pPr>
              <w:spacing w:before="283" w:line="195" w:lineRule="auto"/>
              <w:ind w:left="348" w:leftChars="0"/>
              <w:rPr>
                <w:rFonts w:hint="eastAsia" w:ascii="宋体" w:hAnsi="宋体" w:eastAsia="宋体" w:cs="宋体"/>
                <w:color w:val="auto"/>
                <w:spacing w:val="1"/>
                <w:sz w:val="24"/>
                <w:szCs w:val="24"/>
                <w:highlight w:val="none"/>
              </w:rPr>
            </w:pPr>
            <w:r>
              <w:rPr>
                <w:rFonts w:hint="eastAsia" w:ascii="宋体" w:hAnsi="宋体" w:eastAsia="宋体" w:cs="宋体"/>
                <w:color w:val="auto"/>
                <w:spacing w:val="2"/>
                <w:sz w:val="24"/>
                <w:szCs w:val="24"/>
                <w:highlight w:val="none"/>
              </w:rPr>
              <w:t>3.2.3</w:t>
            </w:r>
          </w:p>
        </w:tc>
        <w:tc>
          <w:tcPr>
            <w:tcW w:w="2072" w:type="dxa"/>
            <w:tcBorders>
              <w:top w:val="single" w:color="auto" w:sz="4" w:space="0"/>
              <w:left w:val="single" w:color="auto" w:sz="4" w:space="0"/>
              <w:bottom w:val="single" w:color="auto" w:sz="4" w:space="0"/>
              <w:right w:val="single" w:color="auto" w:sz="4" w:space="0"/>
            </w:tcBorders>
            <w:vAlign w:val="top"/>
          </w:tcPr>
          <w:p w14:paraId="4023B50B">
            <w:pPr>
              <w:pStyle w:val="25"/>
              <w:spacing w:before="238" w:line="226" w:lineRule="auto"/>
              <w:ind w:left="111" w:leftChars="0"/>
              <w:rPr>
                <w:rFonts w:hint="eastAsia" w:ascii="宋体" w:hAnsi="宋体" w:eastAsia="宋体" w:cs="宋体"/>
                <w:color w:val="auto"/>
                <w:spacing w:val="8"/>
                <w:sz w:val="24"/>
                <w:szCs w:val="24"/>
                <w:highlight w:val="none"/>
              </w:rPr>
            </w:pPr>
            <w:r>
              <w:rPr>
                <w:rFonts w:hint="eastAsia" w:ascii="宋体" w:hAnsi="宋体" w:eastAsia="宋体" w:cs="宋体"/>
                <w:color w:val="auto"/>
                <w:spacing w:val="7"/>
                <w:sz w:val="24"/>
                <w:szCs w:val="24"/>
                <w:highlight w:val="none"/>
              </w:rPr>
              <w:t>报价方式</w:t>
            </w:r>
          </w:p>
        </w:tc>
        <w:tc>
          <w:tcPr>
            <w:tcW w:w="6159" w:type="dxa"/>
            <w:tcBorders>
              <w:left w:val="single" w:color="auto" w:sz="4" w:space="0"/>
            </w:tcBorders>
            <w:vAlign w:val="top"/>
          </w:tcPr>
          <w:p w14:paraId="62F4F4ED">
            <w:pPr>
              <w:pStyle w:val="25"/>
              <w:spacing w:before="34" w:line="226" w:lineRule="auto"/>
              <w:ind w:left="121"/>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☑单价</w:t>
            </w:r>
          </w:p>
          <w:p w14:paraId="37CE18EB">
            <w:pPr>
              <w:pStyle w:val="25"/>
              <w:spacing w:before="163" w:line="226" w:lineRule="auto"/>
              <w:ind w:left="134" w:leftChars="0"/>
              <w:rPr>
                <w:rFonts w:hint="eastAsia" w:ascii="宋体" w:hAnsi="宋体" w:eastAsia="宋体" w:cs="宋体"/>
                <w:color w:val="auto"/>
                <w:spacing w:val="15"/>
                <w:sz w:val="24"/>
                <w:szCs w:val="24"/>
                <w:highlight w:val="none"/>
              </w:rPr>
            </w:pPr>
            <w:r>
              <w:rPr>
                <w:rFonts w:hint="eastAsia" w:ascii="宋体" w:hAnsi="宋体" w:eastAsia="宋体" w:cs="宋体"/>
                <w:color w:val="auto"/>
                <w:spacing w:val="-1"/>
                <w:sz w:val="24"/>
                <w:szCs w:val="24"/>
                <w:highlight w:val="none"/>
              </w:rPr>
              <w:t>□总价</w:t>
            </w:r>
          </w:p>
        </w:tc>
      </w:tr>
      <w:tr w14:paraId="693FB8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5" w:hRule="atLeast"/>
        </w:trPr>
        <w:tc>
          <w:tcPr>
            <w:tcW w:w="1107" w:type="dxa"/>
            <w:tcBorders>
              <w:top w:val="single" w:color="auto" w:sz="4" w:space="0"/>
              <w:left w:val="single" w:color="auto" w:sz="4" w:space="0"/>
              <w:bottom w:val="single" w:color="auto" w:sz="4" w:space="0"/>
              <w:right w:val="single" w:color="auto" w:sz="4" w:space="0"/>
            </w:tcBorders>
            <w:vAlign w:val="top"/>
          </w:tcPr>
          <w:p w14:paraId="60F6C46F">
            <w:pPr>
              <w:spacing w:before="282" w:line="195" w:lineRule="auto"/>
              <w:ind w:left="348" w:leftChars="0"/>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3.2.6</w:t>
            </w:r>
          </w:p>
        </w:tc>
        <w:tc>
          <w:tcPr>
            <w:tcW w:w="2072" w:type="dxa"/>
            <w:tcBorders>
              <w:top w:val="single" w:color="auto" w:sz="4" w:space="0"/>
              <w:left w:val="single" w:color="auto" w:sz="4" w:space="0"/>
              <w:bottom w:val="single" w:color="auto" w:sz="4" w:space="0"/>
              <w:right w:val="single" w:color="auto" w:sz="4" w:space="0"/>
            </w:tcBorders>
            <w:vAlign w:val="top"/>
          </w:tcPr>
          <w:p w14:paraId="4DEFEA69">
            <w:pPr>
              <w:pStyle w:val="25"/>
              <w:spacing w:before="239" w:line="225" w:lineRule="auto"/>
              <w:ind w:left="116" w:leftChars="0"/>
              <w:rPr>
                <w:rFonts w:hint="eastAsia" w:ascii="宋体" w:hAnsi="宋体" w:eastAsia="宋体" w:cs="宋体"/>
                <w:color w:val="auto"/>
                <w:spacing w:val="7"/>
                <w:sz w:val="24"/>
                <w:szCs w:val="24"/>
                <w:highlight w:val="none"/>
              </w:rPr>
            </w:pPr>
            <w:r>
              <w:rPr>
                <w:rFonts w:hint="eastAsia" w:ascii="宋体" w:hAnsi="宋体" w:eastAsia="宋体" w:cs="宋体"/>
                <w:color w:val="auto"/>
                <w:spacing w:val="8"/>
                <w:sz w:val="24"/>
                <w:szCs w:val="24"/>
                <w:highlight w:val="none"/>
              </w:rPr>
              <w:t>是否接受调价函①</w:t>
            </w:r>
          </w:p>
        </w:tc>
        <w:tc>
          <w:tcPr>
            <w:tcW w:w="6159" w:type="dxa"/>
            <w:tcBorders>
              <w:left w:val="single" w:color="auto" w:sz="4" w:space="0"/>
            </w:tcBorders>
            <w:vAlign w:val="top"/>
          </w:tcPr>
          <w:p w14:paraId="6D60D924">
            <w:pPr>
              <w:pStyle w:val="25"/>
              <w:spacing w:before="35" w:line="231" w:lineRule="auto"/>
              <w:ind w:left="134"/>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□是</w:t>
            </w:r>
          </w:p>
          <w:p w14:paraId="7FA7E312">
            <w:pPr>
              <w:pStyle w:val="25"/>
              <w:spacing w:before="157" w:line="228" w:lineRule="auto"/>
              <w:ind w:left="121" w:leftChars="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☑否</w:t>
            </w:r>
          </w:p>
        </w:tc>
      </w:tr>
      <w:tr w14:paraId="59FA78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5" w:hRule="atLeast"/>
        </w:trPr>
        <w:tc>
          <w:tcPr>
            <w:tcW w:w="1107" w:type="dxa"/>
            <w:tcBorders>
              <w:top w:val="single" w:color="auto" w:sz="4" w:space="0"/>
              <w:left w:val="single" w:color="auto" w:sz="4" w:space="0"/>
              <w:bottom w:val="single" w:color="auto" w:sz="4" w:space="0"/>
              <w:right w:val="single" w:color="auto" w:sz="4" w:space="0"/>
            </w:tcBorders>
            <w:vAlign w:val="top"/>
          </w:tcPr>
          <w:p w14:paraId="7B962CBB">
            <w:pPr>
              <w:spacing w:before="283" w:line="195" w:lineRule="auto"/>
              <w:ind w:left="348" w:leftChars="0"/>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3.2.8</w:t>
            </w:r>
          </w:p>
        </w:tc>
        <w:tc>
          <w:tcPr>
            <w:tcW w:w="2072" w:type="dxa"/>
            <w:tcBorders>
              <w:top w:val="single" w:color="auto" w:sz="4" w:space="0"/>
              <w:left w:val="single" w:color="auto" w:sz="4" w:space="0"/>
              <w:bottom w:val="single" w:color="auto" w:sz="4" w:space="0"/>
              <w:right w:val="single" w:color="auto" w:sz="4" w:space="0"/>
            </w:tcBorders>
            <w:vAlign w:val="top"/>
          </w:tcPr>
          <w:p w14:paraId="71B6D2D7">
            <w:pPr>
              <w:pStyle w:val="25"/>
              <w:spacing w:before="240" w:line="226" w:lineRule="auto"/>
              <w:ind w:left="115" w:leftChars="0"/>
              <w:rPr>
                <w:rFonts w:hint="eastAsia" w:ascii="宋体" w:hAnsi="宋体" w:eastAsia="宋体" w:cs="宋体"/>
                <w:color w:val="auto"/>
                <w:spacing w:val="8"/>
                <w:sz w:val="24"/>
                <w:szCs w:val="24"/>
                <w:highlight w:val="none"/>
              </w:rPr>
            </w:pPr>
            <w:r>
              <w:rPr>
                <w:rFonts w:hint="eastAsia" w:ascii="宋体" w:hAnsi="宋体" w:eastAsia="宋体" w:cs="宋体"/>
                <w:color w:val="auto"/>
                <w:spacing w:val="7"/>
                <w:sz w:val="24"/>
                <w:szCs w:val="24"/>
                <w:highlight w:val="none"/>
              </w:rPr>
              <w:t>最高投标限价</w:t>
            </w:r>
          </w:p>
        </w:tc>
        <w:tc>
          <w:tcPr>
            <w:tcW w:w="6159" w:type="dxa"/>
            <w:tcBorders>
              <w:left w:val="single" w:color="auto" w:sz="4" w:space="0"/>
            </w:tcBorders>
            <w:vAlign w:val="top"/>
          </w:tcPr>
          <w:p w14:paraId="33BA4F36">
            <w:pPr>
              <w:pStyle w:val="25"/>
              <w:spacing w:before="36" w:line="358" w:lineRule="auto"/>
              <w:ind w:left="113" w:leftChars="0" w:right="109" w:rightChars="0" w:firstLine="1" w:firstLineChars="0"/>
              <w:rPr>
                <w:rFonts w:hint="eastAsia" w:ascii="宋体" w:hAnsi="宋体" w:eastAsia="宋体" w:cs="宋体"/>
                <w:color w:val="auto"/>
                <w:spacing w:val="1"/>
                <w:sz w:val="24"/>
                <w:szCs w:val="24"/>
                <w:highlight w:val="none"/>
              </w:rPr>
            </w:pPr>
            <w:r>
              <w:rPr>
                <w:rFonts w:hint="eastAsia" w:ascii="宋体" w:hAnsi="宋体" w:eastAsia="宋体" w:cs="宋体"/>
                <w:color w:val="auto"/>
                <w:spacing w:val="7"/>
                <w:sz w:val="24"/>
                <w:szCs w:val="24"/>
                <w:highlight w:val="none"/>
              </w:rPr>
              <w:t>最高投标限价：人民币</w:t>
            </w:r>
            <w:r>
              <w:rPr>
                <w:rFonts w:hint="eastAsia" w:ascii="宋体" w:hAnsi="宋体" w:eastAsia="宋体" w:cs="宋体"/>
                <w:color w:val="auto"/>
                <w:spacing w:val="7"/>
                <w:sz w:val="24"/>
                <w:szCs w:val="24"/>
                <w:highlight w:val="none"/>
                <w:lang w:eastAsia="zh-CN"/>
              </w:rPr>
              <w:t>肆佰叁拾玖万肆仟伍佰柒拾元壹角玖分</w:t>
            </w:r>
            <w:r>
              <w:rPr>
                <w:rFonts w:hint="eastAsia" w:ascii="宋体" w:hAnsi="宋体" w:eastAsia="宋体" w:cs="宋体"/>
                <w:color w:val="auto"/>
                <w:spacing w:val="3"/>
                <w:sz w:val="24"/>
                <w:szCs w:val="24"/>
                <w:highlight w:val="none"/>
              </w:rPr>
              <w:t>(4394570</w:t>
            </w:r>
            <w:r>
              <w:rPr>
                <w:rFonts w:hint="eastAsia" w:ascii="宋体" w:hAnsi="宋体" w:eastAsia="宋体" w:cs="宋体"/>
                <w:color w:val="auto"/>
                <w:spacing w:val="3"/>
                <w:sz w:val="24"/>
                <w:szCs w:val="24"/>
                <w:highlight w:val="none"/>
                <w:lang w:val="en-US" w:eastAsia="zh-CN"/>
              </w:rPr>
              <w:t>.</w:t>
            </w:r>
            <w:r>
              <w:rPr>
                <w:rFonts w:hint="eastAsia" w:ascii="宋体" w:hAnsi="宋体" w:eastAsia="宋体" w:cs="宋体"/>
                <w:color w:val="auto"/>
                <w:spacing w:val="3"/>
                <w:sz w:val="24"/>
                <w:szCs w:val="24"/>
                <w:highlight w:val="none"/>
              </w:rPr>
              <w:t>19</w:t>
            </w:r>
            <w:r>
              <w:rPr>
                <w:rFonts w:hint="eastAsia" w:ascii="宋体" w:hAnsi="宋体" w:eastAsia="宋体" w:cs="宋体"/>
                <w:color w:val="auto"/>
                <w:spacing w:val="3"/>
                <w:sz w:val="24"/>
                <w:szCs w:val="24"/>
                <w:highlight w:val="none"/>
                <w:lang w:eastAsia="zh-CN"/>
              </w:rPr>
              <w:t>元</w:t>
            </w:r>
            <w:r>
              <w:rPr>
                <w:rFonts w:hint="eastAsia" w:ascii="宋体" w:hAnsi="宋体" w:eastAsia="宋体" w:cs="宋体"/>
                <w:color w:val="auto"/>
                <w:spacing w:val="3"/>
                <w:sz w:val="24"/>
                <w:szCs w:val="24"/>
                <w:highlight w:val="none"/>
              </w:rPr>
              <w:t>）</w:t>
            </w:r>
          </w:p>
        </w:tc>
      </w:tr>
      <w:tr w14:paraId="20AEF9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5" w:hRule="atLeast"/>
        </w:trPr>
        <w:tc>
          <w:tcPr>
            <w:tcW w:w="1107" w:type="dxa"/>
            <w:tcBorders>
              <w:top w:val="single" w:color="auto" w:sz="4" w:space="0"/>
              <w:left w:val="single" w:color="auto" w:sz="4" w:space="0"/>
              <w:bottom w:val="single" w:color="auto" w:sz="4" w:space="0"/>
              <w:right w:val="single" w:color="auto" w:sz="4" w:space="0"/>
            </w:tcBorders>
            <w:vAlign w:val="center"/>
          </w:tcPr>
          <w:p w14:paraId="6C39D710">
            <w:pPr>
              <w:spacing w:before="101" w:line="195" w:lineRule="auto"/>
              <w:ind w:left="348" w:leftChars="0"/>
              <w:jc w:val="center"/>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3.2.9</w:t>
            </w:r>
          </w:p>
        </w:tc>
        <w:tc>
          <w:tcPr>
            <w:tcW w:w="2072" w:type="dxa"/>
            <w:tcBorders>
              <w:top w:val="single" w:color="auto" w:sz="4" w:space="0"/>
              <w:left w:val="single" w:color="auto" w:sz="4" w:space="0"/>
              <w:bottom w:val="single" w:color="auto" w:sz="4" w:space="0"/>
              <w:right w:val="single" w:color="auto" w:sz="4" w:space="0"/>
            </w:tcBorders>
            <w:vAlign w:val="center"/>
          </w:tcPr>
          <w:p w14:paraId="4EB8C0F9">
            <w:pPr>
              <w:pStyle w:val="25"/>
              <w:spacing w:before="59" w:line="226" w:lineRule="auto"/>
              <w:ind w:left="115" w:leftChars="0"/>
              <w:jc w:val="both"/>
              <w:rPr>
                <w:rFonts w:hint="eastAsia" w:ascii="宋体" w:hAnsi="宋体" w:eastAsia="宋体" w:cs="宋体"/>
                <w:color w:val="auto"/>
                <w:spacing w:val="7"/>
                <w:sz w:val="24"/>
                <w:szCs w:val="24"/>
                <w:highlight w:val="none"/>
              </w:rPr>
            </w:pPr>
            <w:r>
              <w:rPr>
                <w:rFonts w:hint="eastAsia" w:ascii="宋体" w:hAnsi="宋体" w:eastAsia="宋体" w:cs="宋体"/>
                <w:color w:val="auto"/>
                <w:spacing w:val="8"/>
                <w:sz w:val="24"/>
                <w:szCs w:val="24"/>
                <w:highlight w:val="none"/>
              </w:rPr>
              <w:t>投标报价的其他要求</w:t>
            </w:r>
          </w:p>
        </w:tc>
        <w:tc>
          <w:tcPr>
            <w:tcW w:w="6159" w:type="dxa"/>
            <w:tcBorders>
              <w:left w:val="single" w:color="auto" w:sz="4" w:space="0"/>
            </w:tcBorders>
            <w:vAlign w:val="top"/>
          </w:tcPr>
          <w:p w14:paraId="70EE75AF">
            <w:pPr>
              <w:pStyle w:val="25"/>
              <w:spacing w:before="34" w:line="360" w:lineRule="auto"/>
              <w:ind w:left="112" w:right="107" w:firstLine="16"/>
              <w:rPr>
                <w:rFonts w:hint="eastAsia" w:ascii="宋体" w:hAnsi="宋体" w:eastAsia="宋体" w:cs="宋体"/>
                <w:color w:val="auto"/>
                <w:spacing w:val="8"/>
                <w:sz w:val="24"/>
                <w:szCs w:val="24"/>
                <w:highlight w:val="none"/>
              </w:rPr>
            </w:pPr>
            <w:r>
              <w:rPr>
                <w:rFonts w:hint="eastAsia" w:ascii="宋体" w:hAnsi="宋体" w:eastAsia="宋体" w:cs="宋体"/>
                <w:color w:val="auto"/>
                <w:spacing w:val="9"/>
                <w:sz w:val="24"/>
                <w:szCs w:val="24"/>
                <w:highlight w:val="none"/>
              </w:rPr>
              <w:t>1、驻地建设费用：承包人应在本项目总额价中予以考</w:t>
            </w:r>
            <w:r>
              <w:rPr>
                <w:rFonts w:hint="eastAsia" w:ascii="宋体" w:hAnsi="宋体" w:eastAsia="宋体" w:cs="宋体"/>
                <w:color w:val="auto"/>
                <w:spacing w:val="8"/>
                <w:sz w:val="24"/>
                <w:szCs w:val="24"/>
                <w:highlight w:val="none"/>
              </w:rPr>
              <w:t>虑，发包人不再另行支付；</w:t>
            </w:r>
          </w:p>
          <w:p w14:paraId="29FA9C1C">
            <w:pPr>
              <w:pStyle w:val="25"/>
              <w:spacing w:before="34" w:line="360" w:lineRule="auto"/>
              <w:ind w:left="112" w:leftChars="0" w:right="107" w:rightChars="0" w:firstLine="16" w:firstLineChars="0"/>
              <w:rPr>
                <w:rFonts w:hint="eastAsia" w:ascii="宋体" w:hAnsi="宋体" w:eastAsia="宋体" w:cs="宋体"/>
                <w:color w:val="auto"/>
                <w:spacing w:val="7"/>
                <w:sz w:val="24"/>
                <w:szCs w:val="24"/>
                <w:highlight w:val="none"/>
              </w:rPr>
            </w:pPr>
            <w:r>
              <w:rPr>
                <w:rFonts w:hint="eastAsia" w:ascii="宋体" w:hAnsi="宋体" w:eastAsia="宋体" w:cs="宋体"/>
                <w:color w:val="auto"/>
                <w:spacing w:val="10"/>
                <w:sz w:val="24"/>
                <w:szCs w:val="24"/>
                <w:highlight w:val="none"/>
              </w:rPr>
              <w:t>2、投标人报价时要充分考虑施工、生活用水用电的费</w:t>
            </w:r>
            <w:r>
              <w:rPr>
                <w:rFonts w:hint="eastAsia" w:ascii="宋体" w:hAnsi="宋体" w:eastAsia="宋体" w:cs="宋体"/>
                <w:color w:val="auto"/>
                <w:spacing w:val="7"/>
                <w:sz w:val="24"/>
                <w:szCs w:val="24"/>
                <w:highlight w:val="none"/>
              </w:rPr>
              <w:t>用，所需费用由投标人考虑在有关报价中，招标人不单独进行计量支付。</w:t>
            </w:r>
          </w:p>
        </w:tc>
      </w:tr>
      <w:tr w14:paraId="28CC12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5" w:hRule="atLeast"/>
        </w:trPr>
        <w:tc>
          <w:tcPr>
            <w:tcW w:w="1107" w:type="dxa"/>
            <w:tcBorders>
              <w:top w:val="single" w:color="auto" w:sz="4" w:space="0"/>
              <w:left w:val="single" w:color="auto" w:sz="4" w:space="0"/>
              <w:bottom w:val="single" w:color="auto" w:sz="4" w:space="0"/>
              <w:right w:val="single" w:color="auto" w:sz="4" w:space="0"/>
            </w:tcBorders>
            <w:vAlign w:val="center"/>
          </w:tcPr>
          <w:p w14:paraId="5381F544">
            <w:pPr>
              <w:spacing w:before="85" w:line="195" w:lineRule="auto"/>
              <w:ind w:left="348" w:leftChars="0"/>
              <w:jc w:val="both"/>
              <w:rPr>
                <w:rFonts w:hint="eastAsia" w:ascii="宋体" w:hAnsi="宋体" w:eastAsia="宋体" w:cs="宋体"/>
                <w:color w:val="auto"/>
                <w:spacing w:val="2"/>
                <w:sz w:val="24"/>
                <w:szCs w:val="24"/>
                <w:highlight w:val="none"/>
              </w:rPr>
            </w:pPr>
            <w:r>
              <w:rPr>
                <w:rFonts w:hint="eastAsia" w:ascii="宋体" w:hAnsi="宋体" w:eastAsia="宋体" w:cs="宋体"/>
                <w:color w:val="auto"/>
                <w:spacing w:val="1"/>
                <w:sz w:val="24"/>
                <w:szCs w:val="24"/>
                <w:highlight w:val="none"/>
              </w:rPr>
              <w:t>3.3.1</w:t>
            </w:r>
          </w:p>
        </w:tc>
        <w:tc>
          <w:tcPr>
            <w:tcW w:w="2072" w:type="dxa"/>
            <w:tcBorders>
              <w:top w:val="single" w:color="auto" w:sz="4" w:space="0"/>
              <w:left w:val="single" w:color="auto" w:sz="4" w:space="0"/>
              <w:bottom w:val="single" w:color="auto" w:sz="4" w:space="0"/>
              <w:right w:val="single" w:color="auto" w:sz="4" w:space="0"/>
            </w:tcBorders>
            <w:vAlign w:val="center"/>
          </w:tcPr>
          <w:p w14:paraId="1FF3B76B">
            <w:pPr>
              <w:pStyle w:val="25"/>
              <w:spacing w:before="43" w:line="228" w:lineRule="auto"/>
              <w:ind w:left="115" w:leftChars="0"/>
              <w:jc w:val="both"/>
              <w:rPr>
                <w:rFonts w:hint="eastAsia" w:ascii="宋体" w:hAnsi="宋体" w:eastAsia="宋体" w:cs="宋体"/>
                <w:color w:val="auto"/>
                <w:spacing w:val="8"/>
                <w:sz w:val="24"/>
                <w:szCs w:val="24"/>
                <w:highlight w:val="none"/>
              </w:rPr>
            </w:pPr>
            <w:r>
              <w:rPr>
                <w:rFonts w:hint="eastAsia" w:ascii="宋体" w:hAnsi="宋体" w:eastAsia="宋体" w:cs="宋体"/>
                <w:color w:val="auto"/>
                <w:spacing w:val="7"/>
                <w:sz w:val="24"/>
                <w:szCs w:val="24"/>
                <w:highlight w:val="none"/>
              </w:rPr>
              <w:t>投标有效期</w:t>
            </w:r>
          </w:p>
        </w:tc>
        <w:tc>
          <w:tcPr>
            <w:tcW w:w="6159" w:type="dxa"/>
            <w:tcBorders>
              <w:left w:val="single" w:color="auto" w:sz="4" w:space="0"/>
            </w:tcBorders>
            <w:vAlign w:val="center"/>
          </w:tcPr>
          <w:p w14:paraId="40699A2C">
            <w:pPr>
              <w:pStyle w:val="25"/>
              <w:spacing w:before="42" w:line="228" w:lineRule="auto"/>
              <w:ind w:left="147" w:leftChars="0"/>
              <w:jc w:val="both"/>
              <w:rPr>
                <w:rFonts w:hint="eastAsia" w:ascii="宋体" w:hAnsi="宋体" w:eastAsia="宋体" w:cs="宋体"/>
                <w:color w:val="auto"/>
                <w:spacing w:val="10"/>
                <w:sz w:val="24"/>
                <w:szCs w:val="24"/>
                <w:highlight w:val="none"/>
              </w:rPr>
            </w:pPr>
            <w:r>
              <w:rPr>
                <w:rFonts w:hint="eastAsia" w:ascii="宋体" w:hAnsi="宋体" w:eastAsia="宋体" w:cs="宋体"/>
                <w:color w:val="auto"/>
                <w:spacing w:val="5"/>
                <w:sz w:val="24"/>
                <w:szCs w:val="24"/>
                <w:highlight w:val="none"/>
              </w:rPr>
              <w:t>自投标人提交投标文件截止之日起计算</w:t>
            </w:r>
            <w:r>
              <w:rPr>
                <w:rFonts w:hint="eastAsia" w:ascii="宋体" w:hAnsi="宋体" w:eastAsia="宋体" w:cs="宋体"/>
                <w:color w:val="auto"/>
                <w:spacing w:val="5"/>
                <w:sz w:val="24"/>
                <w:szCs w:val="24"/>
                <w:highlight w:val="none"/>
                <w:u w:val="single" w:color="auto"/>
              </w:rPr>
              <w:t>90</w:t>
            </w:r>
            <w:r>
              <w:rPr>
                <w:rFonts w:hint="eastAsia" w:ascii="宋体" w:hAnsi="宋体" w:eastAsia="宋体" w:cs="宋体"/>
                <w:color w:val="auto"/>
                <w:spacing w:val="5"/>
                <w:sz w:val="24"/>
                <w:szCs w:val="24"/>
                <w:highlight w:val="none"/>
              </w:rPr>
              <w:t>日</w:t>
            </w:r>
          </w:p>
        </w:tc>
      </w:tr>
    </w:tbl>
    <w:p w14:paraId="6BCED0B0">
      <w:pPr>
        <w:pStyle w:val="4"/>
        <w:rPr>
          <w:rFonts w:hint="eastAsia" w:ascii="宋体" w:hAnsi="宋体" w:eastAsia="宋体" w:cs="宋体"/>
          <w:color w:val="auto"/>
          <w:sz w:val="24"/>
          <w:szCs w:val="24"/>
          <w:highlight w:val="none"/>
        </w:rPr>
      </w:pPr>
    </w:p>
    <w:p w14:paraId="436698E2">
      <w:pPr>
        <w:rPr>
          <w:rFonts w:hint="eastAsia" w:ascii="宋体" w:hAnsi="宋体" w:eastAsia="宋体" w:cs="宋体"/>
          <w:color w:val="auto"/>
          <w:sz w:val="24"/>
          <w:szCs w:val="24"/>
          <w:highlight w:val="none"/>
        </w:rPr>
        <w:sectPr>
          <w:footerReference r:id="rId14" w:type="default"/>
          <w:pgSz w:w="11907" w:h="16840"/>
          <w:pgMar w:top="1182" w:right="1114" w:bottom="1014" w:left="1620" w:header="849" w:footer="852" w:gutter="0"/>
          <w:pgNumType w:fmt="decimal"/>
          <w:cols w:space="720" w:num="1"/>
        </w:sectPr>
      </w:pPr>
    </w:p>
    <w:p w14:paraId="357D3E0B">
      <w:pPr>
        <w:spacing w:before="16"/>
        <w:rPr>
          <w:rFonts w:hint="eastAsia" w:ascii="宋体" w:hAnsi="宋体" w:eastAsia="宋体" w:cs="宋体"/>
          <w:color w:val="auto"/>
          <w:sz w:val="24"/>
          <w:szCs w:val="24"/>
          <w:highlight w:val="none"/>
        </w:rPr>
      </w:pPr>
    </w:p>
    <w:tbl>
      <w:tblPr>
        <w:tblStyle w:val="24"/>
        <w:tblW w:w="916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07"/>
        <w:gridCol w:w="2863"/>
        <w:gridCol w:w="5197"/>
      </w:tblGrid>
      <w:tr w14:paraId="797DF6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1107" w:type="dxa"/>
            <w:vAlign w:val="top"/>
          </w:tcPr>
          <w:p w14:paraId="6E450396">
            <w:pPr>
              <w:spacing w:line="249" w:lineRule="auto"/>
              <w:rPr>
                <w:rFonts w:hint="eastAsia" w:ascii="宋体" w:hAnsi="宋体" w:eastAsia="宋体" w:cs="宋体"/>
                <w:color w:val="auto"/>
                <w:sz w:val="24"/>
                <w:szCs w:val="24"/>
                <w:highlight w:val="none"/>
              </w:rPr>
            </w:pPr>
          </w:p>
          <w:p w14:paraId="212CD834">
            <w:pPr>
              <w:spacing w:line="249" w:lineRule="auto"/>
              <w:rPr>
                <w:rFonts w:hint="eastAsia" w:ascii="宋体" w:hAnsi="宋体" w:eastAsia="宋体" w:cs="宋体"/>
                <w:color w:val="auto"/>
                <w:sz w:val="24"/>
                <w:szCs w:val="24"/>
                <w:highlight w:val="none"/>
              </w:rPr>
            </w:pPr>
          </w:p>
          <w:p w14:paraId="5C900372">
            <w:pPr>
              <w:spacing w:line="250" w:lineRule="auto"/>
              <w:rPr>
                <w:rFonts w:hint="eastAsia" w:ascii="宋体" w:hAnsi="宋体" w:eastAsia="宋体" w:cs="宋体"/>
                <w:color w:val="auto"/>
                <w:sz w:val="24"/>
                <w:szCs w:val="24"/>
                <w:highlight w:val="none"/>
              </w:rPr>
            </w:pPr>
          </w:p>
          <w:p w14:paraId="4C0AAD13">
            <w:pPr>
              <w:spacing w:line="250" w:lineRule="auto"/>
              <w:rPr>
                <w:rFonts w:hint="eastAsia" w:ascii="宋体" w:hAnsi="宋体" w:eastAsia="宋体" w:cs="宋体"/>
                <w:color w:val="auto"/>
                <w:sz w:val="24"/>
                <w:szCs w:val="24"/>
                <w:highlight w:val="none"/>
              </w:rPr>
            </w:pPr>
          </w:p>
          <w:p w14:paraId="5DB211F3">
            <w:pPr>
              <w:spacing w:line="250" w:lineRule="auto"/>
              <w:rPr>
                <w:rFonts w:hint="eastAsia" w:ascii="宋体" w:hAnsi="宋体" w:eastAsia="宋体" w:cs="宋体"/>
                <w:color w:val="auto"/>
                <w:sz w:val="24"/>
                <w:szCs w:val="24"/>
                <w:highlight w:val="none"/>
              </w:rPr>
            </w:pPr>
          </w:p>
          <w:p w14:paraId="0BAD79B2">
            <w:pPr>
              <w:spacing w:line="250" w:lineRule="auto"/>
              <w:rPr>
                <w:rFonts w:hint="eastAsia" w:ascii="宋体" w:hAnsi="宋体" w:eastAsia="宋体" w:cs="宋体"/>
                <w:color w:val="auto"/>
                <w:sz w:val="24"/>
                <w:szCs w:val="24"/>
                <w:highlight w:val="none"/>
              </w:rPr>
            </w:pPr>
          </w:p>
          <w:p w14:paraId="4A9E04F9">
            <w:pPr>
              <w:spacing w:line="250" w:lineRule="auto"/>
              <w:rPr>
                <w:rFonts w:hint="eastAsia" w:ascii="宋体" w:hAnsi="宋体" w:eastAsia="宋体" w:cs="宋体"/>
                <w:color w:val="auto"/>
                <w:sz w:val="24"/>
                <w:szCs w:val="24"/>
                <w:highlight w:val="none"/>
              </w:rPr>
            </w:pPr>
          </w:p>
          <w:p w14:paraId="38253A82">
            <w:pPr>
              <w:spacing w:line="250" w:lineRule="auto"/>
              <w:rPr>
                <w:rFonts w:hint="eastAsia" w:ascii="宋体" w:hAnsi="宋体" w:eastAsia="宋体" w:cs="宋体"/>
                <w:color w:val="auto"/>
                <w:sz w:val="24"/>
                <w:szCs w:val="24"/>
                <w:highlight w:val="none"/>
              </w:rPr>
            </w:pPr>
          </w:p>
          <w:p w14:paraId="40468724">
            <w:pPr>
              <w:spacing w:line="250" w:lineRule="auto"/>
              <w:rPr>
                <w:rFonts w:hint="eastAsia" w:ascii="宋体" w:hAnsi="宋体" w:eastAsia="宋体" w:cs="宋体"/>
                <w:color w:val="auto"/>
                <w:sz w:val="24"/>
                <w:szCs w:val="24"/>
                <w:highlight w:val="none"/>
              </w:rPr>
            </w:pPr>
          </w:p>
          <w:p w14:paraId="15F2815D">
            <w:pPr>
              <w:spacing w:line="250" w:lineRule="auto"/>
              <w:rPr>
                <w:rFonts w:hint="eastAsia" w:ascii="宋体" w:hAnsi="宋体" w:eastAsia="宋体" w:cs="宋体"/>
                <w:color w:val="auto"/>
                <w:sz w:val="24"/>
                <w:szCs w:val="24"/>
                <w:highlight w:val="none"/>
              </w:rPr>
            </w:pPr>
          </w:p>
          <w:p w14:paraId="0B07E566">
            <w:pPr>
              <w:spacing w:line="250" w:lineRule="auto"/>
              <w:rPr>
                <w:rFonts w:hint="eastAsia" w:ascii="宋体" w:hAnsi="宋体" w:eastAsia="宋体" w:cs="宋体"/>
                <w:color w:val="auto"/>
                <w:sz w:val="24"/>
                <w:szCs w:val="24"/>
                <w:highlight w:val="none"/>
              </w:rPr>
            </w:pPr>
          </w:p>
          <w:p w14:paraId="532B33F1">
            <w:pPr>
              <w:spacing w:line="250" w:lineRule="auto"/>
              <w:rPr>
                <w:rFonts w:hint="eastAsia" w:ascii="宋体" w:hAnsi="宋体" w:eastAsia="宋体" w:cs="宋体"/>
                <w:color w:val="auto"/>
                <w:sz w:val="24"/>
                <w:szCs w:val="24"/>
                <w:highlight w:val="none"/>
              </w:rPr>
            </w:pPr>
          </w:p>
          <w:p w14:paraId="5C47C783">
            <w:pPr>
              <w:spacing w:line="250" w:lineRule="auto"/>
              <w:rPr>
                <w:rFonts w:hint="eastAsia" w:ascii="宋体" w:hAnsi="宋体" w:eastAsia="宋体" w:cs="宋体"/>
                <w:color w:val="auto"/>
                <w:sz w:val="24"/>
                <w:szCs w:val="24"/>
                <w:highlight w:val="none"/>
              </w:rPr>
            </w:pPr>
          </w:p>
          <w:p w14:paraId="5DEC59CE">
            <w:pPr>
              <w:spacing w:line="250" w:lineRule="auto"/>
              <w:rPr>
                <w:rFonts w:hint="eastAsia" w:ascii="宋体" w:hAnsi="宋体" w:eastAsia="宋体" w:cs="宋体"/>
                <w:color w:val="auto"/>
                <w:sz w:val="24"/>
                <w:szCs w:val="24"/>
                <w:highlight w:val="none"/>
              </w:rPr>
            </w:pPr>
          </w:p>
          <w:p w14:paraId="24BCFB6B">
            <w:pPr>
              <w:spacing w:line="250" w:lineRule="auto"/>
              <w:rPr>
                <w:rFonts w:hint="eastAsia" w:ascii="宋体" w:hAnsi="宋体" w:eastAsia="宋体" w:cs="宋体"/>
                <w:color w:val="auto"/>
                <w:sz w:val="24"/>
                <w:szCs w:val="24"/>
                <w:highlight w:val="none"/>
              </w:rPr>
            </w:pPr>
          </w:p>
          <w:p w14:paraId="0524C0BD">
            <w:pPr>
              <w:spacing w:line="250" w:lineRule="auto"/>
              <w:rPr>
                <w:rFonts w:hint="eastAsia" w:ascii="宋体" w:hAnsi="宋体" w:eastAsia="宋体" w:cs="宋体"/>
                <w:color w:val="auto"/>
                <w:sz w:val="24"/>
                <w:szCs w:val="24"/>
                <w:highlight w:val="none"/>
              </w:rPr>
            </w:pPr>
          </w:p>
          <w:p w14:paraId="7F27AC08">
            <w:pPr>
              <w:spacing w:line="250" w:lineRule="auto"/>
              <w:rPr>
                <w:rFonts w:hint="eastAsia" w:ascii="宋体" w:hAnsi="宋体" w:eastAsia="宋体" w:cs="宋体"/>
                <w:color w:val="auto"/>
                <w:sz w:val="24"/>
                <w:szCs w:val="24"/>
                <w:highlight w:val="none"/>
              </w:rPr>
            </w:pPr>
          </w:p>
          <w:p w14:paraId="74E9DEBE">
            <w:pPr>
              <w:spacing w:line="250" w:lineRule="auto"/>
              <w:rPr>
                <w:rFonts w:hint="eastAsia" w:ascii="宋体" w:hAnsi="宋体" w:eastAsia="宋体" w:cs="宋体"/>
                <w:color w:val="auto"/>
                <w:sz w:val="24"/>
                <w:szCs w:val="24"/>
                <w:highlight w:val="none"/>
              </w:rPr>
            </w:pPr>
          </w:p>
          <w:p w14:paraId="213A9548">
            <w:pPr>
              <w:spacing w:line="250" w:lineRule="auto"/>
              <w:rPr>
                <w:rFonts w:hint="eastAsia" w:ascii="宋体" w:hAnsi="宋体" w:eastAsia="宋体" w:cs="宋体"/>
                <w:color w:val="auto"/>
                <w:sz w:val="24"/>
                <w:szCs w:val="24"/>
                <w:highlight w:val="none"/>
              </w:rPr>
            </w:pPr>
          </w:p>
          <w:p w14:paraId="445564BB">
            <w:pPr>
              <w:spacing w:line="250" w:lineRule="auto"/>
              <w:rPr>
                <w:rFonts w:hint="eastAsia" w:ascii="宋体" w:hAnsi="宋体" w:eastAsia="宋体" w:cs="宋体"/>
                <w:color w:val="auto"/>
                <w:sz w:val="24"/>
                <w:szCs w:val="24"/>
                <w:highlight w:val="none"/>
              </w:rPr>
            </w:pPr>
          </w:p>
          <w:p w14:paraId="43CE8021">
            <w:pPr>
              <w:spacing w:line="250" w:lineRule="auto"/>
              <w:rPr>
                <w:rFonts w:hint="eastAsia" w:ascii="宋体" w:hAnsi="宋体" w:eastAsia="宋体" w:cs="宋体"/>
                <w:color w:val="auto"/>
                <w:sz w:val="24"/>
                <w:szCs w:val="24"/>
                <w:highlight w:val="none"/>
              </w:rPr>
            </w:pPr>
          </w:p>
          <w:p w14:paraId="1C52B52F">
            <w:pPr>
              <w:spacing w:line="250" w:lineRule="auto"/>
              <w:rPr>
                <w:rFonts w:hint="eastAsia" w:ascii="宋体" w:hAnsi="宋体" w:eastAsia="宋体" w:cs="宋体"/>
                <w:color w:val="auto"/>
                <w:sz w:val="24"/>
                <w:szCs w:val="24"/>
                <w:highlight w:val="none"/>
              </w:rPr>
            </w:pPr>
          </w:p>
          <w:p w14:paraId="4CD77668">
            <w:pPr>
              <w:spacing w:before="57" w:line="195" w:lineRule="auto"/>
              <w:ind w:left="348" w:leftChars="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3.4.1</w:t>
            </w:r>
          </w:p>
        </w:tc>
        <w:tc>
          <w:tcPr>
            <w:tcW w:w="2863" w:type="dxa"/>
            <w:vAlign w:val="top"/>
          </w:tcPr>
          <w:p w14:paraId="3E3DBC87">
            <w:pPr>
              <w:spacing w:line="247" w:lineRule="auto"/>
              <w:rPr>
                <w:rFonts w:hint="eastAsia" w:ascii="宋体" w:hAnsi="宋体" w:eastAsia="宋体" w:cs="宋体"/>
                <w:color w:val="auto"/>
                <w:sz w:val="24"/>
                <w:szCs w:val="24"/>
                <w:highlight w:val="none"/>
              </w:rPr>
            </w:pPr>
          </w:p>
          <w:p w14:paraId="050B7F99">
            <w:pPr>
              <w:spacing w:line="247" w:lineRule="auto"/>
              <w:rPr>
                <w:rFonts w:hint="eastAsia" w:ascii="宋体" w:hAnsi="宋体" w:eastAsia="宋体" w:cs="宋体"/>
                <w:color w:val="auto"/>
                <w:sz w:val="24"/>
                <w:szCs w:val="24"/>
                <w:highlight w:val="none"/>
              </w:rPr>
            </w:pPr>
          </w:p>
          <w:p w14:paraId="59477BC4">
            <w:pPr>
              <w:spacing w:line="247" w:lineRule="auto"/>
              <w:rPr>
                <w:rFonts w:hint="eastAsia" w:ascii="宋体" w:hAnsi="宋体" w:eastAsia="宋体" w:cs="宋体"/>
                <w:color w:val="auto"/>
                <w:sz w:val="24"/>
                <w:szCs w:val="24"/>
                <w:highlight w:val="none"/>
              </w:rPr>
            </w:pPr>
          </w:p>
          <w:p w14:paraId="6BB70869">
            <w:pPr>
              <w:spacing w:line="247" w:lineRule="auto"/>
              <w:rPr>
                <w:rFonts w:hint="eastAsia" w:ascii="宋体" w:hAnsi="宋体" w:eastAsia="宋体" w:cs="宋体"/>
                <w:color w:val="auto"/>
                <w:sz w:val="24"/>
                <w:szCs w:val="24"/>
                <w:highlight w:val="none"/>
              </w:rPr>
            </w:pPr>
          </w:p>
          <w:p w14:paraId="6CC7226C">
            <w:pPr>
              <w:spacing w:line="247" w:lineRule="auto"/>
              <w:rPr>
                <w:rFonts w:hint="eastAsia" w:ascii="宋体" w:hAnsi="宋体" w:eastAsia="宋体" w:cs="宋体"/>
                <w:color w:val="auto"/>
                <w:sz w:val="24"/>
                <w:szCs w:val="24"/>
                <w:highlight w:val="none"/>
              </w:rPr>
            </w:pPr>
          </w:p>
          <w:p w14:paraId="7B07EA0F">
            <w:pPr>
              <w:spacing w:line="247" w:lineRule="auto"/>
              <w:rPr>
                <w:rFonts w:hint="eastAsia" w:ascii="宋体" w:hAnsi="宋体" w:eastAsia="宋体" w:cs="宋体"/>
                <w:color w:val="auto"/>
                <w:sz w:val="24"/>
                <w:szCs w:val="24"/>
                <w:highlight w:val="none"/>
              </w:rPr>
            </w:pPr>
          </w:p>
          <w:p w14:paraId="0AC17FAF">
            <w:pPr>
              <w:spacing w:line="247" w:lineRule="auto"/>
              <w:rPr>
                <w:rFonts w:hint="eastAsia" w:ascii="宋体" w:hAnsi="宋体" w:eastAsia="宋体" w:cs="宋体"/>
                <w:color w:val="auto"/>
                <w:sz w:val="24"/>
                <w:szCs w:val="24"/>
                <w:highlight w:val="none"/>
              </w:rPr>
            </w:pPr>
          </w:p>
          <w:p w14:paraId="4115A609">
            <w:pPr>
              <w:spacing w:line="247" w:lineRule="auto"/>
              <w:rPr>
                <w:rFonts w:hint="eastAsia" w:ascii="宋体" w:hAnsi="宋体" w:eastAsia="宋体" w:cs="宋体"/>
                <w:color w:val="auto"/>
                <w:sz w:val="24"/>
                <w:szCs w:val="24"/>
                <w:highlight w:val="none"/>
              </w:rPr>
            </w:pPr>
          </w:p>
          <w:p w14:paraId="65327960">
            <w:pPr>
              <w:spacing w:line="247" w:lineRule="auto"/>
              <w:rPr>
                <w:rFonts w:hint="eastAsia" w:ascii="宋体" w:hAnsi="宋体" w:eastAsia="宋体" w:cs="宋体"/>
                <w:color w:val="auto"/>
                <w:sz w:val="24"/>
                <w:szCs w:val="24"/>
                <w:highlight w:val="none"/>
              </w:rPr>
            </w:pPr>
          </w:p>
          <w:p w14:paraId="5425451C">
            <w:pPr>
              <w:spacing w:line="247" w:lineRule="auto"/>
              <w:rPr>
                <w:rFonts w:hint="eastAsia" w:ascii="宋体" w:hAnsi="宋体" w:eastAsia="宋体" w:cs="宋体"/>
                <w:color w:val="auto"/>
                <w:sz w:val="24"/>
                <w:szCs w:val="24"/>
                <w:highlight w:val="none"/>
              </w:rPr>
            </w:pPr>
          </w:p>
          <w:p w14:paraId="28C8D6DB">
            <w:pPr>
              <w:spacing w:line="248" w:lineRule="auto"/>
              <w:rPr>
                <w:rFonts w:hint="eastAsia" w:ascii="宋体" w:hAnsi="宋体" w:eastAsia="宋体" w:cs="宋体"/>
                <w:color w:val="auto"/>
                <w:sz w:val="24"/>
                <w:szCs w:val="24"/>
                <w:highlight w:val="none"/>
              </w:rPr>
            </w:pPr>
          </w:p>
          <w:p w14:paraId="63EA002C">
            <w:pPr>
              <w:spacing w:line="248" w:lineRule="auto"/>
              <w:rPr>
                <w:rFonts w:hint="eastAsia" w:ascii="宋体" w:hAnsi="宋体" w:eastAsia="宋体" w:cs="宋体"/>
                <w:color w:val="auto"/>
                <w:sz w:val="24"/>
                <w:szCs w:val="24"/>
                <w:highlight w:val="none"/>
              </w:rPr>
            </w:pPr>
          </w:p>
          <w:p w14:paraId="5BB84194">
            <w:pPr>
              <w:spacing w:line="248" w:lineRule="auto"/>
              <w:rPr>
                <w:rFonts w:hint="eastAsia" w:ascii="宋体" w:hAnsi="宋体" w:eastAsia="宋体" w:cs="宋体"/>
                <w:color w:val="auto"/>
                <w:sz w:val="24"/>
                <w:szCs w:val="24"/>
                <w:highlight w:val="none"/>
              </w:rPr>
            </w:pPr>
          </w:p>
          <w:p w14:paraId="5862D13F">
            <w:pPr>
              <w:spacing w:line="248" w:lineRule="auto"/>
              <w:rPr>
                <w:rFonts w:hint="eastAsia" w:ascii="宋体" w:hAnsi="宋体" w:eastAsia="宋体" w:cs="宋体"/>
                <w:color w:val="auto"/>
                <w:sz w:val="24"/>
                <w:szCs w:val="24"/>
                <w:highlight w:val="none"/>
              </w:rPr>
            </w:pPr>
          </w:p>
          <w:p w14:paraId="7DCBD0A8">
            <w:pPr>
              <w:spacing w:line="248" w:lineRule="auto"/>
              <w:rPr>
                <w:rFonts w:hint="eastAsia" w:ascii="宋体" w:hAnsi="宋体" w:eastAsia="宋体" w:cs="宋体"/>
                <w:color w:val="auto"/>
                <w:sz w:val="24"/>
                <w:szCs w:val="24"/>
                <w:highlight w:val="none"/>
              </w:rPr>
            </w:pPr>
          </w:p>
          <w:p w14:paraId="7D35168A">
            <w:pPr>
              <w:spacing w:line="248" w:lineRule="auto"/>
              <w:rPr>
                <w:rFonts w:hint="eastAsia" w:ascii="宋体" w:hAnsi="宋体" w:eastAsia="宋体" w:cs="宋体"/>
                <w:color w:val="auto"/>
                <w:sz w:val="24"/>
                <w:szCs w:val="24"/>
                <w:highlight w:val="none"/>
              </w:rPr>
            </w:pPr>
          </w:p>
          <w:p w14:paraId="7F80E397">
            <w:pPr>
              <w:spacing w:line="248" w:lineRule="auto"/>
              <w:rPr>
                <w:rFonts w:hint="eastAsia" w:ascii="宋体" w:hAnsi="宋体" w:eastAsia="宋体" w:cs="宋体"/>
                <w:color w:val="auto"/>
                <w:sz w:val="24"/>
                <w:szCs w:val="24"/>
                <w:highlight w:val="none"/>
              </w:rPr>
            </w:pPr>
          </w:p>
          <w:p w14:paraId="455B7BF4">
            <w:pPr>
              <w:spacing w:line="248" w:lineRule="auto"/>
              <w:rPr>
                <w:rFonts w:hint="eastAsia" w:ascii="宋体" w:hAnsi="宋体" w:eastAsia="宋体" w:cs="宋体"/>
                <w:color w:val="auto"/>
                <w:sz w:val="24"/>
                <w:szCs w:val="24"/>
                <w:highlight w:val="none"/>
              </w:rPr>
            </w:pPr>
          </w:p>
          <w:p w14:paraId="30FE3471">
            <w:pPr>
              <w:spacing w:line="248" w:lineRule="auto"/>
              <w:rPr>
                <w:rFonts w:hint="eastAsia" w:ascii="宋体" w:hAnsi="宋体" w:eastAsia="宋体" w:cs="宋体"/>
                <w:color w:val="auto"/>
                <w:sz w:val="24"/>
                <w:szCs w:val="24"/>
                <w:highlight w:val="none"/>
              </w:rPr>
            </w:pPr>
          </w:p>
          <w:p w14:paraId="2A792209">
            <w:pPr>
              <w:spacing w:line="248" w:lineRule="auto"/>
              <w:rPr>
                <w:rFonts w:hint="eastAsia" w:ascii="宋体" w:hAnsi="宋体" w:eastAsia="宋体" w:cs="宋体"/>
                <w:color w:val="auto"/>
                <w:sz w:val="24"/>
                <w:szCs w:val="24"/>
                <w:highlight w:val="none"/>
              </w:rPr>
            </w:pPr>
          </w:p>
          <w:p w14:paraId="7165DE40">
            <w:pPr>
              <w:spacing w:line="248" w:lineRule="auto"/>
              <w:rPr>
                <w:rFonts w:hint="eastAsia" w:ascii="宋体" w:hAnsi="宋体" w:eastAsia="宋体" w:cs="宋体"/>
                <w:color w:val="auto"/>
                <w:sz w:val="24"/>
                <w:szCs w:val="24"/>
                <w:highlight w:val="none"/>
              </w:rPr>
            </w:pPr>
          </w:p>
          <w:p w14:paraId="4F3CBE64">
            <w:pPr>
              <w:spacing w:line="248" w:lineRule="auto"/>
              <w:rPr>
                <w:rFonts w:hint="eastAsia" w:ascii="宋体" w:hAnsi="宋体" w:eastAsia="宋体" w:cs="宋体"/>
                <w:color w:val="auto"/>
                <w:sz w:val="24"/>
                <w:szCs w:val="24"/>
                <w:highlight w:val="none"/>
              </w:rPr>
            </w:pPr>
          </w:p>
          <w:p w14:paraId="5AD3DB68">
            <w:pPr>
              <w:pStyle w:val="25"/>
              <w:spacing w:before="65" w:line="228" w:lineRule="auto"/>
              <w:ind w:left="115" w:leftChars="0"/>
              <w:rPr>
                <w:rFonts w:hint="eastAsia" w:ascii="宋体" w:hAnsi="宋体" w:eastAsia="宋体" w:cs="宋体"/>
                <w:color w:val="auto"/>
                <w:spacing w:val="7"/>
                <w:sz w:val="24"/>
                <w:szCs w:val="24"/>
                <w:highlight w:val="none"/>
              </w:rPr>
            </w:pPr>
            <w:r>
              <w:rPr>
                <w:rFonts w:hint="eastAsia" w:ascii="宋体" w:hAnsi="宋体" w:eastAsia="宋体" w:cs="宋体"/>
                <w:color w:val="auto"/>
                <w:spacing w:val="7"/>
                <w:sz w:val="24"/>
                <w:szCs w:val="24"/>
                <w:highlight w:val="none"/>
              </w:rPr>
              <w:t>投标保证金</w:t>
            </w:r>
          </w:p>
        </w:tc>
        <w:tc>
          <w:tcPr>
            <w:tcW w:w="5197" w:type="dxa"/>
            <w:vAlign w:val="top"/>
          </w:tcPr>
          <w:p w14:paraId="6B68095B">
            <w:pPr>
              <w:pStyle w:val="25"/>
              <w:spacing w:before="31" w:line="228" w:lineRule="auto"/>
              <w:ind w:left="121"/>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☑不需要提交</w:t>
            </w:r>
          </w:p>
          <w:p w14:paraId="06BFB966">
            <w:pPr>
              <w:pStyle w:val="25"/>
              <w:spacing w:before="160" w:line="377" w:lineRule="auto"/>
              <w:ind w:left="115" w:right="109" w:firstLine="18"/>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□需要提交，投标保证金的提交方式：银行转账、电汇</w:t>
            </w:r>
            <w:r>
              <w:rPr>
                <w:rFonts w:hint="eastAsia" w:ascii="宋体" w:hAnsi="宋体" w:eastAsia="宋体" w:cs="宋体"/>
                <w:color w:val="auto"/>
                <w:spacing w:val="7"/>
                <w:sz w:val="24"/>
                <w:szCs w:val="24"/>
                <w:highlight w:val="none"/>
              </w:rPr>
              <w:t>或网上支付、保函（银行保函、电子保函、保证保</w:t>
            </w:r>
            <w:r>
              <w:rPr>
                <w:rFonts w:hint="eastAsia" w:ascii="宋体" w:hAnsi="宋体" w:eastAsia="宋体" w:cs="宋体"/>
                <w:color w:val="auto"/>
                <w:spacing w:val="6"/>
                <w:sz w:val="24"/>
                <w:szCs w:val="24"/>
                <w:highlight w:val="none"/>
              </w:rPr>
              <w:t>险保</w:t>
            </w:r>
            <w:r>
              <w:rPr>
                <w:rFonts w:hint="eastAsia" w:ascii="宋体" w:hAnsi="宋体" w:eastAsia="宋体" w:cs="宋体"/>
                <w:color w:val="auto"/>
                <w:spacing w:val="9"/>
                <w:sz w:val="24"/>
                <w:szCs w:val="24"/>
                <w:highlight w:val="none"/>
              </w:rPr>
              <w:t>函、工程担保保函）等方式提交。③</w:t>
            </w:r>
          </w:p>
          <w:p w14:paraId="0E2CBA8A">
            <w:pPr>
              <w:pStyle w:val="25"/>
              <w:spacing w:before="2" w:line="377" w:lineRule="auto"/>
              <w:ind w:left="113" w:right="98" w:hanging="6"/>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【备注：严禁要求投标人以现金方式提交保证金的行</w:t>
            </w:r>
            <w:r>
              <w:rPr>
                <w:rFonts w:hint="eastAsia" w:ascii="宋体" w:hAnsi="宋体" w:eastAsia="宋体" w:cs="宋体"/>
                <w:color w:val="auto"/>
                <w:spacing w:val="7"/>
                <w:sz w:val="24"/>
                <w:szCs w:val="24"/>
                <w:highlight w:val="none"/>
              </w:rPr>
              <w:t>为；采用银行保函、工程担保或工程保证保险方式的，保函有效期不得低于投标有效期；鼓励采用电子保函等</w:t>
            </w:r>
            <w:r>
              <w:rPr>
                <w:rFonts w:hint="eastAsia" w:ascii="宋体" w:hAnsi="宋体" w:eastAsia="宋体" w:cs="宋体"/>
                <w:color w:val="auto"/>
                <w:spacing w:val="12"/>
                <w:sz w:val="24"/>
                <w:szCs w:val="24"/>
                <w:highlight w:val="none"/>
              </w:rPr>
              <w:t>形式。】</w:t>
            </w:r>
          </w:p>
          <w:p w14:paraId="1B1BDA6E">
            <w:pPr>
              <w:pStyle w:val="25"/>
              <w:spacing w:line="225" w:lineRule="auto"/>
              <w:ind w:left="115"/>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投标保证金的金额：</w:t>
            </w:r>
            <w:r>
              <w:rPr>
                <w:rFonts w:hint="eastAsia" w:ascii="宋体" w:hAnsi="宋体" w:eastAsia="宋体" w:cs="宋体"/>
                <w:color w:val="auto"/>
                <w:spacing w:val="4"/>
                <w:sz w:val="24"/>
                <w:szCs w:val="24"/>
                <w:highlight w:val="none"/>
                <w:u w:val="single" w:color="auto"/>
              </w:rPr>
              <w:t>/</w:t>
            </w:r>
            <w:r>
              <w:rPr>
                <w:rFonts w:hint="eastAsia" w:ascii="宋体" w:hAnsi="宋体" w:eastAsia="宋体" w:cs="宋体"/>
                <w:color w:val="auto"/>
                <w:spacing w:val="4"/>
                <w:sz w:val="24"/>
                <w:szCs w:val="24"/>
                <w:highlight w:val="none"/>
              </w:rPr>
              <w:t>。②</w:t>
            </w:r>
          </w:p>
          <w:p w14:paraId="731B29C9">
            <w:pPr>
              <w:pStyle w:val="25"/>
              <w:spacing w:before="163" w:line="226" w:lineRule="auto"/>
              <w:ind w:left="10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【备注：不得超过项目估算价的1%，且最多不得超过</w:t>
            </w:r>
          </w:p>
          <w:p w14:paraId="7CFFC5DD">
            <w:pPr>
              <w:pStyle w:val="25"/>
              <w:spacing w:before="164" w:line="302" w:lineRule="auto"/>
              <w:ind w:left="113" w:right="787"/>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30万元，鼓励招标人减少或免除投标保证金】</w:t>
            </w:r>
            <w:r>
              <w:rPr>
                <w:rFonts w:hint="eastAsia" w:ascii="宋体" w:hAnsi="宋体" w:eastAsia="宋体" w:cs="宋体"/>
                <w:color w:val="auto"/>
                <w:spacing w:val="5"/>
                <w:sz w:val="24"/>
                <w:szCs w:val="24"/>
                <w:highlight w:val="none"/>
              </w:rPr>
              <w:t>提交方式：</w:t>
            </w:r>
          </w:p>
          <w:p w14:paraId="7B1BEBC7">
            <w:pPr>
              <w:pStyle w:val="25"/>
              <w:spacing w:before="161" w:line="328" w:lineRule="auto"/>
              <w:ind w:left="113" w:right="109" w:firstLine="121"/>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1、使用银行转账时投标保证金必须从投标人的企业基</w:t>
            </w:r>
            <w:r>
              <w:rPr>
                <w:rFonts w:hint="eastAsia" w:ascii="宋体" w:hAnsi="宋体" w:eastAsia="宋体" w:cs="宋体"/>
                <w:color w:val="auto"/>
                <w:spacing w:val="7"/>
                <w:sz w:val="24"/>
                <w:szCs w:val="24"/>
                <w:highlight w:val="none"/>
              </w:rPr>
              <w:t>本账户汇到以下指定的投标保证金专用帐户，否则投标</w:t>
            </w:r>
            <w:r>
              <w:rPr>
                <w:rFonts w:hint="eastAsia" w:ascii="宋体" w:hAnsi="宋体" w:eastAsia="宋体" w:cs="宋体"/>
                <w:color w:val="auto"/>
                <w:spacing w:val="2"/>
                <w:sz w:val="24"/>
                <w:szCs w:val="24"/>
                <w:highlight w:val="none"/>
              </w:rPr>
              <w:t>无效。</w:t>
            </w:r>
          </w:p>
          <w:p w14:paraId="78F9A217">
            <w:pPr>
              <w:pStyle w:val="25"/>
              <w:spacing w:before="161" w:line="228" w:lineRule="auto"/>
              <w:ind w:left="116"/>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账户名称：/</w:t>
            </w:r>
          </w:p>
          <w:p w14:paraId="7AC11ED4">
            <w:pPr>
              <w:pStyle w:val="25"/>
              <w:spacing w:before="161" w:line="228" w:lineRule="auto"/>
              <w:ind w:left="113"/>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开户银行：/</w:t>
            </w:r>
          </w:p>
          <w:p w14:paraId="0E2E88FB">
            <w:pPr>
              <w:pStyle w:val="25"/>
              <w:spacing w:before="161" w:line="228" w:lineRule="auto"/>
              <w:ind w:left="113"/>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银行账号：/</w:t>
            </w:r>
          </w:p>
          <w:p w14:paraId="61DD55D0">
            <w:pPr>
              <w:pStyle w:val="25"/>
              <w:numPr>
                <w:ilvl w:val="0"/>
                <w:numId w:val="1"/>
              </w:numPr>
              <w:spacing w:before="161" w:line="377" w:lineRule="auto"/>
              <w:ind w:left="115" w:right="109" w:firstLine="99"/>
              <w:jc w:val="both"/>
              <w:rPr>
                <w:rFonts w:hint="eastAsia" w:ascii="宋体" w:hAnsi="宋体" w:eastAsia="宋体" w:cs="宋体"/>
                <w:color w:val="auto"/>
                <w:spacing w:val="8"/>
                <w:sz w:val="24"/>
                <w:szCs w:val="24"/>
                <w:highlight w:val="none"/>
              </w:rPr>
            </w:pPr>
            <w:r>
              <w:rPr>
                <w:rFonts w:hint="eastAsia" w:ascii="宋体" w:hAnsi="宋体" w:eastAsia="宋体" w:cs="宋体"/>
                <w:color w:val="auto"/>
                <w:spacing w:val="6"/>
                <w:sz w:val="24"/>
                <w:szCs w:val="24"/>
                <w:highlight w:val="none"/>
              </w:rPr>
              <w:t>投标人使用银行保函、保证保险保函、工程担</w:t>
            </w:r>
            <w:r>
              <w:rPr>
                <w:rFonts w:hint="eastAsia" w:ascii="宋体" w:hAnsi="宋体" w:eastAsia="宋体" w:cs="宋体"/>
                <w:color w:val="auto"/>
                <w:spacing w:val="5"/>
                <w:sz w:val="24"/>
                <w:szCs w:val="24"/>
                <w:highlight w:val="none"/>
              </w:rPr>
              <w:t>保保</w:t>
            </w:r>
            <w:r>
              <w:rPr>
                <w:rFonts w:hint="eastAsia" w:ascii="宋体" w:hAnsi="宋体" w:eastAsia="宋体" w:cs="宋体"/>
                <w:color w:val="auto"/>
                <w:spacing w:val="7"/>
                <w:sz w:val="24"/>
                <w:szCs w:val="24"/>
                <w:highlight w:val="none"/>
              </w:rPr>
              <w:t>函时，投标人开具纸质保函的，需将保函原件扫描</w:t>
            </w:r>
            <w:r>
              <w:rPr>
                <w:rFonts w:hint="eastAsia" w:ascii="宋体" w:hAnsi="宋体" w:eastAsia="宋体" w:cs="宋体"/>
                <w:color w:val="auto"/>
                <w:spacing w:val="6"/>
                <w:sz w:val="24"/>
                <w:szCs w:val="24"/>
                <w:highlight w:val="none"/>
              </w:rPr>
              <w:t>件作</w:t>
            </w:r>
            <w:r>
              <w:rPr>
                <w:rFonts w:hint="eastAsia" w:ascii="宋体" w:hAnsi="宋体" w:eastAsia="宋体" w:cs="宋体"/>
                <w:color w:val="auto"/>
                <w:spacing w:val="7"/>
                <w:sz w:val="24"/>
                <w:szCs w:val="24"/>
                <w:highlight w:val="none"/>
              </w:rPr>
              <w:t>为投标文件的组成部分，且同步上传至全国公共资</w:t>
            </w:r>
            <w:r>
              <w:rPr>
                <w:rFonts w:hint="eastAsia" w:ascii="宋体" w:hAnsi="宋体" w:eastAsia="宋体" w:cs="宋体"/>
                <w:color w:val="auto"/>
                <w:spacing w:val="6"/>
                <w:sz w:val="24"/>
                <w:szCs w:val="24"/>
                <w:highlight w:val="none"/>
              </w:rPr>
              <w:t>源交</w:t>
            </w:r>
            <w:r>
              <w:rPr>
                <w:rFonts w:hint="eastAsia" w:ascii="宋体" w:hAnsi="宋体" w:eastAsia="宋体" w:cs="宋体"/>
                <w:color w:val="auto"/>
                <w:spacing w:val="8"/>
                <w:sz w:val="24"/>
                <w:szCs w:val="24"/>
                <w:highlight w:val="none"/>
              </w:rPr>
              <w:t>易平台(广西壮族自治区)，否则投标无效；投标人开具</w:t>
            </w:r>
            <w:r>
              <w:rPr>
                <w:rFonts w:hint="eastAsia" w:ascii="宋体" w:hAnsi="宋体" w:eastAsia="宋体" w:cs="宋体"/>
                <w:color w:val="auto"/>
                <w:spacing w:val="12"/>
                <w:sz w:val="24"/>
                <w:szCs w:val="24"/>
                <w:highlight w:val="none"/>
              </w:rPr>
              <w:t>电子保函的，需通过全国公共资源交易平台(广西壮族</w:t>
            </w:r>
            <w:r>
              <w:rPr>
                <w:rFonts w:hint="eastAsia" w:ascii="宋体" w:hAnsi="宋体" w:eastAsia="宋体" w:cs="宋体"/>
                <w:color w:val="auto"/>
                <w:spacing w:val="7"/>
                <w:sz w:val="24"/>
                <w:szCs w:val="24"/>
                <w:highlight w:val="none"/>
              </w:rPr>
              <w:t>自治区)电子交易系统在开标时自动认证</w:t>
            </w:r>
            <w:r>
              <w:rPr>
                <w:rFonts w:hint="eastAsia" w:ascii="宋体" w:hAnsi="宋体" w:eastAsia="宋体" w:cs="宋体"/>
                <w:color w:val="auto"/>
                <w:spacing w:val="8"/>
                <w:sz w:val="24"/>
                <w:szCs w:val="24"/>
                <w:highlight w:val="none"/>
              </w:rPr>
              <w:t>通过，否则投标无效。</w:t>
            </w:r>
            <w:r>
              <w:rPr>
                <w:rFonts w:hint="eastAsia" w:ascii="宋体" w:hAnsi="宋体" w:eastAsia="宋体" w:cs="宋体"/>
                <w:color w:val="auto"/>
                <w:spacing w:val="11"/>
                <w:sz w:val="24"/>
                <w:szCs w:val="24"/>
                <w:highlight w:val="none"/>
              </w:rPr>
              <w:t>投标保证金不足额缴纳的，或保函（银行保函、保证</w:t>
            </w:r>
            <w:r>
              <w:rPr>
                <w:rFonts w:hint="eastAsia" w:ascii="宋体" w:hAnsi="宋体" w:eastAsia="宋体" w:cs="宋体"/>
                <w:color w:val="auto"/>
                <w:spacing w:val="8"/>
                <w:sz w:val="24"/>
                <w:szCs w:val="24"/>
                <w:highlight w:val="none"/>
              </w:rPr>
              <w:t>保险保函、工程担保保函）额度不足的，其投标无效。</w:t>
            </w:r>
          </w:p>
          <w:p w14:paraId="7CB04D27">
            <w:pPr>
              <w:pStyle w:val="25"/>
              <w:numPr>
                <w:ilvl w:val="0"/>
                <w:numId w:val="0"/>
              </w:numPr>
              <w:spacing w:before="161" w:line="377" w:lineRule="auto"/>
              <w:ind w:left="214" w:leftChars="0" w:right="109" w:rightChars="0"/>
              <w:jc w:val="both"/>
              <w:rPr>
                <w:rFonts w:hint="eastAsia" w:ascii="宋体" w:hAnsi="宋体" w:eastAsia="宋体" w:cs="宋体"/>
                <w:color w:val="auto"/>
                <w:spacing w:val="5"/>
                <w:sz w:val="24"/>
                <w:szCs w:val="24"/>
                <w:highlight w:val="none"/>
              </w:rPr>
            </w:pPr>
            <w:r>
              <w:rPr>
                <w:rFonts w:hint="eastAsia" w:ascii="宋体" w:hAnsi="宋体" w:eastAsia="宋体" w:cs="宋体"/>
                <w:color w:val="auto"/>
                <w:spacing w:val="7"/>
                <w:sz w:val="24"/>
                <w:szCs w:val="24"/>
                <w:highlight w:val="none"/>
              </w:rPr>
              <w:t>其他要求：/</w:t>
            </w:r>
          </w:p>
        </w:tc>
      </w:tr>
      <w:tr w14:paraId="35D9D8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4" w:hRule="atLeast"/>
        </w:trPr>
        <w:tc>
          <w:tcPr>
            <w:tcW w:w="1107" w:type="dxa"/>
            <w:vAlign w:val="top"/>
          </w:tcPr>
          <w:p w14:paraId="63CA33F0">
            <w:pPr>
              <w:pStyle w:val="25"/>
              <w:spacing w:line="313" w:lineRule="auto"/>
              <w:rPr>
                <w:rFonts w:hint="eastAsia" w:ascii="宋体" w:hAnsi="宋体" w:eastAsia="宋体" w:cs="宋体"/>
                <w:color w:val="auto"/>
                <w:sz w:val="24"/>
                <w:szCs w:val="24"/>
                <w:highlight w:val="none"/>
              </w:rPr>
            </w:pPr>
          </w:p>
          <w:p w14:paraId="2239C04B">
            <w:pPr>
              <w:pStyle w:val="25"/>
              <w:spacing w:line="314" w:lineRule="auto"/>
              <w:rPr>
                <w:rFonts w:hint="eastAsia" w:ascii="宋体" w:hAnsi="宋体" w:eastAsia="宋体" w:cs="宋体"/>
                <w:color w:val="auto"/>
                <w:sz w:val="24"/>
                <w:szCs w:val="24"/>
                <w:highlight w:val="none"/>
              </w:rPr>
            </w:pPr>
          </w:p>
          <w:p w14:paraId="11A279D7">
            <w:pPr>
              <w:pStyle w:val="25"/>
              <w:spacing w:line="314" w:lineRule="auto"/>
              <w:rPr>
                <w:rFonts w:hint="eastAsia" w:ascii="宋体" w:hAnsi="宋体" w:eastAsia="宋体" w:cs="宋体"/>
                <w:color w:val="auto"/>
                <w:sz w:val="24"/>
                <w:szCs w:val="24"/>
                <w:highlight w:val="none"/>
              </w:rPr>
            </w:pPr>
          </w:p>
          <w:p w14:paraId="6C21B85E">
            <w:pPr>
              <w:spacing w:before="60" w:line="233" w:lineRule="auto"/>
              <w:ind w:left="315" w:leftChars="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3.4.3</w:t>
            </w:r>
          </w:p>
        </w:tc>
        <w:tc>
          <w:tcPr>
            <w:tcW w:w="2863" w:type="dxa"/>
            <w:vAlign w:val="top"/>
          </w:tcPr>
          <w:p w14:paraId="6AE1DD3E">
            <w:pPr>
              <w:pStyle w:val="25"/>
              <w:spacing w:line="300" w:lineRule="auto"/>
              <w:rPr>
                <w:rFonts w:hint="eastAsia" w:ascii="宋体" w:hAnsi="宋体" w:eastAsia="宋体" w:cs="宋体"/>
                <w:color w:val="auto"/>
                <w:sz w:val="24"/>
                <w:szCs w:val="24"/>
                <w:highlight w:val="none"/>
              </w:rPr>
            </w:pPr>
          </w:p>
          <w:p w14:paraId="518BFEE5">
            <w:pPr>
              <w:pStyle w:val="25"/>
              <w:spacing w:line="301" w:lineRule="auto"/>
              <w:rPr>
                <w:rFonts w:hint="eastAsia" w:ascii="宋体" w:hAnsi="宋体" w:eastAsia="宋体" w:cs="宋体"/>
                <w:color w:val="auto"/>
                <w:sz w:val="24"/>
                <w:szCs w:val="24"/>
                <w:highlight w:val="none"/>
              </w:rPr>
            </w:pPr>
          </w:p>
          <w:p w14:paraId="6555B5EB">
            <w:pPr>
              <w:pStyle w:val="25"/>
              <w:spacing w:line="301" w:lineRule="auto"/>
              <w:rPr>
                <w:rFonts w:hint="eastAsia" w:ascii="宋体" w:hAnsi="宋体" w:eastAsia="宋体" w:cs="宋体"/>
                <w:color w:val="auto"/>
                <w:sz w:val="24"/>
                <w:szCs w:val="24"/>
                <w:highlight w:val="none"/>
              </w:rPr>
            </w:pPr>
          </w:p>
          <w:p w14:paraId="29B919EB">
            <w:pPr>
              <w:spacing w:before="68" w:line="221" w:lineRule="auto"/>
              <w:ind w:left="219" w:leftChars="0"/>
              <w:rPr>
                <w:rFonts w:hint="eastAsia" w:ascii="宋体" w:hAnsi="宋体" w:eastAsia="宋体" w:cs="宋体"/>
                <w:color w:val="auto"/>
                <w:spacing w:val="7"/>
                <w:sz w:val="24"/>
                <w:szCs w:val="24"/>
                <w:highlight w:val="none"/>
              </w:rPr>
            </w:pPr>
            <w:r>
              <w:rPr>
                <w:rFonts w:hint="eastAsia" w:ascii="宋体" w:hAnsi="宋体" w:eastAsia="宋体" w:cs="宋体"/>
                <w:color w:val="auto"/>
                <w:spacing w:val="-1"/>
                <w:sz w:val="24"/>
                <w:szCs w:val="24"/>
                <w:highlight w:val="none"/>
              </w:rPr>
              <w:t>投标保证金的利息计算原则</w:t>
            </w:r>
          </w:p>
        </w:tc>
        <w:tc>
          <w:tcPr>
            <w:tcW w:w="5197" w:type="dxa"/>
            <w:vAlign w:val="top"/>
          </w:tcPr>
          <w:p w14:paraId="2BD5D69D">
            <w:pPr>
              <w:spacing w:before="122" w:line="271" w:lineRule="auto"/>
              <w:ind w:left="120" w:right="95" w:hanging="10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（1）计算利息的起始日期为投标截止当日，终止日期</w:t>
            </w:r>
            <w:r>
              <w:rPr>
                <w:rFonts w:hint="eastAsia" w:ascii="宋体" w:hAnsi="宋体" w:eastAsia="宋体" w:cs="宋体"/>
                <w:color w:val="auto"/>
                <w:spacing w:val="-4"/>
                <w:sz w:val="24"/>
                <w:szCs w:val="24"/>
                <w:highlight w:val="none"/>
              </w:rPr>
              <w:t>为招标人退还投标保证金日期的前一日；</w:t>
            </w:r>
          </w:p>
          <w:p w14:paraId="043066E9">
            <w:pPr>
              <w:spacing w:before="111" w:line="287" w:lineRule="auto"/>
              <w:ind w:left="118" w:right="91" w:hanging="10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（2）投标保证金的利息按照第（1）款所述计息时间</w:t>
            </w:r>
            <w:r>
              <w:rPr>
                <w:rFonts w:hint="eastAsia" w:ascii="宋体" w:hAnsi="宋体" w:eastAsia="宋体" w:cs="宋体"/>
                <w:color w:val="auto"/>
                <w:spacing w:val="-1"/>
                <w:sz w:val="24"/>
                <w:szCs w:val="24"/>
                <w:highlight w:val="none"/>
              </w:rPr>
              <w:t>段内招标人指定汇入银行公告的活期存款利率</w:t>
            </w:r>
            <w:r>
              <w:rPr>
                <w:rFonts w:hint="eastAsia" w:ascii="宋体" w:hAnsi="宋体" w:eastAsia="宋体" w:cs="宋体"/>
                <w:color w:val="auto"/>
                <w:spacing w:val="-2"/>
                <w:sz w:val="24"/>
                <w:szCs w:val="24"/>
                <w:highlight w:val="none"/>
              </w:rPr>
              <w:t>计付，</w:t>
            </w:r>
            <w:r>
              <w:rPr>
                <w:rFonts w:hint="eastAsia" w:ascii="宋体" w:hAnsi="宋体" w:eastAsia="宋体" w:cs="宋体"/>
                <w:color w:val="auto"/>
                <w:spacing w:val="-1"/>
                <w:sz w:val="24"/>
                <w:szCs w:val="24"/>
                <w:highlight w:val="none"/>
              </w:rPr>
              <w:t>并扣除招标人汇款手续费；</w:t>
            </w:r>
          </w:p>
          <w:p w14:paraId="14582ED9">
            <w:pPr>
              <w:spacing w:before="101" w:line="199" w:lineRule="auto"/>
              <w:ind w:left="16" w:leftChars="0"/>
              <w:rPr>
                <w:rFonts w:hint="eastAsia" w:ascii="宋体" w:hAnsi="宋体" w:eastAsia="宋体" w:cs="宋体"/>
                <w:color w:val="auto"/>
                <w:spacing w:val="5"/>
                <w:sz w:val="24"/>
                <w:szCs w:val="24"/>
                <w:highlight w:val="none"/>
                <w:lang w:eastAsia="zh-CN"/>
              </w:rPr>
            </w:pPr>
            <w:r>
              <w:rPr>
                <w:rFonts w:hint="eastAsia" w:ascii="宋体" w:hAnsi="宋体" w:eastAsia="宋体" w:cs="宋体"/>
                <w:color w:val="auto"/>
                <w:spacing w:val="-1"/>
                <w:sz w:val="24"/>
                <w:szCs w:val="24"/>
                <w:highlight w:val="none"/>
              </w:rPr>
              <w:t>（3）利息金额计算至分位，分以下尾数四舍五入</w:t>
            </w:r>
          </w:p>
        </w:tc>
      </w:tr>
    </w:tbl>
    <w:p w14:paraId="2F87C11C">
      <w:pPr>
        <w:spacing w:before="65" w:line="225" w:lineRule="auto"/>
        <w:ind w:left="184"/>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①一般情况下建议招标人不接受调价函。</w:t>
      </w:r>
    </w:p>
    <w:p w14:paraId="21EDC43E">
      <w:pPr>
        <w:spacing w:before="166" w:line="302" w:lineRule="auto"/>
        <w:ind w:left="191" w:right="177" w:hanging="8"/>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②招标人可根据招标项目所在地省级交通运输主管部门的有关规定，对信用等级高的投标人，给</w:t>
      </w:r>
      <w:r>
        <w:rPr>
          <w:rFonts w:hint="eastAsia" w:ascii="宋体" w:hAnsi="宋体" w:eastAsia="宋体" w:cs="宋体"/>
          <w:color w:val="auto"/>
          <w:spacing w:val="8"/>
          <w:sz w:val="20"/>
          <w:szCs w:val="20"/>
          <w:highlight w:val="none"/>
        </w:rPr>
        <w:t>予减免投标保证金金额的优惠。</w:t>
      </w:r>
    </w:p>
    <w:p w14:paraId="4FCE6B37">
      <w:pPr>
        <w:spacing w:before="162" w:line="302" w:lineRule="auto"/>
        <w:ind w:left="185" w:right="177" w:hanging="2"/>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③招标人不得强制限定投标保证金必须采用现金或支票方式缴纳，不得拒绝银行保函形式的投标</w:t>
      </w:r>
      <w:r>
        <w:rPr>
          <w:rFonts w:hint="eastAsia" w:ascii="宋体" w:hAnsi="宋体" w:eastAsia="宋体" w:cs="宋体"/>
          <w:color w:val="auto"/>
          <w:spacing w:val="4"/>
          <w:sz w:val="20"/>
          <w:szCs w:val="20"/>
          <w:highlight w:val="none"/>
        </w:rPr>
        <w:t>保证金。</w:t>
      </w:r>
    </w:p>
    <w:p w14:paraId="1E190C28">
      <w:pPr>
        <w:spacing w:line="302" w:lineRule="auto"/>
        <w:rPr>
          <w:rFonts w:hint="eastAsia" w:ascii="宋体" w:hAnsi="宋体" w:eastAsia="宋体" w:cs="宋体"/>
          <w:color w:val="auto"/>
          <w:sz w:val="20"/>
          <w:szCs w:val="20"/>
          <w:highlight w:val="none"/>
        </w:rPr>
        <w:sectPr>
          <w:footerReference r:id="rId15" w:type="default"/>
          <w:pgSz w:w="11907" w:h="16840"/>
          <w:pgMar w:top="1182" w:right="1114" w:bottom="1014" w:left="1620" w:header="849" w:footer="852" w:gutter="0"/>
          <w:pgNumType w:fmt="decimal"/>
          <w:cols w:space="720" w:num="1"/>
        </w:sectPr>
      </w:pPr>
    </w:p>
    <w:p w14:paraId="4C1CA1EB">
      <w:pPr>
        <w:pStyle w:val="4"/>
        <w:rPr>
          <w:rFonts w:hint="eastAsia" w:ascii="宋体" w:hAnsi="宋体" w:eastAsia="宋体" w:cs="宋体"/>
          <w:color w:val="auto"/>
          <w:highlight w:val="none"/>
        </w:rPr>
      </w:pPr>
    </w:p>
    <w:tbl>
      <w:tblPr>
        <w:tblStyle w:val="24"/>
        <w:tblW w:w="916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07"/>
        <w:gridCol w:w="2863"/>
        <w:gridCol w:w="5197"/>
      </w:tblGrid>
      <w:tr w14:paraId="24B880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1107" w:type="dxa"/>
            <w:vAlign w:val="top"/>
          </w:tcPr>
          <w:p w14:paraId="010579BD">
            <w:pPr>
              <w:pStyle w:val="25"/>
              <w:spacing w:before="132" w:line="228" w:lineRule="auto"/>
              <w:ind w:left="244"/>
              <w:rPr>
                <w:rFonts w:hint="eastAsia" w:ascii="宋体" w:hAnsi="宋体" w:eastAsia="宋体" w:cs="宋体"/>
                <w:color w:val="auto"/>
                <w:highlight w:val="none"/>
              </w:rPr>
            </w:pPr>
            <w:r>
              <w:rPr>
                <w:rFonts w:hint="eastAsia" w:ascii="宋体" w:hAnsi="宋体" w:eastAsia="宋体" w:cs="宋体"/>
                <w:b/>
                <w:bCs/>
                <w:color w:val="auto"/>
                <w:spacing w:val="5"/>
                <w:highlight w:val="none"/>
              </w:rPr>
              <w:t>条款号</w:t>
            </w:r>
          </w:p>
        </w:tc>
        <w:tc>
          <w:tcPr>
            <w:tcW w:w="2863" w:type="dxa"/>
            <w:vAlign w:val="top"/>
          </w:tcPr>
          <w:p w14:paraId="51777E1E">
            <w:pPr>
              <w:pStyle w:val="25"/>
              <w:spacing w:before="132" w:line="228" w:lineRule="auto"/>
              <w:ind w:left="1016"/>
              <w:rPr>
                <w:rFonts w:hint="eastAsia" w:ascii="宋体" w:hAnsi="宋体" w:eastAsia="宋体" w:cs="宋体"/>
                <w:color w:val="auto"/>
                <w:highlight w:val="none"/>
              </w:rPr>
            </w:pPr>
            <w:r>
              <w:rPr>
                <w:rFonts w:hint="eastAsia" w:ascii="宋体" w:hAnsi="宋体" w:eastAsia="宋体" w:cs="宋体"/>
                <w:b/>
                <w:bCs/>
                <w:color w:val="auto"/>
                <w:spacing w:val="6"/>
                <w:highlight w:val="none"/>
              </w:rPr>
              <w:t>条款名称</w:t>
            </w:r>
          </w:p>
        </w:tc>
        <w:tc>
          <w:tcPr>
            <w:tcW w:w="5197" w:type="dxa"/>
            <w:vAlign w:val="top"/>
          </w:tcPr>
          <w:p w14:paraId="35F8A97A">
            <w:pPr>
              <w:pStyle w:val="25"/>
              <w:spacing w:before="132" w:line="228" w:lineRule="auto"/>
              <w:ind w:left="2183"/>
              <w:rPr>
                <w:rFonts w:hint="eastAsia" w:ascii="宋体" w:hAnsi="宋体" w:eastAsia="宋体" w:cs="宋体"/>
                <w:color w:val="auto"/>
                <w:highlight w:val="none"/>
              </w:rPr>
            </w:pPr>
            <w:r>
              <w:rPr>
                <w:rFonts w:hint="eastAsia" w:ascii="宋体" w:hAnsi="宋体" w:eastAsia="宋体" w:cs="宋体"/>
                <w:b/>
                <w:bCs/>
                <w:color w:val="auto"/>
                <w:spacing w:val="6"/>
                <w:highlight w:val="none"/>
              </w:rPr>
              <w:t>编列内容</w:t>
            </w:r>
          </w:p>
        </w:tc>
      </w:tr>
      <w:tr w14:paraId="47D16D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1107" w:type="dxa"/>
            <w:vAlign w:val="top"/>
          </w:tcPr>
          <w:p w14:paraId="036B4662">
            <w:pPr>
              <w:spacing w:before="281" w:line="195" w:lineRule="auto"/>
              <w:ind w:left="348"/>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3.4.4</w:t>
            </w:r>
          </w:p>
        </w:tc>
        <w:tc>
          <w:tcPr>
            <w:tcW w:w="2863" w:type="dxa"/>
            <w:vAlign w:val="top"/>
          </w:tcPr>
          <w:p w14:paraId="773F7384">
            <w:pPr>
              <w:pStyle w:val="25"/>
              <w:spacing w:before="32" w:line="228" w:lineRule="auto"/>
              <w:ind w:left="113"/>
              <w:rPr>
                <w:rFonts w:hint="eastAsia" w:ascii="宋体" w:hAnsi="宋体" w:eastAsia="宋体" w:cs="宋体"/>
                <w:color w:val="auto"/>
                <w:sz w:val="24"/>
                <w:szCs w:val="24"/>
                <w:highlight w:val="none"/>
              </w:rPr>
            </w:pPr>
            <w:r>
              <w:rPr>
                <w:rFonts w:hint="eastAsia" w:ascii="宋体" w:hAnsi="宋体" w:eastAsia="宋体" w:cs="宋体"/>
                <w:color w:val="auto"/>
                <w:spacing w:val="19"/>
                <w:sz w:val="24"/>
                <w:szCs w:val="24"/>
                <w:highlight w:val="none"/>
              </w:rPr>
              <w:t>其他可以不予退还投标保证</w:t>
            </w:r>
            <w:r>
              <w:rPr>
                <w:rFonts w:hint="eastAsia" w:ascii="宋体" w:hAnsi="宋体" w:eastAsia="宋体" w:cs="宋体"/>
                <w:color w:val="auto"/>
                <w:spacing w:val="6"/>
                <w:sz w:val="24"/>
                <w:szCs w:val="24"/>
                <w:highlight w:val="none"/>
              </w:rPr>
              <w:t>金的情形</w:t>
            </w:r>
          </w:p>
        </w:tc>
        <w:tc>
          <w:tcPr>
            <w:tcW w:w="5197" w:type="dxa"/>
            <w:vAlign w:val="top"/>
          </w:tcPr>
          <w:p w14:paraId="37C00069">
            <w:pPr>
              <w:spacing w:before="281" w:line="195" w:lineRule="auto"/>
              <w:ind w:left="105"/>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w:t>
            </w:r>
          </w:p>
        </w:tc>
      </w:tr>
      <w:tr w14:paraId="2BE016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1107" w:type="dxa"/>
            <w:vAlign w:val="top"/>
          </w:tcPr>
          <w:p w14:paraId="6F6707E5">
            <w:pPr>
              <w:spacing w:before="279" w:line="195" w:lineRule="auto"/>
              <w:ind w:left="42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3.5</w:t>
            </w:r>
          </w:p>
        </w:tc>
        <w:tc>
          <w:tcPr>
            <w:tcW w:w="2863" w:type="dxa"/>
            <w:vAlign w:val="top"/>
          </w:tcPr>
          <w:p w14:paraId="6A96EB4A">
            <w:pPr>
              <w:pStyle w:val="25"/>
              <w:spacing w:before="236" w:line="228" w:lineRule="auto"/>
              <w:ind w:left="121"/>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资格审查资料的特殊要求</w:t>
            </w:r>
          </w:p>
        </w:tc>
        <w:tc>
          <w:tcPr>
            <w:tcW w:w="5197" w:type="dxa"/>
            <w:vAlign w:val="top"/>
          </w:tcPr>
          <w:p w14:paraId="4088C2A7">
            <w:pPr>
              <w:pStyle w:val="25"/>
              <w:spacing w:before="33" w:line="228" w:lineRule="auto"/>
              <w:ind w:left="12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☑无</w:t>
            </w:r>
          </w:p>
          <w:p w14:paraId="180191BA">
            <w:pPr>
              <w:pStyle w:val="25"/>
              <w:spacing w:before="161" w:line="228" w:lineRule="auto"/>
              <w:ind w:left="134"/>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□有，具体要求：</w:t>
            </w:r>
          </w:p>
        </w:tc>
      </w:tr>
      <w:tr w14:paraId="4F3DD1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6" w:hRule="atLeast"/>
        </w:trPr>
        <w:tc>
          <w:tcPr>
            <w:tcW w:w="1107" w:type="dxa"/>
            <w:vAlign w:val="top"/>
          </w:tcPr>
          <w:p w14:paraId="68BF6EAB">
            <w:pPr>
              <w:spacing w:before="173" w:line="195" w:lineRule="auto"/>
              <w:ind w:left="34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3.5.1</w:t>
            </w:r>
          </w:p>
        </w:tc>
        <w:tc>
          <w:tcPr>
            <w:tcW w:w="2863" w:type="dxa"/>
            <w:vAlign w:val="top"/>
          </w:tcPr>
          <w:p w14:paraId="0D7B07A9">
            <w:pPr>
              <w:pStyle w:val="25"/>
              <w:spacing w:before="128" w:line="227" w:lineRule="auto"/>
              <w:ind w:left="597"/>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投标人基本情况表</w:t>
            </w:r>
          </w:p>
        </w:tc>
        <w:tc>
          <w:tcPr>
            <w:tcW w:w="5197" w:type="dxa"/>
            <w:vAlign w:val="top"/>
          </w:tcPr>
          <w:p w14:paraId="57E968E7">
            <w:pPr>
              <w:pStyle w:val="25"/>
              <w:spacing w:before="128" w:line="228" w:lineRule="auto"/>
              <w:ind w:left="114"/>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按投标人须知3.5.1规定执行</w:t>
            </w:r>
          </w:p>
        </w:tc>
      </w:tr>
      <w:tr w14:paraId="3E26F1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47" w:hRule="atLeast"/>
        </w:trPr>
        <w:tc>
          <w:tcPr>
            <w:tcW w:w="1107" w:type="dxa"/>
            <w:vAlign w:val="top"/>
          </w:tcPr>
          <w:p w14:paraId="5FAC22AB">
            <w:pPr>
              <w:spacing w:line="276" w:lineRule="auto"/>
              <w:rPr>
                <w:rFonts w:hint="eastAsia" w:ascii="宋体" w:hAnsi="宋体" w:eastAsia="宋体" w:cs="宋体"/>
                <w:color w:val="auto"/>
                <w:sz w:val="24"/>
                <w:szCs w:val="24"/>
                <w:highlight w:val="none"/>
              </w:rPr>
            </w:pPr>
          </w:p>
          <w:p w14:paraId="6DD2EF04">
            <w:pPr>
              <w:spacing w:line="276" w:lineRule="auto"/>
              <w:rPr>
                <w:rFonts w:hint="eastAsia" w:ascii="宋体" w:hAnsi="宋体" w:eastAsia="宋体" w:cs="宋体"/>
                <w:color w:val="auto"/>
                <w:sz w:val="24"/>
                <w:szCs w:val="24"/>
                <w:highlight w:val="none"/>
              </w:rPr>
            </w:pPr>
          </w:p>
          <w:p w14:paraId="06370F06">
            <w:pPr>
              <w:spacing w:line="277" w:lineRule="auto"/>
              <w:rPr>
                <w:rFonts w:hint="eastAsia" w:ascii="宋体" w:hAnsi="宋体" w:eastAsia="宋体" w:cs="宋体"/>
                <w:color w:val="auto"/>
                <w:sz w:val="24"/>
                <w:szCs w:val="24"/>
                <w:highlight w:val="none"/>
              </w:rPr>
            </w:pPr>
          </w:p>
          <w:p w14:paraId="056D4564">
            <w:pPr>
              <w:spacing w:before="58" w:line="195" w:lineRule="auto"/>
              <w:ind w:left="348"/>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3.5.2</w:t>
            </w:r>
          </w:p>
        </w:tc>
        <w:tc>
          <w:tcPr>
            <w:tcW w:w="2863" w:type="dxa"/>
            <w:vAlign w:val="top"/>
          </w:tcPr>
          <w:p w14:paraId="1EE5FAEC">
            <w:pPr>
              <w:spacing w:line="259" w:lineRule="auto"/>
              <w:rPr>
                <w:rFonts w:hint="eastAsia" w:ascii="宋体" w:hAnsi="宋体" w:eastAsia="宋体" w:cs="宋体"/>
                <w:color w:val="auto"/>
                <w:sz w:val="24"/>
                <w:szCs w:val="24"/>
                <w:highlight w:val="none"/>
              </w:rPr>
            </w:pPr>
          </w:p>
          <w:p w14:paraId="75A9B918">
            <w:pPr>
              <w:spacing w:line="260" w:lineRule="auto"/>
              <w:rPr>
                <w:rFonts w:hint="eastAsia" w:ascii="宋体" w:hAnsi="宋体" w:eastAsia="宋体" w:cs="宋体"/>
                <w:color w:val="auto"/>
                <w:sz w:val="24"/>
                <w:szCs w:val="24"/>
                <w:highlight w:val="none"/>
              </w:rPr>
            </w:pPr>
          </w:p>
          <w:p w14:paraId="7A0A8FEE">
            <w:pPr>
              <w:spacing w:line="260" w:lineRule="auto"/>
              <w:rPr>
                <w:rFonts w:hint="eastAsia" w:ascii="宋体" w:hAnsi="宋体" w:eastAsia="宋体" w:cs="宋体"/>
                <w:color w:val="auto"/>
                <w:sz w:val="24"/>
                <w:szCs w:val="24"/>
                <w:highlight w:val="none"/>
              </w:rPr>
            </w:pPr>
          </w:p>
          <w:p w14:paraId="6BF89FF7">
            <w:pPr>
              <w:pStyle w:val="25"/>
              <w:spacing w:before="65" w:line="228" w:lineRule="auto"/>
              <w:ind w:left="111"/>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近年财务状况表</w:t>
            </w:r>
          </w:p>
        </w:tc>
        <w:tc>
          <w:tcPr>
            <w:tcW w:w="5197" w:type="dxa"/>
            <w:vAlign w:val="top"/>
          </w:tcPr>
          <w:p w14:paraId="137C77B1">
            <w:pPr>
              <w:pStyle w:val="25"/>
              <w:spacing w:before="33" w:line="367" w:lineRule="auto"/>
              <w:ind w:left="116" w:right="109" w:hanging="4"/>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近3年(2022年度、2023年度和2024</w:t>
            </w:r>
            <w:r>
              <w:rPr>
                <w:rFonts w:hint="eastAsia" w:ascii="宋体" w:hAnsi="宋体" w:eastAsia="宋体" w:cs="宋体"/>
                <w:color w:val="auto"/>
                <w:spacing w:val="2"/>
                <w:sz w:val="24"/>
                <w:szCs w:val="24"/>
                <w:highlight w:val="none"/>
              </w:rPr>
              <w:t>年度)有经会计</w:t>
            </w:r>
            <w:r>
              <w:rPr>
                <w:rFonts w:hint="eastAsia" w:ascii="宋体" w:hAnsi="宋体" w:eastAsia="宋体" w:cs="宋体"/>
                <w:color w:val="auto"/>
                <w:spacing w:val="8"/>
                <w:sz w:val="24"/>
                <w:szCs w:val="24"/>
                <w:highlight w:val="none"/>
              </w:rPr>
              <w:t>师事务所审计的会计报表。</w:t>
            </w:r>
          </w:p>
          <w:p w14:paraId="35C24FF3">
            <w:pPr>
              <w:pStyle w:val="25"/>
              <w:spacing w:before="21" w:line="365" w:lineRule="auto"/>
              <w:ind w:left="113" w:right="10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(备注：对于从取得营业执照时间起到投标截止时间为</w:t>
            </w:r>
            <w:r>
              <w:rPr>
                <w:rFonts w:hint="eastAsia" w:ascii="宋体" w:hAnsi="宋体" w:eastAsia="宋体" w:cs="宋体"/>
                <w:color w:val="auto"/>
                <w:spacing w:val="11"/>
                <w:sz w:val="24"/>
                <w:szCs w:val="24"/>
                <w:highlight w:val="none"/>
              </w:rPr>
              <w:t>止不足要求年数的企业，只需提交企业取得营业执照</w:t>
            </w:r>
            <w:r>
              <w:rPr>
                <w:rFonts w:hint="eastAsia" w:ascii="宋体" w:hAnsi="宋体" w:eastAsia="宋体" w:cs="宋体"/>
                <w:color w:val="auto"/>
                <w:spacing w:val="9"/>
                <w:sz w:val="24"/>
                <w:szCs w:val="24"/>
                <w:highlight w:val="none"/>
              </w:rPr>
              <w:t>年份至所要求最近年份经审计的财务报表。)</w:t>
            </w:r>
          </w:p>
        </w:tc>
      </w:tr>
      <w:tr w14:paraId="2D43CA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1107" w:type="dxa"/>
            <w:vAlign w:val="top"/>
          </w:tcPr>
          <w:p w14:paraId="6489401F">
            <w:pPr>
              <w:spacing w:before="146" w:line="195" w:lineRule="auto"/>
              <w:ind w:left="348"/>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3.5.3</w:t>
            </w:r>
          </w:p>
        </w:tc>
        <w:tc>
          <w:tcPr>
            <w:tcW w:w="2863" w:type="dxa"/>
            <w:vAlign w:val="top"/>
          </w:tcPr>
          <w:p w14:paraId="543FC825">
            <w:pPr>
              <w:pStyle w:val="25"/>
              <w:spacing w:before="100" w:line="228" w:lineRule="auto"/>
              <w:ind w:left="111"/>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近年完成的类似项目</w:t>
            </w:r>
          </w:p>
        </w:tc>
        <w:tc>
          <w:tcPr>
            <w:tcW w:w="5197" w:type="dxa"/>
            <w:vAlign w:val="top"/>
          </w:tcPr>
          <w:p w14:paraId="7DA1EEA7">
            <w:pPr>
              <w:keepNext w:val="0"/>
              <w:keepLines w:val="0"/>
              <w:pageBreakBefore w:val="0"/>
              <w:widowControl/>
              <w:kinsoku w:val="0"/>
              <w:wordWrap/>
              <w:overflowPunct/>
              <w:topLinePunct w:val="0"/>
              <w:autoSpaceDE w:val="0"/>
              <w:autoSpaceDN w:val="0"/>
              <w:bidi w:val="0"/>
              <w:adjustRightInd w:val="0"/>
              <w:snapToGrid w:val="0"/>
              <w:spacing w:before="142" w:line="360" w:lineRule="auto"/>
              <w:ind w:left="108"/>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最近5年中(所完成项目的交竣工日期在20</w:t>
            </w:r>
            <w:r>
              <w:rPr>
                <w:rFonts w:hint="eastAsia" w:ascii="宋体" w:hAnsi="宋体" w:eastAsia="宋体" w:cs="宋体"/>
                <w:color w:val="auto"/>
                <w:sz w:val="24"/>
                <w:szCs w:val="24"/>
                <w:highlight w:val="none"/>
                <w:lang w:val="en-US" w:eastAsia="zh-CN"/>
              </w:rPr>
              <w:t>20</w:t>
            </w:r>
            <w:r>
              <w:rPr>
                <w:rFonts w:hint="eastAsia" w:ascii="宋体" w:hAnsi="宋体" w:eastAsia="宋体" w:cs="宋体"/>
                <w:color w:val="auto"/>
                <w:sz w:val="24"/>
                <w:szCs w:val="24"/>
                <w:highlight w:val="none"/>
              </w:rPr>
              <w:t>年1月1日之后)</w:t>
            </w:r>
          </w:p>
        </w:tc>
      </w:tr>
      <w:tr w14:paraId="14A2AD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1107" w:type="dxa"/>
            <w:vAlign w:val="center"/>
          </w:tcPr>
          <w:p w14:paraId="55FEEF6B">
            <w:pPr>
              <w:spacing w:before="145" w:line="195" w:lineRule="auto"/>
              <w:ind w:left="348"/>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3.5.4</w:t>
            </w:r>
          </w:p>
        </w:tc>
        <w:tc>
          <w:tcPr>
            <w:tcW w:w="2863" w:type="dxa"/>
            <w:vAlign w:val="center"/>
          </w:tcPr>
          <w:p w14:paraId="0E385D38">
            <w:pPr>
              <w:pStyle w:val="25"/>
              <w:spacing w:before="102" w:line="227" w:lineRule="auto"/>
              <w:ind w:left="115"/>
              <w:jc w:val="both"/>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投标人的信誉情况表</w:t>
            </w:r>
          </w:p>
        </w:tc>
        <w:tc>
          <w:tcPr>
            <w:tcW w:w="5197" w:type="dxa"/>
            <w:vAlign w:val="top"/>
          </w:tcPr>
          <w:p w14:paraId="405EAC3C">
            <w:pPr>
              <w:pStyle w:val="25"/>
              <w:keepNext w:val="0"/>
              <w:keepLines w:val="0"/>
              <w:pageBreakBefore w:val="0"/>
              <w:widowControl/>
              <w:kinsoku w:val="0"/>
              <w:wordWrap/>
              <w:overflowPunct/>
              <w:topLinePunct w:val="0"/>
              <w:autoSpaceDE w:val="0"/>
              <w:autoSpaceDN w:val="0"/>
              <w:bidi w:val="0"/>
              <w:adjustRightInd w:val="0"/>
              <w:snapToGrid w:val="0"/>
              <w:spacing w:before="102" w:line="360" w:lineRule="auto"/>
              <w:ind w:left="113"/>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投标人须知正文资格审查资料（适用于未进行资格预审的）3.5.4执行。其中无需提供投标人须知正文3.5.4中“由项目所在地或投标人住所地检察机关职务犯罪预防部门出具的近三年内投标人及其法定代表人、拟委任的项目经理均无行贿犯罪行为的查询记录证明原件”。</w:t>
            </w:r>
          </w:p>
        </w:tc>
      </w:tr>
      <w:tr w14:paraId="5638CB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1107" w:type="dxa"/>
            <w:vAlign w:val="top"/>
          </w:tcPr>
          <w:p w14:paraId="5903A0D2">
            <w:pPr>
              <w:spacing w:before="281" w:line="195" w:lineRule="auto"/>
              <w:ind w:left="348"/>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3.5.5</w:t>
            </w:r>
          </w:p>
        </w:tc>
        <w:tc>
          <w:tcPr>
            <w:tcW w:w="2863" w:type="dxa"/>
            <w:vAlign w:val="top"/>
          </w:tcPr>
          <w:p w14:paraId="5135849B">
            <w:pPr>
              <w:pStyle w:val="25"/>
              <w:spacing w:before="32" w:line="360" w:lineRule="auto"/>
              <w:ind w:left="114" w:right="106" w:hanging="2"/>
              <w:rPr>
                <w:rFonts w:hint="eastAsia" w:ascii="宋体" w:hAnsi="宋体" w:eastAsia="宋体" w:cs="宋体"/>
                <w:color w:val="auto"/>
                <w:sz w:val="24"/>
                <w:szCs w:val="24"/>
                <w:highlight w:val="none"/>
              </w:rPr>
            </w:pPr>
            <w:r>
              <w:rPr>
                <w:rFonts w:hint="eastAsia" w:ascii="宋体" w:hAnsi="宋体" w:eastAsia="宋体" w:cs="宋体"/>
                <w:color w:val="auto"/>
                <w:spacing w:val="19"/>
                <w:sz w:val="24"/>
                <w:szCs w:val="24"/>
                <w:highlight w:val="none"/>
              </w:rPr>
              <w:t>拟委任的项目经理和项目总</w:t>
            </w:r>
            <w:r>
              <w:rPr>
                <w:rFonts w:hint="eastAsia" w:ascii="宋体" w:hAnsi="宋体" w:eastAsia="宋体" w:cs="宋体"/>
                <w:color w:val="auto"/>
                <w:spacing w:val="3"/>
                <w:sz w:val="24"/>
                <w:szCs w:val="24"/>
                <w:highlight w:val="none"/>
              </w:rPr>
              <w:t>工资</w:t>
            </w:r>
          </w:p>
        </w:tc>
        <w:tc>
          <w:tcPr>
            <w:tcW w:w="5197" w:type="dxa"/>
            <w:vAlign w:val="top"/>
          </w:tcPr>
          <w:p w14:paraId="17BEE86B">
            <w:pPr>
              <w:spacing w:before="69" w:line="221" w:lineRule="auto"/>
              <w:ind w:left="13"/>
              <w:rPr>
                <w:rFonts w:hint="eastAsia" w:ascii="宋体" w:hAnsi="宋体" w:eastAsia="宋体" w:cs="宋体"/>
                <w:color w:val="auto"/>
                <w:sz w:val="24"/>
                <w:szCs w:val="24"/>
                <w:highlight w:val="none"/>
              </w:rPr>
            </w:pPr>
            <w:r>
              <w:rPr>
                <w:rFonts w:hint="eastAsia" w:ascii="宋体" w:hAnsi="宋体" w:eastAsia="宋体" w:cs="宋体"/>
                <w:color w:val="auto"/>
                <w:spacing w:val="16"/>
                <w:sz w:val="24"/>
                <w:szCs w:val="24"/>
                <w:highlight w:val="none"/>
              </w:rPr>
              <w:t>见正文资格审查资料（适用于未进行资格预审的）</w:t>
            </w:r>
            <w:r>
              <w:rPr>
                <w:rFonts w:hint="eastAsia" w:ascii="宋体" w:hAnsi="宋体" w:eastAsia="宋体" w:cs="宋体"/>
                <w:color w:val="auto"/>
                <w:spacing w:val="-5"/>
                <w:sz w:val="24"/>
                <w:szCs w:val="24"/>
                <w:highlight w:val="none"/>
              </w:rPr>
              <w:t>3.5.5执行。</w:t>
            </w:r>
          </w:p>
        </w:tc>
      </w:tr>
      <w:tr w14:paraId="378951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1107" w:type="dxa"/>
            <w:vAlign w:val="top"/>
          </w:tcPr>
          <w:p w14:paraId="7C6CD23D">
            <w:pPr>
              <w:spacing w:before="280" w:line="195" w:lineRule="auto"/>
              <w:ind w:left="348" w:leftChars="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3.6.</w:t>
            </w:r>
            <w:r>
              <w:rPr>
                <w:rFonts w:hint="eastAsia" w:ascii="宋体" w:hAnsi="宋体" w:eastAsia="宋体" w:cs="宋体"/>
                <w:color w:val="auto"/>
                <w:spacing w:val="-24"/>
                <w:sz w:val="24"/>
                <w:szCs w:val="24"/>
                <w:highlight w:val="none"/>
              </w:rPr>
              <w:t xml:space="preserve"> </w:t>
            </w:r>
            <w:r>
              <w:rPr>
                <w:rFonts w:hint="eastAsia" w:ascii="宋体" w:hAnsi="宋体" w:eastAsia="宋体" w:cs="宋体"/>
                <w:color w:val="auto"/>
                <w:spacing w:val="1"/>
                <w:sz w:val="24"/>
                <w:szCs w:val="24"/>
                <w:highlight w:val="none"/>
              </w:rPr>
              <w:t>1</w:t>
            </w:r>
          </w:p>
        </w:tc>
        <w:tc>
          <w:tcPr>
            <w:tcW w:w="2863" w:type="dxa"/>
            <w:vAlign w:val="top"/>
          </w:tcPr>
          <w:p w14:paraId="75242EA3">
            <w:pPr>
              <w:pStyle w:val="25"/>
              <w:spacing w:before="236" w:line="228" w:lineRule="auto"/>
              <w:ind w:left="116" w:leftChars="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是否允许递交备选投标方案</w:t>
            </w:r>
          </w:p>
        </w:tc>
        <w:tc>
          <w:tcPr>
            <w:tcW w:w="5197" w:type="dxa"/>
            <w:vAlign w:val="top"/>
          </w:tcPr>
          <w:p w14:paraId="6ADDA0AC">
            <w:pPr>
              <w:pStyle w:val="25"/>
              <w:keepNext w:val="0"/>
              <w:keepLines w:val="0"/>
              <w:pageBreakBefore w:val="0"/>
              <w:widowControl/>
              <w:kinsoku w:val="0"/>
              <w:wordWrap/>
              <w:overflowPunct/>
              <w:topLinePunct w:val="0"/>
              <w:autoSpaceDE w:val="0"/>
              <w:autoSpaceDN w:val="0"/>
              <w:bidi w:val="0"/>
              <w:adjustRightInd w:val="0"/>
              <w:snapToGrid w:val="0"/>
              <w:spacing w:before="34" w:line="360" w:lineRule="auto"/>
              <w:ind w:left="385" w:leftChars="57" w:right="0" w:rightChars="0" w:hanging="265" w:hangingChars="106"/>
              <w:textAlignment w:val="baseline"/>
              <w:rPr>
                <w:rFonts w:hint="eastAsia" w:ascii="宋体" w:hAnsi="宋体" w:eastAsia="宋体" w:cs="宋体"/>
                <w:color w:val="auto"/>
                <w:spacing w:val="5"/>
                <w:sz w:val="24"/>
                <w:szCs w:val="24"/>
                <w:highlight w:val="none"/>
                <w:lang w:val="en-US" w:eastAsia="zh-CN"/>
              </w:rPr>
            </w:pPr>
            <w:r>
              <w:rPr>
                <w:rFonts w:hint="eastAsia" w:ascii="宋体" w:hAnsi="宋体" w:eastAsia="宋体" w:cs="宋体"/>
                <w:color w:val="auto"/>
                <w:spacing w:val="5"/>
                <w:sz w:val="24"/>
                <w:szCs w:val="24"/>
                <w:highlight w:val="none"/>
              </w:rPr>
              <w:t>☑不</w:t>
            </w:r>
            <w:r>
              <w:rPr>
                <w:rFonts w:hint="eastAsia" w:ascii="宋体" w:hAnsi="宋体" w:eastAsia="宋体" w:cs="宋体"/>
                <w:color w:val="auto"/>
                <w:spacing w:val="5"/>
                <w:sz w:val="24"/>
                <w:szCs w:val="24"/>
                <w:highlight w:val="none"/>
                <w:lang w:eastAsia="zh-CN"/>
              </w:rPr>
              <w:t>允许</w:t>
            </w:r>
            <w:r>
              <w:rPr>
                <w:rFonts w:hint="eastAsia" w:ascii="宋体" w:hAnsi="宋体" w:eastAsia="宋体" w:cs="宋体"/>
                <w:color w:val="auto"/>
                <w:spacing w:val="5"/>
                <w:sz w:val="24"/>
                <w:szCs w:val="24"/>
                <w:highlight w:val="none"/>
                <w:lang w:val="en-US" w:eastAsia="zh-CN"/>
              </w:rPr>
              <w:t xml:space="preserve">                   </w:t>
            </w:r>
          </w:p>
          <w:p w14:paraId="55A4DE31">
            <w:pPr>
              <w:pStyle w:val="25"/>
              <w:keepNext w:val="0"/>
              <w:keepLines w:val="0"/>
              <w:pageBreakBefore w:val="0"/>
              <w:widowControl/>
              <w:kinsoku w:val="0"/>
              <w:wordWrap/>
              <w:overflowPunct/>
              <w:topLinePunct w:val="0"/>
              <w:autoSpaceDE w:val="0"/>
              <w:autoSpaceDN w:val="0"/>
              <w:bidi w:val="0"/>
              <w:adjustRightInd w:val="0"/>
              <w:snapToGrid w:val="0"/>
              <w:spacing w:before="34" w:line="360" w:lineRule="auto"/>
              <w:ind w:left="134" w:leftChars="0" w:right="0" w:rightChars="0" w:hanging="13"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□允许</w:t>
            </w:r>
          </w:p>
        </w:tc>
      </w:tr>
      <w:tr w14:paraId="513723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1107" w:type="dxa"/>
            <w:vAlign w:val="center"/>
          </w:tcPr>
          <w:p w14:paraId="056E0AC4">
            <w:pPr>
              <w:spacing w:line="245" w:lineRule="auto"/>
              <w:jc w:val="center"/>
              <w:rPr>
                <w:rFonts w:hint="eastAsia" w:ascii="宋体" w:hAnsi="宋体" w:eastAsia="宋体" w:cs="宋体"/>
                <w:color w:val="auto"/>
                <w:sz w:val="24"/>
                <w:szCs w:val="24"/>
                <w:highlight w:val="none"/>
              </w:rPr>
            </w:pPr>
          </w:p>
          <w:p w14:paraId="5D1946A9">
            <w:pPr>
              <w:spacing w:line="245" w:lineRule="auto"/>
              <w:jc w:val="center"/>
              <w:rPr>
                <w:rFonts w:hint="eastAsia" w:ascii="宋体" w:hAnsi="宋体" w:eastAsia="宋体" w:cs="宋体"/>
                <w:color w:val="auto"/>
                <w:sz w:val="24"/>
                <w:szCs w:val="24"/>
                <w:highlight w:val="none"/>
              </w:rPr>
            </w:pPr>
          </w:p>
          <w:p w14:paraId="52DF87E2">
            <w:pPr>
              <w:spacing w:line="245"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3.7.5</w:t>
            </w:r>
          </w:p>
          <w:p w14:paraId="099A9802">
            <w:pPr>
              <w:spacing w:line="245" w:lineRule="auto"/>
              <w:jc w:val="center"/>
              <w:rPr>
                <w:rFonts w:hint="eastAsia" w:ascii="宋体" w:hAnsi="宋体" w:eastAsia="宋体" w:cs="宋体"/>
                <w:color w:val="auto"/>
                <w:sz w:val="24"/>
                <w:szCs w:val="24"/>
                <w:highlight w:val="none"/>
              </w:rPr>
            </w:pPr>
          </w:p>
          <w:p w14:paraId="1ED4E7E1">
            <w:pPr>
              <w:spacing w:line="245" w:lineRule="auto"/>
              <w:jc w:val="center"/>
              <w:rPr>
                <w:rFonts w:hint="eastAsia" w:ascii="宋体" w:hAnsi="宋体" w:eastAsia="宋体" w:cs="宋体"/>
                <w:color w:val="auto"/>
                <w:sz w:val="24"/>
                <w:szCs w:val="24"/>
                <w:highlight w:val="none"/>
              </w:rPr>
            </w:pPr>
          </w:p>
          <w:p w14:paraId="34F0D13D">
            <w:pPr>
              <w:spacing w:line="246" w:lineRule="auto"/>
              <w:jc w:val="center"/>
              <w:rPr>
                <w:rFonts w:hint="eastAsia" w:ascii="宋体" w:hAnsi="宋体" w:eastAsia="宋体" w:cs="宋体"/>
                <w:color w:val="auto"/>
                <w:sz w:val="24"/>
                <w:szCs w:val="24"/>
                <w:highlight w:val="none"/>
              </w:rPr>
            </w:pPr>
          </w:p>
          <w:p w14:paraId="47E0DF3A">
            <w:pPr>
              <w:spacing w:line="246" w:lineRule="auto"/>
              <w:jc w:val="center"/>
              <w:rPr>
                <w:rFonts w:hint="eastAsia" w:ascii="宋体" w:hAnsi="宋体" w:eastAsia="宋体" w:cs="宋体"/>
                <w:color w:val="auto"/>
                <w:sz w:val="24"/>
                <w:szCs w:val="24"/>
                <w:highlight w:val="none"/>
              </w:rPr>
            </w:pPr>
          </w:p>
          <w:p w14:paraId="29696945">
            <w:pPr>
              <w:spacing w:line="246" w:lineRule="auto"/>
              <w:jc w:val="center"/>
              <w:rPr>
                <w:rFonts w:hint="eastAsia" w:ascii="宋体" w:hAnsi="宋体" w:eastAsia="宋体" w:cs="宋体"/>
                <w:color w:val="auto"/>
                <w:sz w:val="24"/>
                <w:szCs w:val="24"/>
                <w:highlight w:val="none"/>
              </w:rPr>
            </w:pPr>
          </w:p>
          <w:p w14:paraId="5A53922B">
            <w:pPr>
              <w:spacing w:line="246" w:lineRule="auto"/>
              <w:jc w:val="center"/>
              <w:rPr>
                <w:rFonts w:hint="eastAsia" w:ascii="宋体" w:hAnsi="宋体" w:eastAsia="宋体" w:cs="宋体"/>
                <w:color w:val="auto"/>
                <w:sz w:val="24"/>
                <w:szCs w:val="24"/>
                <w:highlight w:val="none"/>
              </w:rPr>
            </w:pPr>
          </w:p>
          <w:p w14:paraId="424645EE">
            <w:pPr>
              <w:spacing w:line="246" w:lineRule="auto"/>
              <w:jc w:val="center"/>
              <w:rPr>
                <w:rFonts w:hint="eastAsia" w:ascii="宋体" w:hAnsi="宋体" w:eastAsia="宋体" w:cs="宋体"/>
                <w:color w:val="auto"/>
                <w:sz w:val="24"/>
                <w:szCs w:val="24"/>
                <w:highlight w:val="none"/>
              </w:rPr>
            </w:pPr>
          </w:p>
          <w:p w14:paraId="4FCEBA43">
            <w:pPr>
              <w:spacing w:before="57" w:line="195" w:lineRule="auto"/>
              <w:ind w:left="348" w:leftChars="0"/>
              <w:jc w:val="center"/>
              <w:rPr>
                <w:rFonts w:hint="eastAsia" w:ascii="宋体" w:hAnsi="宋体" w:eastAsia="宋体" w:cs="宋体"/>
                <w:color w:val="auto"/>
                <w:spacing w:val="1"/>
                <w:sz w:val="24"/>
                <w:szCs w:val="24"/>
                <w:highlight w:val="none"/>
              </w:rPr>
            </w:pPr>
          </w:p>
        </w:tc>
        <w:tc>
          <w:tcPr>
            <w:tcW w:w="2863" w:type="dxa"/>
            <w:vAlign w:val="center"/>
          </w:tcPr>
          <w:p w14:paraId="486455B5">
            <w:pPr>
              <w:spacing w:line="244" w:lineRule="auto"/>
              <w:jc w:val="center"/>
              <w:rPr>
                <w:rFonts w:hint="eastAsia" w:ascii="宋体" w:hAnsi="宋体" w:eastAsia="宋体" w:cs="宋体"/>
                <w:color w:val="auto"/>
                <w:sz w:val="24"/>
                <w:szCs w:val="24"/>
                <w:highlight w:val="none"/>
              </w:rPr>
            </w:pPr>
          </w:p>
          <w:p w14:paraId="091FB123">
            <w:pPr>
              <w:spacing w:line="244" w:lineRule="auto"/>
              <w:jc w:val="center"/>
              <w:rPr>
                <w:rFonts w:hint="eastAsia" w:ascii="宋体" w:hAnsi="宋体" w:eastAsia="宋体" w:cs="宋体"/>
                <w:color w:val="auto"/>
                <w:sz w:val="24"/>
                <w:szCs w:val="24"/>
                <w:highlight w:val="none"/>
              </w:rPr>
            </w:pPr>
          </w:p>
          <w:p w14:paraId="4B8F9192">
            <w:pPr>
              <w:spacing w:line="244" w:lineRule="auto"/>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未加密投标文件电子文份数及其他要求</w:t>
            </w:r>
          </w:p>
          <w:p w14:paraId="706E6AA5">
            <w:pPr>
              <w:spacing w:line="245" w:lineRule="auto"/>
              <w:jc w:val="center"/>
              <w:rPr>
                <w:rFonts w:hint="eastAsia" w:ascii="宋体" w:hAnsi="宋体" w:eastAsia="宋体" w:cs="宋体"/>
                <w:color w:val="auto"/>
                <w:sz w:val="24"/>
                <w:szCs w:val="24"/>
                <w:highlight w:val="none"/>
              </w:rPr>
            </w:pPr>
          </w:p>
          <w:p w14:paraId="687D2FE5">
            <w:pPr>
              <w:spacing w:line="245" w:lineRule="auto"/>
              <w:jc w:val="center"/>
              <w:rPr>
                <w:rFonts w:hint="eastAsia" w:ascii="宋体" w:hAnsi="宋体" w:eastAsia="宋体" w:cs="宋体"/>
                <w:color w:val="auto"/>
                <w:sz w:val="24"/>
                <w:szCs w:val="24"/>
                <w:highlight w:val="none"/>
              </w:rPr>
            </w:pPr>
          </w:p>
          <w:p w14:paraId="508139E5">
            <w:pPr>
              <w:spacing w:line="245" w:lineRule="auto"/>
              <w:jc w:val="center"/>
              <w:rPr>
                <w:rFonts w:hint="eastAsia" w:ascii="宋体" w:hAnsi="宋体" w:eastAsia="宋体" w:cs="宋体"/>
                <w:color w:val="auto"/>
                <w:sz w:val="24"/>
                <w:szCs w:val="24"/>
                <w:highlight w:val="none"/>
              </w:rPr>
            </w:pPr>
          </w:p>
          <w:p w14:paraId="1A902D82">
            <w:pPr>
              <w:spacing w:line="245" w:lineRule="auto"/>
              <w:jc w:val="center"/>
              <w:rPr>
                <w:rFonts w:hint="eastAsia" w:ascii="宋体" w:hAnsi="宋体" w:eastAsia="宋体" w:cs="宋体"/>
                <w:color w:val="auto"/>
                <w:sz w:val="24"/>
                <w:szCs w:val="24"/>
                <w:highlight w:val="none"/>
              </w:rPr>
            </w:pPr>
          </w:p>
          <w:p w14:paraId="281D275D">
            <w:pPr>
              <w:pStyle w:val="25"/>
              <w:spacing w:before="65" w:line="378" w:lineRule="auto"/>
              <w:ind w:left="111" w:leftChars="0" w:right="106" w:rightChars="0" w:firstLine="4" w:firstLineChars="0"/>
              <w:jc w:val="center"/>
              <w:rPr>
                <w:rFonts w:hint="eastAsia" w:ascii="宋体" w:hAnsi="宋体" w:eastAsia="宋体" w:cs="宋体"/>
                <w:color w:val="auto"/>
                <w:spacing w:val="8"/>
                <w:sz w:val="24"/>
                <w:szCs w:val="24"/>
                <w:highlight w:val="none"/>
              </w:rPr>
            </w:pPr>
          </w:p>
        </w:tc>
        <w:tc>
          <w:tcPr>
            <w:tcW w:w="5197" w:type="dxa"/>
            <w:vAlign w:val="top"/>
          </w:tcPr>
          <w:p w14:paraId="08C8B1A9">
            <w:pPr>
              <w:pStyle w:val="25"/>
              <w:spacing w:before="31" w:line="376" w:lineRule="auto"/>
              <w:ind w:left="113" w:right="107" w:firstLine="2"/>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不加密的电子投标文件份数：投标文件应通过投</w:t>
            </w:r>
            <w:r>
              <w:rPr>
                <w:rFonts w:hint="eastAsia" w:ascii="宋体" w:hAnsi="宋体" w:eastAsia="宋体" w:cs="宋体"/>
                <w:color w:val="auto"/>
                <w:spacing w:val="6"/>
                <w:sz w:val="24"/>
                <w:szCs w:val="24"/>
                <w:highlight w:val="none"/>
              </w:rPr>
              <w:t>标文件</w:t>
            </w:r>
            <w:r>
              <w:rPr>
                <w:rFonts w:hint="eastAsia" w:ascii="宋体" w:hAnsi="宋体" w:eastAsia="宋体" w:cs="宋体"/>
                <w:color w:val="auto"/>
                <w:spacing w:val="7"/>
                <w:sz w:val="24"/>
                <w:szCs w:val="24"/>
                <w:highlight w:val="none"/>
              </w:rPr>
              <w:t>制作软件进行制作，并通过数字证书认证和加密，最终</w:t>
            </w:r>
            <w:r>
              <w:rPr>
                <w:rFonts w:hint="eastAsia" w:ascii="宋体" w:hAnsi="宋体" w:eastAsia="宋体" w:cs="宋体"/>
                <w:color w:val="auto"/>
                <w:spacing w:val="9"/>
                <w:sz w:val="24"/>
                <w:szCs w:val="24"/>
                <w:highlight w:val="none"/>
              </w:rPr>
              <w:t>同时生成3份文件，1份加密的投标文件，格式为项目名称(加密).</w:t>
            </w:r>
            <w:r>
              <w:rPr>
                <w:rFonts w:hint="eastAsia" w:ascii="宋体" w:hAnsi="宋体" w:eastAsia="宋体" w:cs="宋体"/>
                <w:color w:val="auto"/>
                <w:sz w:val="24"/>
                <w:szCs w:val="24"/>
                <w:highlight w:val="none"/>
              </w:rPr>
              <w:t>GXTF</w:t>
            </w:r>
            <w:r>
              <w:rPr>
                <w:rFonts w:hint="eastAsia" w:ascii="宋体" w:hAnsi="宋体" w:eastAsia="宋体" w:cs="宋体"/>
                <w:color w:val="auto"/>
                <w:spacing w:val="9"/>
                <w:sz w:val="24"/>
                <w:szCs w:val="24"/>
                <w:highlight w:val="none"/>
              </w:rPr>
              <w:t>，2份不加密的投标文件，格式分</w:t>
            </w:r>
            <w:r>
              <w:rPr>
                <w:rFonts w:hint="eastAsia" w:ascii="宋体" w:hAnsi="宋体" w:eastAsia="宋体" w:cs="宋体"/>
                <w:color w:val="auto"/>
                <w:spacing w:val="7"/>
                <w:sz w:val="24"/>
                <w:szCs w:val="24"/>
                <w:highlight w:val="none"/>
              </w:rPr>
              <w:t>别为项目名称(不加密的第一信封投标文件).</w:t>
            </w:r>
            <w:r>
              <w:rPr>
                <w:rFonts w:hint="eastAsia" w:ascii="宋体" w:hAnsi="宋体" w:eastAsia="宋体" w:cs="宋体"/>
                <w:color w:val="auto"/>
                <w:sz w:val="24"/>
                <w:szCs w:val="24"/>
                <w:highlight w:val="none"/>
              </w:rPr>
              <w:t>nGXTF</w:t>
            </w:r>
            <w:r>
              <w:rPr>
                <w:rFonts w:hint="eastAsia" w:ascii="宋体" w:hAnsi="宋体" w:eastAsia="宋体" w:cs="宋体"/>
                <w:color w:val="auto"/>
                <w:spacing w:val="7"/>
                <w:sz w:val="24"/>
                <w:szCs w:val="24"/>
                <w:highlight w:val="none"/>
              </w:rPr>
              <w:t>、项</w:t>
            </w:r>
            <w:r>
              <w:rPr>
                <w:rFonts w:hint="eastAsia" w:ascii="宋体" w:hAnsi="宋体" w:eastAsia="宋体" w:cs="宋体"/>
                <w:color w:val="auto"/>
                <w:spacing w:val="9"/>
                <w:sz w:val="24"/>
                <w:szCs w:val="24"/>
                <w:highlight w:val="none"/>
              </w:rPr>
              <w:t>目名称(不加密的第二信封投标文件).</w:t>
            </w:r>
            <w:r>
              <w:rPr>
                <w:rFonts w:hint="eastAsia" w:ascii="宋体" w:hAnsi="宋体" w:eastAsia="宋体" w:cs="宋体"/>
                <w:color w:val="auto"/>
                <w:sz w:val="24"/>
                <w:szCs w:val="24"/>
                <w:highlight w:val="none"/>
              </w:rPr>
              <w:t>nGXTF</w:t>
            </w:r>
            <w:r>
              <w:rPr>
                <w:rFonts w:hint="eastAsia" w:ascii="宋体" w:hAnsi="宋体" w:eastAsia="宋体" w:cs="宋体"/>
                <w:color w:val="auto"/>
                <w:spacing w:val="9"/>
                <w:sz w:val="24"/>
                <w:szCs w:val="24"/>
                <w:highlight w:val="none"/>
              </w:rPr>
              <w:t>。</w:t>
            </w:r>
          </w:p>
          <w:p w14:paraId="2D192F8B">
            <w:pPr>
              <w:pStyle w:val="25"/>
              <w:spacing w:before="6" w:line="372" w:lineRule="auto"/>
              <w:ind w:left="112" w:leftChars="0" w:right="109" w:rightChars="0" w:firstLine="1" w:firstLineChars="0"/>
              <w:rPr>
                <w:rFonts w:hint="eastAsia" w:ascii="宋体" w:hAnsi="宋体" w:eastAsia="宋体" w:cs="宋体"/>
                <w:color w:val="auto"/>
                <w:spacing w:val="5"/>
                <w:sz w:val="24"/>
                <w:szCs w:val="24"/>
                <w:highlight w:val="none"/>
              </w:rPr>
            </w:pPr>
            <w:r>
              <w:rPr>
                <w:rFonts w:hint="eastAsia" w:ascii="宋体" w:hAnsi="宋体" w:eastAsia="宋体" w:cs="宋体"/>
                <w:color w:val="auto"/>
                <w:spacing w:val="5"/>
                <w:sz w:val="24"/>
                <w:szCs w:val="24"/>
                <w:highlight w:val="none"/>
              </w:rPr>
              <w:t>其他要求：不加密的电子投标文件应为上传至“电子交</w:t>
            </w:r>
            <w:r>
              <w:rPr>
                <w:rFonts w:hint="eastAsia" w:ascii="宋体" w:hAnsi="宋体" w:eastAsia="宋体" w:cs="宋体"/>
                <w:color w:val="auto"/>
                <w:spacing w:val="6"/>
                <w:sz w:val="24"/>
                <w:szCs w:val="24"/>
                <w:highlight w:val="none"/>
              </w:rPr>
              <w:t>易平台”的加密电子投标文件同一时间生成</w:t>
            </w:r>
            <w:r>
              <w:rPr>
                <w:rFonts w:hint="eastAsia" w:ascii="宋体" w:hAnsi="宋体" w:eastAsia="宋体" w:cs="宋体"/>
                <w:color w:val="auto"/>
                <w:spacing w:val="5"/>
                <w:sz w:val="24"/>
                <w:szCs w:val="24"/>
                <w:highlight w:val="none"/>
              </w:rPr>
              <w:t>的不加密的</w:t>
            </w:r>
            <w:r>
              <w:rPr>
                <w:rFonts w:hint="eastAsia" w:ascii="宋体" w:hAnsi="宋体" w:eastAsia="宋体" w:cs="宋体"/>
                <w:color w:val="auto"/>
                <w:spacing w:val="6"/>
                <w:sz w:val="24"/>
                <w:szCs w:val="24"/>
                <w:highlight w:val="none"/>
              </w:rPr>
              <w:t>电子投标文件。未采用“现场递交”方式递</w:t>
            </w:r>
            <w:r>
              <w:rPr>
                <w:rFonts w:hint="eastAsia" w:ascii="宋体" w:hAnsi="宋体" w:eastAsia="宋体" w:cs="宋体"/>
                <w:color w:val="auto"/>
                <w:spacing w:val="5"/>
                <w:sz w:val="24"/>
                <w:szCs w:val="24"/>
                <w:highlight w:val="none"/>
              </w:rPr>
              <w:t>交不加密的</w:t>
            </w:r>
            <w:r>
              <w:rPr>
                <w:rFonts w:hint="eastAsia" w:ascii="宋体" w:hAnsi="宋体" w:eastAsia="宋体" w:cs="宋体"/>
                <w:color w:val="auto"/>
                <w:spacing w:val="7"/>
                <w:sz w:val="24"/>
                <w:szCs w:val="24"/>
                <w:highlight w:val="none"/>
              </w:rPr>
              <w:t>电子投标文件的，视为放弃因加密电子投标文件上传失败、解密失败或解密后无法正常读取或者导入电子开标评标系统时进行补救的权利。如采用网上招标（不见面</w:t>
            </w:r>
            <w:r>
              <w:rPr>
                <w:rFonts w:hint="eastAsia" w:ascii="宋体" w:hAnsi="宋体" w:eastAsia="宋体" w:cs="宋体"/>
                <w:color w:val="auto"/>
                <w:spacing w:val="5"/>
                <w:sz w:val="24"/>
                <w:szCs w:val="24"/>
                <w:highlight w:val="none"/>
              </w:rPr>
              <w:t>方式</w:t>
            </w:r>
            <w:r>
              <w:rPr>
                <w:rFonts w:hint="eastAsia" w:ascii="宋体" w:hAnsi="宋体" w:eastAsia="宋体" w:cs="宋体"/>
                <w:color w:val="auto"/>
                <w:spacing w:val="20"/>
                <w:sz w:val="24"/>
                <w:szCs w:val="24"/>
                <w:highlight w:val="none"/>
              </w:rPr>
              <w:t>），</w:t>
            </w:r>
            <w:r>
              <w:rPr>
                <w:rFonts w:hint="eastAsia" w:ascii="宋体" w:hAnsi="宋体" w:eastAsia="宋体" w:cs="宋体"/>
                <w:color w:val="auto"/>
                <w:spacing w:val="5"/>
                <w:sz w:val="24"/>
                <w:szCs w:val="24"/>
                <w:highlight w:val="none"/>
              </w:rPr>
              <w:t>不需要提供。</w:t>
            </w:r>
          </w:p>
        </w:tc>
      </w:tr>
      <w:tr w14:paraId="5C5011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1" w:hRule="atLeast"/>
        </w:trPr>
        <w:tc>
          <w:tcPr>
            <w:tcW w:w="1107" w:type="dxa"/>
            <w:vAlign w:val="center"/>
          </w:tcPr>
          <w:p w14:paraId="6B84C62F">
            <w:pPr>
              <w:spacing w:before="284" w:line="195" w:lineRule="auto"/>
              <w:ind w:left="110"/>
              <w:jc w:val="both"/>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4.2.2</w:t>
            </w:r>
          </w:p>
        </w:tc>
        <w:tc>
          <w:tcPr>
            <w:tcW w:w="2863" w:type="dxa"/>
            <w:vAlign w:val="center"/>
          </w:tcPr>
          <w:p w14:paraId="7994251D">
            <w:pPr>
              <w:pStyle w:val="25"/>
              <w:spacing w:before="36" w:line="359" w:lineRule="auto"/>
              <w:ind w:left="114" w:right="106" w:firstLine="1"/>
              <w:jc w:val="both"/>
              <w:rPr>
                <w:rFonts w:hint="eastAsia" w:ascii="宋体" w:hAnsi="宋体" w:eastAsia="宋体" w:cs="宋体"/>
                <w:color w:val="auto"/>
                <w:sz w:val="24"/>
                <w:szCs w:val="24"/>
                <w:highlight w:val="none"/>
              </w:rPr>
            </w:pPr>
            <w:r>
              <w:rPr>
                <w:rFonts w:hint="eastAsia" w:ascii="宋体" w:hAnsi="宋体" w:eastAsia="宋体" w:cs="宋体"/>
                <w:color w:val="auto"/>
                <w:spacing w:val="19"/>
                <w:sz w:val="24"/>
                <w:szCs w:val="24"/>
                <w:highlight w:val="none"/>
              </w:rPr>
              <w:t>不加密的电子投标文件封套</w:t>
            </w:r>
            <w:r>
              <w:rPr>
                <w:rFonts w:hint="eastAsia" w:ascii="宋体" w:hAnsi="宋体" w:eastAsia="宋体" w:cs="宋体"/>
                <w:color w:val="auto"/>
                <w:spacing w:val="8"/>
                <w:sz w:val="24"/>
                <w:szCs w:val="24"/>
                <w:highlight w:val="none"/>
              </w:rPr>
              <w:t>上应载明的信息</w:t>
            </w:r>
          </w:p>
        </w:tc>
        <w:tc>
          <w:tcPr>
            <w:tcW w:w="5197" w:type="dxa"/>
            <w:vAlign w:val="top"/>
          </w:tcPr>
          <w:p w14:paraId="04EB3CD8">
            <w:pPr>
              <w:pStyle w:val="25"/>
              <w:spacing w:before="36" w:line="359" w:lineRule="auto"/>
              <w:ind w:left="113" w:right="730" w:firstLine="1"/>
              <w:rPr>
                <w:rFonts w:hint="eastAsia" w:ascii="宋体" w:hAnsi="宋体" w:eastAsia="宋体" w:cs="宋体"/>
                <w:color w:val="auto"/>
                <w:spacing w:val="9"/>
                <w:sz w:val="24"/>
                <w:szCs w:val="24"/>
                <w:highlight w:val="none"/>
              </w:rPr>
            </w:pPr>
            <w:r>
              <w:rPr>
                <w:rFonts w:hint="eastAsia" w:ascii="宋体" w:hAnsi="宋体" w:eastAsia="宋体" w:cs="宋体"/>
                <w:color w:val="auto"/>
                <w:spacing w:val="6"/>
                <w:sz w:val="24"/>
                <w:szCs w:val="24"/>
                <w:highlight w:val="none"/>
              </w:rPr>
              <w:t>投标文件第一个信封（商务及技术文件）封套：</w:t>
            </w:r>
            <w:r>
              <w:rPr>
                <w:rFonts w:hint="eastAsia" w:ascii="宋体" w:hAnsi="宋体" w:eastAsia="宋体" w:cs="宋体"/>
                <w:color w:val="auto"/>
                <w:spacing w:val="9"/>
                <w:sz w:val="24"/>
                <w:szCs w:val="24"/>
                <w:highlight w:val="none"/>
              </w:rPr>
              <w:t>招标人名称：兴业县公路建设养护中心</w:t>
            </w:r>
          </w:p>
          <w:p w14:paraId="2EB0F020">
            <w:pPr>
              <w:pStyle w:val="25"/>
              <w:spacing w:before="36" w:line="228" w:lineRule="auto"/>
              <w:ind w:left="113"/>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招标人地址：兴业县石南镇兴业大道169号</w:t>
            </w:r>
          </w:p>
          <w:p w14:paraId="7702F83B">
            <w:pPr>
              <w:pStyle w:val="25"/>
              <w:spacing w:before="160" w:line="377" w:lineRule="auto"/>
              <w:ind w:left="114" w:right="109" w:firstLine="2"/>
              <w:jc w:val="both"/>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lang w:eastAsia="zh-CN"/>
              </w:rPr>
              <w:t>2025年兴业县石南镇、葵阳镇、山心镇、沙塘镇、龙安镇农村公路安全生命防护工程</w:t>
            </w:r>
            <w:r>
              <w:rPr>
                <w:rFonts w:hint="eastAsia" w:ascii="宋体" w:hAnsi="宋体" w:eastAsia="宋体" w:cs="宋体"/>
                <w:color w:val="auto"/>
                <w:spacing w:val="7"/>
                <w:sz w:val="24"/>
                <w:szCs w:val="24"/>
                <w:highlight w:val="none"/>
              </w:rPr>
              <w:t>施工招标第一个信封（商务及</w:t>
            </w:r>
            <w:r>
              <w:rPr>
                <w:rFonts w:hint="eastAsia" w:ascii="宋体" w:hAnsi="宋体" w:eastAsia="宋体" w:cs="宋体"/>
                <w:color w:val="auto"/>
                <w:spacing w:val="6"/>
                <w:sz w:val="24"/>
                <w:szCs w:val="24"/>
                <w:highlight w:val="none"/>
              </w:rPr>
              <w:t>技术</w:t>
            </w:r>
            <w:r>
              <w:rPr>
                <w:rFonts w:hint="eastAsia" w:ascii="宋体" w:hAnsi="宋体" w:eastAsia="宋体" w:cs="宋体"/>
                <w:color w:val="auto"/>
                <w:spacing w:val="8"/>
                <w:sz w:val="24"/>
                <w:szCs w:val="24"/>
                <w:highlight w:val="none"/>
              </w:rPr>
              <w:t>文件）投标文件</w:t>
            </w:r>
          </w:p>
          <w:p w14:paraId="742FC05D">
            <w:pPr>
              <w:pStyle w:val="25"/>
              <w:spacing w:line="227" w:lineRule="auto"/>
              <w:ind w:left="113"/>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6"/>
                <w:sz w:val="24"/>
                <w:szCs w:val="24"/>
                <w:highlight w:val="none"/>
              </w:rPr>
              <w:t>招标项目编号：E4509002856026726001001</w:t>
            </w:r>
          </w:p>
          <w:p w14:paraId="3F435B60">
            <w:pPr>
              <w:pStyle w:val="25"/>
              <w:spacing w:before="160" w:line="228" w:lineRule="auto"/>
              <w:ind w:left="112"/>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在</w:t>
            </w:r>
            <w:r>
              <w:rPr>
                <w:rFonts w:hint="eastAsia" w:ascii="宋体" w:hAnsi="宋体" w:eastAsia="宋体" w:cs="宋体"/>
                <w:color w:val="auto"/>
                <w:spacing w:val="4"/>
                <w:sz w:val="24"/>
                <w:szCs w:val="24"/>
                <w:highlight w:val="none"/>
                <w:lang w:val="en-US" w:eastAsia="zh-CN"/>
              </w:rPr>
              <w:t xml:space="preserve">     </w:t>
            </w:r>
            <w:r>
              <w:rPr>
                <w:rFonts w:hint="eastAsia" w:ascii="宋体" w:hAnsi="宋体" w:eastAsia="宋体" w:cs="宋体"/>
                <w:color w:val="auto"/>
                <w:spacing w:val="4"/>
                <w:sz w:val="24"/>
                <w:szCs w:val="24"/>
                <w:highlight w:val="none"/>
              </w:rPr>
              <w:t>前不得开启</w:t>
            </w:r>
          </w:p>
          <w:p w14:paraId="397134F0">
            <w:pPr>
              <w:pStyle w:val="25"/>
              <w:spacing w:before="163" w:line="377" w:lineRule="auto"/>
              <w:ind w:left="113" w:right="56" w:firstLine="1"/>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投标人名称：投标文件第二个信封（报价</w:t>
            </w:r>
            <w:r>
              <w:rPr>
                <w:rFonts w:hint="eastAsia" w:ascii="宋体" w:hAnsi="宋体" w:eastAsia="宋体" w:cs="宋体"/>
                <w:color w:val="auto"/>
                <w:spacing w:val="4"/>
                <w:sz w:val="24"/>
                <w:szCs w:val="24"/>
                <w:highlight w:val="none"/>
              </w:rPr>
              <w:t>文件）封套：</w:t>
            </w:r>
            <w:r>
              <w:rPr>
                <w:rFonts w:hint="eastAsia" w:ascii="宋体" w:hAnsi="宋体" w:eastAsia="宋体" w:cs="宋体"/>
                <w:color w:val="auto"/>
                <w:spacing w:val="9"/>
                <w:sz w:val="24"/>
                <w:szCs w:val="24"/>
                <w:highlight w:val="none"/>
              </w:rPr>
              <w:t>招标人名称：兴业县公路建设养护中心</w:t>
            </w:r>
          </w:p>
          <w:p w14:paraId="2BEEE9BC">
            <w:pPr>
              <w:pStyle w:val="25"/>
              <w:spacing w:before="1" w:line="227" w:lineRule="auto"/>
              <w:ind w:left="113"/>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招标人地址：兴业县石南镇兴业大道169号</w:t>
            </w:r>
          </w:p>
          <w:p w14:paraId="72F7B593">
            <w:pPr>
              <w:pStyle w:val="25"/>
              <w:spacing w:before="162" w:line="377" w:lineRule="auto"/>
              <w:ind w:left="115" w:right="65" w:firstLine="1"/>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lang w:eastAsia="zh-CN"/>
              </w:rPr>
              <w:t>2025年兴业县石南镇、葵阳镇、山心镇、沙塘镇、龙安镇农村公路安全生命防护工程</w:t>
            </w:r>
            <w:r>
              <w:rPr>
                <w:rFonts w:hint="eastAsia" w:ascii="宋体" w:hAnsi="宋体" w:eastAsia="宋体" w:cs="宋体"/>
                <w:color w:val="auto"/>
                <w:spacing w:val="8"/>
                <w:sz w:val="24"/>
                <w:szCs w:val="24"/>
                <w:highlight w:val="none"/>
              </w:rPr>
              <w:t>施工招标第二个信封（报价文件）</w:t>
            </w:r>
            <w:r>
              <w:rPr>
                <w:rFonts w:hint="eastAsia" w:ascii="宋体" w:hAnsi="宋体" w:eastAsia="宋体" w:cs="宋体"/>
                <w:color w:val="auto"/>
                <w:spacing w:val="6"/>
                <w:sz w:val="24"/>
                <w:szCs w:val="24"/>
                <w:highlight w:val="none"/>
              </w:rPr>
              <w:t>投标文件</w:t>
            </w:r>
          </w:p>
          <w:p w14:paraId="7606F938">
            <w:pPr>
              <w:pStyle w:val="25"/>
              <w:spacing w:before="1" w:line="227" w:lineRule="auto"/>
              <w:ind w:left="113"/>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6"/>
                <w:sz w:val="24"/>
                <w:szCs w:val="24"/>
                <w:highlight w:val="none"/>
              </w:rPr>
              <w:t>招标项目编号：E4509002856026726001001</w:t>
            </w:r>
          </w:p>
          <w:p w14:paraId="3807EC6F">
            <w:pPr>
              <w:pStyle w:val="25"/>
              <w:spacing w:before="161" w:line="378" w:lineRule="auto"/>
              <w:ind w:left="115" w:right="258" w:hanging="3"/>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在投标文件第二个信封（报价文件）开标前不得开启</w:t>
            </w:r>
            <w:r>
              <w:rPr>
                <w:rFonts w:hint="eastAsia" w:ascii="宋体" w:hAnsi="宋体" w:eastAsia="宋体" w:cs="宋体"/>
                <w:color w:val="auto"/>
                <w:spacing w:val="6"/>
                <w:sz w:val="24"/>
                <w:szCs w:val="24"/>
                <w:highlight w:val="none"/>
              </w:rPr>
              <w:t>投标人名称：</w:t>
            </w:r>
          </w:p>
          <w:p w14:paraId="27BEE772">
            <w:pPr>
              <w:pStyle w:val="25"/>
              <w:spacing w:line="228" w:lineRule="auto"/>
              <w:ind w:left="115"/>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投标人地址：</w:t>
            </w:r>
          </w:p>
          <w:p w14:paraId="5888A75D">
            <w:pPr>
              <w:pStyle w:val="25"/>
              <w:spacing w:before="161" w:line="228" w:lineRule="auto"/>
              <w:ind w:left="113"/>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银行保函封套：</w:t>
            </w:r>
          </w:p>
          <w:p w14:paraId="53C8DD2D">
            <w:pPr>
              <w:pStyle w:val="25"/>
              <w:spacing w:before="160" w:line="228" w:lineRule="auto"/>
              <w:ind w:left="113"/>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招标人名称：兴业县公路建设养护中心</w:t>
            </w:r>
          </w:p>
          <w:p w14:paraId="1E2929C2">
            <w:pPr>
              <w:pStyle w:val="25"/>
              <w:keepNext w:val="0"/>
              <w:keepLines w:val="0"/>
              <w:pageBreakBefore w:val="0"/>
              <w:widowControl/>
              <w:kinsoku w:val="0"/>
              <w:wordWrap/>
              <w:overflowPunct/>
              <w:topLinePunct w:val="0"/>
              <w:autoSpaceDE w:val="0"/>
              <w:autoSpaceDN w:val="0"/>
              <w:bidi w:val="0"/>
              <w:adjustRightInd w:val="0"/>
              <w:snapToGrid w:val="0"/>
              <w:spacing w:before="161" w:line="360" w:lineRule="auto"/>
              <w:ind w:left="11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招标人地址：兴业县石南镇兴业大道169号</w:t>
            </w:r>
          </w:p>
          <w:p w14:paraId="4553BAEB">
            <w:pPr>
              <w:pStyle w:val="25"/>
              <w:keepNext w:val="0"/>
              <w:keepLines w:val="0"/>
              <w:pageBreakBefore w:val="0"/>
              <w:widowControl/>
              <w:kinsoku w:val="0"/>
              <w:wordWrap/>
              <w:overflowPunct/>
              <w:topLinePunct w:val="0"/>
              <w:autoSpaceDE w:val="0"/>
              <w:autoSpaceDN w:val="0"/>
              <w:bidi w:val="0"/>
              <w:adjustRightInd w:val="0"/>
              <w:snapToGrid w:val="0"/>
              <w:spacing w:line="360" w:lineRule="auto"/>
              <w:ind w:left="113"/>
              <w:textAlignment w:val="baseline"/>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u w:val="single"/>
                <w:lang w:eastAsia="zh-CN"/>
              </w:rPr>
              <w:t>2025年兴业县石南镇、葵阳镇、山心镇、沙塘镇、龙安镇农村公路安全生命防护工程</w:t>
            </w:r>
            <w:r>
              <w:rPr>
                <w:rFonts w:hint="eastAsia" w:ascii="宋体" w:hAnsi="宋体" w:eastAsia="宋体" w:cs="宋体"/>
                <w:color w:val="auto"/>
                <w:spacing w:val="6"/>
                <w:sz w:val="24"/>
                <w:szCs w:val="24"/>
                <w:highlight w:val="none"/>
              </w:rPr>
              <w:t>招标投标保证金（银行保函原件）</w:t>
            </w:r>
          </w:p>
          <w:p w14:paraId="4DD92C1A">
            <w:pPr>
              <w:pStyle w:val="25"/>
              <w:keepNext w:val="0"/>
              <w:keepLines w:val="0"/>
              <w:pageBreakBefore w:val="0"/>
              <w:widowControl/>
              <w:kinsoku w:val="0"/>
              <w:wordWrap/>
              <w:overflowPunct/>
              <w:topLinePunct w:val="0"/>
              <w:autoSpaceDE w:val="0"/>
              <w:autoSpaceDN w:val="0"/>
              <w:bidi w:val="0"/>
              <w:adjustRightInd w:val="0"/>
              <w:snapToGrid w:val="0"/>
              <w:spacing w:line="360" w:lineRule="auto"/>
              <w:ind w:left="11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招标项目编号：E4509002856026726001001</w:t>
            </w:r>
          </w:p>
          <w:p w14:paraId="313D4B3E">
            <w:pPr>
              <w:pStyle w:val="25"/>
              <w:keepNext w:val="0"/>
              <w:keepLines w:val="0"/>
              <w:pageBreakBefore w:val="0"/>
              <w:widowControl/>
              <w:kinsoku w:val="0"/>
              <w:wordWrap/>
              <w:overflowPunct/>
              <w:topLinePunct w:val="0"/>
              <w:autoSpaceDE w:val="0"/>
              <w:autoSpaceDN w:val="0"/>
              <w:bidi w:val="0"/>
              <w:adjustRightInd w:val="0"/>
              <w:snapToGrid w:val="0"/>
              <w:spacing w:before="162" w:line="360" w:lineRule="auto"/>
              <w:ind w:left="11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投标人名称：</w:t>
            </w:r>
          </w:p>
          <w:p w14:paraId="07D14A27">
            <w:pPr>
              <w:pStyle w:val="25"/>
              <w:spacing w:before="36" w:line="359" w:lineRule="auto"/>
              <w:ind w:left="113" w:right="730" w:firstLine="1"/>
              <w:rPr>
                <w:rFonts w:hint="eastAsia"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rPr>
              <w:t>如采用不见面开标方式，无需提供。</w:t>
            </w:r>
          </w:p>
        </w:tc>
      </w:tr>
      <w:tr w14:paraId="61B58A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4" w:hRule="atLeast"/>
        </w:trPr>
        <w:tc>
          <w:tcPr>
            <w:tcW w:w="1107" w:type="dxa"/>
            <w:vAlign w:val="top"/>
          </w:tcPr>
          <w:p w14:paraId="1335C210">
            <w:pPr>
              <w:spacing w:before="281" w:line="195" w:lineRule="auto"/>
              <w:ind w:left="343" w:leftChars="0"/>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4.4.3</w:t>
            </w:r>
          </w:p>
        </w:tc>
        <w:tc>
          <w:tcPr>
            <w:tcW w:w="2863" w:type="dxa"/>
            <w:vAlign w:val="top"/>
          </w:tcPr>
          <w:p w14:paraId="1F868DD9">
            <w:pPr>
              <w:pStyle w:val="25"/>
              <w:spacing w:before="238" w:line="228" w:lineRule="auto"/>
              <w:ind w:left="219" w:leftChars="0"/>
              <w:rPr>
                <w:rFonts w:hint="eastAsia" w:ascii="宋体" w:hAnsi="宋体" w:eastAsia="宋体" w:cs="宋体"/>
                <w:color w:val="auto"/>
                <w:spacing w:val="19"/>
                <w:sz w:val="24"/>
                <w:szCs w:val="24"/>
                <w:highlight w:val="none"/>
              </w:rPr>
            </w:pPr>
            <w:r>
              <w:rPr>
                <w:rFonts w:hint="eastAsia" w:ascii="宋体" w:hAnsi="宋体" w:eastAsia="宋体" w:cs="宋体"/>
                <w:color w:val="auto"/>
                <w:spacing w:val="8"/>
                <w:sz w:val="24"/>
                <w:szCs w:val="24"/>
                <w:highlight w:val="none"/>
              </w:rPr>
              <w:t>是否退还投标文件</w:t>
            </w:r>
          </w:p>
        </w:tc>
        <w:tc>
          <w:tcPr>
            <w:tcW w:w="5197" w:type="dxa"/>
            <w:vAlign w:val="top"/>
          </w:tcPr>
          <w:p w14:paraId="02850F14">
            <w:pPr>
              <w:pStyle w:val="25"/>
              <w:spacing w:before="35" w:line="228" w:lineRule="auto"/>
              <w:ind w:left="12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☑否</w:t>
            </w:r>
          </w:p>
          <w:p w14:paraId="5F4DBF08">
            <w:pPr>
              <w:pStyle w:val="25"/>
              <w:spacing w:before="160" w:line="230" w:lineRule="auto"/>
              <w:ind w:left="134" w:leftChars="0"/>
              <w:rPr>
                <w:rFonts w:hint="eastAsia" w:ascii="宋体" w:hAnsi="宋体" w:eastAsia="宋体" w:cs="宋体"/>
                <w:color w:val="auto"/>
                <w:spacing w:val="8"/>
                <w:sz w:val="24"/>
                <w:szCs w:val="24"/>
                <w:highlight w:val="none"/>
              </w:rPr>
            </w:pPr>
            <w:r>
              <w:rPr>
                <w:rFonts w:hint="eastAsia" w:ascii="宋体" w:hAnsi="宋体" w:eastAsia="宋体" w:cs="宋体"/>
                <w:color w:val="auto"/>
                <w:spacing w:val="4"/>
                <w:sz w:val="24"/>
                <w:szCs w:val="24"/>
                <w:highlight w:val="none"/>
              </w:rPr>
              <w:t>□是，退还时间：</w:t>
            </w:r>
          </w:p>
        </w:tc>
      </w:tr>
      <w:tr w14:paraId="5C3D68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4" w:hRule="atLeast"/>
        </w:trPr>
        <w:tc>
          <w:tcPr>
            <w:tcW w:w="1107" w:type="dxa"/>
            <w:vAlign w:val="center"/>
          </w:tcPr>
          <w:p w14:paraId="7CC2A019">
            <w:pPr>
              <w:spacing w:line="247" w:lineRule="auto"/>
              <w:jc w:val="both"/>
              <w:rPr>
                <w:rFonts w:hint="eastAsia" w:ascii="宋体" w:hAnsi="宋体" w:eastAsia="宋体" w:cs="宋体"/>
                <w:color w:val="auto"/>
                <w:sz w:val="24"/>
                <w:szCs w:val="24"/>
                <w:highlight w:val="none"/>
              </w:rPr>
            </w:pPr>
          </w:p>
          <w:p w14:paraId="769826CE">
            <w:pPr>
              <w:spacing w:line="247" w:lineRule="auto"/>
              <w:jc w:val="both"/>
              <w:rPr>
                <w:rFonts w:hint="eastAsia" w:ascii="宋体" w:hAnsi="宋体" w:eastAsia="宋体" w:cs="宋体"/>
                <w:color w:val="auto"/>
                <w:sz w:val="24"/>
                <w:szCs w:val="24"/>
                <w:highlight w:val="none"/>
              </w:rPr>
            </w:pPr>
          </w:p>
          <w:p w14:paraId="60DF1A73">
            <w:pPr>
              <w:spacing w:line="248" w:lineRule="auto"/>
              <w:jc w:val="both"/>
              <w:rPr>
                <w:rFonts w:hint="eastAsia" w:ascii="宋体" w:hAnsi="宋体" w:eastAsia="宋体" w:cs="宋体"/>
                <w:color w:val="auto"/>
                <w:sz w:val="24"/>
                <w:szCs w:val="24"/>
                <w:highlight w:val="none"/>
              </w:rPr>
            </w:pPr>
          </w:p>
          <w:p w14:paraId="3C1FBF87">
            <w:pPr>
              <w:spacing w:line="248" w:lineRule="auto"/>
              <w:jc w:val="both"/>
              <w:rPr>
                <w:rFonts w:hint="eastAsia" w:ascii="宋体" w:hAnsi="宋体" w:eastAsia="宋体" w:cs="宋体"/>
                <w:color w:val="auto"/>
                <w:sz w:val="24"/>
                <w:szCs w:val="24"/>
                <w:highlight w:val="none"/>
              </w:rPr>
            </w:pPr>
          </w:p>
          <w:p w14:paraId="7A19D1B8">
            <w:pPr>
              <w:spacing w:line="248" w:lineRule="auto"/>
              <w:jc w:val="both"/>
              <w:rPr>
                <w:rFonts w:hint="eastAsia" w:ascii="宋体" w:hAnsi="宋体" w:eastAsia="宋体" w:cs="宋体"/>
                <w:color w:val="auto"/>
                <w:sz w:val="24"/>
                <w:szCs w:val="24"/>
                <w:highlight w:val="none"/>
              </w:rPr>
            </w:pPr>
          </w:p>
          <w:p w14:paraId="7BC84423">
            <w:pPr>
              <w:spacing w:before="58" w:line="195" w:lineRule="auto"/>
              <w:ind w:left="429" w:leftChars="0"/>
              <w:jc w:val="both"/>
              <w:rPr>
                <w:rFonts w:hint="eastAsia" w:ascii="宋体" w:hAnsi="宋体" w:eastAsia="宋体" w:cs="宋体"/>
                <w:color w:val="auto"/>
                <w:spacing w:val="3"/>
                <w:sz w:val="24"/>
                <w:szCs w:val="24"/>
                <w:highlight w:val="none"/>
              </w:rPr>
            </w:pPr>
            <w:r>
              <w:rPr>
                <w:rFonts w:hint="eastAsia" w:ascii="宋体" w:hAnsi="宋体" w:eastAsia="宋体" w:cs="宋体"/>
                <w:color w:val="auto"/>
                <w:spacing w:val="-1"/>
                <w:sz w:val="24"/>
                <w:szCs w:val="24"/>
                <w:highlight w:val="none"/>
              </w:rPr>
              <w:t>5.1</w:t>
            </w:r>
          </w:p>
        </w:tc>
        <w:tc>
          <w:tcPr>
            <w:tcW w:w="2863" w:type="dxa"/>
            <w:vAlign w:val="center"/>
          </w:tcPr>
          <w:p w14:paraId="160DD779">
            <w:pPr>
              <w:spacing w:line="297" w:lineRule="auto"/>
              <w:jc w:val="both"/>
              <w:rPr>
                <w:rFonts w:hint="eastAsia" w:ascii="宋体" w:hAnsi="宋体" w:eastAsia="宋体" w:cs="宋体"/>
                <w:color w:val="auto"/>
                <w:sz w:val="24"/>
                <w:szCs w:val="24"/>
                <w:highlight w:val="none"/>
              </w:rPr>
            </w:pPr>
          </w:p>
          <w:p w14:paraId="0D6C3403">
            <w:pPr>
              <w:spacing w:line="297" w:lineRule="auto"/>
              <w:jc w:val="both"/>
              <w:rPr>
                <w:rFonts w:hint="eastAsia" w:ascii="宋体" w:hAnsi="宋体" w:eastAsia="宋体" w:cs="宋体"/>
                <w:color w:val="auto"/>
                <w:sz w:val="24"/>
                <w:szCs w:val="24"/>
                <w:highlight w:val="none"/>
              </w:rPr>
            </w:pPr>
          </w:p>
          <w:p w14:paraId="31AE32B6">
            <w:pPr>
              <w:spacing w:line="297" w:lineRule="auto"/>
              <w:jc w:val="both"/>
              <w:rPr>
                <w:rFonts w:hint="eastAsia" w:ascii="宋体" w:hAnsi="宋体" w:eastAsia="宋体" w:cs="宋体"/>
                <w:color w:val="auto"/>
                <w:sz w:val="24"/>
                <w:szCs w:val="24"/>
                <w:highlight w:val="none"/>
              </w:rPr>
            </w:pPr>
          </w:p>
          <w:p w14:paraId="30FD1DCB">
            <w:pPr>
              <w:spacing w:line="297" w:lineRule="auto"/>
              <w:jc w:val="both"/>
              <w:rPr>
                <w:rFonts w:hint="eastAsia" w:ascii="宋体" w:hAnsi="宋体" w:eastAsia="宋体" w:cs="宋体"/>
                <w:color w:val="auto"/>
                <w:sz w:val="24"/>
                <w:szCs w:val="24"/>
                <w:highlight w:val="none"/>
              </w:rPr>
            </w:pPr>
          </w:p>
          <w:p w14:paraId="45999015">
            <w:pPr>
              <w:pStyle w:val="25"/>
              <w:spacing w:before="65" w:line="228" w:lineRule="auto"/>
              <w:ind w:left="113" w:leftChars="0"/>
              <w:jc w:val="both"/>
              <w:rPr>
                <w:rFonts w:hint="eastAsia"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rPr>
              <w:t>开标时间和地点</w:t>
            </w:r>
          </w:p>
        </w:tc>
        <w:tc>
          <w:tcPr>
            <w:tcW w:w="5197" w:type="dxa"/>
            <w:vAlign w:val="top"/>
          </w:tcPr>
          <w:p w14:paraId="216F5E61">
            <w:pPr>
              <w:pStyle w:val="25"/>
              <w:spacing w:before="34" w:line="228" w:lineRule="auto"/>
              <w:ind w:left="115"/>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投标文件第一个信封（商务及技术文件）开标时</w:t>
            </w:r>
            <w:r>
              <w:rPr>
                <w:rFonts w:hint="eastAsia" w:ascii="宋体" w:hAnsi="宋体" w:eastAsia="宋体" w:cs="宋体"/>
                <w:color w:val="auto"/>
                <w:spacing w:val="8"/>
                <w:sz w:val="24"/>
                <w:szCs w:val="24"/>
                <w:highlight w:val="none"/>
              </w:rPr>
              <w:t>间：</w:t>
            </w:r>
          </w:p>
          <w:p w14:paraId="7B57E70B">
            <w:pPr>
              <w:pStyle w:val="25"/>
              <w:spacing w:before="160" w:line="378" w:lineRule="auto"/>
              <w:ind w:left="112" w:right="109" w:firstLine="21"/>
              <w:rPr>
                <w:rFonts w:hint="eastAsia" w:ascii="宋体" w:hAnsi="宋体" w:eastAsia="宋体" w:cs="宋体"/>
                <w:color w:val="auto"/>
                <w:sz w:val="24"/>
                <w:szCs w:val="24"/>
                <w:highlight w:val="none"/>
              </w:rPr>
            </w:pPr>
            <w:r>
              <w:rPr>
                <w:rFonts w:hint="eastAsia" w:ascii="宋体" w:hAnsi="宋体" w:eastAsia="宋体" w:cs="宋体"/>
                <w:color w:val="auto"/>
                <w:spacing w:val="15"/>
                <w:sz w:val="24"/>
                <w:szCs w:val="24"/>
                <w:highlight w:val="none"/>
              </w:rPr>
              <w:t>同投标截止时间投标文件第一个信封（商务及技术文</w:t>
            </w:r>
            <w:r>
              <w:rPr>
                <w:rFonts w:hint="eastAsia" w:ascii="宋体" w:hAnsi="宋体" w:eastAsia="宋体" w:cs="宋体"/>
                <w:color w:val="auto"/>
                <w:spacing w:val="7"/>
                <w:sz w:val="24"/>
                <w:szCs w:val="24"/>
                <w:highlight w:val="none"/>
              </w:rPr>
              <w:t>件）开标地点：</w:t>
            </w:r>
          </w:p>
          <w:p w14:paraId="74DB400E">
            <w:pPr>
              <w:pStyle w:val="25"/>
              <w:spacing w:before="1" w:line="377" w:lineRule="auto"/>
              <w:ind w:left="113" w:right="186" w:firstLine="12"/>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当地交易中心或网上开标室，在网上开标室参与开标的投标人通过</w:t>
            </w:r>
            <w:r>
              <w:rPr>
                <w:rFonts w:hint="eastAsia" w:ascii="宋体" w:hAnsi="宋体" w:eastAsia="宋体" w:cs="宋体"/>
                <w:color w:val="auto"/>
                <w:sz w:val="24"/>
                <w:szCs w:val="24"/>
                <w:highlight w:val="none"/>
              </w:rPr>
              <w:t>CA</w:t>
            </w:r>
            <w:r>
              <w:rPr>
                <w:rFonts w:hint="eastAsia" w:ascii="宋体" w:hAnsi="宋体" w:eastAsia="宋体" w:cs="宋体"/>
                <w:color w:val="auto"/>
                <w:spacing w:val="9"/>
                <w:sz w:val="24"/>
                <w:szCs w:val="24"/>
                <w:highlight w:val="none"/>
              </w:rPr>
              <w:t>锁登登录广西壮族自治区网</w:t>
            </w:r>
            <w:r>
              <w:rPr>
                <w:rFonts w:hint="eastAsia" w:ascii="宋体" w:hAnsi="宋体" w:eastAsia="宋体" w:cs="宋体"/>
                <w:color w:val="auto"/>
                <w:spacing w:val="8"/>
                <w:sz w:val="24"/>
                <w:szCs w:val="24"/>
                <w:highlight w:val="none"/>
              </w:rPr>
              <w:t>上开标子系统</w:t>
            </w:r>
            <w:r>
              <w:rPr>
                <w:rFonts w:hint="eastAsia" w:ascii="宋体" w:hAnsi="宋体" w:eastAsia="宋体" w:cs="宋体"/>
                <w:color w:val="auto"/>
                <w:spacing w:val="-3"/>
                <w:sz w:val="24"/>
                <w:szCs w:val="24"/>
                <w:highlight w:val="none"/>
              </w:rPr>
              <w:t>（（</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"http://171.109.4.245:8888/BidOpening/"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http</w:t>
            </w:r>
            <w:r>
              <w:rPr>
                <w:rFonts w:hint="eastAsia" w:ascii="宋体" w:hAnsi="宋体" w:eastAsia="宋体" w:cs="宋体"/>
                <w:color w:val="auto"/>
                <w:spacing w:val="8"/>
                <w:sz w:val="24"/>
                <w:szCs w:val="24"/>
                <w:highlight w:val="none"/>
              </w:rPr>
              <w:t>://171.109.4.245:8888/</w:t>
            </w:r>
            <w:r>
              <w:rPr>
                <w:rFonts w:hint="eastAsia" w:ascii="宋体" w:hAnsi="宋体" w:eastAsia="宋体" w:cs="宋体"/>
                <w:color w:val="auto"/>
                <w:sz w:val="24"/>
                <w:szCs w:val="24"/>
                <w:highlight w:val="none"/>
              </w:rPr>
              <w:t>BidOpening</w:t>
            </w:r>
            <w:r>
              <w:rPr>
                <w:rFonts w:hint="eastAsia" w:ascii="宋体" w:hAnsi="宋体" w:eastAsia="宋体" w:cs="宋体"/>
                <w:color w:val="auto"/>
                <w:spacing w:val="8"/>
                <w:sz w:val="24"/>
                <w:szCs w:val="24"/>
                <w:highlight w:val="none"/>
              </w:rPr>
              <w:t>/</w:t>
            </w:r>
            <w:r>
              <w:rPr>
                <w:rFonts w:hint="eastAsia" w:ascii="宋体" w:hAnsi="宋体" w:eastAsia="宋体" w:cs="宋体"/>
                <w:color w:val="auto"/>
                <w:spacing w:val="8"/>
                <w:sz w:val="24"/>
                <w:szCs w:val="24"/>
                <w:highlight w:val="none"/>
              </w:rPr>
              <w:fldChar w:fldCharType="end"/>
            </w:r>
            <w:r>
              <w:rPr>
                <w:rFonts w:hint="eastAsia" w:ascii="宋体" w:hAnsi="宋体" w:eastAsia="宋体" w:cs="宋体"/>
                <w:color w:val="auto"/>
                <w:spacing w:val="-3"/>
                <w:sz w:val="24"/>
                <w:szCs w:val="24"/>
                <w:highlight w:val="none"/>
              </w:rPr>
              <w:t>））</w:t>
            </w:r>
          </w:p>
          <w:p w14:paraId="0AE54C29">
            <w:pPr>
              <w:pStyle w:val="25"/>
              <w:keepNext w:val="0"/>
              <w:keepLines w:val="0"/>
              <w:pageBreakBefore w:val="0"/>
              <w:widowControl/>
              <w:kinsoku w:val="0"/>
              <w:wordWrap/>
              <w:overflowPunct/>
              <w:topLinePunct w:val="0"/>
              <w:autoSpaceDE w:val="0"/>
              <w:autoSpaceDN w:val="0"/>
              <w:bidi w:val="0"/>
              <w:adjustRightInd w:val="0"/>
              <w:snapToGrid w:val="0"/>
              <w:spacing w:line="360" w:lineRule="auto"/>
              <w:ind w:left="115"/>
              <w:textAlignment w:val="baseline"/>
              <w:rPr>
                <w:rFonts w:hint="eastAsia"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rPr>
              <w:t>投标文件第二个信封（报价文件）开标时间：</w:t>
            </w:r>
          </w:p>
          <w:p w14:paraId="667A954A">
            <w:pPr>
              <w:pStyle w:val="25"/>
              <w:keepNext w:val="0"/>
              <w:keepLines w:val="0"/>
              <w:pageBreakBefore w:val="0"/>
              <w:widowControl/>
              <w:kinsoku w:val="0"/>
              <w:wordWrap/>
              <w:overflowPunct/>
              <w:topLinePunct w:val="0"/>
              <w:autoSpaceDE w:val="0"/>
              <w:autoSpaceDN w:val="0"/>
              <w:bidi w:val="0"/>
              <w:adjustRightInd w:val="0"/>
              <w:snapToGrid w:val="0"/>
              <w:spacing w:before="37" w:line="360" w:lineRule="auto"/>
              <w:ind w:left="11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具体时间另行通知。</w:t>
            </w:r>
          </w:p>
          <w:p w14:paraId="271DA60B">
            <w:pPr>
              <w:pStyle w:val="25"/>
              <w:keepNext w:val="0"/>
              <w:keepLines w:val="0"/>
              <w:pageBreakBefore w:val="0"/>
              <w:widowControl/>
              <w:kinsoku w:val="0"/>
              <w:wordWrap/>
              <w:overflowPunct/>
              <w:topLinePunct w:val="0"/>
              <w:autoSpaceDE w:val="0"/>
              <w:autoSpaceDN w:val="0"/>
              <w:bidi w:val="0"/>
              <w:adjustRightInd w:val="0"/>
              <w:snapToGrid w:val="0"/>
              <w:spacing w:before="160" w:line="360" w:lineRule="auto"/>
              <w:ind w:left="11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投标文件第二个信封（报价文件）开标地点：</w:t>
            </w:r>
          </w:p>
          <w:p w14:paraId="776CB9F7">
            <w:pPr>
              <w:pStyle w:val="25"/>
              <w:keepNext w:val="0"/>
              <w:keepLines w:val="0"/>
              <w:pageBreakBefore w:val="0"/>
              <w:widowControl/>
              <w:kinsoku w:val="0"/>
              <w:wordWrap/>
              <w:overflowPunct/>
              <w:topLinePunct w:val="0"/>
              <w:autoSpaceDE w:val="0"/>
              <w:autoSpaceDN w:val="0"/>
              <w:bidi w:val="0"/>
              <w:adjustRightInd w:val="0"/>
              <w:snapToGrid w:val="0"/>
              <w:spacing w:line="360" w:lineRule="auto"/>
              <w:ind w:left="115"/>
              <w:textAlignment w:val="baseline"/>
              <w:rPr>
                <w:rFonts w:hint="eastAsia" w:ascii="宋体" w:hAnsi="宋体" w:eastAsia="宋体" w:cs="宋体"/>
                <w:color w:val="auto"/>
                <w:spacing w:val="8"/>
                <w:sz w:val="24"/>
                <w:szCs w:val="24"/>
                <w:highlight w:val="none"/>
              </w:rPr>
            </w:pPr>
            <w:r>
              <w:rPr>
                <w:rFonts w:hint="eastAsia" w:ascii="宋体" w:hAnsi="宋体" w:eastAsia="宋体" w:cs="宋体"/>
                <w:color w:val="auto"/>
                <w:spacing w:val="9"/>
                <w:sz w:val="24"/>
                <w:szCs w:val="24"/>
                <w:highlight w:val="none"/>
              </w:rPr>
              <w:t>当地交易中心或网上开标室，在网上开标室参与开标的投标人通过</w:t>
            </w:r>
            <w:r>
              <w:rPr>
                <w:rFonts w:hint="eastAsia" w:ascii="宋体" w:hAnsi="宋体" w:eastAsia="宋体" w:cs="宋体"/>
                <w:color w:val="auto"/>
                <w:sz w:val="24"/>
                <w:szCs w:val="24"/>
                <w:highlight w:val="none"/>
              </w:rPr>
              <w:t>CA</w:t>
            </w:r>
            <w:r>
              <w:rPr>
                <w:rFonts w:hint="eastAsia" w:ascii="宋体" w:hAnsi="宋体" w:eastAsia="宋体" w:cs="宋体"/>
                <w:color w:val="auto"/>
                <w:spacing w:val="9"/>
                <w:sz w:val="24"/>
                <w:szCs w:val="24"/>
                <w:highlight w:val="none"/>
              </w:rPr>
              <w:t>锁登登录广西壮族自治区网</w:t>
            </w:r>
            <w:r>
              <w:rPr>
                <w:rFonts w:hint="eastAsia" w:ascii="宋体" w:hAnsi="宋体" w:eastAsia="宋体" w:cs="宋体"/>
                <w:color w:val="auto"/>
                <w:spacing w:val="8"/>
                <w:sz w:val="24"/>
                <w:szCs w:val="24"/>
                <w:highlight w:val="none"/>
              </w:rPr>
              <w:t>上开标子系统</w:t>
            </w:r>
            <w:r>
              <w:rPr>
                <w:rFonts w:hint="eastAsia" w:ascii="宋体" w:hAnsi="宋体" w:eastAsia="宋体" w:cs="宋体"/>
                <w:color w:val="auto"/>
                <w:spacing w:val="-3"/>
                <w:sz w:val="24"/>
                <w:szCs w:val="24"/>
                <w:highlight w:val="none"/>
              </w:rPr>
              <w:t>（（</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"http://171.109.4.245:8888/BidOpening/"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http</w:t>
            </w:r>
            <w:r>
              <w:rPr>
                <w:rFonts w:hint="eastAsia" w:ascii="宋体" w:hAnsi="宋体" w:eastAsia="宋体" w:cs="宋体"/>
                <w:color w:val="auto"/>
                <w:spacing w:val="8"/>
                <w:sz w:val="24"/>
                <w:szCs w:val="24"/>
                <w:highlight w:val="none"/>
              </w:rPr>
              <w:t>://171.109.4.245:8888/</w:t>
            </w:r>
            <w:r>
              <w:rPr>
                <w:rFonts w:hint="eastAsia" w:ascii="宋体" w:hAnsi="宋体" w:eastAsia="宋体" w:cs="宋体"/>
                <w:color w:val="auto"/>
                <w:sz w:val="24"/>
                <w:szCs w:val="24"/>
                <w:highlight w:val="none"/>
              </w:rPr>
              <w:t>BidOpening</w:t>
            </w:r>
            <w:r>
              <w:rPr>
                <w:rFonts w:hint="eastAsia" w:ascii="宋体" w:hAnsi="宋体" w:eastAsia="宋体" w:cs="宋体"/>
                <w:color w:val="auto"/>
                <w:spacing w:val="8"/>
                <w:sz w:val="24"/>
                <w:szCs w:val="24"/>
                <w:highlight w:val="none"/>
              </w:rPr>
              <w:t>/</w:t>
            </w:r>
            <w:r>
              <w:rPr>
                <w:rFonts w:hint="eastAsia" w:ascii="宋体" w:hAnsi="宋体" w:eastAsia="宋体" w:cs="宋体"/>
                <w:color w:val="auto"/>
                <w:spacing w:val="8"/>
                <w:sz w:val="24"/>
                <w:szCs w:val="24"/>
                <w:highlight w:val="none"/>
              </w:rPr>
              <w:fldChar w:fldCharType="end"/>
            </w:r>
            <w:r>
              <w:rPr>
                <w:rFonts w:hint="eastAsia" w:ascii="宋体" w:hAnsi="宋体" w:eastAsia="宋体" w:cs="宋体"/>
                <w:color w:val="auto"/>
                <w:spacing w:val="-3"/>
                <w:sz w:val="24"/>
                <w:szCs w:val="24"/>
                <w:highlight w:val="none"/>
              </w:rPr>
              <w:t>））</w:t>
            </w:r>
          </w:p>
          <w:p w14:paraId="58BA724C">
            <w:pPr>
              <w:pStyle w:val="25"/>
              <w:spacing w:line="226" w:lineRule="auto"/>
              <w:ind w:left="115" w:leftChars="0"/>
              <w:rPr>
                <w:rFonts w:hint="eastAsia" w:ascii="宋体" w:hAnsi="宋体" w:eastAsia="宋体" w:cs="宋体"/>
                <w:color w:val="auto"/>
                <w:spacing w:val="4"/>
                <w:sz w:val="24"/>
                <w:szCs w:val="24"/>
                <w:highlight w:val="none"/>
              </w:rPr>
            </w:pPr>
          </w:p>
        </w:tc>
      </w:tr>
    </w:tbl>
    <w:p w14:paraId="1623630C">
      <w:pPr>
        <w:pStyle w:val="4"/>
        <w:rPr>
          <w:rFonts w:hint="eastAsia" w:ascii="宋体" w:hAnsi="宋体" w:eastAsia="宋体" w:cs="宋体"/>
          <w:color w:val="auto"/>
          <w:sz w:val="24"/>
          <w:szCs w:val="24"/>
          <w:highlight w:val="none"/>
        </w:rPr>
      </w:pPr>
    </w:p>
    <w:p w14:paraId="04A01BD6">
      <w:pPr>
        <w:rPr>
          <w:rFonts w:hint="eastAsia" w:ascii="宋体" w:hAnsi="宋体" w:eastAsia="宋体" w:cs="宋体"/>
          <w:color w:val="auto"/>
          <w:sz w:val="24"/>
          <w:szCs w:val="24"/>
          <w:highlight w:val="none"/>
        </w:rPr>
        <w:sectPr>
          <w:footerReference r:id="rId16" w:type="default"/>
          <w:pgSz w:w="11907" w:h="16840"/>
          <w:pgMar w:top="1182" w:right="1114" w:bottom="1014" w:left="1620" w:header="849" w:footer="852" w:gutter="0"/>
          <w:pgNumType w:fmt="decimal"/>
          <w:cols w:space="720" w:num="1"/>
        </w:sectPr>
      </w:pPr>
    </w:p>
    <w:p w14:paraId="601AC144">
      <w:pPr>
        <w:spacing w:before="16"/>
        <w:rPr>
          <w:rFonts w:hint="eastAsia" w:ascii="宋体" w:hAnsi="宋体" w:eastAsia="宋体" w:cs="宋体"/>
          <w:color w:val="auto"/>
          <w:sz w:val="24"/>
          <w:szCs w:val="24"/>
          <w:highlight w:val="none"/>
        </w:rPr>
      </w:pPr>
    </w:p>
    <w:tbl>
      <w:tblPr>
        <w:tblStyle w:val="24"/>
        <w:tblW w:w="916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07"/>
        <w:gridCol w:w="2863"/>
        <w:gridCol w:w="5197"/>
      </w:tblGrid>
      <w:tr w14:paraId="55CE23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30" w:hRule="atLeast"/>
        </w:trPr>
        <w:tc>
          <w:tcPr>
            <w:tcW w:w="1107" w:type="dxa"/>
            <w:vAlign w:val="top"/>
          </w:tcPr>
          <w:p w14:paraId="0F4FB3D1">
            <w:pPr>
              <w:spacing w:line="313" w:lineRule="auto"/>
              <w:rPr>
                <w:rFonts w:hint="eastAsia" w:ascii="宋体" w:hAnsi="宋体" w:eastAsia="宋体" w:cs="宋体"/>
                <w:color w:val="auto"/>
                <w:sz w:val="24"/>
                <w:szCs w:val="24"/>
                <w:highlight w:val="none"/>
              </w:rPr>
            </w:pPr>
          </w:p>
          <w:p w14:paraId="76CA4C6F">
            <w:pPr>
              <w:spacing w:line="313" w:lineRule="auto"/>
              <w:rPr>
                <w:rFonts w:hint="eastAsia" w:ascii="宋体" w:hAnsi="宋体" w:eastAsia="宋体" w:cs="宋体"/>
                <w:color w:val="auto"/>
                <w:sz w:val="24"/>
                <w:szCs w:val="24"/>
                <w:highlight w:val="none"/>
              </w:rPr>
            </w:pPr>
          </w:p>
          <w:p w14:paraId="1652C5A1">
            <w:pPr>
              <w:spacing w:before="57" w:line="195" w:lineRule="auto"/>
              <w:ind w:left="350" w:leftChars="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5.2.1</w:t>
            </w:r>
          </w:p>
        </w:tc>
        <w:tc>
          <w:tcPr>
            <w:tcW w:w="2863" w:type="dxa"/>
            <w:vAlign w:val="top"/>
          </w:tcPr>
          <w:p w14:paraId="308F3B96">
            <w:pPr>
              <w:spacing w:line="372" w:lineRule="auto"/>
              <w:rPr>
                <w:rFonts w:hint="eastAsia" w:ascii="宋体" w:hAnsi="宋体" w:eastAsia="宋体" w:cs="宋体"/>
                <w:color w:val="auto"/>
                <w:sz w:val="24"/>
                <w:szCs w:val="24"/>
                <w:highlight w:val="none"/>
              </w:rPr>
            </w:pPr>
          </w:p>
          <w:p w14:paraId="5A8826CC">
            <w:pPr>
              <w:pStyle w:val="25"/>
              <w:spacing w:before="65" w:line="378" w:lineRule="auto"/>
              <w:ind w:left="111" w:leftChars="0" w:right="106" w:rightChars="0"/>
              <w:rPr>
                <w:rFonts w:hint="eastAsia" w:ascii="宋体" w:hAnsi="宋体" w:eastAsia="宋体" w:cs="宋体"/>
                <w:color w:val="auto"/>
                <w:spacing w:val="8"/>
                <w:sz w:val="24"/>
                <w:szCs w:val="24"/>
                <w:highlight w:val="none"/>
              </w:rPr>
            </w:pPr>
            <w:r>
              <w:rPr>
                <w:rFonts w:hint="eastAsia" w:ascii="宋体" w:hAnsi="宋体" w:eastAsia="宋体" w:cs="宋体"/>
                <w:color w:val="auto"/>
                <w:spacing w:val="19"/>
                <w:sz w:val="24"/>
                <w:szCs w:val="24"/>
                <w:highlight w:val="none"/>
              </w:rPr>
              <w:t>第一个信封（商务及技术文</w:t>
            </w:r>
            <w:r>
              <w:rPr>
                <w:rFonts w:hint="eastAsia" w:ascii="宋体" w:hAnsi="宋体" w:eastAsia="宋体" w:cs="宋体"/>
                <w:color w:val="auto"/>
                <w:spacing w:val="8"/>
                <w:sz w:val="24"/>
                <w:szCs w:val="24"/>
                <w:highlight w:val="none"/>
              </w:rPr>
              <w:t>件）开标程序</w:t>
            </w:r>
          </w:p>
        </w:tc>
        <w:tc>
          <w:tcPr>
            <w:tcW w:w="5197" w:type="dxa"/>
            <w:vAlign w:val="top"/>
          </w:tcPr>
          <w:p w14:paraId="616649C6">
            <w:pPr>
              <w:pStyle w:val="25"/>
              <w:spacing w:before="32" w:line="327" w:lineRule="auto"/>
              <w:ind w:left="112" w:right="109" w:firstLine="10"/>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（4）密封情况检查：检查商务及技术文件是否存在提</w:t>
            </w:r>
            <w:r>
              <w:rPr>
                <w:rFonts w:hint="eastAsia" w:ascii="宋体" w:hAnsi="宋体" w:eastAsia="宋体" w:cs="宋体"/>
                <w:color w:val="auto"/>
                <w:spacing w:val="7"/>
                <w:sz w:val="24"/>
                <w:szCs w:val="24"/>
                <w:highlight w:val="none"/>
              </w:rPr>
              <w:t>前开启情况，如采用网上开标(见面/不见面方式)</w:t>
            </w:r>
            <w:r>
              <w:rPr>
                <w:rFonts w:hint="eastAsia" w:ascii="宋体" w:hAnsi="宋体" w:eastAsia="宋体" w:cs="宋体"/>
                <w:color w:val="auto"/>
                <w:spacing w:val="6"/>
                <w:sz w:val="24"/>
                <w:szCs w:val="24"/>
                <w:highlight w:val="none"/>
              </w:rPr>
              <w:t>则无需</w:t>
            </w:r>
            <w:r>
              <w:rPr>
                <w:rFonts w:hint="eastAsia" w:ascii="宋体" w:hAnsi="宋体" w:eastAsia="宋体" w:cs="宋体"/>
                <w:color w:val="auto"/>
                <w:spacing w:val="3"/>
                <w:sz w:val="24"/>
                <w:szCs w:val="24"/>
                <w:highlight w:val="none"/>
              </w:rPr>
              <w:t>检查。</w:t>
            </w:r>
          </w:p>
          <w:p w14:paraId="443669A2">
            <w:pPr>
              <w:pStyle w:val="25"/>
              <w:spacing w:before="161" w:line="227" w:lineRule="auto"/>
              <w:ind w:left="123" w:leftChars="0"/>
              <w:rPr>
                <w:rFonts w:hint="eastAsia" w:ascii="宋体" w:hAnsi="宋体" w:eastAsia="宋体" w:cs="宋体"/>
                <w:color w:val="auto"/>
                <w:spacing w:val="8"/>
                <w:sz w:val="24"/>
                <w:szCs w:val="24"/>
                <w:highlight w:val="none"/>
              </w:rPr>
            </w:pPr>
            <w:r>
              <w:rPr>
                <w:rFonts w:hint="eastAsia" w:ascii="宋体" w:hAnsi="宋体" w:eastAsia="宋体" w:cs="宋体"/>
                <w:color w:val="auto"/>
                <w:spacing w:val="6"/>
                <w:sz w:val="24"/>
                <w:szCs w:val="24"/>
                <w:highlight w:val="none"/>
              </w:rPr>
              <w:t>（5）开标顺序：随机。</w:t>
            </w:r>
          </w:p>
        </w:tc>
      </w:tr>
      <w:tr w14:paraId="78C004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5" w:hRule="atLeast"/>
        </w:trPr>
        <w:tc>
          <w:tcPr>
            <w:tcW w:w="1107" w:type="dxa"/>
            <w:vAlign w:val="top"/>
          </w:tcPr>
          <w:p w14:paraId="1005B820">
            <w:pPr>
              <w:spacing w:line="247" w:lineRule="auto"/>
              <w:rPr>
                <w:rFonts w:hint="eastAsia" w:ascii="宋体" w:hAnsi="宋体" w:eastAsia="宋体" w:cs="宋体"/>
                <w:color w:val="auto"/>
                <w:sz w:val="24"/>
                <w:szCs w:val="24"/>
                <w:highlight w:val="none"/>
              </w:rPr>
            </w:pPr>
          </w:p>
          <w:p w14:paraId="2F16CB68">
            <w:pPr>
              <w:spacing w:line="247" w:lineRule="auto"/>
              <w:rPr>
                <w:rFonts w:hint="eastAsia" w:ascii="宋体" w:hAnsi="宋体" w:eastAsia="宋体" w:cs="宋体"/>
                <w:color w:val="auto"/>
                <w:sz w:val="24"/>
                <w:szCs w:val="24"/>
                <w:highlight w:val="none"/>
              </w:rPr>
            </w:pPr>
          </w:p>
          <w:p w14:paraId="4738C5CA">
            <w:pPr>
              <w:spacing w:line="248" w:lineRule="auto"/>
              <w:rPr>
                <w:rFonts w:hint="eastAsia" w:ascii="宋体" w:hAnsi="宋体" w:eastAsia="宋体" w:cs="宋体"/>
                <w:color w:val="auto"/>
                <w:sz w:val="24"/>
                <w:szCs w:val="24"/>
                <w:highlight w:val="none"/>
              </w:rPr>
            </w:pPr>
          </w:p>
          <w:p w14:paraId="73420697">
            <w:pPr>
              <w:spacing w:line="248" w:lineRule="auto"/>
              <w:rPr>
                <w:rFonts w:hint="eastAsia" w:ascii="宋体" w:hAnsi="宋体" w:eastAsia="宋体" w:cs="宋体"/>
                <w:color w:val="auto"/>
                <w:sz w:val="24"/>
                <w:szCs w:val="24"/>
                <w:highlight w:val="none"/>
              </w:rPr>
            </w:pPr>
          </w:p>
          <w:p w14:paraId="6BA7B98F">
            <w:pPr>
              <w:spacing w:line="248" w:lineRule="auto"/>
              <w:rPr>
                <w:rFonts w:hint="eastAsia" w:ascii="宋体" w:hAnsi="宋体" w:eastAsia="宋体" w:cs="宋体"/>
                <w:color w:val="auto"/>
                <w:sz w:val="24"/>
                <w:szCs w:val="24"/>
                <w:highlight w:val="none"/>
              </w:rPr>
            </w:pPr>
          </w:p>
          <w:p w14:paraId="501AD74B">
            <w:pPr>
              <w:spacing w:line="248" w:lineRule="auto"/>
              <w:rPr>
                <w:rFonts w:hint="eastAsia" w:ascii="宋体" w:hAnsi="宋体" w:eastAsia="宋体" w:cs="宋体"/>
                <w:color w:val="auto"/>
                <w:sz w:val="24"/>
                <w:szCs w:val="24"/>
                <w:highlight w:val="none"/>
              </w:rPr>
            </w:pPr>
          </w:p>
          <w:p w14:paraId="74D90C41">
            <w:pPr>
              <w:spacing w:line="248" w:lineRule="auto"/>
              <w:rPr>
                <w:rFonts w:hint="eastAsia" w:ascii="宋体" w:hAnsi="宋体" w:eastAsia="宋体" w:cs="宋体"/>
                <w:color w:val="auto"/>
                <w:sz w:val="24"/>
                <w:szCs w:val="24"/>
                <w:highlight w:val="none"/>
              </w:rPr>
            </w:pPr>
          </w:p>
          <w:p w14:paraId="4CCA97BA">
            <w:pPr>
              <w:spacing w:line="248" w:lineRule="auto"/>
              <w:rPr>
                <w:rFonts w:hint="eastAsia" w:ascii="宋体" w:hAnsi="宋体" w:eastAsia="宋体" w:cs="宋体"/>
                <w:color w:val="auto"/>
                <w:sz w:val="24"/>
                <w:szCs w:val="24"/>
                <w:highlight w:val="none"/>
              </w:rPr>
            </w:pPr>
          </w:p>
          <w:p w14:paraId="4FDE7065">
            <w:pPr>
              <w:spacing w:line="248" w:lineRule="auto"/>
              <w:rPr>
                <w:rFonts w:hint="eastAsia" w:ascii="宋体" w:hAnsi="宋体" w:eastAsia="宋体" w:cs="宋体"/>
                <w:color w:val="auto"/>
                <w:sz w:val="24"/>
                <w:szCs w:val="24"/>
                <w:highlight w:val="none"/>
              </w:rPr>
            </w:pPr>
          </w:p>
          <w:p w14:paraId="0DFEE9E8">
            <w:pPr>
              <w:spacing w:line="248" w:lineRule="auto"/>
              <w:rPr>
                <w:rFonts w:hint="eastAsia" w:ascii="宋体" w:hAnsi="宋体" w:eastAsia="宋体" w:cs="宋体"/>
                <w:color w:val="auto"/>
                <w:sz w:val="24"/>
                <w:szCs w:val="24"/>
                <w:highlight w:val="none"/>
              </w:rPr>
            </w:pPr>
          </w:p>
          <w:p w14:paraId="56F52F3F">
            <w:pPr>
              <w:spacing w:line="248" w:lineRule="auto"/>
              <w:rPr>
                <w:rFonts w:hint="eastAsia" w:ascii="宋体" w:hAnsi="宋体" w:eastAsia="宋体" w:cs="宋体"/>
                <w:color w:val="auto"/>
                <w:sz w:val="24"/>
                <w:szCs w:val="24"/>
                <w:highlight w:val="none"/>
              </w:rPr>
            </w:pPr>
          </w:p>
          <w:p w14:paraId="1F6B29C4">
            <w:pPr>
              <w:spacing w:line="248" w:lineRule="auto"/>
              <w:rPr>
                <w:rFonts w:hint="eastAsia" w:ascii="宋体" w:hAnsi="宋体" w:eastAsia="宋体" w:cs="宋体"/>
                <w:color w:val="auto"/>
                <w:sz w:val="24"/>
                <w:szCs w:val="24"/>
                <w:highlight w:val="none"/>
              </w:rPr>
            </w:pPr>
          </w:p>
          <w:p w14:paraId="4F2FA588">
            <w:pPr>
              <w:spacing w:line="248" w:lineRule="auto"/>
              <w:rPr>
                <w:rFonts w:hint="eastAsia" w:ascii="宋体" w:hAnsi="宋体" w:eastAsia="宋体" w:cs="宋体"/>
                <w:color w:val="auto"/>
                <w:sz w:val="24"/>
                <w:szCs w:val="24"/>
                <w:highlight w:val="none"/>
              </w:rPr>
            </w:pPr>
          </w:p>
          <w:p w14:paraId="144FF1F7">
            <w:pPr>
              <w:spacing w:line="248" w:lineRule="auto"/>
              <w:rPr>
                <w:rFonts w:hint="eastAsia" w:ascii="宋体" w:hAnsi="宋体" w:eastAsia="宋体" w:cs="宋体"/>
                <w:color w:val="auto"/>
                <w:sz w:val="24"/>
                <w:szCs w:val="24"/>
                <w:highlight w:val="none"/>
              </w:rPr>
            </w:pPr>
          </w:p>
          <w:p w14:paraId="2EAE4024">
            <w:pPr>
              <w:spacing w:before="57" w:line="195" w:lineRule="auto"/>
              <w:ind w:left="350" w:leftChars="0"/>
              <w:rPr>
                <w:rFonts w:hint="eastAsia" w:ascii="宋体" w:hAnsi="宋体" w:eastAsia="宋体" w:cs="宋体"/>
                <w:color w:val="auto"/>
                <w:spacing w:val="1"/>
                <w:sz w:val="24"/>
                <w:szCs w:val="24"/>
                <w:highlight w:val="none"/>
              </w:rPr>
            </w:pPr>
            <w:r>
              <w:rPr>
                <w:rFonts w:hint="eastAsia" w:ascii="宋体" w:hAnsi="宋体" w:eastAsia="宋体" w:cs="宋体"/>
                <w:color w:val="auto"/>
                <w:spacing w:val="2"/>
                <w:sz w:val="24"/>
                <w:szCs w:val="24"/>
                <w:highlight w:val="none"/>
              </w:rPr>
              <w:t>5.2.3</w:t>
            </w:r>
          </w:p>
        </w:tc>
        <w:tc>
          <w:tcPr>
            <w:tcW w:w="2863" w:type="dxa"/>
            <w:vAlign w:val="top"/>
          </w:tcPr>
          <w:p w14:paraId="59909210">
            <w:pPr>
              <w:spacing w:line="247" w:lineRule="auto"/>
              <w:rPr>
                <w:rFonts w:hint="eastAsia" w:ascii="宋体" w:hAnsi="宋体" w:eastAsia="宋体" w:cs="宋体"/>
                <w:color w:val="auto"/>
                <w:sz w:val="24"/>
                <w:szCs w:val="24"/>
                <w:highlight w:val="none"/>
              </w:rPr>
            </w:pPr>
          </w:p>
          <w:p w14:paraId="28EF7510">
            <w:pPr>
              <w:spacing w:line="247" w:lineRule="auto"/>
              <w:rPr>
                <w:rFonts w:hint="eastAsia" w:ascii="宋体" w:hAnsi="宋体" w:eastAsia="宋体" w:cs="宋体"/>
                <w:color w:val="auto"/>
                <w:sz w:val="24"/>
                <w:szCs w:val="24"/>
                <w:highlight w:val="none"/>
              </w:rPr>
            </w:pPr>
          </w:p>
          <w:p w14:paraId="15DE61A0">
            <w:pPr>
              <w:spacing w:line="247" w:lineRule="auto"/>
              <w:rPr>
                <w:rFonts w:hint="eastAsia" w:ascii="宋体" w:hAnsi="宋体" w:eastAsia="宋体" w:cs="宋体"/>
                <w:color w:val="auto"/>
                <w:sz w:val="24"/>
                <w:szCs w:val="24"/>
                <w:highlight w:val="none"/>
              </w:rPr>
            </w:pPr>
          </w:p>
          <w:p w14:paraId="245D3637">
            <w:pPr>
              <w:spacing w:line="247" w:lineRule="auto"/>
              <w:rPr>
                <w:rFonts w:hint="eastAsia" w:ascii="宋体" w:hAnsi="宋体" w:eastAsia="宋体" w:cs="宋体"/>
                <w:color w:val="auto"/>
                <w:sz w:val="24"/>
                <w:szCs w:val="24"/>
                <w:highlight w:val="none"/>
              </w:rPr>
            </w:pPr>
          </w:p>
          <w:p w14:paraId="50F767F3">
            <w:pPr>
              <w:spacing w:line="247" w:lineRule="auto"/>
              <w:rPr>
                <w:rFonts w:hint="eastAsia" w:ascii="宋体" w:hAnsi="宋体" w:eastAsia="宋体" w:cs="宋体"/>
                <w:color w:val="auto"/>
                <w:sz w:val="24"/>
                <w:szCs w:val="24"/>
                <w:highlight w:val="none"/>
              </w:rPr>
            </w:pPr>
          </w:p>
          <w:p w14:paraId="589E3E75">
            <w:pPr>
              <w:spacing w:line="247" w:lineRule="auto"/>
              <w:rPr>
                <w:rFonts w:hint="eastAsia" w:ascii="宋体" w:hAnsi="宋体" w:eastAsia="宋体" w:cs="宋体"/>
                <w:color w:val="auto"/>
                <w:sz w:val="24"/>
                <w:szCs w:val="24"/>
                <w:highlight w:val="none"/>
              </w:rPr>
            </w:pPr>
          </w:p>
          <w:p w14:paraId="5C1245DC">
            <w:pPr>
              <w:spacing w:line="247" w:lineRule="auto"/>
              <w:rPr>
                <w:rFonts w:hint="eastAsia" w:ascii="宋体" w:hAnsi="宋体" w:eastAsia="宋体" w:cs="宋体"/>
                <w:color w:val="auto"/>
                <w:sz w:val="24"/>
                <w:szCs w:val="24"/>
                <w:highlight w:val="none"/>
              </w:rPr>
            </w:pPr>
          </w:p>
          <w:p w14:paraId="2B20BBE4">
            <w:pPr>
              <w:spacing w:line="247" w:lineRule="auto"/>
              <w:rPr>
                <w:rFonts w:hint="eastAsia" w:ascii="宋体" w:hAnsi="宋体" w:eastAsia="宋体" w:cs="宋体"/>
                <w:color w:val="auto"/>
                <w:sz w:val="24"/>
                <w:szCs w:val="24"/>
                <w:highlight w:val="none"/>
              </w:rPr>
            </w:pPr>
          </w:p>
          <w:p w14:paraId="67BD833B">
            <w:pPr>
              <w:spacing w:line="247" w:lineRule="auto"/>
              <w:rPr>
                <w:rFonts w:hint="eastAsia" w:ascii="宋体" w:hAnsi="宋体" w:eastAsia="宋体" w:cs="宋体"/>
                <w:color w:val="auto"/>
                <w:sz w:val="24"/>
                <w:szCs w:val="24"/>
                <w:highlight w:val="none"/>
              </w:rPr>
            </w:pPr>
          </w:p>
          <w:p w14:paraId="45C9C64A">
            <w:pPr>
              <w:spacing w:line="248" w:lineRule="auto"/>
              <w:rPr>
                <w:rFonts w:hint="eastAsia" w:ascii="宋体" w:hAnsi="宋体" w:eastAsia="宋体" w:cs="宋体"/>
                <w:color w:val="auto"/>
                <w:sz w:val="24"/>
                <w:szCs w:val="24"/>
                <w:highlight w:val="none"/>
              </w:rPr>
            </w:pPr>
          </w:p>
          <w:p w14:paraId="7A20A734">
            <w:pPr>
              <w:spacing w:line="248" w:lineRule="auto"/>
              <w:rPr>
                <w:rFonts w:hint="eastAsia" w:ascii="宋体" w:hAnsi="宋体" w:eastAsia="宋体" w:cs="宋体"/>
                <w:color w:val="auto"/>
                <w:sz w:val="24"/>
                <w:szCs w:val="24"/>
                <w:highlight w:val="none"/>
              </w:rPr>
            </w:pPr>
          </w:p>
          <w:p w14:paraId="435D2259">
            <w:pPr>
              <w:spacing w:line="248" w:lineRule="auto"/>
              <w:rPr>
                <w:rFonts w:hint="eastAsia" w:ascii="宋体" w:hAnsi="宋体" w:eastAsia="宋体" w:cs="宋体"/>
                <w:color w:val="auto"/>
                <w:sz w:val="24"/>
                <w:szCs w:val="24"/>
                <w:highlight w:val="none"/>
              </w:rPr>
            </w:pPr>
          </w:p>
          <w:p w14:paraId="7B81FEC3">
            <w:pPr>
              <w:spacing w:line="248" w:lineRule="auto"/>
              <w:rPr>
                <w:rFonts w:hint="eastAsia" w:ascii="宋体" w:hAnsi="宋体" w:eastAsia="宋体" w:cs="宋体"/>
                <w:color w:val="auto"/>
                <w:sz w:val="24"/>
                <w:szCs w:val="24"/>
                <w:highlight w:val="none"/>
              </w:rPr>
            </w:pPr>
          </w:p>
          <w:p w14:paraId="21639402">
            <w:pPr>
              <w:pStyle w:val="25"/>
              <w:spacing w:before="65" w:line="378" w:lineRule="auto"/>
              <w:ind w:left="111" w:leftChars="0" w:right="108" w:rightChars="0" w:firstLine="732" w:firstLineChars="300"/>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第二个信封</w:t>
            </w:r>
          </w:p>
          <w:p w14:paraId="4A9A6658">
            <w:pPr>
              <w:pStyle w:val="25"/>
              <w:spacing w:before="65" w:line="378" w:lineRule="auto"/>
              <w:ind w:left="111" w:leftChars="0" w:right="108" w:rightChars="0"/>
              <w:rPr>
                <w:rFonts w:hint="eastAsia" w:ascii="宋体" w:hAnsi="宋体" w:eastAsia="宋体" w:cs="宋体"/>
                <w:color w:val="auto"/>
                <w:spacing w:val="19"/>
                <w:sz w:val="24"/>
                <w:szCs w:val="24"/>
                <w:highlight w:val="none"/>
              </w:rPr>
            </w:pPr>
            <w:r>
              <w:rPr>
                <w:rFonts w:hint="eastAsia" w:ascii="宋体" w:hAnsi="宋体" w:eastAsia="宋体" w:cs="宋体"/>
                <w:color w:val="auto"/>
                <w:spacing w:val="2"/>
                <w:sz w:val="24"/>
                <w:szCs w:val="24"/>
                <w:highlight w:val="none"/>
              </w:rPr>
              <w:t>（报价文件）开标</w:t>
            </w:r>
            <w:r>
              <w:rPr>
                <w:rFonts w:hint="eastAsia" w:ascii="宋体" w:hAnsi="宋体" w:eastAsia="宋体" w:cs="宋体"/>
                <w:color w:val="auto"/>
                <w:spacing w:val="5"/>
                <w:sz w:val="24"/>
                <w:szCs w:val="24"/>
                <w:highlight w:val="none"/>
              </w:rPr>
              <w:t>程序</w:t>
            </w:r>
          </w:p>
        </w:tc>
        <w:tc>
          <w:tcPr>
            <w:tcW w:w="5197" w:type="dxa"/>
            <w:vAlign w:val="top"/>
          </w:tcPr>
          <w:p w14:paraId="11A3664F">
            <w:pPr>
              <w:pStyle w:val="25"/>
              <w:spacing w:before="32" w:line="377" w:lineRule="auto"/>
              <w:ind w:left="112" w:right="186"/>
              <w:jc w:val="both"/>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招标人将通过电话或短信方式通知投标人第二信封的开标时间。投标人应按时到达现场或通过</w:t>
            </w:r>
            <w:r>
              <w:rPr>
                <w:rFonts w:hint="eastAsia" w:ascii="宋体" w:hAnsi="宋体" w:eastAsia="宋体" w:cs="宋体"/>
                <w:color w:val="auto"/>
                <w:sz w:val="24"/>
                <w:szCs w:val="24"/>
                <w:highlight w:val="none"/>
              </w:rPr>
              <w:t>CA</w:t>
            </w:r>
            <w:r>
              <w:rPr>
                <w:rFonts w:hint="eastAsia" w:ascii="宋体" w:hAnsi="宋体" w:eastAsia="宋体" w:cs="宋体"/>
                <w:color w:val="auto"/>
                <w:spacing w:val="9"/>
                <w:sz w:val="24"/>
                <w:szCs w:val="24"/>
                <w:highlight w:val="none"/>
              </w:rPr>
              <w:t>锁</w:t>
            </w:r>
            <w:r>
              <w:rPr>
                <w:rFonts w:hint="eastAsia" w:ascii="宋体" w:hAnsi="宋体" w:eastAsia="宋体" w:cs="宋体"/>
                <w:color w:val="auto"/>
                <w:spacing w:val="8"/>
                <w:sz w:val="24"/>
                <w:szCs w:val="24"/>
                <w:highlight w:val="none"/>
              </w:rPr>
              <w:t>登录</w:t>
            </w:r>
            <w:r>
              <w:rPr>
                <w:rFonts w:hint="eastAsia" w:ascii="宋体" w:hAnsi="宋体" w:eastAsia="宋体" w:cs="宋体"/>
                <w:color w:val="auto"/>
                <w:spacing w:val="-4"/>
                <w:sz w:val="24"/>
                <w:szCs w:val="24"/>
                <w:highlight w:val="none"/>
              </w:rPr>
              <w:t>广西壮族自治区网上开标子系统</w:t>
            </w:r>
            <w:r>
              <w:rPr>
                <w:rFonts w:hint="eastAsia" w:ascii="宋体" w:hAnsi="宋体" w:eastAsia="宋体" w:cs="宋体"/>
                <w:color w:val="auto"/>
                <w:spacing w:val="-7"/>
                <w:sz w:val="24"/>
                <w:szCs w:val="24"/>
                <w:highlight w:val="none"/>
              </w:rPr>
              <w:t>（（</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"http://171.109.4.245:8888/BidOpening/"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http</w:t>
            </w:r>
            <w:r>
              <w:rPr>
                <w:rFonts w:hint="eastAsia" w:ascii="宋体" w:hAnsi="宋体" w:eastAsia="宋体" w:cs="宋体"/>
                <w:color w:val="auto"/>
                <w:spacing w:val="8"/>
                <w:sz w:val="24"/>
                <w:szCs w:val="24"/>
                <w:highlight w:val="none"/>
              </w:rPr>
              <w:t>://171.109.4.245:8888/</w:t>
            </w:r>
            <w:r>
              <w:rPr>
                <w:rFonts w:hint="eastAsia" w:ascii="宋体" w:hAnsi="宋体" w:eastAsia="宋体" w:cs="宋体"/>
                <w:color w:val="auto"/>
                <w:sz w:val="24"/>
                <w:szCs w:val="24"/>
                <w:highlight w:val="none"/>
              </w:rPr>
              <w:t>BidOpening</w:t>
            </w:r>
            <w:r>
              <w:rPr>
                <w:rFonts w:hint="eastAsia" w:ascii="宋体" w:hAnsi="宋体" w:eastAsia="宋体" w:cs="宋体"/>
                <w:color w:val="auto"/>
                <w:spacing w:val="8"/>
                <w:sz w:val="24"/>
                <w:szCs w:val="24"/>
                <w:highlight w:val="none"/>
              </w:rPr>
              <w:t>/</w:t>
            </w:r>
            <w:r>
              <w:rPr>
                <w:rFonts w:hint="eastAsia" w:ascii="宋体" w:hAnsi="宋体" w:eastAsia="宋体" w:cs="宋体"/>
                <w:color w:val="auto"/>
                <w:spacing w:val="8"/>
                <w:sz w:val="24"/>
                <w:szCs w:val="24"/>
                <w:highlight w:val="none"/>
              </w:rPr>
              <w:fldChar w:fldCharType="end"/>
            </w:r>
            <w:r>
              <w:rPr>
                <w:rFonts w:hint="eastAsia" w:ascii="宋体" w:hAnsi="宋体" w:eastAsia="宋体" w:cs="宋体"/>
                <w:color w:val="auto"/>
                <w:spacing w:val="-7"/>
                <w:sz w:val="24"/>
                <w:szCs w:val="24"/>
                <w:highlight w:val="none"/>
              </w:rPr>
              <w:t>））</w:t>
            </w:r>
            <w:r>
              <w:rPr>
                <w:rFonts w:hint="eastAsia" w:ascii="宋体" w:hAnsi="宋体" w:eastAsia="宋体" w:cs="宋体"/>
                <w:color w:val="auto"/>
                <w:spacing w:val="8"/>
                <w:sz w:val="24"/>
                <w:szCs w:val="24"/>
                <w:highlight w:val="none"/>
              </w:rPr>
              <w:t>参加</w:t>
            </w:r>
            <w:r>
              <w:rPr>
                <w:rFonts w:hint="eastAsia" w:ascii="宋体" w:hAnsi="宋体" w:eastAsia="宋体" w:cs="宋体"/>
                <w:color w:val="auto"/>
                <w:spacing w:val="7"/>
                <w:sz w:val="24"/>
                <w:szCs w:val="24"/>
                <w:highlight w:val="none"/>
              </w:rPr>
              <w:t>第二信封开标和解密。采用现场开标的，若投标人未按时出席开标活动，招标人有权在相关监督部门的监督下，在开标现场开启投标人未加密的第二信封电子投标文件，并上传电子开标评标系统进行第二信封开标和评标（因未加密的电子投标文件导致的问题，由投标人自行承</w:t>
            </w:r>
            <w:r>
              <w:rPr>
                <w:rFonts w:hint="eastAsia" w:ascii="宋体" w:hAnsi="宋体" w:eastAsia="宋体" w:cs="宋体"/>
                <w:color w:val="auto"/>
                <w:spacing w:val="8"/>
                <w:sz w:val="24"/>
                <w:szCs w:val="24"/>
                <w:highlight w:val="none"/>
              </w:rPr>
              <w:t>担</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8"/>
                <w:sz w:val="24"/>
                <w:szCs w:val="24"/>
                <w:highlight w:val="none"/>
              </w:rPr>
              <w:t>且视为该投标人默认第二信封开标结果。采用网</w:t>
            </w:r>
            <w:r>
              <w:rPr>
                <w:rFonts w:hint="eastAsia" w:ascii="宋体" w:hAnsi="宋体" w:eastAsia="宋体" w:cs="宋体"/>
                <w:color w:val="auto"/>
                <w:spacing w:val="9"/>
                <w:sz w:val="24"/>
                <w:szCs w:val="24"/>
                <w:highlight w:val="none"/>
              </w:rPr>
              <w:t>上开标（不见面方式）的，投标人未通过</w:t>
            </w:r>
            <w:r>
              <w:rPr>
                <w:rFonts w:hint="eastAsia" w:ascii="宋体" w:hAnsi="宋体" w:eastAsia="宋体" w:cs="宋体"/>
                <w:color w:val="auto"/>
                <w:sz w:val="24"/>
                <w:szCs w:val="24"/>
                <w:highlight w:val="none"/>
              </w:rPr>
              <w:t>CA</w:t>
            </w:r>
            <w:r>
              <w:rPr>
                <w:rFonts w:hint="eastAsia" w:ascii="宋体" w:hAnsi="宋体" w:eastAsia="宋体" w:cs="宋体"/>
                <w:color w:val="auto"/>
                <w:spacing w:val="9"/>
                <w:sz w:val="24"/>
                <w:szCs w:val="24"/>
                <w:highlight w:val="none"/>
              </w:rPr>
              <w:t>锁</w:t>
            </w:r>
            <w:r>
              <w:rPr>
                <w:rFonts w:hint="eastAsia" w:ascii="宋体" w:hAnsi="宋体" w:eastAsia="宋体" w:cs="宋体"/>
                <w:color w:val="auto"/>
                <w:spacing w:val="8"/>
                <w:sz w:val="24"/>
                <w:szCs w:val="24"/>
                <w:highlight w:val="none"/>
              </w:rPr>
              <w:t>登录</w:t>
            </w:r>
            <w:r>
              <w:rPr>
                <w:rFonts w:hint="eastAsia" w:ascii="宋体" w:hAnsi="宋体" w:eastAsia="宋体" w:cs="宋体"/>
                <w:color w:val="auto"/>
                <w:spacing w:val="9"/>
                <w:sz w:val="24"/>
                <w:szCs w:val="24"/>
                <w:highlight w:val="none"/>
              </w:rPr>
              <w:t>广西壮族自治区网上开标子系统</w:t>
            </w:r>
            <w:r>
              <w:rPr>
                <w:rFonts w:hint="eastAsia" w:ascii="宋体" w:hAnsi="宋体" w:eastAsia="宋体" w:cs="宋体"/>
                <w:color w:val="auto"/>
                <w:spacing w:val="-8"/>
                <w:sz w:val="24"/>
                <w:szCs w:val="24"/>
                <w:highlight w:val="none"/>
              </w:rPr>
              <w:t>（（</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"http://171.109.4.245:8888/BidOpening/"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http</w:t>
            </w:r>
            <w:r>
              <w:rPr>
                <w:rFonts w:hint="eastAsia" w:ascii="宋体" w:hAnsi="宋体" w:eastAsia="宋体" w:cs="宋体"/>
                <w:color w:val="auto"/>
                <w:spacing w:val="8"/>
                <w:sz w:val="24"/>
                <w:szCs w:val="24"/>
                <w:highlight w:val="none"/>
              </w:rPr>
              <w:t>://171.109.4.245:8888/</w:t>
            </w:r>
            <w:r>
              <w:rPr>
                <w:rFonts w:hint="eastAsia" w:ascii="宋体" w:hAnsi="宋体" w:eastAsia="宋体" w:cs="宋体"/>
                <w:color w:val="auto"/>
                <w:sz w:val="24"/>
                <w:szCs w:val="24"/>
                <w:highlight w:val="none"/>
              </w:rPr>
              <w:t>BidOpening</w:t>
            </w:r>
            <w:r>
              <w:rPr>
                <w:rFonts w:hint="eastAsia" w:ascii="宋体" w:hAnsi="宋体" w:eastAsia="宋体" w:cs="宋体"/>
                <w:color w:val="auto"/>
                <w:spacing w:val="8"/>
                <w:sz w:val="24"/>
                <w:szCs w:val="24"/>
                <w:highlight w:val="none"/>
              </w:rPr>
              <w:t>/</w:t>
            </w:r>
            <w:r>
              <w:rPr>
                <w:rFonts w:hint="eastAsia" w:ascii="宋体" w:hAnsi="宋体" w:eastAsia="宋体" w:cs="宋体"/>
                <w:color w:val="auto"/>
                <w:spacing w:val="8"/>
                <w:sz w:val="24"/>
                <w:szCs w:val="24"/>
                <w:highlight w:val="none"/>
              </w:rPr>
              <w:fldChar w:fldCharType="end"/>
            </w:r>
            <w:r>
              <w:rPr>
                <w:rFonts w:hint="eastAsia" w:ascii="宋体" w:hAnsi="宋体" w:eastAsia="宋体" w:cs="宋体"/>
                <w:color w:val="auto"/>
                <w:spacing w:val="-8"/>
                <w:sz w:val="24"/>
                <w:szCs w:val="24"/>
                <w:highlight w:val="none"/>
              </w:rPr>
              <w:t>））</w:t>
            </w:r>
            <w:r>
              <w:rPr>
                <w:rFonts w:hint="eastAsia" w:ascii="宋体" w:hAnsi="宋体" w:eastAsia="宋体" w:cs="宋体"/>
                <w:color w:val="auto"/>
                <w:spacing w:val="8"/>
                <w:sz w:val="24"/>
                <w:szCs w:val="24"/>
                <w:highlight w:val="none"/>
              </w:rPr>
              <w:t>视为放弃</w:t>
            </w:r>
            <w:r>
              <w:rPr>
                <w:rFonts w:hint="eastAsia" w:ascii="宋体" w:hAnsi="宋体" w:eastAsia="宋体" w:cs="宋体"/>
                <w:color w:val="auto"/>
                <w:spacing w:val="2"/>
                <w:sz w:val="24"/>
                <w:szCs w:val="24"/>
                <w:highlight w:val="none"/>
              </w:rPr>
              <w:t>投标。</w:t>
            </w:r>
          </w:p>
          <w:p w14:paraId="5E65560A">
            <w:pPr>
              <w:pStyle w:val="25"/>
              <w:spacing w:before="21" w:line="228" w:lineRule="auto"/>
              <w:ind w:left="123"/>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（4）密封情况检查：</w:t>
            </w:r>
          </w:p>
          <w:p w14:paraId="3B73F60A">
            <w:pPr>
              <w:pStyle w:val="25"/>
              <w:spacing w:before="160" w:line="377" w:lineRule="auto"/>
              <w:ind w:left="116" w:right="109" w:hanging="4"/>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检查报价文件是否存在提前开启情况，如采用不见面方式开标则无需检查。</w:t>
            </w:r>
          </w:p>
          <w:p w14:paraId="36CD5B69">
            <w:pPr>
              <w:pStyle w:val="25"/>
              <w:spacing w:line="226" w:lineRule="auto"/>
              <w:ind w:left="123" w:leftChars="0"/>
              <w:rPr>
                <w:rFonts w:hint="eastAsia" w:ascii="宋体" w:hAnsi="宋体" w:eastAsia="宋体" w:cs="宋体"/>
                <w:color w:val="auto"/>
                <w:spacing w:val="6"/>
                <w:sz w:val="24"/>
                <w:szCs w:val="24"/>
                <w:highlight w:val="none"/>
              </w:rPr>
            </w:pPr>
            <w:r>
              <w:rPr>
                <w:rFonts w:hint="eastAsia" w:ascii="宋体" w:hAnsi="宋体" w:eastAsia="宋体" w:cs="宋体"/>
                <w:color w:val="auto"/>
                <w:spacing w:val="7"/>
                <w:sz w:val="24"/>
                <w:szCs w:val="24"/>
                <w:highlight w:val="none"/>
              </w:rPr>
              <w:t>（5）开标顺序：随机</w:t>
            </w:r>
          </w:p>
        </w:tc>
      </w:tr>
      <w:tr w14:paraId="07B902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5" w:hRule="atLeast"/>
        </w:trPr>
        <w:tc>
          <w:tcPr>
            <w:tcW w:w="1107" w:type="dxa"/>
            <w:vAlign w:val="top"/>
          </w:tcPr>
          <w:p w14:paraId="1BBEDE0F">
            <w:pPr>
              <w:spacing w:line="427" w:lineRule="auto"/>
              <w:rPr>
                <w:rFonts w:hint="eastAsia" w:ascii="宋体" w:hAnsi="宋体" w:eastAsia="宋体" w:cs="宋体"/>
                <w:color w:val="auto"/>
                <w:sz w:val="24"/>
                <w:szCs w:val="24"/>
                <w:highlight w:val="none"/>
              </w:rPr>
            </w:pPr>
          </w:p>
          <w:p w14:paraId="09D03C82">
            <w:pPr>
              <w:spacing w:before="57" w:line="195" w:lineRule="auto"/>
              <w:ind w:left="349" w:leftChars="0"/>
              <w:rPr>
                <w:rFonts w:hint="eastAsia" w:ascii="宋体" w:hAnsi="宋体" w:eastAsia="宋体" w:cs="宋体"/>
                <w:color w:val="auto"/>
                <w:spacing w:val="2"/>
                <w:sz w:val="24"/>
                <w:szCs w:val="24"/>
                <w:highlight w:val="none"/>
              </w:rPr>
            </w:pPr>
            <w:r>
              <w:rPr>
                <w:rFonts w:hint="eastAsia" w:ascii="宋体" w:hAnsi="宋体" w:eastAsia="宋体" w:cs="宋体"/>
                <w:color w:val="auto"/>
                <w:spacing w:val="-4"/>
                <w:sz w:val="24"/>
                <w:szCs w:val="24"/>
                <w:highlight w:val="none"/>
              </w:rPr>
              <w:t>6.1.1</w:t>
            </w:r>
          </w:p>
        </w:tc>
        <w:tc>
          <w:tcPr>
            <w:tcW w:w="2863" w:type="dxa"/>
            <w:vAlign w:val="top"/>
          </w:tcPr>
          <w:p w14:paraId="0068CD55">
            <w:pPr>
              <w:spacing w:line="377" w:lineRule="auto"/>
              <w:rPr>
                <w:rFonts w:hint="eastAsia" w:ascii="宋体" w:hAnsi="宋体" w:eastAsia="宋体" w:cs="宋体"/>
                <w:color w:val="auto"/>
                <w:sz w:val="24"/>
                <w:szCs w:val="24"/>
                <w:highlight w:val="none"/>
              </w:rPr>
            </w:pPr>
          </w:p>
          <w:p w14:paraId="4F7D6E66">
            <w:pPr>
              <w:pStyle w:val="25"/>
              <w:spacing w:before="65" w:line="225" w:lineRule="auto"/>
              <w:ind w:left="111" w:leftChars="0"/>
              <w:rPr>
                <w:rFonts w:hint="eastAsia" w:ascii="宋体" w:hAnsi="宋体" w:eastAsia="宋体" w:cs="宋体"/>
                <w:color w:val="auto"/>
                <w:spacing w:val="2"/>
                <w:sz w:val="24"/>
                <w:szCs w:val="24"/>
                <w:highlight w:val="none"/>
              </w:rPr>
            </w:pPr>
            <w:r>
              <w:rPr>
                <w:rFonts w:hint="eastAsia" w:ascii="宋体" w:hAnsi="宋体" w:eastAsia="宋体" w:cs="宋体"/>
                <w:color w:val="auto"/>
                <w:spacing w:val="9"/>
                <w:sz w:val="24"/>
                <w:szCs w:val="24"/>
                <w:highlight w:val="none"/>
              </w:rPr>
              <w:t>评标委员会的组建①</w:t>
            </w:r>
          </w:p>
        </w:tc>
        <w:tc>
          <w:tcPr>
            <w:tcW w:w="5197" w:type="dxa"/>
            <w:vAlign w:val="top"/>
          </w:tcPr>
          <w:p w14:paraId="6759577C">
            <w:pPr>
              <w:pStyle w:val="25"/>
              <w:keepNext w:val="0"/>
              <w:keepLines w:val="0"/>
              <w:pageBreakBefore w:val="0"/>
              <w:widowControl/>
              <w:kinsoku w:val="0"/>
              <w:wordWrap/>
              <w:overflowPunct/>
              <w:topLinePunct w:val="0"/>
              <w:autoSpaceDE w:val="0"/>
              <w:autoSpaceDN w:val="0"/>
              <w:bidi w:val="0"/>
              <w:adjustRightInd w:val="0"/>
              <w:snapToGrid w:val="0"/>
              <w:spacing w:before="35" w:line="377" w:lineRule="auto"/>
              <w:ind w:right="0" w:firstLine="228" w:firstLineChars="1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评标委员会构成：</w:t>
            </w:r>
            <w:r>
              <w:rPr>
                <w:rFonts w:hint="eastAsia" w:ascii="宋体" w:hAnsi="宋体" w:eastAsia="宋体" w:cs="宋体"/>
                <w:color w:val="auto"/>
                <w:spacing w:val="-6"/>
                <w:sz w:val="24"/>
                <w:szCs w:val="24"/>
                <w:highlight w:val="none"/>
                <w:u w:val="single" w:color="auto"/>
              </w:rPr>
              <w:t>5</w:t>
            </w:r>
            <w:r>
              <w:rPr>
                <w:rFonts w:hint="eastAsia" w:ascii="宋体" w:hAnsi="宋体" w:eastAsia="宋体" w:cs="宋体"/>
                <w:color w:val="auto"/>
                <w:spacing w:val="-6"/>
                <w:sz w:val="24"/>
                <w:szCs w:val="24"/>
                <w:highlight w:val="none"/>
                <w:u w:val="single" w:color="auto"/>
                <w:lang w:val="en-US" w:eastAsia="zh-CN"/>
              </w:rPr>
              <w:t xml:space="preserve"> </w:t>
            </w:r>
            <w:r>
              <w:rPr>
                <w:rFonts w:hint="eastAsia" w:ascii="宋体" w:hAnsi="宋体" w:eastAsia="宋体" w:cs="宋体"/>
                <w:color w:val="auto"/>
                <w:spacing w:val="-6"/>
                <w:sz w:val="24"/>
                <w:szCs w:val="24"/>
                <w:highlight w:val="none"/>
              </w:rPr>
              <w:t>人，其中招标人代</w:t>
            </w:r>
            <w:r>
              <w:rPr>
                <w:rFonts w:hint="eastAsia" w:ascii="宋体" w:hAnsi="宋体" w:eastAsia="宋体" w:cs="宋体"/>
                <w:color w:val="auto"/>
                <w:spacing w:val="-6"/>
                <w:sz w:val="24"/>
                <w:szCs w:val="24"/>
                <w:highlight w:val="none"/>
                <w:u w:val="single" w:color="auto"/>
                <w:lang w:val="en-US" w:eastAsia="zh-CN"/>
              </w:rPr>
              <w:t xml:space="preserve"> </w:t>
            </w:r>
            <w:r>
              <w:rPr>
                <w:rFonts w:hint="eastAsia" w:ascii="宋体" w:hAnsi="宋体" w:eastAsia="宋体" w:cs="宋体"/>
                <w:color w:val="auto"/>
                <w:spacing w:val="-6"/>
                <w:sz w:val="24"/>
                <w:szCs w:val="24"/>
                <w:highlight w:val="none"/>
                <w:u w:val="single" w:color="auto"/>
              </w:rPr>
              <w:t>1</w:t>
            </w:r>
            <w:r>
              <w:rPr>
                <w:rFonts w:hint="eastAsia" w:ascii="宋体" w:hAnsi="宋体" w:eastAsia="宋体" w:cs="宋体"/>
                <w:color w:val="auto"/>
                <w:spacing w:val="-6"/>
                <w:sz w:val="24"/>
                <w:szCs w:val="24"/>
                <w:highlight w:val="none"/>
                <w:u w:val="single" w:color="auto"/>
                <w:lang w:val="en-US" w:eastAsia="zh-CN"/>
              </w:rPr>
              <w:t xml:space="preserve"> </w:t>
            </w:r>
            <w:r>
              <w:rPr>
                <w:rFonts w:hint="eastAsia" w:ascii="宋体" w:hAnsi="宋体" w:eastAsia="宋体" w:cs="宋体"/>
                <w:color w:val="auto"/>
                <w:spacing w:val="-6"/>
                <w:sz w:val="24"/>
                <w:szCs w:val="24"/>
                <w:highlight w:val="none"/>
              </w:rPr>
              <w:t>人，</w:t>
            </w:r>
            <w:r>
              <w:rPr>
                <w:rFonts w:hint="eastAsia" w:ascii="宋体" w:hAnsi="宋体" w:eastAsia="宋体" w:cs="宋体"/>
                <w:color w:val="auto"/>
                <w:spacing w:val="6"/>
                <w:sz w:val="24"/>
                <w:szCs w:val="24"/>
                <w:highlight w:val="none"/>
              </w:rPr>
              <w:t>专</w:t>
            </w:r>
            <w:r>
              <w:rPr>
                <w:rFonts w:hint="eastAsia" w:ascii="宋体" w:hAnsi="宋体" w:eastAsia="宋体" w:cs="宋体"/>
                <w:color w:val="auto"/>
                <w:spacing w:val="-1"/>
                <w:sz w:val="24"/>
                <w:szCs w:val="24"/>
                <w:highlight w:val="none"/>
              </w:rPr>
              <w:t>家</w:t>
            </w:r>
            <w:r>
              <w:rPr>
                <w:rFonts w:hint="eastAsia" w:ascii="宋体" w:hAnsi="宋体" w:eastAsia="宋体" w:cs="宋体"/>
                <w:color w:val="auto"/>
                <w:spacing w:val="-1"/>
                <w:sz w:val="24"/>
                <w:szCs w:val="24"/>
                <w:highlight w:val="none"/>
                <w:u w:val="single" w:color="auto"/>
                <w:lang w:val="en-US" w:eastAsia="zh-CN"/>
              </w:rPr>
              <w:t xml:space="preserve"> </w:t>
            </w:r>
            <w:r>
              <w:rPr>
                <w:rFonts w:hint="eastAsia" w:ascii="宋体" w:hAnsi="宋体" w:eastAsia="宋体" w:cs="宋体"/>
                <w:color w:val="auto"/>
                <w:spacing w:val="-1"/>
                <w:sz w:val="24"/>
                <w:szCs w:val="24"/>
                <w:highlight w:val="none"/>
                <w:u w:val="single" w:color="auto"/>
              </w:rPr>
              <w:t>4</w:t>
            </w:r>
            <w:r>
              <w:rPr>
                <w:rFonts w:hint="eastAsia" w:ascii="宋体" w:hAnsi="宋体" w:eastAsia="宋体" w:cs="宋体"/>
                <w:color w:val="auto"/>
                <w:spacing w:val="-1"/>
                <w:sz w:val="24"/>
                <w:szCs w:val="24"/>
                <w:highlight w:val="none"/>
                <w:u w:val="single" w:color="auto"/>
                <w:lang w:val="en-US" w:eastAsia="zh-CN"/>
              </w:rPr>
              <w:t xml:space="preserve">  </w:t>
            </w:r>
            <w:r>
              <w:rPr>
                <w:rFonts w:hint="eastAsia" w:ascii="宋体" w:hAnsi="宋体" w:eastAsia="宋体" w:cs="宋体"/>
                <w:color w:val="auto"/>
                <w:spacing w:val="-1"/>
                <w:sz w:val="24"/>
                <w:szCs w:val="24"/>
                <w:highlight w:val="none"/>
              </w:rPr>
              <w:t>人；</w:t>
            </w:r>
          </w:p>
          <w:p w14:paraId="13DE082C">
            <w:pPr>
              <w:pStyle w:val="25"/>
              <w:keepNext w:val="0"/>
              <w:keepLines w:val="0"/>
              <w:pageBreakBefore w:val="0"/>
              <w:widowControl/>
              <w:kinsoku w:val="0"/>
              <w:wordWrap/>
              <w:overflowPunct/>
              <w:topLinePunct w:val="0"/>
              <w:autoSpaceDE w:val="0"/>
              <w:autoSpaceDN w:val="0"/>
              <w:bidi w:val="0"/>
              <w:adjustRightInd w:val="0"/>
              <w:snapToGrid w:val="0"/>
              <w:spacing w:line="226" w:lineRule="auto"/>
              <w:ind w:left="112" w:leftChars="0" w:right="0"/>
              <w:textAlignment w:val="baseline"/>
              <w:rPr>
                <w:rFonts w:hint="eastAsia" w:ascii="宋体" w:hAnsi="宋体" w:eastAsia="宋体" w:cs="宋体"/>
                <w:color w:val="auto"/>
                <w:spacing w:val="7"/>
                <w:sz w:val="24"/>
                <w:szCs w:val="24"/>
                <w:highlight w:val="none"/>
              </w:rPr>
            </w:pPr>
            <w:r>
              <w:rPr>
                <w:rFonts w:hint="eastAsia" w:ascii="宋体" w:hAnsi="宋体" w:eastAsia="宋体" w:cs="宋体"/>
                <w:color w:val="auto"/>
                <w:spacing w:val="7"/>
                <w:sz w:val="24"/>
                <w:szCs w:val="24"/>
                <w:highlight w:val="none"/>
              </w:rPr>
              <w:t>评标专家确定方式：依法从相应评标专家库中随机抽取</w:t>
            </w:r>
          </w:p>
        </w:tc>
      </w:tr>
      <w:tr w14:paraId="14A99E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1107" w:type="dxa"/>
            <w:vAlign w:val="top"/>
          </w:tcPr>
          <w:p w14:paraId="1E697E3E">
            <w:pPr>
              <w:spacing w:before="285" w:line="195" w:lineRule="auto"/>
              <w:ind w:left="349" w:leftChars="0"/>
              <w:rPr>
                <w:rFonts w:hint="eastAsia" w:ascii="宋体" w:hAnsi="宋体" w:eastAsia="宋体" w:cs="宋体"/>
                <w:color w:val="auto"/>
                <w:spacing w:val="-4"/>
                <w:sz w:val="24"/>
                <w:szCs w:val="24"/>
                <w:highlight w:val="none"/>
              </w:rPr>
            </w:pPr>
            <w:r>
              <w:rPr>
                <w:rFonts w:hint="eastAsia" w:ascii="宋体" w:hAnsi="宋体" w:eastAsia="宋体" w:cs="宋体"/>
                <w:color w:val="auto"/>
                <w:spacing w:val="2"/>
                <w:sz w:val="24"/>
                <w:szCs w:val="24"/>
                <w:highlight w:val="none"/>
              </w:rPr>
              <w:t>6.3.2</w:t>
            </w:r>
          </w:p>
        </w:tc>
        <w:tc>
          <w:tcPr>
            <w:tcW w:w="2863" w:type="dxa"/>
            <w:vAlign w:val="top"/>
          </w:tcPr>
          <w:p w14:paraId="35849A87">
            <w:pPr>
              <w:pStyle w:val="25"/>
              <w:spacing w:before="39" w:line="357" w:lineRule="auto"/>
              <w:ind w:left="128" w:leftChars="0" w:right="106" w:rightChars="0" w:hanging="17" w:firstLineChars="0"/>
              <w:rPr>
                <w:rFonts w:hint="eastAsia" w:ascii="宋体" w:hAnsi="宋体" w:eastAsia="宋体" w:cs="宋体"/>
                <w:color w:val="auto"/>
                <w:spacing w:val="9"/>
                <w:sz w:val="24"/>
                <w:szCs w:val="24"/>
                <w:highlight w:val="none"/>
              </w:rPr>
            </w:pPr>
            <w:r>
              <w:rPr>
                <w:rFonts w:hint="eastAsia" w:ascii="宋体" w:hAnsi="宋体" w:eastAsia="宋体" w:cs="宋体"/>
                <w:color w:val="auto"/>
                <w:spacing w:val="20"/>
                <w:sz w:val="24"/>
                <w:szCs w:val="24"/>
                <w:highlight w:val="none"/>
              </w:rPr>
              <w:t>评标委员会推荐中标候选人</w:t>
            </w:r>
            <w:r>
              <w:rPr>
                <w:rFonts w:hint="eastAsia" w:ascii="宋体" w:hAnsi="宋体" w:eastAsia="宋体" w:cs="宋体"/>
                <w:color w:val="auto"/>
                <w:spacing w:val="1"/>
                <w:sz w:val="24"/>
                <w:szCs w:val="24"/>
                <w:highlight w:val="none"/>
              </w:rPr>
              <w:t>的人数</w:t>
            </w:r>
          </w:p>
        </w:tc>
        <w:tc>
          <w:tcPr>
            <w:tcW w:w="5197" w:type="dxa"/>
            <w:vAlign w:val="top"/>
          </w:tcPr>
          <w:p w14:paraId="6318D4E8">
            <w:pPr>
              <w:pStyle w:val="25"/>
              <w:spacing w:before="242" w:line="227" w:lineRule="auto"/>
              <w:ind w:left="112" w:leftChars="0"/>
              <w:rPr>
                <w:rFonts w:hint="eastAsia" w:ascii="宋体" w:hAnsi="宋体" w:eastAsia="宋体" w:cs="宋体"/>
                <w:color w:val="auto"/>
                <w:spacing w:val="7"/>
                <w:sz w:val="24"/>
                <w:szCs w:val="24"/>
                <w:highlight w:val="none"/>
              </w:rPr>
            </w:pPr>
            <w:r>
              <w:rPr>
                <w:rFonts w:hint="eastAsia" w:ascii="宋体" w:hAnsi="宋体" w:eastAsia="宋体" w:cs="宋体"/>
                <w:color w:val="auto"/>
                <w:spacing w:val="5"/>
                <w:sz w:val="24"/>
                <w:szCs w:val="24"/>
                <w:highlight w:val="none"/>
              </w:rPr>
              <w:t>推荐</w:t>
            </w:r>
            <w:r>
              <w:rPr>
                <w:rFonts w:hint="eastAsia" w:ascii="宋体" w:hAnsi="宋体" w:eastAsia="宋体" w:cs="宋体"/>
                <w:color w:val="auto"/>
                <w:spacing w:val="5"/>
                <w:sz w:val="24"/>
                <w:szCs w:val="24"/>
                <w:highlight w:val="none"/>
                <w:u w:val="single" w:color="auto"/>
              </w:rPr>
              <w:t>3</w:t>
            </w:r>
            <w:r>
              <w:rPr>
                <w:rFonts w:hint="eastAsia" w:ascii="宋体" w:hAnsi="宋体" w:eastAsia="宋体" w:cs="宋体"/>
                <w:color w:val="auto"/>
                <w:spacing w:val="5"/>
                <w:sz w:val="24"/>
                <w:szCs w:val="24"/>
                <w:highlight w:val="none"/>
              </w:rPr>
              <w:t>名中标候选人。</w:t>
            </w:r>
          </w:p>
        </w:tc>
      </w:tr>
      <w:tr w14:paraId="123F43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0" w:hRule="atLeast"/>
        </w:trPr>
        <w:tc>
          <w:tcPr>
            <w:tcW w:w="1107" w:type="dxa"/>
            <w:vAlign w:val="top"/>
          </w:tcPr>
          <w:p w14:paraId="7C5D08E7">
            <w:pPr>
              <w:spacing w:before="148" w:line="195" w:lineRule="auto"/>
              <w:ind w:left="427" w:leftChars="0"/>
              <w:rPr>
                <w:rFonts w:hint="eastAsia" w:ascii="宋体" w:hAnsi="宋体" w:eastAsia="宋体" w:cs="宋体"/>
                <w:color w:val="auto"/>
                <w:spacing w:val="-4"/>
                <w:sz w:val="24"/>
                <w:szCs w:val="24"/>
                <w:highlight w:val="none"/>
              </w:rPr>
            </w:pPr>
            <w:r>
              <w:rPr>
                <w:rFonts w:hint="eastAsia" w:ascii="宋体" w:hAnsi="宋体" w:eastAsia="宋体" w:cs="宋体"/>
                <w:color w:val="auto"/>
                <w:sz w:val="24"/>
                <w:szCs w:val="24"/>
                <w:highlight w:val="none"/>
              </w:rPr>
              <w:t>7.1</w:t>
            </w:r>
          </w:p>
        </w:tc>
        <w:tc>
          <w:tcPr>
            <w:tcW w:w="2863" w:type="dxa"/>
            <w:vAlign w:val="top"/>
          </w:tcPr>
          <w:p w14:paraId="193C27F4">
            <w:pPr>
              <w:pStyle w:val="25"/>
              <w:spacing w:before="103" w:line="227" w:lineRule="auto"/>
              <w:ind w:left="132" w:leftChars="0"/>
              <w:rPr>
                <w:rFonts w:hint="eastAsia" w:ascii="宋体" w:hAnsi="宋体" w:eastAsia="宋体" w:cs="宋体"/>
                <w:color w:val="auto"/>
                <w:spacing w:val="9"/>
                <w:sz w:val="24"/>
                <w:szCs w:val="24"/>
                <w:highlight w:val="none"/>
              </w:rPr>
            </w:pPr>
            <w:r>
              <w:rPr>
                <w:rFonts w:hint="eastAsia" w:ascii="宋体" w:hAnsi="宋体" w:eastAsia="宋体" w:cs="宋体"/>
                <w:color w:val="auto"/>
                <w:spacing w:val="7"/>
                <w:sz w:val="24"/>
                <w:szCs w:val="24"/>
                <w:highlight w:val="none"/>
              </w:rPr>
              <w:t>中标候选人公示媒介及期限</w:t>
            </w:r>
          </w:p>
        </w:tc>
        <w:tc>
          <w:tcPr>
            <w:tcW w:w="5197" w:type="dxa"/>
            <w:vAlign w:val="top"/>
          </w:tcPr>
          <w:p w14:paraId="6E861628">
            <w:pPr>
              <w:pStyle w:val="25"/>
              <w:spacing w:before="103" w:line="226" w:lineRule="auto"/>
              <w:ind w:left="119" w:leftChars="0"/>
              <w:rPr>
                <w:rFonts w:hint="eastAsia" w:ascii="宋体" w:hAnsi="宋体" w:eastAsia="宋体" w:cs="宋体"/>
                <w:color w:val="auto"/>
                <w:spacing w:val="9"/>
                <w:sz w:val="24"/>
                <w:szCs w:val="24"/>
                <w:highlight w:val="none"/>
              </w:rPr>
            </w:pPr>
            <w:r>
              <w:rPr>
                <w:rFonts w:hint="eastAsia" w:ascii="宋体" w:hAnsi="宋体" w:eastAsia="宋体" w:cs="宋体"/>
                <w:color w:val="auto"/>
                <w:spacing w:val="9"/>
                <w:sz w:val="24"/>
                <w:szCs w:val="24"/>
                <w:highlight w:val="none"/>
              </w:rPr>
              <w:t>公示媒介：与发布招标公告的同一媒介</w:t>
            </w:r>
          </w:p>
          <w:p w14:paraId="23999505">
            <w:pPr>
              <w:pStyle w:val="25"/>
              <w:spacing w:before="37" w:line="228" w:lineRule="auto"/>
              <w:ind w:left="119"/>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公示期限：3日</w:t>
            </w:r>
          </w:p>
          <w:p w14:paraId="5CA30F24">
            <w:pPr>
              <w:pStyle w:val="25"/>
              <w:spacing w:before="103" w:line="226" w:lineRule="auto"/>
              <w:ind w:left="119" w:leftChars="0"/>
              <w:rPr>
                <w:rFonts w:hint="eastAsia" w:ascii="宋体" w:hAnsi="宋体" w:eastAsia="宋体" w:cs="宋体"/>
                <w:color w:val="auto"/>
                <w:spacing w:val="9"/>
                <w:sz w:val="24"/>
                <w:szCs w:val="24"/>
                <w:highlight w:val="none"/>
              </w:rPr>
            </w:pPr>
            <w:r>
              <w:rPr>
                <w:rFonts w:hint="eastAsia" w:ascii="宋体" w:hAnsi="宋体" w:eastAsia="宋体" w:cs="宋体"/>
                <w:color w:val="auto"/>
                <w:spacing w:val="7"/>
                <w:sz w:val="24"/>
                <w:szCs w:val="24"/>
                <w:highlight w:val="none"/>
              </w:rPr>
              <w:t>公示的其他内容：/</w:t>
            </w:r>
          </w:p>
        </w:tc>
      </w:tr>
      <w:tr w14:paraId="4E8297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0" w:hRule="atLeast"/>
        </w:trPr>
        <w:tc>
          <w:tcPr>
            <w:tcW w:w="1107" w:type="dxa"/>
            <w:vAlign w:val="top"/>
          </w:tcPr>
          <w:p w14:paraId="0E01794B">
            <w:pPr>
              <w:spacing w:line="401" w:lineRule="auto"/>
              <w:rPr>
                <w:rFonts w:hint="eastAsia" w:ascii="宋体" w:hAnsi="宋体" w:eastAsia="宋体" w:cs="宋体"/>
                <w:color w:val="auto"/>
                <w:sz w:val="24"/>
                <w:szCs w:val="24"/>
                <w:highlight w:val="none"/>
              </w:rPr>
            </w:pPr>
          </w:p>
          <w:p w14:paraId="74B51804">
            <w:pPr>
              <w:spacing w:before="57" w:line="195" w:lineRule="auto"/>
              <w:ind w:left="427" w:leftChars="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7.4</w:t>
            </w:r>
          </w:p>
        </w:tc>
        <w:tc>
          <w:tcPr>
            <w:tcW w:w="2863" w:type="dxa"/>
            <w:vAlign w:val="top"/>
          </w:tcPr>
          <w:p w14:paraId="123776B6">
            <w:pPr>
              <w:pStyle w:val="25"/>
              <w:spacing w:before="32" w:line="378" w:lineRule="auto"/>
              <w:ind w:left="113" w:leftChars="0" w:right="106" w:rightChars="0" w:firstLine="2" w:firstLineChars="0"/>
              <w:rPr>
                <w:rFonts w:hint="eastAsia" w:ascii="宋体" w:hAnsi="宋体" w:eastAsia="宋体" w:cs="宋体"/>
                <w:color w:val="auto"/>
                <w:spacing w:val="7"/>
                <w:sz w:val="24"/>
                <w:szCs w:val="24"/>
                <w:highlight w:val="none"/>
              </w:rPr>
            </w:pPr>
            <w:r>
              <w:rPr>
                <w:rFonts w:hint="eastAsia" w:ascii="宋体" w:hAnsi="宋体" w:eastAsia="宋体" w:cs="宋体"/>
                <w:color w:val="auto"/>
                <w:spacing w:val="19"/>
                <w:sz w:val="24"/>
                <w:szCs w:val="24"/>
                <w:highlight w:val="none"/>
              </w:rPr>
              <w:t>是否授权评标委员会确定中</w:t>
            </w:r>
            <w:r>
              <w:rPr>
                <w:rFonts w:hint="eastAsia" w:ascii="宋体" w:hAnsi="宋体" w:eastAsia="宋体" w:cs="宋体"/>
                <w:color w:val="auto"/>
                <w:spacing w:val="4"/>
                <w:sz w:val="24"/>
                <w:szCs w:val="24"/>
                <w:highlight w:val="none"/>
              </w:rPr>
              <w:t>标人</w:t>
            </w:r>
          </w:p>
        </w:tc>
        <w:tc>
          <w:tcPr>
            <w:tcW w:w="5197" w:type="dxa"/>
            <w:vAlign w:val="top"/>
          </w:tcPr>
          <w:p w14:paraId="699D2DAF">
            <w:pPr>
              <w:pStyle w:val="25"/>
              <w:spacing w:before="212" w:line="231" w:lineRule="auto"/>
              <w:ind w:left="134"/>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□是</w:t>
            </w:r>
          </w:p>
          <w:p w14:paraId="52C7FFC4">
            <w:pPr>
              <w:pStyle w:val="25"/>
              <w:spacing w:before="157" w:line="228" w:lineRule="auto"/>
              <w:ind w:left="121" w:leftChars="0"/>
              <w:rPr>
                <w:rFonts w:hint="eastAsia" w:ascii="宋体" w:hAnsi="宋体" w:eastAsia="宋体" w:cs="宋体"/>
                <w:color w:val="auto"/>
                <w:spacing w:val="7"/>
                <w:sz w:val="24"/>
                <w:szCs w:val="24"/>
                <w:highlight w:val="none"/>
              </w:rPr>
            </w:pPr>
            <w:r>
              <w:rPr>
                <w:rFonts w:hint="eastAsia" w:ascii="宋体" w:hAnsi="宋体" w:eastAsia="宋体" w:cs="宋体"/>
                <w:color w:val="auto"/>
                <w:spacing w:val="1"/>
                <w:sz w:val="24"/>
                <w:szCs w:val="24"/>
                <w:highlight w:val="none"/>
              </w:rPr>
              <w:t>☑否</w:t>
            </w:r>
          </w:p>
        </w:tc>
      </w:tr>
      <w:tr w14:paraId="0F993C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0" w:hRule="atLeast"/>
        </w:trPr>
        <w:tc>
          <w:tcPr>
            <w:tcW w:w="1107" w:type="dxa"/>
            <w:vAlign w:val="top"/>
          </w:tcPr>
          <w:p w14:paraId="25BCEF1B">
            <w:pPr>
              <w:spacing w:before="283" w:line="192" w:lineRule="auto"/>
              <w:ind w:left="427" w:leftChars="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7.5</w:t>
            </w:r>
          </w:p>
        </w:tc>
        <w:tc>
          <w:tcPr>
            <w:tcW w:w="2863" w:type="dxa"/>
            <w:vAlign w:val="top"/>
          </w:tcPr>
          <w:p w14:paraId="739E6B4B">
            <w:pPr>
              <w:pStyle w:val="25"/>
              <w:spacing w:before="34" w:line="359" w:lineRule="auto"/>
              <w:ind w:left="116" w:leftChars="0" w:right="106" w:rightChars="0" w:firstLine="16" w:firstLineChars="0"/>
              <w:rPr>
                <w:rFonts w:hint="eastAsia" w:ascii="宋体" w:hAnsi="宋体" w:eastAsia="宋体" w:cs="宋体"/>
                <w:color w:val="auto"/>
                <w:spacing w:val="19"/>
                <w:sz w:val="24"/>
                <w:szCs w:val="24"/>
                <w:highlight w:val="none"/>
              </w:rPr>
            </w:pPr>
            <w:r>
              <w:rPr>
                <w:rFonts w:hint="eastAsia" w:ascii="宋体" w:hAnsi="宋体" w:eastAsia="宋体" w:cs="宋体"/>
                <w:color w:val="auto"/>
                <w:spacing w:val="18"/>
                <w:sz w:val="24"/>
                <w:szCs w:val="24"/>
                <w:highlight w:val="none"/>
              </w:rPr>
              <w:t>中标通知书和中标结果通知</w:t>
            </w:r>
            <w:r>
              <w:rPr>
                <w:rFonts w:hint="eastAsia" w:ascii="宋体" w:hAnsi="宋体" w:eastAsia="宋体" w:cs="宋体"/>
                <w:color w:val="auto"/>
                <w:spacing w:val="7"/>
                <w:sz w:val="24"/>
                <w:szCs w:val="24"/>
                <w:highlight w:val="none"/>
              </w:rPr>
              <w:t>发出的形式</w:t>
            </w:r>
          </w:p>
        </w:tc>
        <w:tc>
          <w:tcPr>
            <w:tcW w:w="5197" w:type="dxa"/>
            <w:vAlign w:val="top"/>
          </w:tcPr>
          <w:p w14:paraId="38DC18FE">
            <w:pPr>
              <w:pStyle w:val="25"/>
              <w:spacing w:before="236" w:line="228" w:lineRule="auto"/>
              <w:ind w:left="112" w:leftChars="0"/>
              <w:rPr>
                <w:rFonts w:hint="eastAsia" w:ascii="宋体" w:hAnsi="宋体" w:eastAsia="宋体" w:cs="宋体"/>
                <w:color w:val="auto"/>
                <w:spacing w:val="1"/>
                <w:sz w:val="24"/>
                <w:szCs w:val="24"/>
                <w:highlight w:val="none"/>
              </w:rPr>
            </w:pPr>
            <w:r>
              <w:rPr>
                <w:rFonts w:hint="eastAsia" w:ascii="宋体" w:hAnsi="宋体" w:eastAsia="宋体" w:cs="宋体"/>
                <w:color w:val="auto"/>
                <w:spacing w:val="6"/>
                <w:sz w:val="24"/>
                <w:szCs w:val="24"/>
                <w:highlight w:val="none"/>
              </w:rPr>
              <w:t>通过“电子交易平台”以数据电文形式向中标人发出</w:t>
            </w:r>
          </w:p>
        </w:tc>
      </w:tr>
      <w:tr w14:paraId="4BB970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0" w:hRule="atLeast"/>
        </w:trPr>
        <w:tc>
          <w:tcPr>
            <w:tcW w:w="1107" w:type="dxa"/>
            <w:vAlign w:val="top"/>
          </w:tcPr>
          <w:p w14:paraId="5F5A716D">
            <w:pPr>
              <w:spacing w:line="425" w:lineRule="auto"/>
              <w:rPr>
                <w:rFonts w:hint="eastAsia" w:ascii="宋体" w:hAnsi="宋体" w:eastAsia="宋体" w:cs="宋体"/>
                <w:color w:val="auto"/>
                <w:sz w:val="24"/>
                <w:szCs w:val="24"/>
                <w:highlight w:val="none"/>
              </w:rPr>
            </w:pPr>
          </w:p>
          <w:p w14:paraId="187429BA">
            <w:pPr>
              <w:spacing w:before="57" w:line="195" w:lineRule="auto"/>
              <w:ind w:left="427" w:leftChars="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7.6</w:t>
            </w:r>
          </w:p>
        </w:tc>
        <w:tc>
          <w:tcPr>
            <w:tcW w:w="2863" w:type="dxa"/>
            <w:vAlign w:val="top"/>
          </w:tcPr>
          <w:p w14:paraId="0D567A99">
            <w:pPr>
              <w:spacing w:line="372" w:lineRule="auto"/>
              <w:rPr>
                <w:rFonts w:hint="eastAsia" w:ascii="宋体" w:hAnsi="宋体" w:eastAsia="宋体" w:cs="宋体"/>
                <w:color w:val="auto"/>
                <w:sz w:val="24"/>
                <w:szCs w:val="24"/>
                <w:highlight w:val="none"/>
              </w:rPr>
            </w:pPr>
          </w:p>
          <w:p w14:paraId="220AD1CC">
            <w:pPr>
              <w:pStyle w:val="25"/>
              <w:spacing w:before="65" w:line="226" w:lineRule="auto"/>
              <w:ind w:left="132" w:leftChars="0"/>
              <w:rPr>
                <w:rFonts w:hint="eastAsia" w:ascii="宋体" w:hAnsi="宋体" w:eastAsia="宋体" w:cs="宋体"/>
                <w:color w:val="auto"/>
                <w:spacing w:val="19"/>
                <w:sz w:val="24"/>
                <w:szCs w:val="24"/>
                <w:highlight w:val="none"/>
              </w:rPr>
            </w:pPr>
            <w:r>
              <w:rPr>
                <w:rFonts w:hint="eastAsia" w:ascii="宋体" w:hAnsi="宋体" w:eastAsia="宋体" w:cs="宋体"/>
                <w:color w:val="auto"/>
                <w:spacing w:val="7"/>
                <w:sz w:val="24"/>
                <w:szCs w:val="24"/>
                <w:highlight w:val="none"/>
              </w:rPr>
              <w:t>中标结果公告媒介及期限</w:t>
            </w:r>
          </w:p>
        </w:tc>
        <w:tc>
          <w:tcPr>
            <w:tcW w:w="5197" w:type="dxa"/>
            <w:vAlign w:val="top"/>
          </w:tcPr>
          <w:p w14:paraId="2E18D1D1">
            <w:pPr>
              <w:pStyle w:val="25"/>
              <w:spacing w:before="32" w:line="226" w:lineRule="auto"/>
              <w:ind w:left="119"/>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公告媒介：</w:t>
            </w:r>
          </w:p>
          <w:p w14:paraId="756EB4E8">
            <w:pPr>
              <w:pStyle w:val="25"/>
              <w:spacing w:before="163" w:line="360" w:lineRule="auto"/>
              <w:ind w:left="119" w:leftChars="0" w:right="1938" w:rightChars="0" w:hanging="7" w:firstLineChars="0"/>
              <w:rPr>
                <w:rFonts w:hint="eastAsia" w:ascii="宋体" w:hAnsi="宋体" w:eastAsia="宋体" w:cs="宋体"/>
                <w:color w:val="auto"/>
                <w:spacing w:val="1"/>
                <w:sz w:val="24"/>
                <w:szCs w:val="24"/>
                <w:highlight w:val="none"/>
              </w:rPr>
            </w:pPr>
            <w:r>
              <w:rPr>
                <w:rFonts w:hint="eastAsia" w:ascii="宋体" w:hAnsi="宋体" w:eastAsia="宋体" w:cs="宋体"/>
                <w:color w:val="auto"/>
                <w:spacing w:val="9"/>
                <w:sz w:val="24"/>
                <w:szCs w:val="24"/>
                <w:highlight w:val="none"/>
              </w:rPr>
              <w:t>在招标公告发布的同一媒介上公示</w:t>
            </w:r>
            <w:r>
              <w:rPr>
                <w:rFonts w:hint="eastAsia" w:ascii="宋体" w:hAnsi="宋体" w:eastAsia="宋体" w:cs="宋体"/>
                <w:color w:val="auto"/>
                <w:spacing w:val="5"/>
                <w:sz w:val="24"/>
                <w:szCs w:val="24"/>
                <w:highlight w:val="none"/>
              </w:rPr>
              <w:t>公告期限：</w:t>
            </w:r>
            <w:r>
              <w:rPr>
                <w:rFonts w:hint="eastAsia" w:ascii="宋体" w:hAnsi="宋体" w:eastAsia="宋体" w:cs="宋体"/>
                <w:color w:val="auto"/>
                <w:spacing w:val="5"/>
                <w:sz w:val="24"/>
                <w:szCs w:val="24"/>
                <w:highlight w:val="none"/>
                <w:u w:val="single"/>
              </w:rPr>
              <w:t>3</w:t>
            </w:r>
            <w:r>
              <w:rPr>
                <w:rFonts w:hint="eastAsia" w:ascii="宋体" w:hAnsi="宋体" w:eastAsia="宋体" w:cs="宋体"/>
                <w:color w:val="auto"/>
                <w:spacing w:val="5"/>
                <w:sz w:val="24"/>
                <w:szCs w:val="24"/>
                <w:highlight w:val="none"/>
              </w:rPr>
              <w:t>日</w:t>
            </w:r>
          </w:p>
        </w:tc>
      </w:tr>
      <w:tr w14:paraId="634428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0" w:hRule="atLeast"/>
        </w:trPr>
        <w:tc>
          <w:tcPr>
            <w:tcW w:w="1107" w:type="dxa"/>
            <w:vAlign w:val="top"/>
          </w:tcPr>
          <w:p w14:paraId="7EA624ED">
            <w:pPr>
              <w:spacing w:line="251" w:lineRule="auto"/>
              <w:rPr>
                <w:rFonts w:hint="eastAsia" w:ascii="宋体" w:hAnsi="宋体" w:eastAsia="宋体" w:cs="宋体"/>
                <w:color w:val="auto"/>
                <w:sz w:val="24"/>
                <w:szCs w:val="24"/>
                <w:highlight w:val="none"/>
              </w:rPr>
            </w:pPr>
          </w:p>
          <w:p w14:paraId="55ED98BD">
            <w:pPr>
              <w:spacing w:line="251" w:lineRule="auto"/>
              <w:rPr>
                <w:rFonts w:hint="eastAsia" w:ascii="宋体" w:hAnsi="宋体" w:eastAsia="宋体" w:cs="宋体"/>
                <w:color w:val="auto"/>
                <w:sz w:val="24"/>
                <w:szCs w:val="24"/>
                <w:highlight w:val="none"/>
              </w:rPr>
            </w:pPr>
          </w:p>
          <w:p w14:paraId="363383A4">
            <w:pPr>
              <w:spacing w:line="251" w:lineRule="auto"/>
              <w:rPr>
                <w:rFonts w:hint="eastAsia" w:ascii="宋体" w:hAnsi="宋体" w:eastAsia="宋体" w:cs="宋体"/>
                <w:color w:val="auto"/>
                <w:sz w:val="24"/>
                <w:szCs w:val="24"/>
                <w:highlight w:val="none"/>
              </w:rPr>
            </w:pPr>
          </w:p>
          <w:p w14:paraId="13C5ED53">
            <w:pPr>
              <w:spacing w:line="251" w:lineRule="auto"/>
              <w:rPr>
                <w:rFonts w:hint="eastAsia" w:ascii="宋体" w:hAnsi="宋体" w:eastAsia="宋体" w:cs="宋体"/>
                <w:color w:val="auto"/>
                <w:sz w:val="24"/>
                <w:szCs w:val="24"/>
                <w:highlight w:val="none"/>
              </w:rPr>
            </w:pPr>
          </w:p>
          <w:p w14:paraId="174F0259">
            <w:pPr>
              <w:spacing w:line="251" w:lineRule="auto"/>
              <w:rPr>
                <w:rFonts w:hint="eastAsia" w:ascii="宋体" w:hAnsi="宋体" w:eastAsia="宋体" w:cs="宋体"/>
                <w:color w:val="auto"/>
                <w:sz w:val="24"/>
                <w:szCs w:val="24"/>
                <w:highlight w:val="none"/>
              </w:rPr>
            </w:pPr>
          </w:p>
          <w:p w14:paraId="62FE01AA">
            <w:pPr>
              <w:spacing w:line="251" w:lineRule="auto"/>
              <w:rPr>
                <w:rFonts w:hint="eastAsia" w:ascii="宋体" w:hAnsi="宋体" w:eastAsia="宋体" w:cs="宋体"/>
                <w:color w:val="auto"/>
                <w:sz w:val="24"/>
                <w:szCs w:val="24"/>
                <w:highlight w:val="none"/>
              </w:rPr>
            </w:pPr>
          </w:p>
          <w:p w14:paraId="1C7CE11D">
            <w:pPr>
              <w:spacing w:line="251" w:lineRule="auto"/>
              <w:rPr>
                <w:rFonts w:hint="eastAsia" w:ascii="宋体" w:hAnsi="宋体" w:eastAsia="宋体" w:cs="宋体"/>
                <w:color w:val="auto"/>
                <w:sz w:val="24"/>
                <w:szCs w:val="24"/>
                <w:highlight w:val="none"/>
              </w:rPr>
            </w:pPr>
          </w:p>
          <w:p w14:paraId="79423A80">
            <w:pPr>
              <w:spacing w:line="251" w:lineRule="auto"/>
              <w:rPr>
                <w:rFonts w:hint="eastAsia" w:ascii="宋体" w:hAnsi="宋体" w:eastAsia="宋体" w:cs="宋体"/>
                <w:color w:val="auto"/>
                <w:sz w:val="24"/>
                <w:szCs w:val="24"/>
                <w:highlight w:val="none"/>
              </w:rPr>
            </w:pPr>
          </w:p>
          <w:p w14:paraId="51076A4F">
            <w:pPr>
              <w:spacing w:line="251" w:lineRule="auto"/>
              <w:rPr>
                <w:rFonts w:hint="eastAsia" w:ascii="宋体" w:hAnsi="宋体" w:eastAsia="宋体" w:cs="宋体"/>
                <w:color w:val="auto"/>
                <w:sz w:val="24"/>
                <w:szCs w:val="24"/>
                <w:highlight w:val="none"/>
              </w:rPr>
            </w:pPr>
          </w:p>
          <w:p w14:paraId="5A5FB11D">
            <w:pPr>
              <w:spacing w:line="251" w:lineRule="auto"/>
              <w:rPr>
                <w:rFonts w:hint="eastAsia" w:ascii="宋体" w:hAnsi="宋体" w:eastAsia="宋体" w:cs="宋体"/>
                <w:color w:val="auto"/>
                <w:sz w:val="24"/>
                <w:szCs w:val="24"/>
                <w:highlight w:val="none"/>
              </w:rPr>
            </w:pPr>
          </w:p>
          <w:p w14:paraId="1F2A0D9C">
            <w:pPr>
              <w:spacing w:line="251" w:lineRule="auto"/>
              <w:rPr>
                <w:rFonts w:hint="eastAsia" w:ascii="宋体" w:hAnsi="宋体" w:eastAsia="宋体" w:cs="宋体"/>
                <w:color w:val="auto"/>
                <w:sz w:val="24"/>
                <w:szCs w:val="24"/>
                <w:highlight w:val="none"/>
              </w:rPr>
            </w:pPr>
          </w:p>
          <w:p w14:paraId="23DF208D">
            <w:pPr>
              <w:spacing w:line="251" w:lineRule="auto"/>
              <w:rPr>
                <w:rFonts w:hint="eastAsia" w:ascii="宋体" w:hAnsi="宋体" w:eastAsia="宋体" w:cs="宋体"/>
                <w:color w:val="auto"/>
                <w:sz w:val="24"/>
                <w:szCs w:val="24"/>
                <w:highlight w:val="none"/>
              </w:rPr>
            </w:pPr>
          </w:p>
          <w:p w14:paraId="312886DA">
            <w:pPr>
              <w:spacing w:line="252" w:lineRule="auto"/>
              <w:rPr>
                <w:rFonts w:hint="eastAsia" w:ascii="宋体" w:hAnsi="宋体" w:eastAsia="宋体" w:cs="宋体"/>
                <w:color w:val="auto"/>
                <w:sz w:val="24"/>
                <w:szCs w:val="24"/>
                <w:highlight w:val="none"/>
              </w:rPr>
            </w:pPr>
          </w:p>
          <w:p w14:paraId="5C7B6DFB">
            <w:pPr>
              <w:spacing w:before="58" w:line="195" w:lineRule="auto"/>
              <w:ind w:left="348" w:leftChars="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7.7.1</w:t>
            </w:r>
          </w:p>
        </w:tc>
        <w:tc>
          <w:tcPr>
            <w:tcW w:w="2863" w:type="dxa"/>
            <w:vAlign w:val="top"/>
          </w:tcPr>
          <w:p w14:paraId="5F484BA7">
            <w:pPr>
              <w:spacing w:line="247" w:lineRule="auto"/>
              <w:rPr>
                <w:rFonts w:hint="eastAsia" w:ascii="宋体" w:hAnsi="宋体" w:eastAsia="宋体" w:cs="宋体"/>
                <w:color w:val="auto"/>
                <w:sz w:val="24"/>
                <w:szCs w:val="24"/>
                <w:highlight w:val="none"/>
              </w:rPr>
            </w:pPr>
          </w:p>
          <w:p w14:paraId="081DB427">
            <w:pPr>
              <w:spacing w:line="247" w:lineRule="auto"/>
              <w:rPr>
                <w:rFonts w:hint="eastAsia" w:ascii="宋体" w:hAnsi="宋体" w:eastAsia="宋体" w:cs="宋体"/>
                <w:color w:val="auto"/>
                <w:sz w:val="24"/>
                <w:szCs w:val="24"/>
                <w:highlight w:val="none"/>
              </w:rPr>
            </w:pPr>
          </w:p>
          <w:p w14:paraId="377D1CF3">
            <w:pPr>
              <w:spacing w:line="247" w:lineRule="auto"/>
              <w:rPr>
                <w:rFonts w:hint="eastAsia" w:ascii="宋体" w:hAnsi="宋体" w:eastAsia="宋体" w:cs="宋体"/>
                <w:color w:val="auto"/>
                <w:sz w:val="24"/>
                <w:szCs w:val="24"/>
                <w:highlight w:val="none"/>
              </w:rPr>
            </w:pPr>
          </w:p>
          <w:p w14:paraId="4820A83D">
            <w:pPr>
              <w:spacing w:line="247" w:lineRule="auto"/>
              <w:rPr>
                <w:rFonts w:hint="eastAsia" w:ascii="宋体" w:hAnsi="宋体" w:eastAsia="宋体" w:cs="宋体"/>
                <w:color w:val="auto"/>
                <w:sz w:val="24"/>
                <w:szCs w:val="24"/>
                <w:highlight w:val="none"/>
              </w:rPr>
            </w:pPr>
          </w:p>
          <w:p w14:paraId="13EC4479">
            <w:pPr>
              <w:spacing w:line="247" w:lineRule="auto"/>
              <w:rPr>
                <w:rFonts w:hint="eastAsia" w:ascii="宋体" w:hAnsi="宋体" w:eastAsia="宋体" w:cs="宋体"/>
                <w:color w:val="auto"/>
                <w:sz w:val="24"/>
                <w:szCs w:val="24"/>
                <w:highlight w:val="none"/>
              </w:rPr>
            </w:pPr>
          </w:p>
          <w:p w14:paraId="1E618A36">
            <w:pPr>
              <w:spacing w:line="247" w:lineRule="auto"/>
              <w:rPr>
                <w:rFonts w:hint="eastAsia" w:ascii="宋体" w:hAnsi="宋体" w:eastAsia="宋体" w:cs="宋体"/>
                <w:color w:val="auto"/>
                <w:sz w:val="24"/>
                <w:szCs w:val="24"/>
                <w:highlight w:val="none"/>
              </w:rPr>
            </w:pPr>
          </w:p>
          <w:p w14:paraId="42FE2C1B">
            <w:pPr>
              <w:spacing w:line="247" w:lineRule="auto"/>
              <w:rPr>
                <w:rFonts w:hint="eastAsia" w:ascii="宋体" w:hAnsi="宋体" w:eastAsia="宋体" w:cs="宋体"/>
                <w:color w:val="auto"/>
                <w:sz w:val="24"/>
                <w:szCs w:val="24"/>
                <w:highlight w:val="none"/>
              </w:rPr>
            </w:pPr>
          </w:p>
          <w:p w14:paraId="34DF7F03">
            <w:pPr>
              <w:spacing w:line="247" w:lineRule="auto"/>
              <w:rPr>
                <w:rFonts w:hint="eastAsia" w:ascii="宋体" w:hAnsi="宋体" w:eastAsia="宋体" w:cs="宋体"/>
                <w:color w:val="auto"/>
                <w:sz w:val="24"/>
                <w:szCs w:val="24"/>
                <w:highlight w:val="none"/>
              </w:rPr>
            </w:pPr>
          </w:p>
          <w:p w14:paraId="401CA554">
            <w:pPr>
              <w:spacing w:line="247" w:lineRule="auto"/>
              <w:rPr>
                <w:rFonts w:hint="eastAsia" w:ascii="宋体" w:hAnsi="宋体" w:eastAsia="宋体" w:cs="宋体"/>
                <w:color w:val="auto"/>
                <w:sz w:val="24"/>
                <w:szCs w:val="24"/>
                <w:highlight w:val="none"/>
              </w:rPr>
            </w:pPr>
          </w:p>
          <w:p w14:paraId="70E5D87E">
            <w:pPr>
              <w:spacing w:line="247" w:lineRule="auto"/>
              <w:rPr>
                <w:rFonts w:hint="eastAsia" w:ascii="宋体" w:hAnsi="宋体" w:eastAsia="宋体" w:cs="宋体"/>
                <w:color w:val="auto"/>
                <w:sz w:val="24"/>
                <w:szCs w:val="24"/>
                <w:highlight w:val="none"/>
              </w:rPr>
            </w:pPr>
          </w:p>
          <w:p w14:paraId="712FBF15">
            <w:pPr>
              <w:spacing w:line="248" w:lineRule="auto"/>
              <w:rPr>
                <w:rFonts w:hint="eastAsia" w:ascii="宋体" w:hAnsi="宋体" w:eastAsia="宋体" w:cs="宋体"/>
                <w:color w:val="auto"/>
                <w:sz w:val="24"/>
                <w:szCs w:val="24"/>
                <w:highlight w:val="none"/>
              </w:rPr>
            </w:pPr>
          </w:p>
          <w:p w14:paraId="78BD7B67">
            <w:pPr>
              <w:spacing w:line="248" w:lineRule="auto"/>
              <w:rPr>
                <w:rFonts w:hint="eastAsia" w:ascii="宋体" w:hAnsi="宋体" w:eastAsia="宋体" w:cs="宋体"/>
                <w:color w:val="auto"/>
                <w:sz w:val="24"/>
                <w:szCs w:val="24"/>
                <w:highlight w:val="none"/>
              </w:rPr>
            </w:pPr>
          </w:p>
          <w:p w14:paraId="2938456D">
            <w:pPr>
              <w:spacing w:line="248" w:lineRule="auto"/>
              <w:rPr>
                <w:rFonts w:hint="eastAsia" w:ascii="宋体" w:hAnsi="宋体" w:eastAsia="宋体" w:cs="宋体"/>
                <w:color w:val="auto"/>
                <w:sz w:val="24"/>
                <w:szCs w:val="24"/>
                <w:highlight w:val="none"/>
              </w:rPr>
            </w:pPr>
          </w:p>
          <w:p w14:paraId="370BE872">
            <w:pPr>
              <w:pStyle w:val="25"/>
              <w:spacing w:before="65" w:line="228" w:lineRule="auto"/>
              <w:ind w:left="116" w:leftChars="0"/>
              <w:rPr>
                <w:rFonts w:hint="eastAsia" w:ascii="宋体" w:hAnsi="宋体" w:eastAsia="宋体" w:cs="宋体"/>
                <w:color w:val="auto"/>
                <w:spacing w:val="19"/>
                <w:sz w:val="24"/>
                <w:szCs w:val="24"/>
                <w:highlight w:val="none"/>
              </w:rPr>
            </w:pPr>
            <w:r>
              <w:rPr>
                <w:rFonts w:hint="eastAsia" w:ascii="宋体" w:hAnsi="宋体" w:eastAsia="宋体" w:cs="宋体"/>
                <w:color w:val="auto"/>
                <w:spacing w:val="7"/>
                <w:sz w:val="24"/>
                <w:szCs w:val="24"/>
                <w:highlight w:val="none"/>
              </w:rPr>
              <w:t>履约保证金</w:t>
            </w:r>
          </w:p>
        </w:tc>
        <w:tc>
          <w:tcPr>
            <w:tcW w:w="5197" w:type="dxa"/>
            <w:vAlign w:val="top"/>
          </w:tcPr>
          <w:p w14:paraId="18345E01">
            <w:pPr>
              <w:pStyle w:val="25"/>
              <w:spacing w:before="33" w:line="228" w:lineRule="auto"/>
              <w:ind w:left="116"/>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是否要求中标人提交履约保证金：</w:t>
            </w:r>
          </w:p>
          <w:p w14:paraId="6DB04609">
            <w:pPr>
              <w:pStyle w:val="25"/>
              <w:spacing w:before="160" w:line="377" w:lineRule="auto"/>
              <w:ind w:left="109" w:right="56" w:firstLine="11"/>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☑要求，履约保证金的形式：银行保函、银行转账、</w:t>
            </w:r>
            <w:r>
              <w:rPr>
                <w:rFonts w:hint="eastAsia" w:ascii="宋体" w:hAnsi="宋体" w:eastAsia="宋体" w:cs="宋体"/>
                <w:color w:val="auto"/>
                <w:spacing w:val="15"/>
                <w:sz w:val="24"/>
                <w:szCs w:val="24"/>
                <w:highlight w:val="none"/>
              </w:rPr>
              <w:t>工程担保、工程保证保险等形式履约保证金的金额：</w:t>
            </w:r>
            <w:r>
              <w:rPr>
                <w:rFonts w:hint="eastAsia" w:ascii="宋体" w:hAnsi="宋体" w:eastAsia="宋体" w:cs="宋体"/>
                <w:color w:val="auto"/>
                <w:spacing w:val="11"/>
                <w:sz w:val="24"/>
                <w:szCs w:val="24"/>
                <w:highlight w:val="none"/>
                <w:u w:val="single" w:color="auto"/>
              </w:rPr>
              <w:t>2％</w:t>
            </w:r>
            <w:r>
              <w:rPr>
                <w:rFonts w:hint="eastAsia" w:ascii="宋体" w:hAnsi="宋体" w:eastAsia="宋体" w:cs="宋体"/>
                <w:color w:val="auto"/>
                <w:spacing w:val="11"/>
                <w:sz w:val="24"/>
                <w:szCs w:val="24"/>
                <w:highlight w:val="none"/>
              </w:rPr>
              <w:t>签约合同价，被招标项目所在地省级交通运输主管</w:t>
            </w:r>
            <w:r>
              <w:rPr>
                <w:rFonts w:hint="eastAsia" w:ascii="宋体" w:hAnsi="宋体" w:eastAsia="宋体" w:cs="宋体"/>
                <w:color w:val="auto"/>
                <w:spacing w:val="18"/>
                <w:sz w:val="24"/>
                <w:szCs w:val="24"/>
                <w:highlight w:val="none"/>
              </w:rPr>
              <w:t>部门评为</w:t>
            </w:r>
            <w:r>
              <w:rPr>
                <w:rFonts w:hint="eastAsia" w:ascii="宋体" w:hAnsi="宋体" w:eastAsia="宋体" w:cs="宋体"/>
                <w:color w:val="auto"/>
                <w:spacing w:val="18"/>
                <w:sz w:val="24"/>
                <w:szCs w:val="24"/>
                <w:highlight w:val="none"/>
                <w:u w:val="single" w:color="auto"/>
              </w:rPr>
              <w:t>\</w:t>
            </w:r>
            <w:r>
              <w:rPr>
                <w:rFonts w:hint="eastAsia" w:ascii="宋体" w:hAnsi="宋体" w:eastAsia="宋体" w:cs="宋体"/>
                <w:color w:val="auto"/>
                <w:spacing w:val="18"/>
                <w:sz w:val="24"/>
                <w:szCs w:val="24"/>
                <w:highlight w:val="none"/>
              </w:rPr>
              <w:t>信用等级的中标人，履约保证金金额为</w:t>
            </w:r>
            <w:r>
              <w:rPr>
                <w:rFonts w:hint="eastAsia" w:ascii="宋体" w:hAnsi="宋体" w:eastAsia="宋体" w:cs="宋体"/>
                <w:color w:val="auto"/>
                <w:spacing w:val="4"/>
                <w:sz w:val="24"/>
                <w:szCs w:val="24"/>
                <w:highlight w:val="none"/>
                <w:u w:val="single" w:color="auto"/>
              </w:rPr>
              <w:t>2%</w:t>
            </w:r>
            <w:r>
              <w:rPr>
                <w:rFonts w:hint="eastAsia" w:ascii="宋体" w:hAnsi="宋体" w:eastAsia="宋体" w:cs="宋体"/>
                <w:color w:val="auto"/>
                <w:spacing w:val="4"/>
                <w:sz w:val="24"/>
                <w:szCs w:val="24"/>
                <w:highlight w:val="none"/>
              </w:rPr>
              <w:t>签约合同价采用银行保函时，出具保函的银行级别：</w:t>
            </w:r>
            <w:r>
              <w:rPr>
                <w:rFonts w:hint="eastAsia" w:ascii="宋体" w:hAnsi="宋体" w:eastAsia="宋体" w:cs="宋体"/>
                <w:color w:val="auto"/>
                <w:spacing w:val="9"/>
                <w:sz w:val="24"/>
                <w:szCs w:val="24"/>
                <w:highlight w:val="none"/>
              </w:rPr>
              <w:t>由地市级分行及以上级别银行出具。</w:t>
            </w:r>
          </w:p>
          <w:p w14:paraId="167C8A39">
            <w:pPr>
              <w:pStyle w:val="25"/>
              <w:spacing w:line="229" w:lineRule="auto"/>
              <w:ind w:left="13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□不要求</w:t>
            </w:r>
          </w:p>
          <w:p w14:paraId="294ED3B9">
            <w:pPr>
              <w:pStyle w:val="25"/>
              <w:spacing w:before="160" w:line="377" w:lineRule="auto"/>
              <w:ind w:left="112" w:right="109" w:firstLine="3"/>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履约保证金的缴纳方式：在收到中标通知书后，</w:t>
            </w:r>
            <w:r>
              <w:rPr>
                <w:rFonts w:hint="eastAsia" w:ascii="宋体" w:hAnsi="宋体" w:eastAsia="宋体" w:cs="宋体"/>
                <w:color w:val="auto"/>
                <w:spacing w:val="6"/>
                <w:sz w:val="24"/>
                <w:szCs w:val="24"/>
                <w:highlight w:val="none"/>
              </w:rPr>
              <w:t>中标人</w:t>
            </w:r>
            <w:r>
              <w:rPr>
                <w:rFonts w:hint="eastAsia" w:ascii="宋体" w:hAnsi="宋体" w:eastAsia="宋体" w:cs="宋体"/>
                <w:color w:val="auto"/>
                <w:spacing w:val="7"/>
                <w:sz w:val="24"/>
                <w:szCs w:val="24"/>
                <w:highlight w:val="none"/>
              </w:rPr>
              <w:t>应在签订施工合同前向招标人提交履约保证金，否则招标人将取消其中标资格。履约保证金的有效期必须涵盖工程竣工验收合格且完成验收整改后、承包人向发包人</w:t>
            </w:r>
            <w:r>
              <w:rPr>
                <w:rFonts w:hint="eastAsia" w:ascii="宋体" w:hAnsi="宋体" w:eastAsia="宋体" w:cs="宋体"/>
                <w:color w:val="auto"/>
                <w:spacing w:val="8"/>
                <w:sz w:val="24"/>
                <w:szCs w:val="24"/>
                <w:highlight w:val="none"/>
              </w:rPr>
              <w:t>移交竣工资料手续的时间段。</w:t>
            </w:r>
          </w:p>
          <w:p w14:paraId="6B3A74F8">
            <w:pPr>
              <w:pStyle w:val="25"/>
              <w:spacing w:line="227" w:lineRule="auto"/>
              <w:ind w:left="116"/>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履约保证金账户信息：</w:t>
            </w:r>
          </w:p>
          <w:p w14:paraId="620E60B8">
            <w:pPr>
              <w:pStyle w:val="25"/>
              <w:spacing w:before="163" w:line="228" w:lineRule="auto"/>
              <w:ind w:left="116"/>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账户名称：兴业县公路建设养护中心</w:t>
            </w:r>
          </w:p>
          <w:p w14:paraId="585FBAA7">
            <w:pPr>
              <w:pStyle w:val="25"/>
              <w:spacing w:before="161" w:line="228" w:lineRule="auto"/>
              <w:ind w:left="113"/>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开户银行：建设银行玉林兴业支行</w:t>
            </w:r>
          </w:p>
          <w:p w14:paraId="2A4C653E">
            <w:pPr>
              <w:pStyle w:val="25"/>
              <w:spacing w:before="161" w:line="229" w:lineRule="auto"/>
              <w:ind w:left="116" w:leftChars="0"/>
              <w:rPr>
                <w:rFonts w:hint="eastAsia" w:ascii="宋体" w:hAnsi="宋体" w:eastAsia="宋体" w:cs="宋体"/>
                <w:color w:val="auto"/>
                <w:spacing w:val="1"/>
                <w:sz w:val="24"/>
                <w:szCs w:val="24"/>
                <w:highlight w:val="none"/>
              </w:rPr>
            </w:pPr>
            <w:r>
              <w:rPr>
                <w:rFonts w:hint="eastAsia" w:ascii="宋体" w:hAnsi="宋体" w:eastAsia="宋体" w:cs="宋体"/>
                <w:color w:val="auto"/>
                <w:spacing w:val="5"/>
                <w:sz w:val="24"/>
                <w:szCs w:val="24"/>
                <w:highlight w:val="none"/>
              </w:rPr>
              <w:t>账号：45001660452050702238</w:t>
            </w:r>
          </w:p>
        </w:tc>
      </w:tr>
    </w:tbl>
    <w:p w14:paraId="6FBA2CCE">
      <w:pPr>
        <w:pStyle w:val="4"/>
        <w:rPr>
          <w:rFonts w:hint="eastAsia" w:ascii="宋体" w:hAnsi="宋体" w:eastAsia="宋体" w:cs="宋体"/>
          <w:color w:val="auto"/>
          <w:sz w:val="24"/>
          <w:szCs w:val="24"/>
          <w:highlight w:val="none"/>
        </w:rPr>
      </w:pPr>
    </w:p>
    <w:p w14:paraId="0B283269">
      <w:pPr>
        <w:rPr>
          <w:rFonts w:hint="eastAsia" w:ascii="宋体" w:hAnsi="宋体" w:eastAsia="宋体" w:cs="宋体"/>
          <w:color w:val="auto"/>
          <w:sz w:val="24"/>
          <w:szCs w:val="24"/>
          <w:highlight w:val="none"/>
        </w:rPr>
        <w:sectPr>
          <w:footerReference r:id="rId17" w:type="default"/>
          <w:pgSz w:w="11907" w:h="16840"/>
          <w:pgMar w:top="1182" w:right="1114" w:bottom="1014" w:left="1620" w:header="849" w:footer="852" w:gutter="0"/>
          <w:pgNumType w:fmt="decimal"/>
          <w:cols w:space="720" w:num="1"/>
        </w:sectPr>
      </w:pPr>
    </w:p>
    <w:p w14:paraId="3D26623A">
      <w:pPr>
        <w:pStyle w:val="4"/>
        <w:rPr>
          <w:rFonts w:hint="eastAsia" w:ascii="宋体" w:hAnsi="宋体" w:eastAsia="宋体" w:cs="宋体"/>
          <w:color w:val="auto"/>
          <w:sz w:val="24"/>
          <w:szCs w:val="24"/>
          <w:highlight w:val="none"/>
        </w:rPr>
      </w:pPr>
    </w:p>
    <w:p w14:paraId="635F19A1">
      <w:pPr>
        <w:spacing w:before="16"/>
        <w:rPr>
          <w:rFonts w:hint="eastAsia" w:ascii="宋体" w:hAnsi="宋体" w:eastAsia="宋体" w:cs="宋体"/>
          <w:color w:val="auto"/>
          <w:sz w:val="24"/>
          <w:szCs w:val="24"/>
          <w:highlight w:val="none"/>
        </w:rPr>
      </w:pPr>
    </w:p>
    <w:tbl>
      <w:tblPr>
        <w:tblStyle w:val="24"/>
        <w:tblW w:w="92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07"/>
        <w:gridCol w:w="2580"/>
        <w:gridCol w:w="5531"/>
      </w:tblGrid>
      <w:tr w14:paraId="4CEB3A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46" w:hRule="atLeast"/>
        </w:trPr>
        <w:tc>
          <w:tcPr>
            <w:tcW w:w="1107" w:type="dxa"/>
            <w:vAlign w:val="top"/>
          </w:tcPr>
          <w:p w14:paraId="34F68AC5">
            <w:pPr>
              <w:spacing w:line="277" w:lineRule="auto"/>
              <w:rPr>
                <w:rFonts w:hint="eastAsia" w:ascii="宋体" w:hAnsi="宋体" w:eastAsia="宋体" w:cs="宋体"/>
                <w:color w:val="auto"/>
                <w:sz w:val="24"/>
                <w:szCs w:val="24"/>
                <w:highlight w:val="none"/>
              </w:rPr>
            </w:pPr>
          </w:p>
          <w:p w14:paraId="5B0268A0">
            <w:pPr>
              <w:spacing w:line="277" w:lineRule="auto"/>
              <w:rPr>
                <w:rFonts w:hint="eastAsia" w:ascii="宋体" w:hAnsi="宋体" w:eastAsia="宋体" w:cs="宋体"/>
                <w:color w:val="auto"/>
                <w:sz w:val="24"/>
                <w:szCs w:val="24"/>
                <w:highlight w:val="none"/>
              </w:rPr>
            </w:pPr>
          </w:p>
          <w:p w14:paraId="1ED9A053">
            <w:pPr>
              <w:spacing w:line="278" w:lineRule="auto"/>
              <w:rPr>
                <w:rFonts w:hint="eastAsia" w:ascii="宋体" w:hAnsi="宋体" w:eastAsia="宋体" w:cs="宋体"/>
                <w:color w:val="auto"/>
                <w:sz w:val="24"/>
                <w:szCs w:val="24"/>
                <w:highlight w:val="none"/>
              </w:rPr>
            </w:pPr>
          </w:p>
          <w:p w14:paraId="50191E6F">
            <w:pPr>
              <w:spacing w:before="58" w:line="195" w:lineRule="auto"/>
              <w:ind w:left="35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8.5.1</w:t>
            </w:r>
          </w:p>
        </w:tc>
        <w:tc>
          <w:tcPr>
            <w:tcW w:w="2580" w:type="dxa"/>
            <w:vAlign w:val="top"/>
          </w:tcPr>
          <w:p w14:paraId="1EE4D39D">
            <w:pPr>
              <w:spacing w:line="260" w:lineRule="auto"/>
              <w:rPr>
                <w:rFonts w:hint="eastAsia" w:ascii="宋体" w:hAnsi="宋体" w:eastAsia="宋体" w:cs="宋体"/>
                <w:color w:val="auto"/>
                <w:sz w:val="24"/>
                <w:szCs w:val="24"/>
                <w:highlight w:val="none"/>
              </w:rPr>
            </w:pPr>
          </w:p>
          <w:p w14:paraId="60A7271D">
            <w:pPr>
              <w:spacing w:line="260" w:lineRule="auto"/>
              <w:rPr>
                <w:rFonts w:hint="eastAsia" w:ascii="宋体" w:hAnsi="宋体" w:eastAsia="宋体" w:cs="宋体"/>
                <w:color w:val="auto"/>
                <w:sz w:val="24"/>
                <w:szCs w:val="24"/>
                <w:highlight w:val="none"/>
              </w:rPr>
            </w:pPr>
          </w:p>
          <w:p w14:paraId="06E01221">
            <w:pPr>
              <w:spacing w:line="261" w:lineRule="auto"/>
              <w:rPr>
                <w:rFonts w:hint="eastAsia" w:ascii="宋体" w:hAnsi="宋体" w:eastAsia="宋体" w:cs="宋体"/>
                <w:color w:val="auto"/>
                <w:sz w:val="24"/>
                <w:szCs w:val="24"/>
                <w:highlight w:val="none"/>
              </w:rPr>
            </w:pPr>
          </w:p>
          <w:p w14:paraId="2FA98A25">
            <w:pPr>
              <w:pStyle w:val="25"/>
              <w:spacing w:before="65" w:line="228" w:lineRule="auto"/>
              <w:ind w:left="216"/>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监督部门</w:t>
            </w:r>
          </w:p>
        </w:tc>
        <w:tc>
          <w:tcPr>
            <w:tcW w:w="5531" w:type="dxa"/>
            <w:vAlign w:val="top"/>
          </w:tcPr>
          <w:p w14:paraId="28C478A6">
            <w:pPr>
              <w:pStyle w:val="25"/>
              <w:spacing w:before="35" w:line="228" w:lineRule="auto"/>
              <w:ind w:left="113"/>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监督部门：兴业县交通运输局</w:t>
            </w:r>
          </w:p>
          <w:p w14:paraId="4BCA6F00">
            <w:pPr>
              <w:pStyle w:val="25"/>
              <w:spacing w:before="160" w:line="228" w:lineRule="auto"/>
              <w:ind w:left="112"/>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地址：兴业县石南镇兴业大道169号</w:t>
            </w:r>
          </w:p>
          <w:p w14:paraId="09DAD049">
            <w:pPr>
              <w:pStyle w:val="25"/>
              <w:spacing w:before="161" w:line="230" w:lineRule="auto"/>
              <w:ind w:left="13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电话：0775-3761515</w:t>
            </w:r>
          </w:p>
          <w:p w14:paraId="4A5E213B">
            <w:pPr>
              <w:pStyle w:val="25"/>
              <w:spacing w:before="158" w:line="227" w:lineRule="auto"/>
              <w:ind w:left="111"/>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传真：0775-3761515</w:t>
            </w:r>
          </w:p>
          <w:p w14:paraId="0C3231B8">
            <w:pPr>
              <w:pStyle w:val="25"/>
              <w:spacing w:before="164" w:line="228" w:lineRule="auto"/>
              <w:ind w:left="128"/>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邮政编码：537800</w:t>
            </w:r>
          </w:p>
        </w:tc>
      </w:tr>
      <w:tr w14:paraId="6C4CBD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3" w:hRule="atLeast"/>
        </w:trPr>
        <w:tc>
          <w:tcPr>
            <w:tcW w:w="1107" w:type="dxa"/>
            <w:vAlign w:val="top"/>
          </w:tcPr>
          <w:p w14:paraId="6116C0C5">
            <w:pPr>
              <w:spacing w:before="149" w:line="195" w:lineRule="auto"/>
              <w:ind w:left="50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2580" w:type="dxa"/>
            <w:vAlign w:val="top"/>
          </w:tcPr>
          <w:p w14:paraId="54730922">
            <w:pPr>
              <w:pStyle w:val="25"/>
              <w:spacing w:before="104" w:line="227" w:lineRule="auto"/>
              <w:ind w:left="116"/>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是否采用电子招标投标</w:t>
            </w:r>
          </w:p>
        </w:tc>
        <w:tc>
          <w:tcPr>
            <w:tcW w:w="5531" w:type="dxa"/>
            <w:vAlign w:val="top"/>
          </w:tcPr>
          <w:p w14:paraId="12A48277">
            <w:pPr>
              <w:pStyle w:val="25"/>
              <w:spacing w:before="104" w:line="231" w:lineRule="auto"/>
              <w:ind w:left="11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是</w:t>
            </w:r>
          </w:p>
        </w:tc>
      </w:tr>
      <w:tr w14:paraId="594C3B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3" w:hRule="atLeast"/>
        </w:trPr>
        <w:tc>
          <w:tcPr>
            <w:tcW w:w="9218" w:type="dxa"/>
            <w:gridSpan w:val="3"/>
            <w:vAlign w:val="top"/>
          </w:tcPr>
          <w:p w14:paraId="7DCAB23D">
            <w:pPr>
              <w:pStyle w:val="25"/>
              <w:spacing w:before="104" w:line="231" w:lineRule="auto"/>
              <w:ind w:left="116"/>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需要补充的其他内容</w:t>
            </w:r>
          </w:p>
        </w:tc>
      </w:tr>
      <w:tr w14:paraId="64EA8B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0" w:hRule="atLeast"/>
        </w:trPr>
        <w:tc>
          <w:tcPr>
            <w:tcW w:w="1107" w:type="dxa"/>
            <w:vAlign w:val="top"/>
          </w:tcPr>
          <w:p w14:paraId="46CA86D0">
            <w:pPr>
              <w:spacing w:line="242" w:lineRule="auto"/>
              <w:rPr>
                <w:rFonts w:hint="eastAsia" w:ascii="宋体" w:hAnsi="宋体" w:eastAsia="宋体" w:cs="宋体"/>
                <w:color w:val="auto"/>
                <w:sz w:val="24"/>
                <w:szCs w:val="24"/>
                <w:highlight w:val="none"/>
              </w:rPr>
            </w:pPr>
          </w:p>
          <w:p w14:paraId="14479EEE">
            <w:pPr>
              <w:spacing w:line="242" w:lineRule="auto"/>
              <w:rPr>
                <w:rFonts w:hint="eastAsia" w:ascii="宋体" w:hAnsi="宋体" w:eastAsia="宋体" w:cs="宋体"/>
                <w:color w:val="auto"/>
                <w:sz w:val="24"/>
                <w:szCs w:val="24"/>
                <w:highlight w:val="none"/>
              </w:rPr>
            </w:pPr>
          </w:p>
          <w:p w14:paraId="721FC476">
            <w:pPr>
              <w:spacing w:line="242" w:lineRule="auto"/>
              <w:rPr>
                <w:rFonts w:hint="eastAsia" w:ascii="宋体" w:hAnsi="宋体" w:eastAsia="宋体" w:cs="宋体"/>
                <w:color w:val="auto"/>
                <w:sz w:val="24"/>
                <w:szCs w:val="24"/>
                <w:highlight w:val="none"/>
              </w:rPr>
            </w:pPr>
          </w:p>
          <w:p w14:paraId="1FEF22E2">
            <w:pPr>
              <w:spacing w:line="242" w:lineRule="auto"/>
              <w:rPr>
                <w:rFonts w:hint="eastAsia" w:ascii="宋体" w:hAnsi="宋体" w:eastAsia="宋体" w:cs="宋体"/>
                <w:color w:val="auto"/>
                <w:sz w:val="24"/>
                <w:szCs w:val="24"/>
                <w:highlight w:val="none"/>
              </w:rPr>
            </w:pPr>
          </w:p>
          <w:p w14:paraId="320EC495">
            <w:pPr>
              <w:spacing w:line="242" w:lineRule="auto"/>
              <w:rPr>
                <w:rFonts w:hint="eastAsia" w:ascii="宋体" w:hAnsi="宋体" w:eastAsia="宋体" w:cs="宋体"/>
                <w:color w:val="auto"/>
                <w:sz w:val="24"/>
                <w:szCs w:val="24"/>
                <w:highlight w:val="none"/>
              </w:rPr>
            </w:pPr>
          </w:p>
          <w:p w14:paraId="1C86F198">
            <w:pPr>
              <w:spacing w:line="242" w:lineRule="auto"/>
              <w:rPr>
                <w:rFonts w:hint="eastAsia" w:ascii="宋体" w:hAnsi="宋体" w:eastAsia="宋体" w:cs="宋体"/>
                <w:color w:val="auto"/>
                <w:sz w:val="24"/>
                <w:szCs w:val="24"/>
                <w:highlight w:val="none"/>
              </w:rPr>
            </w:pPr>
          </w:p>
          <w:p w14:paraId="18DB1FDC">
            <w:pPr>
              <w:spacing w:line="242" w:lineRule="auto"/>
              <w:rPr>
                <w:rFonts w:hint="eastAsia" w:ascii="宋体" w:hAnsi="宋体" w:eastAsia="宋体" w:cs="宋体"/>
                <w:color w:val="auto"/>
                <w:sz w:val="24"/>
                <w:szCs w:val="24"/>
                <w:highlight w:val="none"/>
              </w:rPr>
            </w:pPr>
          </w:p>
          <w:p w14:paraId="33669416">
            <w:pPr>
              <w:spacing w:line="242" w:lineRule="auto"/>
              <w:rPr>
                <w:rFonts w:hint="eastAsia" w:ascii="宋体" w:hAnsi="宋体" w:eastAsia="宋体" w:cs="宋体"/>
                <w:color w:val="auto"/>
                <w:sz w:val="24"/>
                <w:szCs w:val="24"/>
                <w:highlight w:val="none"/>
              </w:rPr>
            </w:pPr>
          </w:p>
          <w:p w14:paraId="55B67630">
            <w:pPr>
              <w:spacing w:line="243" w:lineRule="auto"/>
              <w:rPr>
                <w:rFonts w:hint="eastAsia" w:ascii="宋体" w:hAnsi="宋体" w:eastAsia="宋体" w:cs="宋体"/>
                <w:color w:val="auto"/>
                <w:sz w:val="24"/>
                <w:szCs w:val="24"/>
                <w:highlight w:val="none"/>
              </w:rPr>
            </w:pPr>
          </w:p>
          <w:p w14:paraId="73A8BE60">
            <w:pPr>
              <w:spacing w:line="243" w:lineRule="auto"/>
              <w:rPr>
                <w:rFonts w:hint="eastAsia" w:ascii="宋体" w:hAnsi="宋体" w:eastAsia="宋体" w:cs="宋体"/>
                <w:color w:val="auto"/>
                <w:sz w:val="24"/>
                <w:szCs w:val="24"/>
                <w:highlight w:val="none"/>
              </w:rPr>
            </w:pPr>
          </w:p>
          <w:p w14:paraId="05BD3F3C">
            <w:pPr>
              <w:spacing w:line="243" w:lineRule="auto"/>
              <w:rPr>
                <w:rFonts w:hint="eastAsia" w:ascii="宋体" w:hAnsi="宋体" w:eastAsia="宋体" w:cs="宋体"/>
                <w:color w:val="auto"/>
                <w:sz w:val="24"/>
                <w:szCs w:val="24"/>
                <w:highlight w:val="none"/>
              </w:rPr>
            </w:pPr>
          </w:p>
          <w:p w14:paraId="2ABED90A">
            <w:pPr>
              <w:spacing w:line="243" w:lineRule="auto"/>
              <w:rPr>
                <w:rFonts w:hint="eastAsia" w:ascii="宋体" w:hAnsi="宋体" w:eastAsia="宋体" w:cs="宋体"/>
                <w:color w:val="auto"/>
                <w:sz w:val="24"/>
                <w:szCs w:val="24"/>
                <w:highlight w:val="none"/>
              </w:rPr>
            </w:pPr>
          </w:p>
          <w:p w14:paraId="733B3D7F">
            <w:pPr>
              <w:spacing w:line="243" w:lineRule="auto"/>
              <w:rPr>
                <w:rFonts w:hint="eastAsia" w:ascii="宋体" w:hAnsi="宋体" w:eastAsia="宋体" w:cs="宋体"/>
                <w:color w:val="auto"/>
                <w:sz w:val="24"/>
                <w:szCs w:val="24"/>
                <w:highlight w:val="none"/>
              </w:rPr>
            </w:pPr>
          </w:p>
          <w:p w14:paraId="3BCF96B7">
            <w:pPr>
              <w:spacing w:line="243" w:lineRule="auto"/>
              <w:rPr>
                <w:rFonts w:hint="eastAsia" w:ascii="宋体" w:hAnsi="宋体" w:eastAsia="宋体" w:cs="宋体"/>
                <w:color w:val="auto"/>
                <w:sz w:val="24"/>
                <w:szCs w:val="24"/>
                <w:highlight w:val="none"/>
              </w:rPr>
            </w:pPr>
          </w:p>
          <w:p w14:paraId="5942BF00">
            <w:pPr>
              <w:spacing w:line="243" w:lineRule="auto"/>
              <w:rPr>
                <w:rFonts w:hint="eastAsia" w:ascii="宋体" w:hAnsi="宋体" w:eastAsia="宋体" w:cs="宋体"/>
                <w:color w:val="auto"/>
                <w:sz w:val="24"/>
                <w:szCs w:val="24"/>
                <w:highlight w:val="none"/>
              </w:rPr>
            </w:pPr>
          </w:p>
          <w:p w14:paraId="2BA208D0">
            <w:pPr>
              <w:spacing w:line="243" w:lineRule="auto"/>
              <w:rPr>
                <w:rFonts w:hint="eastAsia" w:ascii="宋体" w:hAnsi="宋体" w:eastAsia="宋体" w:cs="宋体"/>
                <w:color w:val="auto"/>
                <w:sz w:val="24"/>
                <w:szCs w:val="24"/>
                <w:highlight w:val="none"/>
              </w:rPr>
            </w:pPr>
          </w:p>
          <w:p w14:paraId="50C5D4C4">
            <w:pPr>
              <w:spacing w:line="243" w:lineRule="auto"/>
              <w:rPr>
                <w:rFonts w:hint="eastAsia" w:ascii="宋体" w:hAnsi="宋体" w:eastAsia="宋体" w:cs="宋体"/>
                <w:color w:val="auto"/>
                <w:sz w:val="24"/>
                <w:szCs w:val="24"/>
                <w:highlight w:val="none"/>
              </w:rPr>
            </w:pPr>
          </w:p>
          <w:p w14:paraId="385F5555">
            <w:pPr>
              <w:spacing w:line="243" w:lineRule="auto"/>
              <w:rPr>
                <w:rFonts w:hint="eastAsia" w:ascii="宋体" w:hAnsi="宋体" w:eastAsia="宋体" w:cs="宋体"/>
                <w:color w:val="auto"/>
                <w:sz w:val="24"/>
                <w:szCs w:val="24"/>
                <w:highlight w:val="none"/>
              </w:rPr>
            </w:pPr>
          </w:p>
          <w:p w14:paraId="5F1A7FE2">
            <w:pPr>
              <w:spacing w:line="243" w:lineRule="auto"/>
              <w:rPr>
                <w:rFonts w:hint="eastAsia" w:ascii="宋体" w:hAnsi="宋体" w:eastAsia="宋体" w:cs="宋体"/>
                <w:color w:val="auto"/>
                <w:sz w:val="24"/>
                <w:szCs w:val="24"/>
                <w:highlight w:val="none"/>
              </w:rPr>
            </w:pPr>
          </w:p>
          <w:p w14:paraId="094B8979">
            <w:pPr>
              <w:spacing w:line="243" w:lineRule="auto"/>
              <w:rPr>
                <w:rFonts w:hint="eastAsia" w:ascii="宋体" w:hAnsi="宋体" w:eastAsia="宋体" w:cs="宋体"/>
                <w:color w:val="auto"/>
                <w:sz w:val="24"/>
                <w:szCs w:val="24"/>
                <w:highlight w:val="none"/>
              </w:rPr>
            </w:pPr>
          </w:p>
          <w:p w14:paraId="324A643F">
            <w:pPr>
              <w:spacing w:line="243" w:lineRule="auto"/>
              <w:rPr>
                <w:rFonts w:hint="eastAsia" w:ascii="宋体" w:hAnsi="宋体" w:eastAsia="宋体" w:cs="宋体"/>
                <w:color w:val="auto"/>
                <w:sz w:val="24"/>
                <w:szCs w:val="24"/>
                <w:highlight w:val="none"/>
              </w:rPr>
            </w:pPr>
          </w:p>
          <w:p w14:paraId="5C7A966C">
            <w:pPr>
              <w:spacing w:line="243" w:lineRule="auto"/>
              <w:rPr>
                <w:rFonts w:hint="eastAsia" w:ascii="宋体" w:hAnsi="宋体" w:eastAsia="宋体" w:cs="宋体"/>
                <w:color w:val="auto"/>
                <w:sz w:val="24"/>
                <w:szCs w:val="24"/>
                <w:highlight w:val="none"/>
              </w:rPr>
            </w:pPr>
          </w:p>
          <w:p w14:paraId="2590490D">
            <w:pPr>
              <w:spacing w:line="243" w:lineRule="auto"/>
              <w:rPr>
                <w:rFonts w:hint="eastAsia" w:ascii="宋体" w:hAnsi="宋体" w:eastAsia="宋体" w:cs="宋体"/>
                <w:color w:val="auto"/>
                <w:sz w:val="24"/>
                <w:szCs w:val="24"/>
                <w:highlight w:val="none"/>
              </w:rPr>
            </w:pPr>
          </w:p>
          <w:p w14:paraId="31D5F240">
            <w:pPr>
              <w:spacing w:line="243" w:lineRule="auto"/>
              <w:rPr>
                <w:rFonts w:hint="eastAsia" w:ascii="宋体" w:hAnsi="宋体" w:eastAsia="宋体" w:cs="宋体"/>
                <w:color w:val="auto"/>
                <w:sz w:val="24"/>
                <w:szCs w:val="24"/>
                <w:highlight w:val="none"/>
              </w:rPr>
            </w:pPr>
          </w:p>
          <w:p w14:paraId="5813D0D5">
            <w:pPr>
              <w:spacing w:line="243" w:lineRule="auto"/>
              <w:rPr>
                <w:rFonts w:hint="eastAsia" w:ascii="宋体" w:hAnsi="宋体" w:eastAsia="宋体" w:cs="宋体"/>
                <w:color w:val="auto"/>
                <w:sz w:val="24"/>
                <w:szCs w:val="24"/>
                <w:highlight w:val="none"/>
              </w:rPr>
            </w:pPr>
          </w:p>
          <w:p w14:paraId="19CD3D7A">
            <w:pPr>
              <w:spacing w:line="243" w:lineRule="auto"/>
              <w:rPr>
                <w:rFonts w:hint="eastAsia" w:ascii="宋体" w:hAnsi="宋体" w:eastAsia="宋体" w:cs="宋体"/>
                <w:color w:val="auto"/>
                <w:sz w:val="24"/>
                <w:szCs w:val="24"/>
                <w:highlight w:val="none"/>
              </w:rPr>
            </w:pPr>
          </w:p>
          <w:p w14:paraId="31CB9B91">
            <w:pPr>
              <w:spacing w:before="58" w:line="195" w:lineRule="auto"/>
              <w:ind w:left="470" w:leftChars="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10</w:t>
            </w:r>
          </w:p>
        </w:tc>
        <w:tc>
          <w:tcPr>
            <w:tcW w:w="2580" w:type="dxa"/>
            <w:vAlign w:val="top"/>
          </w:tcPr>
          <w:p w14:paraId="15C7AD12">
            <w:pPr>
              <w:rPr>
                <w:rFonts w:hint="eastAsia" w:ascii="宋体" w:hAnsi="宋体" w:eastAsia="宋体" w:cs="宋体"/>
                <w:color w:val="auto"/>
                <w:sz w:val="24"/>
                <w:szCs w:val="24"/>
                <w:highlight w:val="none"/>
              </w:rPr>
            </w:pPr>
          </w:p>
          <w:p w14:paraId="00EC66E7">
            <w:pPr>
              <w:rPr>
                <w:rFonts w:hint="eastAsia" w:ascii="宋体" w:hAnsi="宋体" w:eastAsia="宋体" w:cs="宋体"/>
                <w:color w:val="auto"/>
                <w:sz w:val="24"/>
                <w:szCs w:val="24"/>
                <w:highlight w:val="none"/>
              </w:rPr>
            </w:pPr>
          </w:p>
          <w:p w14:paraId="0C241066">
            <w:pPr>
              <w:rPr>
                <w:rFonts w:hint="eastAsia" w:ascii="宋体" w:hAnsi="宋体" w:eastAsia="宋体" w:cs="宋体"/>
                <w:color w:val="auto"/>
                <w:sz w:val="24"/>
                <w:szCs w:val="24"/>
                <w:highlight w:val="none"/>
              </w:rPr>
            </w:pPr>
          </w:p>
          <w:p w14:paraId="3CBF8F92">
            <w:pPr>
              <w:rPr>
                <w:rFonts w:hint="eastAsia" w:ascii="宋体" w:hAnsi="宋体" w:eastAsia="宋体" w:cs="宋体"/>
                <w:color w:val="auto"/>
                <w:sz w:val="24"/>
                <w:szCs w:val="24"/>
                <w:highlight w:val="none"/>
              </w:rPr>
            </w:pPr>
          </w:p>
          <w:p w14:paraId="27001672">
            <w:pPr>
              <w:rPr>
                <w:rFonts w:hint="eastAsia" w:ascii="宋体" w:hAnsi="宋体" w:eastAsia="宋体" w:cs="宋体"/>
                <w:color w:val="auto"/>
                <w:sz w:val="24"/>
                <w:szCs w:val="24"/>
                <w:highlight w:val="none"/>
              </w:rPr>
            </w:pPr>
          </w:p>
          <w:p w14:paraId="527BA1B2">
            <w:pPr>
              <w:rPr>
                <w:rFonts w:hint="eastAsia" w:ascii="宋体" w:hAnsi="宋体" w:eastAsia="宋体" w:cs="宋体"/>
                <w:color w:val="auto"/>
                <w:sz w:val="24"/>
                <w:szCs w:val="24"/>
                <w:highlight w:val="none"/>
              </w:rPr>
            </w:pPr>
          </w:p>
          <w:p w14:paraId="258D612E">
            <w:pPr>
              <w:rPr>
                <w:rFonts w:hint="eastAsia" w:ascii="宋体" w:hAnsi="宋体" w:eastAsia="宋体" w:cs="宋体"/>
                <w:color w:val="auto"/>
                <w:sz w:val="24"/>
                <w:szCs w:val="24"/>
                <w:highlight w:val="none"/>
              </w:rPr>
            </w:pPr>
          </w:p>
          <w:p w14:paraId="62487373">
            <w:pPr>
              <w:spacing w:line="241" w:lineRule="auto"/>
              <w:rPr>
                <w:rFonts w:hint="eastAsia" w:ascii="宋体" w:hAnsi="宋体" w:eastAsia="宋体" w:cs="宋体"/>
                <w:color w:val="auto"/>
                <w:sz w:val="24"/>
                <w:szCs w:val="24"/>
                <w:highlight w:val="none"/>
              </w:rPr>
            </w:pPr>
          </w:p>
          <w:p w14:paraId="0A540CDD">
            <w:pPr>
              <w:spacing w:line="241" w:lineRule="auto"/>
              <w:rPr>
                <w:rFonts w:hint="eastAsia" w:ascii="宋体" w:hAnsi="宋体" w:eastAsia="宋体" w:cs="宋体"/>
                <w:color w:val="auto"/>
                <w:sz w:val="24"/>
                <w:szCs w:val="24"/>
                <w:highlight w:val="none"/>
              </w:rPr>
            </w:pPr>
          </w:p>
          <w:p w14:paraId="5270EBD6">
            <w:pPr>
              <w:spacing w:line="241" w:lineRule="auto"/>
              <w:rPr>
                <w:rFonts w:hint="eastAsia" w:ascii="宋体" w:hAnsi="宋体" w:eastAsia="宋体" w:cs="宋体"/>
                <w:color w:val="auto"/>
                <w:sz w:val="24"/>
                <w:szCs w:val="24"/>
                <w:highlight w:val="none"/>
              </w:rPr>
            </w:pPr>
          </w:p>
          <w:p w14:paraId="1F270008">
            <w:pPr>
              <w:spacing w:line="241" w:lineRule="auto"/>
              <w:rPr>
                <w:rFonts w:hint="eastAsia" w:ascii="宋体" w:hAnsi="宋体" w:eastAsia="宋体" w:cs="宋体"/>
                <w:color w:val="auto"/>
                <w:sz w:val="24"/>
                <w:szCs w:val="24"/>
                <w:highlight w:val="none"/>
              </w:rPr>
            </w:pPr>
          </w:p>
          <w:p w14:paraId="4ECD06DF">
            <w:pPr>
              <w:spacing w:line="241" w:lineRule="auto"/>
              <w:rPr>
                <w:rFonts w:hint="eastAsia" w:ascii="宋体" w:hAnsi="宋体" w:eastAsia="宋体" w:cs="宋体"/>
                <w:color w:val="auto"/>
                <w:sz w:val="24"/>
                <w:szCs w:val="24"/>
                <w:highlight w:val="none"/>
              </w:rPr>
            </w:pPr>
          </w:p>
          <w:p w14:paraId="2F1814CF">
            <w:pPr>
              <w:spacing w:line="241" w:lineRule="auto"/>
              <w:rPr>
                <w:rFonts w:hint="eastAsia" w:ascii="宋体" w:hAnsi="宋体" w:eastAsia="宋体" w:cs="宋体"/>
                <w:color w:val="auto"/>
                <w:sz w:val="24"/>
                <w:szCs w:val="24"/>
                <w:highlight w:val="none"/>
              </w:rPr>
            </w:pPr>
          </w:p>
          <w:p w14:paraId="23B86689">
            <w:pPr>
              <w:spacing w:line="241" w:lineRule="auto"/>
              <w:rPr>
                <w:rFonts w:hint="eastAsia" w:ascii="宋体" w:hAnsi="宋体" w:eastAsia="宋体" w:cs="宋体"/>
                <w:color w:val="auto"/>
                <w:sz w:val="24"/>
                <w:szCs w:val="24"/>
                <w:highlight w:val="none"/>
              </w:rPr>
            </w:pPr>
          </w:p>
          <w:p w14:paraId="077F3B0A">
            <w:pPr>
              <w:spacing w:line="241" w:lineRule="auto"/>
              <w:rPr>
                <w:rFonts w:hint="eastAsia" w:ascii="宋体" w:hAnsi="宋体" w:eastAsia="宋体" w:cs="宋体"/>
                <w:color w:val="auto"/>
                <w:sz w:val="24"/>
                <w:szCs w:val="24"/>
                <w:highlight w:val="none"/>
              </w:rPr>
            </w:pPr>
          </w:p>
          <w:p w14:paraId="133C9356">
            <w:pPr>
              <w:spacing w:line="241" w:lineRule="auto"/>
              <w:rPr>
                <w:rFonts w:hint="eastAsia" w:ascii="宋体" w:hAnsi="宋体" w:eastAsia="宋体" w:cs="宋体"/>
                <w:color w:val="auto"/>
                <w:sz w:val="24"/>
                <w:szCs w:val="24"/>
                <w:highlight w:val="none"/>
              </w:rPr>
            </w:pPr>
          </w:p>
          <w:p w14:paraId="0FD5F546">
            <w:pPr>
              <w:spacing w:line="241" w:lineRule="auto"/>
              <w:rPr>
                <w:rFonts w:hint="eastAsia" w:ascii="宋体" w:hAnsi="宋体" w:eastAsia="宋体" w:cs="宋体"/>
                <w:color w:val="auto"/>
                <w:sz w:val="24"/>
                <w:szCs w:val="24"/>
                <w:highlight w:val="none"/>
              </w:rPr>
            </w:pPr>
          </w:p>
          <w:p w14:paraId="6B446332">
            <w:pPr>
              <w:spacing w:line="241" w:lineRule="auto"/>
              <w:rPr>
                <w:rFonts w:hint="eastAsia" w:ascii="宋体" w:hAnsi="宋体" w:eastAsia="宋体" w:cs="宋体"/>
                <w:color w:val="auto"/>
                <w:sz w:val="24"/>
                <w:szCs w:val="24"/>
                <w:highlight w:val="none"/>
              </w:rPr>
            </w:pPr>
          </w:p>
          <w:p w14:paraId="52C70EE1">
            <w:pPr>
              <w:spacing w:line="241" w:lineRule="auto"/>
              <w:rPr>
                <w:rFonts w:hint="eastAsia" w:ascii="宋体" w:hAnsi="宋体" w:eastAsia="宋体" w:cs="宋体"/>
                <w:color w:val="auto"/>
                <w:sz w:val="24"/>
                <w:szCs w:val="24"/>
                <w:highlight w:val="none"/>
              </w:rPr>
            </w:pPr>
          </w:p>
          <w:p w14:paraId="1435F9AA">
            <w:pPr>
              <w:spacing w:line="241" w:lineRule="auto"/>
              <w:rPr>
                <w:rFonts w:hint="eastAsia" w:ascii="宋体" w:hAnsi="宋体" w:eastAsia="宋体" w:cs="宋体"/>
                <w:color w:val="auto"/>
                <w:sz w:val="24"/>
                <w:szCs w:val="24"/>
                <w:highlight w:val="none"/>
              </w:rPr>
            </w:pPr>
          </w:p>
          <w:p w14:paraId="62EB819C">
            <w:pPr>
              <w:spacing w:line="241" w:lineRule="auto"/>
              <w:rPr>
                <w:rFonts w:hint="eastAsia" w:ascii="宋体" w:hAnsi="宋体" w:eastAsia="宋体" w:cs="宋体"/>
                <w:color w:val="auto"/>
                <w:sz w:val="24"/>
                <w:szCs w:val="24"/>
                <w:highlight w:val="none"/>
              </w:rPr>
            </w:pPr>
          </w:p>
          <w:p w14:paraId="59AA86C1">
            <w:pPr>
              <w:spacing w:line="241" w:lineRule="auto"/>
              <w:rPr>
                <w:rFonts w:hint="eastAsia" w:ascii="宋体" w:hAnsi="宋体" w:eastAsia="宋体" w:cs="宋体"/>
                <w:color w:val="auto"/>
                <w:sz w:val="24"/>
                <w:szCs w:val="24"/>
                <w:highlight w:val="none"/>
              </w:rPr>
            </w:pPr>
          </w:p>
          <w:p w14:paraId="7A90CE2F">
            <w:pPr>
              <w:spacing w:line="241" w:lineRule="auto"/>
              <w:rPr>
                <w:rFonts w:hint="eastAsia" w:ascii="宋体" w:hAnsi="宋体" w:eastAsia="宋体" w:cs="宋体"/>
                <w:color w:val="auto"/>
                <w:sz w:val="24"/>
                <w:szCs w:val="24"/>
                <w:highlight w:val="none"/>
              </w:rPr>
            </w:pPr>
          </w:p>
          <w:p w14:paraId="771AD9A3">
            <w:pPr>
              <w:spacing w:line="241" w:lineRule="auto"/>
              <w:rPr>
                <w:rFonts w:hint="eastAsia" w:ascii="宋体" w:hAnsi="宋体" w:eastAsia="宋体" w:cs="宋体"/>
                <w:color w:val="auto"/>
                <w:sz w:val="24"/>
                <w:szCs w:val="24"/>
                <w:highlight w:val="none"/>
              </w:rPr>
            </w:pPr>
          </w:p>
          <w:p w14:paraId="28C91442">
            <w:pPr>
              <w:spacing w:line="241" w:lineRule="auto"/>
              <w:rPr>
                <w:rFonts w:hint="eastAsia" w:ascii="宋体" w:hAnsi="宋体" w:eastAsia="宋体" w:cs="宋体"/>
                <w:color w:val="auto"/>
                <w:sz w:val="24"/>
                <w:szCs w:val="24"/>
                <w:highlight w:val="none"/>
              </w:rPr>
            </w:pPr>
          </w:p>
          <w:p w14:paraId="77438E09">
            <w:pPr>
              <w:spacing w:line="241" w:lineRule="auto"/>
              <w:rPr>
                <w:rFonts w:hint="eastAsia" w:ascii="宋体" w:hAnsi="宋体" w:eastAsia="宋体" w:cs="宋体"/>
                <w:color w:val="auto"/>
                <w:sz w:val="24"/>
                <w:szCs w:val="24"/>
                <w:highlight w:val="none"/>
              </w:rPr>
            </w:pPr>
          </w:p>
          <w:p w14:paraId="1A1CA993">
            <w:pPr>
              <w:pStyle w:val="25"/>
              <w:spacing w:before="65" w:line="228" w:lineRule="auto"/>
              <w:ind w:left="227" w:leftChars="0"/>
              <w:rPr>
                <w:rFonts w:hint="eastAsia" w:ascii="宋体" w:hAnsi="宋体" w:eastAsia="宋体" w:cs="宋体"/>
                <w:color w:val="auto"/>
                <w:spacing w:val="8"/>
                <w:sz w:val="24"/>
                <w:szCs w:val="24"/>
                <w:highlight w:val="none"/>
              </w:rPr>
            </w:pPr>
            <w:r>
              <w:rPr>
                <w:rFonts w:hint="eastAsia" w:ascii="宋体" w:hAnsi="宋体" w:eastAsia="宋体" w:cs="宋体"/>
                <w:color w:val="auto"/>
                <w:spacing w:val="7"/>
                <w:sz w:val="24"/>
                <w:szCs w:val="24"/>
                <w:highlight w:val="none"/>
              </w:rPr>
              <w:t>需要补充的其他内容</w:t>
            </w:r>
          </w:p>
        </w:tc>
        <w:tc>
          <w:tcPr>
            <w:tcW w:w="5531" w:type="dxa"/>
            <w:vAlign w:val="top"/>
          </w:tcPr>
          <w:p w14:paraId="427C0532">
            <w:pPr>
              <w:pStyle w:val="25"/>
              <w:spacing w:before="30" w:line="340" w:lineRule="auto"/>
              <w:ind w:left="112" w:right="109" w:firstLine="4"/>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一、在开标过程中，如遇到无法按招标文件规定</w:t>
            </w:r>
            <w:r>
              <w:rPr>
                <w:rFonts w:hint="eastAsia" w:ascii="宋体" w:hAnsi="宋体" w:eastAsia="宋体" w:cs="宋体"/>
                <w:color w:val="auto"/>
                <w:spacing w:val="6"/>
                <w:sz w:val="24"/>
                <w:szCs w:val="24"/>
                <w:highlight w:val="none"/>
              </w:rPr>
              <w:t>在现场</w:t>
            </w:r>
            <w:r>
              <w:rPr>
                <w:rFonts w:hint="eastAsia" w:ascii="宋体" w:hAnsi="宋体" w:eastAsia="宋体" w:cs="宋体"/>
                <w:color w:val="auto"/>
                <w:spacing w:val="7"/>
                <w:sz w:val="24"/>
                <w:szCs w:val="24"/>
                <w:highlight w:val="none"/>
              </w:rPr>
              <w:t>当场宣布为废标的情况，经监标人确认后，招标人有权交由评标委员会按规定进行评定，投标人必须接受评标委员的评定结果。</w:t>
            </w:r>
          </w:p>
          <w:p w14:paraId="65C0C0E5">
            <w:pPr>
              <w:pStyle w:val="25"/>
              <w:spacing w:before="164" w:line="358" w:lineRule="auto"/>
              <w:ind w:left="112" w:right="105" w:firstLine="3"/>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二、本项目招标代理服务费根据招标人与代理人</w:t>
            </w:r>
            <w:r>
              <w:rPr>
                <w:rFonts w:hint="eastAsia" w:ascii="宋体" w:hAnsi="宋体" w:eastAsia="宋体" w:cs="宋体"/>
                <w:color w:val="auto"/>
                <w:spacing w:val="6"/>
                <w:sz w:val="24"/>
                <w:szCs w:val="24"/>
                <w:highlight w:val="none"/>
              </w:rPr>
              <w:t>签订的</w:t>
            </w:r>
            <w:r>
              <w:rPr>
                <w:rFonts w:hint="eastAsia" w:ascii="宋体" w:hAnsi="宋体" w:eastAsia="宋体" w:cs="宋体"/>
                <w:color w:val="auto"/>
                <w:spacing w:val="7"/>
                <w:sz w:val="24"/>
                <w:szCs w:val="24"/>
                <w:highlight w:val="none"/>
              </w:rPr>
              <w:t>招标代理</w:t>
            </w:r>
            <w:r>
              <w:rPr>
                <w:rFonts w:hint="eastAsia" w:ascii="宋体" w:hAnsi="宋体" w:eastAsia="宋体" w:cs="宋体"/>
                <w:color w:val="auto"/>
                <w:spacing w:val="7"/>
                <w:sz w:val="24"/>
                <w:szCs w:val="24"/>
                <w:highlight w:val="none"/>
                <w:lang w:eastAsia="zh-CN"/>
              </w:rPr>
              <w:t>合同</w:t>
            </w:r>
            <w:r>
              <w:rPr>
                <w:rFonts w:hint="eastAsia" w:ascii="宋体" w:hAnsi="宋体" w:eastAsia="宋体" w:cs="宋体"/>
                <w:color w:val="auto"/>
                <w:spacing w:val="7"/>
                <w:sz w:val="24"/>
                <w:szCs w:val="24"/>
                <w:highlight w:val="none"/>
              </w:rPr>
              <w:t>，本项目委托招标代理服务费以中标价为</w:t>
            </w:r>
            <w:r>
              <w:rPr>
                <w:rFonts w:hint="eastAsia" w:ascii="宋体" w:hAnsi="宋体" w:eastAsia="宋体" w:cs="宋体"/>
                <w:color w:val="auto"/>
                <w:spacing w:val="8"/>
                <w:sz w:val="24"/>
                <w:szCs w:val="24"/>
                <w:highlight w:val="none"/>
              </w:rPr>
              <w:t>基数，按差额定率累进法计算：100万元以下的费率</w:t>
            </w:r>
            <w:r>
              <w:rPr>
                <w:rFonts w:hint="eastAsia" w:ascii="宋体" w:hAnsi="宋体" w:eastAsia="宋体" w:cs="宋体"/>
                <w:color w:val="auto"/>
                <w:spacing w:val="2"/>
                <w:sz w:val="24"/>
                <w:szCs w:val="24"/>
                <w:highlight w:val="none"/>
              </w:rPr>
              <w:t>为1.0%；100-500万元的费率为0.7%；500－10</w:t>
            </w:r>
            <w:r>
              <w:rPr>
                <w:rFonts w:hint="eastAsia" w:ascii="宋体" w:hAnsi="宋体" w:eastAsia="宋体" w:cs="宋体"/>
                <w:color w:val="auto"/>
                <w:spacing w:val="1"/>
                <w:sz w:val="24"/>
                <w:szCs w:val="24"/>
                <w:highlight w:val="none"/>
              </w:rPr>
              <w:t>00</w:t>
            </w:r>
            <w:r>
              <w:rPr>
                <w:rFonts w:hint="eastAsia" w:ascii="宋体" w:hAnsi="宋体" w:eastAsia="宋体" w:cs="宋体"/>
                <w:color w:val="auto"/>
                <w:spacing w:val="6"/>
                <w:sz w:val="24"/>
                <w:szCs w:val="24"/>
                <w:highlight w:val="none"/>
              </w:rPr>
              <w:t>万元的费率为0.55%；1000－5000万元的费率为</w:t>
            </w:r>
            <w:r>
              <w:rPr>
                <w:rFonts w:hint="eastAsia" w:ascii="宋体" w:hAnsi="宋体" w:eastAsia="宋体" w:cs="宋体"/>
                <w:color w:val="auto"/>
                <w:spacing w:val="5"/>
                <w:sz w:val="24"/>
                <w:szCs w:val="24"/>
                <w:highlight w:val="none"/>
              </w:rPr>
              <w:t>0.35%计取，在中标通知书发出前由中标人一次性向招</w:t>
            </w:r>
            <w:r>
              <w:rPr>
                <w:rFonts w:hint="eastAsia" w:ascii="宋体" w:hAnsi="宋体" w:eastAsia="宋体" w:cs="宋体"/>
                <w:color w:val="auto"/>
                <w:spacing w:val="7"/>
                <w:sz w:val="24"/>
                <w:szCs w:val="24"/>
                <w:highlight w:val="none"/>
              </w:rPr>
              <w:t>标代理机构付清。请各投标人在报价时应综合考虑该成</w:t>
            </w:r>
            <w:r>
              <w:rPr>
                <w:rFonts w:hint="eastAsia" w:ascii="宋体" w:hAnsi="宋体" w:eastAsia="宋体" w:cs="宋体"/>
                <w:color w:val="auto"/>
                <w:sz w:val="24"/>
                <w:szCs w:val="24"/>
                <w:highlight w:val="none"/>
              </w:rPr>
              <w:t>本。</w:t>
            </w:r>
          </w:p>
          <w:p w14:paraId="724F8759">
            <w:pPr>
              <w:pStyle w:val="25"/>
              <w:spacing w:before="157" w:line="361" w:lineRule="auto"/>
              <w:ind w:left="112" w:right="107"/>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三、农民工工资保证金的缴纳方式：按照《广西壮族自</w:t>
            </w:r>
            <w:r>
              <w:rPr>
                <w:rFonts w:hint="eastAsia" w:ascii="宋体" w:hAnsi="宋体" w:eastAsia="宋体" w:cs="宋体"/>
                <w:color w:val="auto"/>
                <w:spacing w:val="16"/>
                <w:sz w:val="24"/>
                <w:szCs w:val="24"/>
                <w:highlight w:val="none"/>
              </w:rPr>
              <w:t>治区工程建设领域农民工工资专用账户管理暂行办法</w:t>
            </w:r>
            <w:r>
              <w:rPr>
                <w:rFonts w:hint="eastAsia" w:ascii="宋体" w:hAnsi="宋体" w:eastAsia="宋体" w:cs="宋体"/>
                <w:color w:val="auto"/>
                <w:spacing w:val="3"/>
                <w:sz w:val="24"/>
                <w:szCs w:val="24"/>
                <w:highlight w:val="none"/>
              </w:rPr>
              <w:t>实施细则》(桂人社规﹝2022﹞5号)、《广西壮</w:t>
            </w:r>
            <w:r>
              <w:rPr>
                <w:rFonts w:hint="eastAsia" w:ascii="宋体" w:hAnsi="宋体" w:eastAsia="宋体" w:cs="宋体"/>
                <w:color w:val="auto"/>
                <w:spacing w:val="2"/>
                <w:sz w:val="24"/>
                <w:szCs w:val="24"/>
                <w:highlight w:val="none"/>
              </w:rPr>
              <w:t>族自</w:t>
            </w:r>
            <w:r>
              <w:rPr>
                <w:rFonts w:hint="eastAsia" w:ascii="宋体" w:hAnsi="宋体" w:eastAsia="宋体" w:cs="宋体"/>
                <w:color w:val="auto"/>
                <w:spacing w:val="11"/>
                <w:sz w:val="24"/>
                <w:szCs w:val="24"/>
                <w:highlight w:val="none"/>
              </w:rPr>
              <w:t>治区人力资源和社会保障厅广西壮族自治区住房和城</w:t>
            </w:r>
            <w:r>
              <w:rPr>
                <w:rFonts w:hint="eastAsia" w:ascii="宋体" w:hAnsi="宋体" w:eastAsia="宋体" w:cs="宋体"/>
                <w:color w:val="auto"/>
                <w:spacing w:val="15"/>
                <w:sz w:val="24"/>
                <w:szCs w:val="24"/>
                <w:highlight w:val="none"/>
              </w:rPr>
              <w:t>乡建设厅广西壮族自治区交通运输厅广西壮族自治</w:t>
            </w:r>
            <w:r>
              <w:rPr>
                <w:rFonts w:hint="eastAsia" w:ascii="宋体" w:hAnsi="宋体" w:eastAsia="宋体" w:cs="宋体"/>
                <w:color w:val="auto"/>
                <w:spacing w:val="10"/>
                <w:sz w:val="24"/>
                <w:szCs w:val="24"/>
                <w:highlight w:val="none"/>
              </w:rPr>
              <w:t>区水利厅中国银行保险监督管理委员会广西监管局关</w:t>
            </w:r>
            <w:r>
              <w:rPr>
                <w:rFonts w:hint="eastAsia" w:ascii="宋体" w:hAnsi="宋体" w:eastAsia="宋体" w:cs="宋体"/>
                <w:color w:val="auto"/>
                <w:spacing w:val="16"/>
                <w:sz w:val="24"/>
                <w:szCs w:val="24"/>
                <w:highlight w:val="none"/>
              </w:rPr>
              <w:t>于印发广西壮族自治区工程建设领域农民工工资保证</w:t>
            </w:r>
            <w:r>
              <w:rPr>
                <w:rFonts w:hint="eastAsia" w:ascii="宋体" w:hAnsi="宋体" w:eastAsia="宋体" w:cs="宋体"/>
                <w:color w:val="auto"/>
                <w:spacing w:val="5"/>
                <w:sz w:val="24"/>
                <w:szCs w:val="24"/>
                <w:highlight w:val="none"/>
              </w:rPr>
              <w:t>金规定实施办法的通知》(桂人社规〔2021〕16</w:t>
            </w:r>
            <w:r>
              <w:rPr>
                <w:rFonts w:hint="eastAsia" w:ascii="宋体" w:hAnsi="宋体" w:eastAsia="宋体" w:cs="宋体"/>
                <w:color w:val="auto"/>
                <w:spacing w:val="4"/>
                <w:sz w:val="24"/>
                <w:szCs w:val="24"/>
                <w:highlight w:val="none"/>
              </w:rPr>
              <w:t>号)</w:t>
            </w:r>
            <w:r>
              <w:rPr>
                <w:rFonts w:hint="eastAsia" w:ascii="宋体" w:hAnsi="宋体" w:eastAsia="宋体" w:cs="宋体"/>
                <w:color w:val="auto"/>
                <w:spacing w:val="3"/>
                <w:sz w:val="24"/>
                <w:szCs w:val="24"/>
                <w:highlight w:val="none"/>
              </w:rPr>
              <w:t>执行。</w:t>
            </w:r>
          </w:p>
          <w:p w14:paraId="3A66B6AC">
            <w:pPr>
              <w:pStyle w:val="25"/>
              <w:spacing w:before="162" w:line="327" w:lineRule="auto"/>
              <w:ind w:left="113" w:right="109" w:firstLine="18"/>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四、农民工实名制：按照《关于进一步加强工程建设领</w:t>
            </w:r>
            <w:r>
              <w:rPr>
                <w:rFonts w:hint="eastAsia" w:ascii="宋体" w:hAnsi="宋体" w:eastAsia="宋体" w:cs="宋体"/>
                <w:color w:val="auto"/>
                <w:spacing w:val="6"/>
                <w:sz w:val="24"/>
                <w:szCs w:val="24"/>
                <w:highlight w:val="none"/>
              </w:rPr>
              <w:t>域工人实名制管理工作的通知》(桂建管[2018]67号)规</w:t>
            </w:r>
            <w:r>
              <w:rPr>
                <w:rFonts w:hint="eastAsia" w:ascii="宋体" w:hAnsi="宋体" w:eastAsia="宋体" w:cs="宋体"/>
                <w:color w:val="auto"/>
                <w:sz w:val="24"/>
                <w:szCs w:val="24"/>
                <w:highlight w:val="none"/>
              </w:rPr>
              <w:t>定。</w:t>
            </w:r>
          </w:p>
          <w:p w14:paraId="1C994BA6">
            <w:pPr>
              <w:pStyle w:val="25"/>
              <w:spacing w:before="165" w:line="347" w:lineRule="auto"/>
              <w:ind w:left="112" w:right="109" w:firstLine="3"/>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五、投标人需将拟委任的项目经理、项目总工的</w:t>
            </w:r>
            <w:r>
              <w:rPr>
                <w:rFonts w:hint="eastAsia" w:ascii="宋体" w:hAnsi="宋体" w:eastAsia="宋体" w:cs="宋体"/>
                <w:color w:val="auto"/>
                <w:spacing w:val="6"/>
                <w:sz w:val="24"/>
                <w:szCs w:val="24"/>
                <w:highlight w:val="none"/>
              </w:rPr>
              <w:t>各种相</w:t>
            </w:r>
            <w:r>
              <w:rPr>
                <w:rFonts w:hint="eastAsia" w:ascii="宋体" w:hAnsi="宋体" w:eastAsia="宋体" w:cs="宋体"/>
                <w:color w:val="auto"/>
                <w:spacing w:val="7"/>
                <w:sz w:val="24"/>
                <w:szCs w:val="24"/>
                <w:highlight w:val="none"/>
              </w:rPr>
              <w:t>关证书原件按资格审查条件要求准备好，评标委员会将根据评标情况随时要求投标人澄清。如投标人未能按评标委员会要求作澄清的，则根据招标文件规定，其投标</w:t>
            </w:r>
            <w:r>
              <w:rPr>
                <w:rFonts w:hint="eastAsia" w:ascii="宋体" w:hAnsi="宋体" w:eastAsia="宋体" w:cs="宋体"/>
                <w:color w:val="auto"/>
                <w:spacing w:val="6"/>
                <w:sz w:val="24"/>
                <w:szCs w:val="24"/>
                <w:highlight w:val="none"/>
              </w:rPr>
              <w:t>作废标处理。</w:t>
            </w:r>
          </w:p>
          <w:p w14:paraId="707BDFC3">
            <w:pPr>
              <w:pStyle w:val="25"/>
              <w:spacing w:before="160" w:line="327" w:lineRule="auto"/>
              <w:ind w:left="112" w:leftChars="0" w:right="98" w:rightChars="0" w:firstLine="1" w:firstLineChars="0"/>
              <w:rPr>
                <w:rFonts w:hint="eastAsia" w:ascii="宋体" w:hAnsi="宋体" w:eastAsia="宋体" w:cs="宋体"/>
                <w:color w:val="auto"/>
                <w:spacing w:val="9"/>
                <w:sz w:val="24"/>
                <w:szCs w:val="24"/>
                <w:highlight w:val="none"/>
              </w:rPr>
            </w:pPr>
            <w:r>
              <w:rPr>
                <w:rFonts w:hint="eastAsia" w:ascii="宋体" w:hAnsi="宋体" w:eastAsia="宋体" w:cs="宋体"/>
                <w:color w:val="auto"/>
                <w:spacing w:val="7"/>
                <w:sz w:val="24"/>
                <w:szCs w:val="24"/>
                <w:highlight w:val="none"/>
              </w:rPr>
              <w:t>六、各投标人必须按第九章投标文件格式“农民工</w:t>
            </w:r>
            <w:r>
              <w:rPr>
                <w:rFonts w:hint="eastAsia" w:ascii="宋体" w:hAnsi="宋体" w:eastAsia="宋体" w:cs="宋体"/>
                <w:color w:val="auto"/>
                <w:spacing w:val="6"/>
                <w:sz w:val="24"/>
                <w:szCs w:val="24"/>
                <w:highlight w:val="none"/>
              </w:rPr>
              <w:t>工资保证金承诺书”对农民工工资保证金的问题作出承诺，</w:t>
            </w:r>
            <w:r>
              <w:rPr>
                <w:rFonts w:hint="eastAsia" w:ascii="宋体" w:hAnsi="宋体" w:eastAsia="宋体" w:cs="宋体"/>
                <w:color w:val="auto"/>
                <w:spacing w:val="9"/>
                <w:sz w:val="24"/>
                <w:szCs w:val="24"/>
                <w:highlight w:val="none"/>
              </w:rPr>
              <w:t>承诺内容与承诺书格式内容不符的，作废标处理。</w:t>
            </w:r>
          </w:p>
          <w:p w14:paraId="32D9BA90">
            <w:pPr>
              <w:pStyle w:val="25"/>
              <w:spacing w:before="35" w:line="352" w:lineRule="auto"/>
              <w:ind w:left="113" w:right="81" w:hanging="1"/>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七、投标人拟派的主要人员（项目经理、总工)，不允</w:t>
            </w:r>
            <w:r>
              <w:rPr>
                <w:rFonts w:hint="eastAsia" w:ascii="宋体" w:hAnsi="宋体" w:eastAsia="宋体" w:cs="宋体"/>
                <w:color w:val="auto"/>
                <w:spacing w:val="7"/>
                <w:sz w:val="24"/>
                <w:szCs w:val="24"/>
                <w:highlight w:val="none"/>
              </w:rPr>
              <w:t>许同时在其它在建项目（中标后至交工验收）中任职项目经理或项目总工。若招标人在评标期间及中标公示期间，一旦发现存在上述情形且经核实，招标人有权否决</w:t>
            </w:r>
            <w:r>
              <w:rPr>
                <w:rFonts w:hint="eastAsia" w:ascii="宋体" w:hAnsi="宋体" w:eastAsia="宋体" w:cs="宋体"/>
                <w:color w:val="auto"/>
                <w:spacing w:val="8"/>
                <w:sz w:val="24"/>
                <w:szCs w:val="24"/>
                <w:highlight w:val="none"/>
              </w:rPr>
              <w:t>其投标。招标文件中有关主要人员（项目经理、总工)是否允许有在建项目的表述，均以本条款的要求为准。</w:t>
            </w:r>
          </w:p>
          <w:p w14:paraId="6266065E">
            <w:pPr>
              <w:pStyle w:val="25"/>
              <w:keepNext w:val="0"/>
              <w:keepLines w:val="0"/>
              <w:pageBreakBefore w:val="0"/>
              <w:widowControl/>
              <w:kinsoku w:val="0"/>
              <w:wordWrap/>
              <w:overflowPunct/>
              <w:topLinePunct w:val="0"/>
              <w:autoSpaceDE w:val="0"/>
              <w:autoSpaceDN w:val="0"/>
              <w:bidi w:val="0"/>
              <w:adjustRightInd w:val="0"/>
              <w:snapToGrid w:val="0"/>
              <w:spacing w:before="165" w:line="302" w:lineRule="auto"/>
              <w:ind w:left="112" w:right="0" w:firstLine="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八、本项目属于专门面向中小企业采购的项目，</w:t>
            </w:r>
            <w:r>
              <w:rPr>
                <w:rFonts w:hint="eastAsia" w:ascii="宋体" w:hAnsi="宋体" w:eastAsia="宋体" w:cs="宋体"/>
                <w:color w:val="auto"/>
                <w:spacing w:val="6"/>
                <w:sz w:val="24"/>
                <w:szCs w:val="24"/>
                <w:highlight w:val="none"/>
              </w:rPr>
              <w:t>投标人</w:t>
            </w:r>
            <w:r>
              <w:rPr>
                <w:rFonts w:hint="eastAsia" w:ascii="宋体" w:hAnsi="宋体" w:eastAsia="宋体" w:cs="宋体"/>
                <w:color w:val="auto"/>
                <w:spacing w:val="9"/>
                <w:sz w:val="24"/>
                <w:szCs w:val="24"/>
                <w:highlight w:val="none"/>
              </w:rPr>
              <w:t>应为中小企业或监狱企业或残疾人福利性单位。</w:t>
            </w:r>
          </w:p>
          <w:p w14:paraId="61106568">
            <w:pPr>
              <w:pStyle w:val="25"/>
              <w:keepNext w:val="0"/>
              <w:keepLines w:val="0"/>
              <w:pageBreakBefore w:val="0"/>
              <w:widowControl/>
              <w:kinsoku w:val="0"/>
              <w:wordWrap/>
              <w:overflowPunct/>
              <w:topLinePunct w:val="0"/>
              <w:autoSpaceDE w:val="0"/>
              <w:autoSpaceDN w:val="0"/>
              <w:bidi w:val="0"/>
              <w:adjustRightInd w:val="0"/>
              <w:snapToGrid w:val="0"/>
              <w:spacing w:before="160"/>
              <w:ind w:left="123" w:right="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（一）</w:t>
            </w:r>
          </w:p>
          <w:p w14:paraId="0B015660">
            <w:pPr>
              <w:pStyle w:val="25"/>
              <w:keepNext w:val="0"/>
              <w:keepLines w:val="0"/>
              <w:pageBreakBefore w:val="0"/>
              <w:widowControl/>
              <w:kinsoku w:val="0"/>
              <w:wordWrap/>
              <w:overflowPunct/>
              <w:topLinePunct w:val="0"/>
              <w:autoSpaceDE w:val="0"/>
              <w:autoSpaceDN w:val="0"/>
              <w:bidi w:val="0"/>
              <w:adjustRightInd w:val="0"/>
              <w:snapToGrid w:val="0"/>
              <w:spacing w:before="144" w:line="360" w:lineRule="auto"/>
              <w:ind w:left="0" w:right="0" w:firstLine="1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（1）根据《政府采购促进中小企业发展管理办法》（财</w:t>
            </w:r>
            <w:r>
              <w:rPr>
                <w:rFonts w:hint="eastAsia" w:ascii="宋体" w:hAnsi="宋体" w:eastAsia="宋体" w:cs="宋体"/>
                <w:color w:val="auto"/>
                <w:spacing w:val="8"/>
                <w:sz w:val="24"/>
                <w:szCs w:val="24"/>
                <w:highlight w:val="none"/>
              </w:rPr>
              <w:t>库〔2020〕46号）、财政部《关于进一步加大政府采购支持中小企业力度的通知》（财库2022〕19</w:t>
            </w:r>
            <w:r>
              <w:rPr>
                <w:rFonts w:hint="eastAsia" w:ascii="宋体" w:hAnsi="宋体" w:eastAsia="宋体" w:cs="宋体"/>
                <w:color w:val="auto"/>
                <w:spacing w:val="7"/>
                <w:sz w:val="24"/>
                <w:szCs w:val="24"/>
                <w:highlight w:val="none"/>
              </w:rPr>
              <w:t>号）的规定，本招标文件所称中小企业，是指在中华人民共和国境内依法设立，依据国务院批准的中小企业划分标准确定的中型企业、小型企业和微型企业，但与大企业的负责人为同一人，或者与大企业存在直接控股、管理关</w:t>
            </w:r>
            <w:r>
              <w:rPr>
                <w:rFonts w:hint="eastAsia" w:ascii="宋体" w:hAnsi="宋体" w:eastAsia="宋体" w:cs="宋体"/>
                <w:color w:val="auto"/>
                <w:spacing w:val="6"/>
                <w:sz w:val="24"/>
                <w:szCs w:val="24"/>
                <w:highlight w:val="none"/>
              </w:rPr>
              <w:t>系的除外。</w:t>
            </w:r>
          </w:p>
          <w:p w14:paraId="16765F2D">
            <w:pPr>
              <w:pStyle w:val="25"/>
              <w:spacing w:before="162" w:line="352" w:lineRule="auto"/>
              <w:ind w:left="113" w:right="54" w:firstLine="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（2）在政府采购工程招标活动中，工程由中小企业承</w:t>
            </w:r>
            <w:r>
              <w:rPr>
                <w:rFonts w:hint="eastAsia" w:ascii="宋体" w:hAnsi="宋体" w:eastAsia="宋体" w:cs="宋体"/>
                <w:color w:val="auto"/>
                <w:spacing w:val="7"/>
                <w:sz w:val="24"/>
                <w:szCs w:val="24"/>
                <w:highlight w:val="none"/>
              </w:rPr>
              <w:t>建，即工程施工单位为中小企业，享受招标文件规定的中小企业扶持政策，不对其中涉及的货物的制造商和服务的承接商作出要求，联合体各方均为中小企业的，联</w:t>
            </w:r>
            <w:r>
              <w:rPr>
                <w:rFonts w:hint="eastAsia" w:ascii="宋体" w:hAnsi="宋体" w:eastAsia="宋体" w:cs="宋体"/>
                <w:color w:val="auto"/>
                <w:spacing w:val="1"/>
                <w:sz w:val="24"/>
                <w:szCs w:val="24"/>
                <w:highlight w:val="none"/>
              </w:rPr>
              <w:t>合体视同中小企业。其中，联合体各方均为小微企</w:t>
            </w:r>
            <w:r>
              <w:rPr>
                <w:rFonts w:hint="eastAsia" w:ascii="宋体" w:hAnsi="宋体" w:eastAsia="宋体" w:cs="宋体"/>
                <w:color w:val="auto"/>
                <w:sz w:val="24"/>
                <w:szCs w:val="24"/>
                <w:highlight w:val="none"/>
              </w:rPr>
              <w:t>业的，</w:t>
            </w:r>
            <w:r>
              <w:rPr>
                <w:rFonts w:hint="eastAsia" w:ascii="宋体" w:hAnsi="宋体" w:eastAsia="宋体" w:cs="宋体"/>
                <w:color w:val="auto"/>
                <w:spacing w:val="7"/>
                <w:sz w:val="24"/>
                <w:szCs w:val="24"/>
                <w:highlight w:val="none"/>
              </w:rPr>
              <w:t>联合体视同小微企业。</w:t>
            </w:r>
          </w:p>
          <w:p w14:paraId="4938E7EB">
            <w:pPr>
              <w:pStyle w:val="25"/>
              <w:spacing w:before="161" w:line="303" w:lineRule="auto"/>
              <w:ind w:left="116" w:right="143" w:firstLine="6"/>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w:t>
            </w:r>
            <w:r>
              <w:rPr>
                <w:rFonts w:hint="eastAsia" w:ascii="宋体" w:hAnsi="宋体" w:eastAsia="宋体" w:cs="宋体"/>
                <w:b/>
                <w:bCs/>
                <w:color w:val="auto"/>
                <w:spacing w:val="8"/>
                <w:sz w:val="24"/>
                <w:szCs w:val="24"/>
                <w:highlight w:val="none"/>
              </w:rPr>
              <w:t>本项目所属行业为建筑业。</w:t>
            </w:r>
            <w:r>
              <w:rPr>
                <w:rFonts w:hint="eastAsia" w:ascii="宋体" w:hAnsi="宋体" w:eastAsia="宋体" w:cs="宋体"/>
                <w:color w:val="auto"/>
                <w:spacing w:val="8"/>
                <w:sz w:val="24"/>
                <w:szCs w:val="24"/>
                <w:highlight w:val="none"/>
              </w:rPr>
              <w:t>根据《关于印发中小</w:t>
            </w:r>
            <w:r>
              <w:rPr>
                <w:rFonts w:hint="eastAsia" w:ascii="宋体" w:hAnsi="宋体" w:eastAsia="宋体" w:cs="宋体"/>
                <w:color w:val="auto"/>
                <w:spacing w:val="6"/>
                <w:sz w:val="24"/>
                <w:szCs w:val="24"/>
                <w:highlight w:val="none"/>
              </w:rPr>
              <w:t>企业划型标准规定的通知》（工信部联企业</w:t>
            </w:r>
            <w:r>
              <w:rPr>
                <w:rFonts w:hint="eastAsia" w:ascii="宋体" w:hAnsi="宋体" w:eastAsia="宋体" w:cs="宋体"/>
                <w:color w:val="auto"/>
                <w:spacing w:val="5"/>
                <w:sz w:val="24"/>
                <w:szCs w:val="24"/>
                <w:highlight w:val="none"/>
              </w:rPr>
              <w:t>〔2011〕300号）的规定，建筑业中小企业划型标</w:t>
            </w:r>
            <w:r>
              <w:rPr>
                <w:rFonts w:hint="eastAsia" w:ascii="宋体" w:hAnsi="宋体" w:eastAsia="宋体" w:cs="宋体"/>
                <w:color w:val="auto"/>
                <w:spacing w:val="4"/>
                <w:sz w:val="24"/>
                <w:szCs w:val="24"/>
                <w:highlight w:val="none"/>
              </w:rPr>
              <w:t>准：</w:t>
            </w:r>
            <w:r>
              <w:rPr>
                <w:rFonts w:hint="eastAsia" w:ascii="宋体" w:hAnsi="宋体" w:eastAsia="宋体" w:cs="宋体"/>
                <w:color w:val="auto"/>
                <w:spacing w:val="6"/>
                <w:sz w:val="24"/>
                <w:szCs w:val="24"/>
                <w:highlight w:val="none"/>
              </w:rPr>
              <w:t>营业收入80000万元以下或资产总额80000万元以下的为中小微型企业。其中，营业收入6000万元</w:t>
            </w:r>
            <w:r>
              <w:rPr>
                <w:rFonts w:hint="eastAsia" w:ascii="宋体" w:hAnsi="宋体" w:eastAsia="宋体" w:cs="宋体"/>
                <w:color w:val="auto"/>
                <w:spacing w:val="5"/>
                <w:sz w:val="24"/>
                <w:szCs w:val="24"/>
                <w:highlight w:val="none"/>
              </w:rPr>
              <w:t>及以</w:t>
            </w:r>
            <w:r>
              <w:rPr>
                <w:rFonts w:hint="eastAsia" w:ascii="宋体" w:hAnsi="宋体" w:eastAsia="宋体" w:cs="宋体"/>
                <w:color w:val="auto"/>
                <w:spacing w:val="6"/>
                <w:sz w:val="24"/>
                <w:szCs w:val="24"/>
                <w:highlight w:val="none"/>
              </w:rPr>
              <w:t>上，且资产总额5000万元及以上的为中型企业；</w:t>
            </w:r>
            <w:r>
              <w:rPr>
                <w:rFonts w:hint="eastAsia" w:ascii="宋体" w:hAnsi="宋体" w:eastAsia="宋体" w:cs="宋体"/>
                <w:color w:val="auto"/>
                <w:spacing w:val="5"/>
                <w:sz w:val="24"/>
                <w:szCs w:val="24"/>
                <w:highlight w:val="none"/>
              </w:rPr>
              <w:t>营业收入300万元及以上，且资产总额300万元及以上的</w:t>
            </w:r>
            <w:r>
              <w:rPr>
                <w:rFonts w:hint="eastAsia" w:ascii="宋体" w:hAnsi="宋体" w:eastAsia="宋体" w:cs="宋体"/>
                <w:color w:val="auto"/>
                <w:spacing w:val="8"/>
                <w:sz w:val="24"/>
                <w:szCs w:val="24"/>
                <w:highlight w:val="none"/>
              </w:rPr>
              <w:t>为小型企业；营业收入300万元以下或</w:t>
            </w:r>
            <w:r>
              <w:rPr>
                <w:rFonts w:hint="eastAsia" w:ascii="宋体" w:hAnsi="宋体" w:eastAsia="宋体" w:cs="宋体"/>
                <w:color w:val="auto"/>
                <w:spacing w:val="7"/>
                <w:sz w:val="24"/>
                <w:szCs w:val="24"/>
                <w:highlight w:val="none"/>
              </w:rPr>
              <w:t>资产总额300万元以下的为微型企业。</w:t>
            </w:r>
          </w:p>
          <w:p w14:paraId="5322BB12">
            <w:pPr>
              <w:pStyle w:val="25"/>
              <w:keepNext w:val="0"/>
              <w:keepLines w:val="0"/>
              <w:pageBreakBefore w:val="0"/>
              <w:widowControl/>
              <w:kinsoku w:val="0"/>
              <w:wordWrap/>
              <w:overflowPunct/>
              <w:topLinePunct w:val="0"/>
              <w:autoSpaceDE w:val="0"/>
              <w:autoSpaceDN w:val="0"/>
              <w:bidi w:val="0"/>
              <w:adjustRightInd w:val="0"/>
              <w:snapToGrid w:val="0"/>
              <w:spacing w:before="37" w:line="360" w:lineRule="auto"/>
              <w:ind w:left="11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（4）投标人判断是否为中小企业可以使用工业和信息</w:t>
            </w:r>
            <w:r>
              <w:rPr>
                <w:rFonts w:hint="eastAsia" w:ascii="宋体" w:hAnsi="宋体" w:eastAsia="宋体" w:cs="宋体"/>
                <w:color w:val="auto"/>
                <w:spacing w:val="8"/>
                <w:sz w:val="24"/>
                <w:szCs w:val="24"/>
                <w:highlight w:val="none"/>
              </w:rPr>
              <w:t>化部中小企业局开发的“中小企业规模类型自测小程</w:t>
            </w:r>
            <w:r>
              <w:rPr>
                <w:rFonts w:hint="eastAsia" w:ascii="宋体" w:hAnsi="宋体" w:eastAsia="宋体" w:cs="宋体"/>
                <w:color w:val="auto"/>
                <w:spacing w:val="3"/>
                <w:sz w:val="24"/>
                <w:szCs w:val="24"/>
                <w:highlight w:val="none"/>
              </w:rPr>
              <w:t>序”。</w:t>
            </w:r>
          </w:p>
          <w:p w14:paraId="224C44B8">
            <w:pPr>
              <w:pStyle w:val="25"/>
              <w:spacing w:before="158" w:line="347" w:lineRule="auto"/>
              <w:ind w:left="114" w:right="109" w:firstLine="8"/>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（5）投标人确定自身属于上述定义的中小企业时，应</w:t>
            </w:r>
            <w:r>
              <w:rPr>
                <w:rFonts w:hint="eastAsia" w:ascii="宋体" w:hAnsi="宋体" w:eastAsia="宋体" w:cs="宋体"/>
                <w:color w:val="auto"/>
                <w:spacing w:val="7"/>
                <w:sz w:val="24"/>
                <w:szCs w:val="24"/>
                <w:highlight w:val="none"/>
              </w:rPr>
              <w:t>按第九章“投标文件格式“提供相应的《中小企业</w:t>
            </w:r>
            <w:r>
              <w:rPr>
                <w:rFonts w:hint="eastAsia" w:ascii="宋体" w:hAnsi="宋体" w:eastAsia="宋体" w:cs="宋体"/>
                <w:color w:val="auto"/>
                <w:spacing w:val="6"/>
                <w:sz w:val="24"/>
                <w:szCs w:val="24"/>
                <w:highlight w:val="none"/>
              </w:rPr>
              <w:t>声明</w:t>
            </w:r>
            <w:r>
              <w:rPr>
                <w:rFonts w:hint="eastAsia" w:ascii="宋体" w:hAnsi="宋体" w:eastAsia="宋体" w:cs="宋体"/>
                <w:color w:val="auto"/>
                <w:spacing w:val="7"/>
                <w:sz w:val="24"/>
                <w:szCs w:val="24"/>
                <w:highlight w:val="none"/>
              </w:rPr>
              <w:t>函》，否则评标时不予认定。任何单位和个人不得</w:t>
            </w:r>
            <w:r>
              <w:rPr>
                <w:rFonts w:hint="eastAsia" w:ascii="宋体" w:hAnsi="宋体" w:eastAsia="宋体" w:cs="宋体"/>
                <w:color w:val="auto"/>
                <w:spacing w:val="6"/>
                <w:sz w:val="24"/>
                <w:szCs w:val="24"/>
                <w:highlight w:val="none"/>
              </w:rPr>
              <w:t>要求</w:t>
            </w:r>
            <w:r>
              <w:rPr>
                <w:rFonts w:hint="eastAsia" w:ascii="宋体" w:hAnsi="宋体" w:eastAsia="宋体" w:cs="宋体"/>
                <w:color w:val="auto"/>
                <w:spacing w:val="7"/>
                <w:sz w:val="24"/>
                <w:szCs w:val="24"/>
                <w:highlight w:val="none"/>
              </w:rPr>
              <w:t>投标人提供《中小企业声明函》之外的中小企业身</w:t>
            </w:r>
            <w:r>
              <w:rPr>
                <w:rFonts w:hint="eastAsia" w:ascii="宋体" w:hAnsi="宋体" w:eastAsia="宋体" w:cs="宋体"/>
                <w:color w:val="auto"/>
                <w:spacing w:val="6"/>
                <w:sz w:val="24"/>
                <w:szCs w:val="24"/>
                <w:highlight w:val="none"/>
              </w:rPr>
              <w:t>份证</w:t>
            </w:r>
            <w:r>
              <w:rPr>
                <w:rFonts w:hint="eastAsia" w:ascii="宋体" w:hAnsi="宋体" w:eastAsia="宋体" w:cs="宋体"/>
                <w:color w:val="auto"/>
                <w:spacing w:val="4"/>
                <w:sz w:val="24"/>
                <w:szCs w:val="24"/>
                <w:highlight w:val="none"/>
              </w:rPr>
              <w:t>明文件。</w:t>
            </w:r>
          </w:p>
          <w:p w14:paraId="46905BF4">
            <w:pPr>
              <w:pStyle w:val="25"/>
              <w:spacing w:before="161" w:line="356" w:lineRule="auto"/>
              <w:ind w:left="112" w:right="100" w:firstLine="1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（6）中标候选人享受《政府采购促进中小企业发展管</w:t>
            </w:r>
            <w:r>
              <w:rPr>
                <w:rFonts w:hint="eastAsia" w:ascii="宋体" w:hAnsi="宋体" w:eastAsia="宋体" w:cs="宋体"/>
                <w:color w:val="auto"/>
                <w:spacing w:val="8"/>
                <w:sz w:val="24"/>
                <w:szCs w:val="24"/>
                <w:highlight w:val="none"/>
              </w:rPr>
              <w:t>理办法》（财库〔2020〕46号）规定的中小企业扶持</w:t>
            </w:r>
            <w:r>
              <w:rPr>
                <w:rFonts w:hint="eastAsia" w:ascii="宋体" w:hAnsi="宋体" w:eastAsia="宋体" w:cs="宋体"/>
                <w:color w:val="auto"/>
                <w:spacing w:val="7"/>
                <w:sz w:val="24"/>
                <w:szCs w:val="24"/>
                <w:highlight w:val="none"/>
              </w:rPr>
              <w:t>政策的，招标人或者其委托的招标代理机构应当在公示中标候选人时公开中标候选人的《中小企业声明函》；中标候选人为残疾人福利性单位的，招标人或者其委托</w:t>
            </w:r>
            <w:r>
              <w:rPr>
                <w:rFonts w:hint="eastAsia" w:ascii="宋体" w:hAnsi="宋体" w:eastAsia="宋体" w:cs="宋体"/>
                <w:color w:val="auto"/>
                <w:spacing w:val="9"/>
                <w:sz w:val="24"/>
                <w:szCs w:val="24"/>
                <w:highlight w:val="none"/>
              </w:rPr>
              <w:t>的招标代理机构应当在中标候选人公示时公开中标候</w:t>
            </w:r>
            <w:r>
              <w:rPr>
                <w:rFonts w:hint="eastAsia" w:ascii="宋体" w:hAnsi="宋体" w:eastAsia="宋体" w:cs="宋体"/>
                <w:color w:val="auto"/>
                <w:spacing w:val="8"/>
                <w:sz w:val="24"/>
                <w:szCs w:val="24"/>
                <w:highlight w:val="none"/>
              </w:rPr>
              <w:t>选人的《残疾人福利性单位声明函》。</w:t>
            </w:r>
          </w:p>
          <w:p w14:paraId="4EB37B28">
            <w:pPr>
              <w:pStyle w:val="25"/>
              <w:keepNext w:val="0"/>
              <w:keepLines w:val="0"/>
              <w:pageBreakBefore w:val="0"/>
              <w:widowControl/>
              <w:kinsoku w:val="0"/>
              <w:wordWrap/>
              <w:overflowPunct/>
              <w:topLinePunct w:val="0"/>
              <w:autoSpaceDE w:val="0"/>
              <w:autoSpaceDN w:val="0"/>
              <w:bidi w:val="0"/>
              <w:adjustRightInd w:val="0"/>
              <w:snapToGrid w:val="0"/>
              <w:spacing w:before="161" w:line="329" w:lineRule="auto"/>
              <w:ind w:left="0" w:right="0" w:firstLine="1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（7）本项目属于专门面向中小企业招标的项目，投标</w:t>
            </w:r>
            <w:r>
              <w:rPr>
                <w:rFonts w:hint="eastAsia" w:ascii="宋体" w:hAnsi="宋体" w:eastAsia="宋体" w:cs="宋体"/>
                <w:color w:val="auto"/>
                <w:spacing w:val="9"/>
                <w:sz w:val="24"/>
                <w:szCs w:val="24"/>
                <w:highlight w:val="none"/>
              </w:rPr>
              <w:t>人应为中小微企业或者监狱企业或者残疾人福利性单</w:t>
            </w:r>
            <w:r>
              <w:rPr>
                <w:rFonts w:hint="eastAsia" w:ascii="宋体" w:hAnsi="宋体" w:eastAsia="宋体" w:cs="宋体"/>
                <w:color w:val="auto"/>
                <w:sz w:val="24"/>
                <w:szCs w:val="24"/>
                <w:highlight w:val="none"/>
              </w:rPr>
              <w:t>位：</w:t>
            </w:r>
          </w:p>
          <w:p w14:paraId="6B6299C0">
            <w:pPr>
              <w:pStyle w:val="25"/>
              <w:spacing w:before="161" w:line="339" w:lineRule="auto"/>
              <w:ind w:left="112" w:right="10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a.因本项目属于专门面向中小企业招标的项目，规定依</w:t>
            </w:r>
            <w:r>
              <w:rPr>
                <w:rFonts w:hint="eastAsia" w:ascii="宋体" w:hAnsi="宋体" w:eastAsia="宋体" w:cs="宋体"/>
                <w:color w:val="auto"/>
                <w:spacing w:val="7"/>
                <w:sz w:val="24"/>
                <w:szCs w:val="24"/>
                <w:highlight w:val="none"/>
              </w:rPr>
              <w:t>据《政府采购促进中小企业发展管理办法》规定享受扶持政策获得政府采购合同的，小微企业不得将合同分包给大中型企业，中型企业不得将合同分包给大型企业；</w:t>
            </w:r>
          </w:p>
          <w:p w14:paraId="0D15AB96">
            <w:pPr>
              <w:pStyle w:val="25"/>
              <w:keepNext w:val="0"/>
              <w:keepLines w:val="0"/>
              <w:pageBreakBefore w:val="0"/>
              <w:widowControl/>
              <w:kinsoku w:val="0"/>
              <w:wordWrap/>
              <w:overflowPunct/>
              <w:topLinePunct w:val="0"/>
              <w:autoSpaceDE w:val="0"/>
              <w:autoSpaceDN w:val="0"/>
              <w:bidi w:val="0"/>
              <w:adjustRightInd w:val="0"/>
              <w:snapToGrid w:val="0"/>
              <w:spacing w:before="165" w:line="300" w:lineRule="auto"/>
              <w:ind w:left="11" w:right="0" w:hanging="1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b.本项目属于专门面向中小企业采购的项目</w:t>
            </w:r>
            <w:r>
              <w:rPr>
                <w:rFonts w:hint="eastAsia" w:ascii="宋体" w:hAnsi="宋体" w:eastAsia="宋体" w:cs="宋体"/>
                <w:color w:val="auto"/>
                <w:spacing w:val="8"/>
                <w:sz w:val="24"/>
                <w:szCs w:val="24"/>
                <w:highlight w:val="none"/>
              </w:rPr>
              <w:t>，不再进行价格扣除及用扣除后的价格参加评审</w:t>
            </w:r>
            <w:r>
              <w:rPr>
                <w:rFonts w:hint="eastAsia" w:ascii="宋体" w:hAnsi="宋体" w:eastAsia="宋体" w:cs="宋体"/>
                <w:color w:val="auto"/>
                <w:spacing w:val="8"/>
                <w:sz w:val="24"/>
                <w:szCs w:val="24"/>
                <w:highlight w:val="none"/>
                <w:lang w:eastAsia="zh-CN"/>
              </w:rPr>
              <w:t>。</w:t>
            </w:r>
          </w:p>
          <w:p w14:paraId="3120304E">
            <w:pPr>
              <w:pStyle w:val="25"/>
              <w:spacing w:before="66" w:line="228" w:lineRule="auto"/>
              <w:ind w:left="123"/>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（二）监狱企业</w:t>
            </w:r>
          </w:p>
          <w:p w14:paraId="1D8D566E">
            <w:pPr>
              <w:pStyle w:val="25"/>
              <w:keepNext w:val="0"/>
              <w:keepLines w:val="0"/>
              <w:pageBreakBefore w:val="0"/>
              <w:widowControl/>
              <w:kinsoku w:val="0"/>
              <w:wordWrap/>
              <w:overflowPunct/>
              <w:topLinePunct w:val="0"/>
              <w:autoSpaceDE w:val="0"/>
              <w:autoSpaceDN w:val="0"/>
              <w:bidi w:val="0"/>
              <w:adjustRightInd w:val="0"/>
              <w:snapToGrid w:val="0"/>
              <w:spacing w:before="157" w:line="360" w:lineRule="auto"/>
              <w:ind w:left="113" w:right="0" w:firstLine="1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（1）根据《财政部司法部关于政府采购支持监狱企业</w:t>
            </w:r>
            <w:r>
              <w:rPr>
                <w:rFonts w:hint="eastAsia" w:ascii="宋体" w:hAnsi="宋体" w:eastAsia="宋体" w:cs="宋体"/>
                <w:color w:val="auto"/>
                <w:spacing w:val="5"/>
                <w:sz w:val="24"/>
                <w:szCs w:val="24"/>
                <w:highlight w:val="none"/>
              </w:rPr>
              <w:t>发展有关问题的通知》（财库〔2014〕68号</w:t>
            </w:r>
            <w:r>
              <w:rPr>
                <w:rFonts w:hint="eastAsia" w:ascii="宋体" w:hAnsi="宋体" w:eastAsia="宋体" w:cs="宋体"/>
                <w:color w:val="auto"/>
                <w:spacing w:val="4"/>
                <w:sz w:val="24"/>
                <w:szCs w:val="24"/>
                <w:highlight w:val="none"/>
              </w:rPr>
              <w:t>）的规定，</w:t>
            </w:r>
            <w:r>
              <w:rPr>
                <w:rFonts w:hint="eastAsia" w:ascii="宋体" w:hAnsi="宋体" w:eastAsia="宋体" w:cs="宋体"/>
                <w:color w:val="auto"/>
                <w:spacing w:val="7"/>
                <w:sz w:val="24"/>
                <w:szCs w:val="24"/>
                <w:highlight w:val="none"/>
              </w:rPr>
              <w:t>监狱企业是指由司法部认定的为罪犯、戒毒人员提供生</w:t>
            </w:r>
            <w:r>
              <w:rPr>
                <w:rFonts w:hint="eastAsia" w:ascii="宋体" w:hAnsi="宋体" w:eastAsia="宋体" w:cs="宋体"/>
                <w:color w:val="auto"/>
                <w:spacing w:val="9"/>
                <w:sz w:val="24"/>
                <w:szCs w:val="24"/>
                <w:highlight w:val="none"/>
              </w:rPr>
              <w:t>产项目和劳动对象，且全部产权属于司法部监狱管理</w:t>
            </w:r>
            <w:r>
              <w:rPr>
                <w:rFonts w:hint="eastAsia" w:ascii="宋体" w:hAnsi="宋体" w:eastAsia="宋体" w:cs="宋体"/>
                <w:color w:val="auto"/>
                <w:spacing w:val="7"/>
                <w:sz w:val="24"/>
                <w:szCs w:val="24"/>
                <w:highlight w:val="none"/>
              </w:rPr>
              <w:t>局、戒毒管理局、直属煤矿管理局，各省、自治区、直</w:t>
            </w:r>
            <w:r>
              <w:rPr>
                <w:rFonts w:hint="eastAsia" w:ascii="宋体" w:hAnsi="宋体" w:eastAsia="宋体" w:cs="宋体"/>
                <w:color w:val="auto"/>
                <w:spacing w:val="1"/>
                <w:sz w:val="24"/>
                <w:szCs w:val="24"/>
                <w:highlight w:val="none"/>
              </w:rPr>
              <w:t>辖市监狱管理局、戒毒管理局，各地（设区的市）监狱、</w:t>
            </w:r>
            <w:r>
              <w:rPr>
                <w:rFonts w:hint="eastAsia" w:ascii="宋体" w:hAnsi="宋体" w:eastAsia="宋体" w:cs="宋体"/>
                <w:color w:val="auto"/>
                <w:spacing w:val="7"/>
                <w:sz w:val="24"/>
                <w:szCs w:val="24"/>
                <w:highlight w:val="none"/>
              </w:rPr>
              <w:t>强制隔离戒毒所、戒毒康复所，以及新疆生产建设兵团</w:t>
            </w:r>
            <w:r>
              <w:rPr>
                <w:rFonts w:hint="eastAsia" w:ascii="宋体" w:hAnsi="宋体" w:eastAsia="宋体" w:cs="宋体"/>
                <w:color w:val="auto"/>
                <w:spacing w:val="8"/>
                <w:sz w:val="24"/>
                <w:szCs w:val="24"/>
                <w:highlight w:val="none"/>
              </w:rPr>
              <w:t>监狱管理局、戒毒管理局的企业。</w:t>
            </w:r>
          </w:p>
          <w:p w14:paraId="48483C18">
            <w:pPr>
              <w:pStyle w:val="25"/>
              <w:keepNext w:val="0"/>
              <w:keepLines w:val="0"/>
              <w:pageBreakBefore w:val="0"/>
              <w:widowControl/>
              <w:kinsoku w:val="0"/>
              <w:wordWrap/>
              <w:overflowPunct/>
              <w:topLinePunct w:val="0"/>
              <w:autoSpaceDE w:val="0"/>
              <w:autoSpaceDN w:val="0"/>
              <w:bidi w:val="0"/>
              <w:adjustRightInd w:val="0"/>
              <w:snapToGrid w:val="0"/>
              <w:spacing w:before="35" w:line="377" w:lineRule="auto"/>
              <w:ind w:left="112" w:right="0" w:firstLine="1"/>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（2）监狱企业视同小型、微型企业，享受预留份额、</w:t>
            </w:r>
            <w:r>
              <w:rPr>
                <w:rFonts w:hint="eastAsia" w:ascii="宋体" w:hAnsi="宋体" w:eastAsia="宋体" w:cs="宋体"/>
                <w:color w:val="auto"/>
                <w:spacing w:val="8"/>
                <w:sz w:val="24"/>
                <w:szCs w:val="24"/>
                <w:highlight w:val="none"/>
              </w:rPr>
              <w:t>评审中价格扣除等促进中小企业发展的政府采购政策</w:t>
            </w:r>
            <w:r>
              <w:rPr>
                <w:rFonts w:hint="eastAsia" w:ascii="宋体" w:hAnsi="宋体" w:eastAsia="宋体" w:cs="宋体"/>
                <w:color w:val="auto"/>
                <w:spacing w:val="7"/>
                <w:sz w:val="24"/>
                <w:szCs w:val="24"/>
                <w:highlight w:val="none"/>
              </w:rPr>
              <w:t>监狱企业参加政府采购活动时，应当提供由省级以上监狱管理局、戒毒管理局（含新疆生产建设兵团）出具的属于监狱企业的证明文件。监狱企业属于小型、微型企</w:t>
            </w:r>
            <w:r>
              <w:rPr>
                <w:rFonts w:hint="eastAsia" w:ascii="宋体" w:hAnsi="宋体" w:eastAsia="宋体" w:cs="宋体"/>
                <w:color w:val="auto"/>
                <w:spacing w:val="8"/>
                <w:sz w:val="24"/>
                <w:szCs w:val="24"/>
                <w:highlight w:val="none"/>
              </w:rPr>
              <w:t>业的，不重复享受政策。</w:t>
            </w:r>
          </w:p>
          <w:p w14:paraId="57B41DAE">
            <w:pPr>
              <w:pStyle w:val="25"/>
              <w:spacing w:line="228" w:lineRule="auto"/>
              <w:ind w:left="123"/>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（三）残疾人福利性单位</w:t>
            </w:r>
          </w:p>
          <w:p w14:paraId="57C14C07">
            <w:pPr>
              <w:pStyle w:val="25"/>
              <w:spacing w:before="159" w:line="328" w:lineRule="auto"/>
              <w:ind w:left="114" w:right="16" w:firstLine="8"/>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（1）根据《关于促进残疾人就业政府采购政策的通知》（财库〔2017〕141号）的规定，享</w:t>
            </w:r>
            <w:r>
              <w:rPr>
                <w:rFonts w:hint="eastAsia" w:ascii="宋体" w:hAnsi="宋体" w:eastAsia="宋体" w:cs="宋体"/>
                <w:color w:val="auto"/>
                <w:spacing w:val="5"/>
                <w:sz w:val="24"/>
                <w:szCs w:val="24"/>
                <w:highlight w:val="none"/>
              </w:rPr>
              <w:t>受政府采购支持政</w:t>
            </w:r>
            <w:r>
              <w:rPr>
                <w:rFonts w:hint="eastAsia" w:ascii="宋体" w:hAnsi="宋体" w:eastAsia="宋体" w:cs="宋体"/>
                <w:color w:val="auto"/>
                <w:spacing w:val="8"/>
                <w:sz w:val="24"/>
                <w:szCs w:val="24"/>
                <w:highlight w:val="none"/>
              </w:rPr>
              <w:t>策的残疾人福利性单位应当同时满足以下条件：</w:t>
            </w:r>
          </w:p>
          <w:p w14:paraId="3C313B47">
            <w:pPr>
              <w:pStyle w:val="25"/>
              <w:spacing w:before="160" w:line="328" w:lineRule="auto"/>
              <w:ind w:left="109" w:right="109" w:firstLine="2"/>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①安置的残疾人占本单位在职职工人数的比例不低于</w:t>
            </w:r>
            <w:r>
              <w:rPr>
                <w:rFonts w:hint="eastAsia" w:ascii="宋体" w:hAnsi="宋体" w:eastAsia="宋体" w:cs="宋体"/>
                <w:color w:val="auto"/>
                <w:spacing w:val="5"/>
                <w:sz w:val="24"/>
                <w:szCs w:val="24"/>
                <w:highlight w:val="none"/>
              </w:rPr>
              <w:t>25%（含25%</w:t>
            </w:r>
            <w:r>
              <w:rPr>
                <w:rFonts w:hint="eastAsia" w:ascii="宋体" w:hAnsi="宋体" w:eastAsia="宋体" w:cs="宋体"/>
                <w:color w:val="auto"/>
                <w:spacing w:val="-13"/>
                <w:sz w:val="24"/>
                <w:szCs w:val="24"/>
                <w:highlight w:val="none"/>
              </w:rPr>
              <w:t>），</w:t>
            </w:r>
            <w:r>
              <w:rPr>
                <w:rFonts w:hint="eastAsia" w:ascii="宋体" w:hAnsi="宋体" w:eastAsia="宋体" w:cs="宋体"/>
                <w:color w:val="auto"/>
                <w:spacing w:val="5"/>
                <w:sz w:val="24"/>
                <w:szCs w:val="24"/>
                <w:highlight w:val="none"/>
              </w:rPr>
              <w:t>并且安置的残疾人人数不少于10人</w:t>
            </w:r>
            <w:r>
              <w:rPr>
                <w:rFonts w:hint="eastAsia" w:ascii="宋体" w:hAnsi="宋体" w:eastAsia="宋体" w:cs="宋体"/>
                <w:color w:val="auto"/>
                <w:spacing w:val="-1"/>
                <w:sz w:val="24"/>
                <w:szCs w:val="24"/>
                <w:highlight w:val="none"/>
              </w:rPr>
              <w:t>（含10人</w:t>
            </w:r>
            <w:r>
              <w:rPr>
                <w:rFonts w:hint="eastAsia" w:ascii="宋体" w:hAnsi="宋体" w:eastAsia="宋体" w:cs="宋体"/>
                <w:color w:val="auto"/>
                <w:spacing w:val="1"/>
                <w:sz w:val="24"/>
                <w:szCs w:val="24"/>
                <w:highlight w:val="none"/>
              </w:rPr>
              <w:t>）；</w:t>
            </w:r>
          </w:p>
          <w:p w14:paraId="4B1C26DB">
            <w:pPr>
              <w:pStyle w:val="25"/>
              <w:spacing w:before="161" w:line="302" w:lineRule="auto"/>
              <w:ind w:left="129" w:right="65" w:hanging="18"/>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②依法与安置的每位残疾人签订了一年以上（含一</w:t>
            </w:r>
            <w:r>
              <w:rPr>
                <w:rFonts w:hint="eastAsia" w:ascii="宋体" w:hAnsi="宋体" w:eastAsia="宋体" w:cs="宋体"/>
                <w:color w:val="auto"/>
                <w:spacing w:val="8"/>
                <w:sz w:val="24"/>
                <w:szCs w:val="24"/>
                <w:highlight w:val="none"/>
              </w:rPr>
              <w:t>年）</w:t>
            </w:r>
            <w:r>
              <w:rPr>
                <w:rFonts w:hint="eastAsia" w:ascii="宋体" w:hAnsi="宋体" w:eastAsia="宋体" w:cs="宋体"/>
                <w:color w:val="auto"/>
                <w:spacing w:val="6"/>
                <w:sz w:val="24"/>
                <w:szCs w:val="24"/>
                <w:highlight w:val="none"/>
              </w:rPr>
              <w:t>的劳动合同或服务协议；</w:t>
            </w:r>
          </w:p>
          <w:p w14:paraId="1FCDD12E">
            <w:pPr>
              <w:pStyle w:val="25"/>
              <w:spacing w:before="161" w:line="328" w:lineRule="auto"/>
              <w:ind w:left="112" w:right="81" w:hanging="1"/>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③为安置的每位残疾人按月足额缴纳了基本养老保险、</w:t>
            </w:r>
            <w:r>
              <w:rPr>
                <w:rFonts w:hint="eastAsia" w:ascii="宋体" w:hAnsi="宋体" w:eastAsia="宋体" w:cs="宋体"/>
                <w:color w:val="auto"/>
                <w:spacing w:val="7"/>
                <w:sz w:val="24"/>
                <w:szCs w:val="24"/>
                <w:highlight w:val="none"/>
              </w:rPr>
              <w:t>基本医疗保险、失业保险、工伤保险和生育保险等社会</w:t>
            </w:r>
            <w:r>
              <w:rPr>
                <w:rFonts w:hint="eastAsia" w:ascii="宋体" w:hAnsi="宋体" w:eastAsia="宋体" w:cs="宋体"/>
                <w:color w:val="auto"/>
                <w:spacing w:val="5"/>
                <w:sz w:val="24"/>
                <w:szCs w:val="24"/>
                <w:highlight w:val="none"/>
              </w:rPr>
              <w:t>保险费；</w:t>
            </w:r>
          </w:p>
          <w:p w14:paraId="2B6EA494">
            <w:pPr>
              <w:pStyle w:val="25"/>
              <w:spacing w:before="161" w:line="327" w:lineRule="auto"/>
              <w:ind w:left="117" w:right="109" w:hanging="6"/>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④通过银行等金融机构向安置的每位残疾人，按月支付</w:t>
            </w:r>
            <w:r>
              <w:rPr>
                <w:rFonts w:hint="eastAsia" w:ascii="宋体" w:hAnsi="宋体" w:eastAsia="宋体" w:cs="宋体"/>
                <w:color w:val="auto"/>
                <w:spacing w:val="9"/>
                <w:sz w:val="24"/>
                <w:szCs w:val="24"/>
                <w:highlight w:val="none"/>
              </w:rPr>
              <w:t>了不低于单位所在区县适用的经省级人民政府批准的</w:t>
            </w:r>
            <w:r>
              <w:rPr>
                <w:rFonts w:hint="eastAsia" w:ascii="宋体" w:hAnsi="宋体" w:eastAsia="宋体" w:cs="宋体"/>
                <w:color w:val="auto"/>
                <w:spacing w:val="7"/>
                <w:sz w:val="24"/>
                <w:szCs w:val="24"/>
                <w:highlight w:val="none"/>
              </w:rPr>
              <w:t>月最低工资标准的工资；</w:t>
            </w:r>
          </w:p>
          <w:p w14:paraId="096D5745">
            <w:pPr>
              <w:pStyle w:val="25"/>
              <w:spacing w:before="157" w:line="361" w:lineRule="auto"/>
              <w:ind w:left="111"/>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⑤提供本单位制造的货物、承担的工程或者服务（以下</w:t>
            </w:r>
            <w:r>
              <w:rPr>
                <w:rFonts w:hint="eastAsia" w:ascii="宋体" w:hAnsi="宋体" w:eastAsia="宋体" w:cs="宋体"/>
                <w:color w:val="auto"/>
                <w:spacing w:val="8"/>
                <w:sz w:val="24"/>
                <w:szCs w:val="24"/>
                <w:highlight w:val="none"/>
              </w:rPr>
              <w:t>简称产品</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8"/>
                <w:sz w:val="24"/>
                <w:szCs w:val="24"/>
                <w:highlight w:val="none"/>
              </w:rPr>
              <w:t>或者提供其他残疾人福利性单位制造的货</w:t>
            </w:r>
            <w:r>
              <w:rPr>
                <w:rFonts w:hint="eastAsia" w:ascii="宋体" w:hAnsi="宋体" w:eastAsia="宋体" w:cs="宋体"/>
                <w:color w:val="auto"/>
                <w:spacing w:val="3"/>
                <w:sz w:val="24"/>
                <w:szCs w:val="24"/>
                <w:highlight w:val="none"/>
              </w:rPr>
              <w:t>物（不包括使用非残疾人福利性单位注册商标的货物）。</w:t>
            </w:r>
            <w:r>
              <w:rPr>
                <w:rFonts w:hint="eastAsia" w:ascii="宋体" w:hAnsi="宋体" w:eastAsia="宋体" w:cs="宋体"/>
                <w:color w:val="auto"/>
                <w:spacing w:val="6"/>
                <w:sz w:val="24"/>
                <w:szCs w:val="24"/>
                <w:highlight w:val="none"/>
              </w:rPr>
              <w:t>前款所称残疾人是指法定劳动年龄内，持有《中华人民</w:t>
            </w:r>
            <w:r>
              <w:rPr>
                <w:rFonts w:hint="eastAsia" w:ascii="宋体" w:hAnsi="宋体" w:eastAsia="宋体" w:cs="宋体"/>
                <w:color w:val="auto"/>
                <w:spacing w:val="2"/>
                <w:sz w:val="24"/>
                <w:szCs w:val="24"/>
                <w:highlight w:val="none"/>
              </w:rPr>
              <w:t>共和国残疾人证》或者《中华人民共和国残疾军人</w:t>
            </w:r>
            <w:r>
              <w:rPr>
                <w:rFonts w:hint="eastAsia" w:ascii="宋体" w:hAnsi="宋体" w:eastAsia="宋体" w:cs="宋体"/>
                <w:color w:val="auto"/>
                <w:spacing w:val="1"/>
                <w:sz w:val="24"/>
                <w:szCs w:val="24"/>
                <w:highlight w:val="none"/>
              </w:rPr>
              <w:t>证（1</w:t>
            </w:r>
            <w:r>
              <w:rPr>
                <w:rFonts w:hint="eastAsia" w:ascii="宋体" w:hAnsi="宋体" w:eastAsia="宋体" w:cs="宋体"/>
                <w:color w:val="auto"/>
                <w:spacing w:val="8"/>
                <w:sz w:val="24"/>
                <w:szCs w:val="24"/>
                <w:highlight w:val="none"/>
              </w:rPr>
              <w:t>至8级）》的自然人，包括具有劳动条件</w:t>
            </w:r>
            <w:r>
              <w:rPr>
                <w:rFonts w:hint="eastAsia" w:ascii="宋体" w:hAnsi="宋体" w:eastAsia="宋体" w:cs="宋体"/>
                <w:color w:val="auto"/>
                <w:spacing w:val="7"/>
                <w:sz w:val="24"/>
                <w:szCs w:val="24"/>
                <w:highlight w:val="none"/>
              </w:rPr>
              <w:t>和劳动意愿</w:t>
            </w:r>
            <w:r>
              <w:rPr>
                <w:rFonts w:hint="eastAsia" w:ascii="宋体" w:hAnsi="宋体" w:eastAsia="宋体" w:cs="宋体"/>
                <w:color w:val="auto"/>
                <w:spacing w:val="6"/>
                <w:sz w:val="24"/>
                <w:szCs w:val="24"/>
                <w:highlight w:val="none"/>
              </w:rPr>
              <w:t>的精神残疾人。在职职工人数是指与残疾人福利性单位</w:t>
            </w:r>
            <w:r>
              <w:rPr>
                <w:rFonts w:hint="eastAsia" w:ascii="宋体" w:hAnsi="宋体" w:eastAsia="宋体" w:cs="宋体"/>
                <w:color w:val="auto"/>
                <w:spacing w:val="8"/>
                <w:sz w:val="24"/>
                <w:szCs w:val="24"/>
                <w:highlight w:val="none"/>
              </w:rPr>
              <w:t>建立劳动关系并依法签订劳动合同或者服务协议的雇</w:t>
            </w:r>
            <w:r>
              <w:rPr>
                <w:rFonts w:hint="eastAsia" w:ascii="宋体" w:hAnsi="宋体" w:eastAsia="宋体" w:cs="宋体"/>
                <w:color w:val="auto"/>
                <w:spacing w:val="4"/>
                <w:sz w:val="24"/>
                <w:szCs w:val="24"/>
                <w:highlight w:val="none"/>
              </w:rPr>
              <w:t>员人数。</w:t>
            </w:r>
          </w:p>
          <w:p w14:paraId="3B979E4D">
            <w:pPr>
              <w:pStyle w:val="25"/>
              <w:numPr>
                <w:ilvl w:val="0"/>
                <w:numId w:val="2"/>
              </w:numPr>
              <w:spacing w:before="160" w:line="327" w:lineRule="auto"/>
              <w:ind w:left="112" w:leftChars="0" w:right="98" w:rightChars="0" w:firstLine="1" w:firstLineChars="0"/>
              <w:rPr>
                <w:rFonts w:hint="eastAsia" w:ascii="宋体" w:hAnsi="宋体" w:eastAsia="宋体" w:cs="宋体"/>
                <w:color w:val="auto"/>
                <w:spacing w:val="8"/>
                <w:sz w:val="24"/>
                <w:szCs w:val="24"/>
                <w:highlight w:val="none"/>
              </w:rPr>
            </w:pPr>
            <w:r>
              <w:rPr>
                <w:rFonts w:hint="eastAsia" w:ascii="宋体" w:hAnsi="宋体" w:eastAsia="宋体" w:cs="宋体"/>
                <w:color w:val="auto"/>
                <w:spacing w:val="9"/>
                <w:sz w:val="24"/>
                <w:szCs w:val="24"/>
                <w:highlight w:val="none"/>
              </w:rPr>
              <w:t>残疾人福利性单位视同小型、微型企业，享受预</w:t>
            </w:r>
            <w:r>
              <w:rPr>
                <w:rFonts w:hint="eastAsia" w:ascii="宋体" w:hAnsi="宋体" w:eastAsia="宋体" w:cs="宋体"/>
                <w:color w:val="auto"/>
                <w:spacing w:val="7"/>
                <w:sz w:val="24"/>
                <w:szCs w:val="24"/>
                <w:highlight w:val="none"/>
              </w:rPr>
              <w:t>留份额、评审中价格扣除等促进中小企业发展的政府采购政策。残疾人福利性单位参加政府采购活动时，应当提供该通知规定的《残疾人福利性单位声明函》，并对声明的真实性负责。残疾人福利性单位属于小型、微型</w:t>
            </w:r>
            <w:r>
              <w:rPr>
                <w:rFonts w:hint="eastAsia" w:ascii="宋体" w:hAnsi="宋体" w:eastAsia="宋体" w:cs="宋体"/>
                <w:color w:val="auto"/>
                <w:spacing w:val="8"/>
                <w:sz w:val="24"/>
                <w:szCs w:val="24"/>
                <w:highlight w:val="none"/>
              </w:rPr>
              <w:t>企业的，不重复享受政策。</w:t>
            </w:r>
          </w:p>
          <w:p w14:paraId="40B59BAE">
            <w:pPr>
              <w:pStyle w:val="25"/>
              <w:spacing w:before="65" w:line="228" w:lineRule="auto"/>
              <w:ind w:left="117"/>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九、资格审查方式：资格后审</w:t>
            </w:r>
          </w:p>
          <w:p w14:paraId="0C2C8792">
            <w:pPr>
              <w:pStyle w:val="25"/>
              <w:spacing w:before="160" w:line="328" w:lineRule="auto"/>
              <w:ind w:left="113" w:right="109"/>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十、招标文件中要求投标人提供的各类证照复印件均指彩色扫描件或彩色复印件，其它资料的复印件可为黑白扫描件或黑白复印件。</w:t>
            </w:r>
          </w:p>
          <w:p w14:paraId="4818C774">
            <w:pPr>
              <w:pStyle w:val="25"/>
              <w:spacing w:before="160" w:line="340" w:lineRule="auto"/>
              <w:ind w:left="113"/>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十一、由于电子标招标文件版本编辑限制无法修改，第</w:t>
            </w:r>
            <w:r>
              <w:rPr>
                <w:rFonts w:hint="eastAsia" w:ascii="宋体" w:hAnsi="宋体" w:eastAsia="宋体" w:cs="宋体"/>
                <w:color w:val="auto"/>
                <w:spacing w:val="3"/>
                <w:sz w:val="24"/>
                <w:szCs w:val="24"/>
                <w:highlight w:val="none"/>
              </w:rPr>
              <w:t>二章《投标人须知》“总则”中1.4.4（6）修改为“投</w:t>
            </w:r>
            <w:r>
              <w:rPr>
                <w:rFonts w:hint="eastAsia" w:ascii="宋体" w:hAnsi="宋体" w:eastAsia="宋体" w:cs="宋体"/>
                <w:color w:val="auto"/>
                <w:spacing w:val="6"/>
                <w:sz w:val="24"/>
                <w:szCs w:val="24"/>
                <w:highlight w:val="none"/>
              </w:rPr>
              <w:t>标人或其法定代表人、拟委任的项目经理在近三年内有</w:t>
            </w:r>
            <w:r>
              <w:rPr>
                <w:rFonts w:hint="eastAsia" w:ascii="宋体" w:hAnsi="宋体" w:eastAsia="宋体" w:cs="宋体"/>
                <w:color w:val="auto"/>
                <w:spacing w:val="-5"/>
                <w:sz w:val="24"/>
                <w:szCs w:val="24"/>
                <w:highlight w:val="none"/>
              </w:rPr>
              <w:t>行贿犯罪行为的（以中国裁判文书网的查询结果为准）”。</w:t>
            </w:r>
          </w:p>
          <w:p w14:paraId="08756C62">
            <w:pPr>
              <w:pStyle w:val="25"/>
              <w:spacing w:before="161" w:line="340" w:lineRule="auto"/>
              <w:ind w:left="112" w:right="109"/>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十二、由于电子标招标文件版本编辑限制无法修改，第</w:t>
            </w:r>
            <w:r>
              <w:rPr>
                <w:rFonts w:hint="eastAsia" w:ascii="宋体" w:hAnsi="宋体" w:eastAsia="宋体" w:cs="宋体"/>
                <w:color w:val="auto"/>
                <w:spacing w:val="3"/>
                <w:sz w:val="24"/>
                <w:szCs w:val="24"/>
                <w:highlight w:val="none"/>
              </w:rPr>
              <w:t>二章《投标人须知》“总则”中第3.5.1中要求提供的</w:t>
            </w:r>
            <w:r>
              <w:rPr>
                <w:rFonts w:hint="eastAsia" w:ascii="宋体" w:hAnsi="宋体" w:eastAsia="宋体" w:cs="宋体"/>
                <w:color w:val="auto"/>
                <w:spacing w:val="7"/>
                <w:sz w:val="24"/>
                <w:szCs w:val="24"/>
                <w:highlight w:val="none"/>
              </w:rPr>
              <w:t>基本账户许可证明材料包含：基本账户开户许可证或基</w:t>
            </w:r>
            <w:r>
              <w:rPr>
                <w:rFonts w:hint="eastAsia" w:ascii="宋体" w:hAnsi="宋体" w:eastAsia="宋体" w:cs="宋体"/>
                <w:color w:val="auto"/>
                <w:spacing w:val="8"/>
                <w:sz w:val="24"/>
                <w:szCs w:val="24"/>
                <w:highlight w:val="none"/>
              </w:rPr>
              <w:t>本存款账户信息扫描件。</w:t>
            </w:r>
          </w:p>
          <w:p w14:paraId="65953410">
            <w:pPr>
              <w:pStyle w:val="25"/>
              <w:keepNext w:val="0"/>
              <w:keepLines w:val="0"/>
              <w:pageBreakBefore w:val="0"/>
              <w:widowControl/>
              <w:kinsoku w:val="0"/>
              <w:wordWrap/>
              <w:overflowPunct/>
              <w:topLinePunct w:val="0"/>
              <w:autoSpaceDE w:val="0"/>
              <w:autoSpaceDN w:val="0"/>
              <w:bidi w:val="0"/>
              <w:adjustRightInd w:val="0"/>
              <w:snapToGrid w:val="0"/>
              <w:spacing w:before="166" w:line="358" w:lineRule="auto"/>
              <w:ind w:left="113" w:right="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十三、项目业绩的认定，可以是已列入交通运输主管部</w:t>
            </w:r>
            <w:r>
              <w:rPr>
                <w:rFonts w:hint="eastAsia" w:ascii="宋体" w:hAnsi="宋体" w:eastAsia="宋体" w:cs="宋体"/>
                <w:color w:val="auto"/>
                <w:spacing w:val="8"/>
                <w:sz w:val="24"/>
                <w:szCs w:val="24"/>
                <w:highlight w:val="none"/>
              </w:rPr>
              <w:t>门“全国公路建设市场监督管理系统”的业绩，也可</w:t>
            </w:r>
            <w:r>
              <w:rPr>
                <w:rFonts w:hint="eastAsia" w:ascii="宋体" w:hAnsi="宋体" w:eastAsia="宋体" w:cs="宋体"/>
                <w:color w:val="auto"/>
                <w:spacing w:val="7"/>
                <w:sz w:val="24"/>
                <w:szCs w:val="24"/>
                <w:highlight w:val="none"/>
              </w:rPr>
              <w:t>以是未列入交通运输主管部门“全国公路建设市场监督</w:t>
            </w:r>
            <w:r>
              <w:rPr>
                <w:rFonts w:hint="eastAsia" w:ascii="宋体" w:hAnsi="宋体" w:eastAsia="宋体" w:cs="宋体"/>
                <w:color w:val="auto"/>
                <w:spacing w:val="8"/>
                <w:sz w:val="24"/>
                <w:szCs w:val="24"/>
                <w:highlight w:val="none"/>
              </w:rPr>
              <w:t>管理系统”的业绩；未列入“全国公路建设市场监督管理系统”的业绩，要求提供中标（成交）通知书或</w:t>
            </w:r>
            <w:r>
              <w:rPr>
                <w:rFonts w:hint="eastAsia" w:ascii="宋体" w:hAnsi="宋体" w:eastAsia="宋体" w:cs="宋体"/>
                <w:color w:val="auto"/>
                <w:spacing w:val="7"/>
                <w:sz w:val="24"/>
                <w:szCs w:val="24"/>
                <w:highlight w:val="none"/>
              </w:rPr>
              <w:t>合同协议书扫描件等证明材料。招标文件中有关业绩认定的内容，均以本条款为准。拟委任的项目经理和项目</w:t>
            </w:r>
            <w:r>
              <w:rPr>
                <w:rFonts w:hint="eastAsia" w:ascii="宋体" w:hAnsi="宋体" w:eastAsia="宋体" w:cs="宋体"/>
                <w:color w:val="auto"/>
                <w:spacing w:val="8"/>
                <w:sz w:val="24"/>
                <w:szCs w:val="24"/>
                <w:highlight w:val="none"/>
              </w:rPr>
              <w:t>总工的个人业绩的认定，也以本条款为准。</w:t>
            </w:r>
          </w:p>
          <w:p w14:paraId="6B562FB9">
            <w:pPr>
              <w:pStyle w:val="25"/>
              <w:spacing w:before="163" w:line="301" w:lineRule="auto"/>
              <w:ind w:left="113" w:right="5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十四、投标人的资质、信用等级、主要人员资历等</w:t>
            </w:r>
            <w:r>
              <w:rPr>
                <w:rFonts w:hint="eastAsia" w:ascii="宋体" w:hAnsi="宋体" w:eastAsia="宋体" w:cs="宋体"/>
                <w:color w:val="auto"/>
                <w:sz w:val="24"/>
                <w:szCs w:val="24"/>
                <w:highlight w:val="none"/>
              </w:rPr>
              <w:t>信息，</w:t>
            </w:r>
            <w:r>
              <w:rPr>
                <w:rFonts w:hint="eastAsia" w:ascii="宋体" w:hAnsi="宋体" w:eastAsia="宋体" w:cs="宋体"/>
                <w:color w:val="auto"/>
                <w:spacing w:val="8"/>
                <w:sz w:val="24"/>
                <w:szCs w:val="24"/>
                <w:highlight w:val="none"/>
              </w:rPr>
              <w:t>按照招标公告的要求提交有效的证明材料即可。</w:t>
            </w:r>
          </w:p>
          <w:p w14:paraId="173A8E15">
            <w:pPr>
              <w:pStyle w:val="25"/>
              <w:keepNext w:val="0"/>
              <w:keepLines w:val="0"/>
              <w:pageBreakBefore w:val="0"/>
              <w:widowControl/>
              <w:kinsoku w:val="0"/>
              <w:wordWrap/>
              <w:overflowPunct/>
              <w:topLinePunct w:val="0"/>
              <w:autoSpaceDE w:val="0"/>
              <w:autoSpaceDN w:val="0"/>
              <w:bidi w:val="0"/>
              <w:adjustRightInd w:val="0"/>
              <w:snapToGrid w:val="0"/>
              <w:spacing w:before="162" w:line="327" w:lineRule="auto"/>
              <w:ind w:left="119" w:right="0" w:hanging="6"/>
              <w:textAlignment w:val="baseline"/>
              <w:rPr>
                <w:rFonts w:hint="eastAsia" w:ascii="宋体" w:hAnsi="宋体" w:eastAsia="宋体" w:cs="宋体"/>
                <w:color w:val="auto"/>
                <w:spacing w:val="9"/>
                <w:sz w:val="24"/>
                <w:szCs w:val="24"/>
                <w:highlight w:val="none"/>
              </w:rPr>
            </w:pPr>
            <w:r>
              <w:rPr>
                <w:rFonts w:hint="eastAsia" w:ascii="宋体" w:hAnsi="宋体" w:eastAsia="宋体" w:cs="宋体"/>
                <w:color w:val="auto"/>
                <w:spacing w:val="7"/>
                <w:sz w:val="24"/>
                <w:szCs w:val="24"/>
                <w:highlight w:val="none"/>
              </w:rPr>
              <w:t>十五、招标文件中，有关“全国公路建设市场信用信息</w:t>
            </w:r>
            <w:r>
              <w:rPr>
                <w:rFonts w:hint="eastAsia" w:ascii="宋体" w:hAnsi="宋体" w:eastAsia="宋体" w:cs="宋体"/>
                <w:color w:val="auto"/>
                <w:spacing w:val="8"/>
                <w:sz w:val="24"/>
                <w:szCs w:val="24"/>
                <w:highlight w:val="none"/>
              </w:rPr>
              <w:t>管理系统(</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"http://glxy.mot.gov.cn"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http</w:t>
            </w:r>
            <w:r>
              <w:rPr>
                <w:rFonts w:hint="eastAsia" w:ascii="宋体" w:hAnsi="宋体" w:eastAsia="宋体" w:cs="宋体"/>
                <w:color w:val="auto"/>
                <w:spacing w:val="8"/>
                <w:sz w:val="24"/>
                <w:szCs w:val="24"/>
                <w:highlight w:val="none"/>
              </w:rPr>
              <w:t>://</w:t>
            </w:r>
            <w:r>
              <w:rPr>
                <w:rFonts w:hint="eastAsia" w:ascii="宋体" w:hAnsi="宋体" w:eastAsia="宋体" w:cs="宋体"/>
                <w:color w:val="auto"/>
                <w:sz w:val="24"/>
                <w:szCs w:val="24"/>
                <w:highlight w:val="none"/>
              </w:rPr>
              <w:t>glxy</w:t>
            </w:r>
            <w:r>
              <w:rPr>
                <w:rFonts w:hint="eastAsia" w:ascii="宋体" w:hAnsi="宋体" w:eastAsia="宋体" w:cs="宋体"/>
                <w:color w:val="auto"/>
                <w:spacing w:val="8"/>
                <w:sz w:val="24"/>
                <w:szCs w:val="24"/>
                <w:highlight w:val="none"/>
              </w:rPr>
              <w:t>.</w:t>
            </w:r>
            <w:r>
              <w:rPr>
                <w:rFonts w:hint="eastAsia" w:ascii="宋体" w:hAnsi="宋体" w:eastAsia="宋体" w:cs="宋体"/>
                <w:color w:val="auto"/>
                <w:sz w:val="24"/>
                <w:szCs w:val="24"/>
                <w:highlight w:val="none"/>
              </w:rPr>
              <w:t>mot</w:t>
            </w:r>
            <w:r>
              <w:rPr>
                <w:rFonts w:hint="eastAsia" w:ascii="宋体" w:hAnsi="宋体" w:eastAsia="宋体" w:cs="宋体"/>
                <w:color w:val="auto"/>
                <w:spacing w:val="8"/>
                <w:sz w:val="24"/>
                <w:szCs w:val="24"/>
                <w:highlight w:val="none"/>
              </w:rPr>
              <w:t>.</w:t>
            </w:r>
            <w:r>
              <w:rPr>
                <w:rFonts w:hint="eastAsia" w:ascii="宋体" w:hAnsi="宋体" w:eastAsia="宋体" w:cs="宋体"/>
                <w:color w:val="auto"/>
                <w:sz w:val="24"/>
                <w:szCs w:val="24"/>
                <w:highlight w:val="none"/>
              </w:rPr>
              <w:t>gov</w:t>
            </w:r>
            <w:r>
              <w:rPr>
                <w:rFonts w:hint="eastAsia" w:ascii="宋体" w:hAnsi="宋体" w:eastAsia="宋体" w:cs="宋体"/>
                <w:color w:val="auto"/>
                <w:spacing w:val="8"/>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8"/>
                <w:sz w:val="24"/>
                <w:szCs w:val="24"/>
                <w:highlight w:val="none"/>
              </w:rPr>
              <w:t>)”的表述，更改为“全国公路建设市场监督管理系统（网址</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"https://hwdms.mot.gov.cn/BMWebSite/"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https</w:t>
            </w:r>
            <w:r>
              <w:rPr>
                <w:rFonts w:hint="eastAsia" w:ascii="宋体" w:hAnsi="宋体" w:eastAsia="宋体" w:cs="宋体"/>
                <w:color w:val="auto"/>
                <w:spacing w:val="9"/>
                <w:sz w:val="24"/>
                <w:szCs w:val="24"/>
                <w:highlight w:val="none"/>
              </w:rPr>
              <w:t>://</w:t>
            </w:r>
            <w:r>
              <w:rPr>
                <w:rFonts w:hint="eastAsia" w:ascii="宋体" w:hAnsi="宋体" w:eastAsia="宋体" w:cs="宋体"/>
                <w:color w:val="auto"/>
                <w:sz w:val="24"/>
                <w:szCs w:val="24"/>
                <w:highlight w:val="none"/>
              </w:rPr>
              <w:t>hwdms</w:t>
            </w:r>
            <w:r>
              <w:rPr>
                <w:rFonts w:hint="eastAsia" w:ascii="宋体" w:hAnsi="宋体" w:eastAsia="宋体" w:cs="宋体"/>
                <w:color w:val="auto"/>
                <w:spacing w:val="9"/>
                <w:sz w:val="24"/>
                <w:szCs w:val="24"/>
                <w:highlight w:val="none"/>
              </w:rPr>
              <w:t>.</w:t>
            </w:r>
            <w:r>
              <w:rPr>
                <w:rFonts w:hint="eastAsia" w:ascii="宋体" w:hAnsi="宋体" w:eastAsia="宋体" w:cs="宋体"/>
                <w:color w:val="auto"/>
                <w:sz w:val="24"/>
                <w:szCs w:val="24"/>
                <w:highlight w:val="none"/>
              </w:rPr>
              <w:t>mot</w:t>
            </w:r>
            <w:r>
              <w:rPr>
                <w:rFonts w:hint="eastAsia" w:ascii="宋体" w:hAnsi="宋体" w:eastAsia="宋体" w:cs="宋体"/>
                <w:color w:val="auto"/>
                <w:spacing w:val="9"/>
                <w:sz w:val="24"/>
                <w:szCs w:val="24"/>
                <w:highlight w:val="none"/>
              </w:rPr>
              <w:t>.</w:t>
            </w:r>
            <w:r>
              <w:rPr>
                <w:rFonts w:hint="eastAsia" w:ascii="宋体" w:hAnsi="宋体" w:eastAsia="宋体" w:cs="宋体"/>
                <w:color w:val="auto"/>
                <w:sz w:val="24"/>
                <w:szCs w:val="24"/>
                <w:highlight w:val="none"/>
              </w:rPr>
              <w:t>gov</w:t>
            </w:r>
            <w:r>
              <w:rPr>
                <w:rFonts w:hint="eastAsia" w:ascii="宋体" w:hAnsi="宋体" w:eastAsia="宋体" w:cs="宋体"/>
                <w:color w:val="auto"/>
                <w:spacing w:val="9"/>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pacing w:val="9"/>
                <w:sz w:val="24"/>
                <w:szCs w:val="24"/>
                <w:highlight w:val="none"/>
              </w:rPr>
              <w:t>/</w:t>
            </w:r>
            <w:r>
              <w:rPr>
                <w:rFonts w:hint="eastAsia" w:ascii="宋体" w:hAnsi="宋体" w:eastAsia="宋体" w:cs="宋体"/>
                <w:color w:val="auto"/>
                <w:sz w:val="24"/>
                <w:szCs w:val="24"/>
                <w:highlight w:val="none"/>
              </w:rPr>
              <w:t>BMWebSite</w:t>
            </w:r>
            <w:r>
              <w:rPr>
                <w:rFonts w:hint="eastAsia" w:ascii="宋体" w:hAnsi="宋体" w:eastAsia="宋体" w:cs="宋体"/>
                <w:color w:val="auto"/>
                <w:spacing w:val="9"/>
                <w:sz w:val="24"/>
                <w:szCs w:val="24"/>
                <w:highlight w:val="none"/>
              </w:rPr>
              <w:t>/</w:t>
            </w:r>
            <w:r>
              <w:rPr>
                <w:rFonts w:hint="eastAsia" w:ascii="宋体" w:hAnsi="宋体" w:eastAsia="宋体" w:cs="宋体"/>
                <w:color w:val="auto"/>
                <w:spacing w:val="9"/>
                <w:sz w:val="24"/>
                <w:szCs w:val="24"/>
                <w:highlight w:val="none"/>
              </w:rPr>
              <w:fldChar w:fldCharType="end"/>
            </w:r>
            <w:r>
              <w:rPr>
                <w:rFonts w:hint="eastAsia" w:ascii="宋体" w:hAnsi="宋体" w:eastAsia="宋体" w:cs="宋体"/>
                <w:color w:val="auto"/>
                <w:spacing w:val="9"/>
                <w:sz w:val="24"/>
                <w:szCs w:val="24"/>
                <w:highlight w:val="none"/>
              </w:rPr>
              <w:t>）”。</w:t>
            </w:r>
          </w:p>
        </w:tc>
      </w:tr>
    </w:tbl>
    <w:p w14:paraId="275A994D">
      <w:pPr>
        <w:pStyle w:val="4"/>
        <w:rPr>
          <w:rFonts w:hint="eastAsia" w:ascii="宋体" w:hAnsi="宋体" w:eastAsia="宋体" w:cs="宋体"/>
          <w:color w:val="auto"/>
          <w:sz w:val="24"/>
          <w:szCs w:val="24"/>
          <w:highlight w:val="none"/>
        </w:rPr>
      </w:pPr>
    </w:p>
    <w:p w14:paraId="095E4222">
      <w:pPr>
        <w:spacing w:before="30" w:line="302" w:lineRule="auto"/>
        <w:ind w:left="185" w:right="177" w:hanging="1"/>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①评标委员会应由招标人代表和有关方面的专家组成，人数为5人以上单数，其中技术、经济</w:t>
      </w:r>
      <w:r>
        <w:rPr>
          <w:rFonts w:hint="eastAsia" w:ascii="宋体" w:hAnsi="宋体" w:eastAsia="宋体" w:cs="宋体"/>
          <w:color w:val="auto"/>
          <w:spacing w:val="8"/>
          <w:sz w:val="20"/>
          <w:szCs w:val="20"/>
          <w:highlight w:val="none"/>
        </w:rPr>
        <w:t>专家人数应不少于成员总数的三分之二。</w:t>
      </w:r>
    </w:p>
    <w:p w14:paraId="4EA69AE9">
      <w:pPr>
        <w:spacing w:before="160" w:line="304" w:lineRule="auto"/>
        <w:ind w:left="185" w:right="177" w:hanging="2"/>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②招标人不得强制限定履约保证金必须采用现金或支票方式缴纳，不得拒绝银行保函形式的履约</w:t>
      </w:r>
      <w:r>
        <w:rPr>
          <w:rFonts w:hint="eastAsia" w:ascii="宋体" w:hAnsi="宋体" w:eastAsia="宋体" w:cs="宋体"/>
          <w:color w:val="auto"/>
          <w:spacing w:val="4"/>
          <w:sz w:val="20"/>
          <w:szCs w:val="20"/>
          <w:highlight w:val="none"/>
        </w:rPr>
        <w:t>保证金。</w:t>
      </w:r>
    </w:p>
    <w:p w14:paraId="265410B7">
      <w:pPr>
        <w:spacing w:before="160" w:line="302" w:lineRule="auto"/>
        <w:ind w:left="191" w:right="177" w:hanging="8"/>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③招标人可根据招标项目所在地省级交通运输主管部门的有关规定，对信用等级高的投标人，给</w:t>
      </w:r>
      <w:r>
        <w:rPr>
          <w:rFonts w:hint="eastAsia" w:ascii="宋体" w:hAnsi="宋体" w:eastAsia="宋体" w:cs="宋体"/>
          <w:color w:val="auto"/>
          <w:spacing w:val="8"/>
          <w:sz w:val="20"/>
          <w:szCs w:val="20"/>
          <w:highlight w:val="none"/>
        </w:rPr>
        <w:t>予减少履约保证金金额的优惠。</w:t>
      </w:r>
    </w:p>
    <w:p w14:paraId="541709C5">
      <w:pPr>
        <w:spacing w:line="302" w:lineRule="auto"/>
        <w:rPr>
          <w:rFonts w:hint="eastAsia" w:ascii="宋体" w:hAnsi="宋体" w:eastAsia="宋体" w:cs="宋体"/>
          <w:color w:val="auto"/>
          <w:sz w:val="20"/>
          <w:szCs w:val="20"/>
          <w:highlight w:val="none"/>
        </w:rPr>
        <w:sectPr>
          <w:footerReference r:id="rId18" w:type="default"/>
          <w:pgSz w:w="11907" w:h="16840"/>
          <w:pgMar w:top="1182" w:right="1114" w:bottom="1014" w:left="1620" w:header="849" w:footer="852" w:gutter="0"/>
          <w:pgNumType w:fmt="decimal"/>
          <w:cols w:space="720" w:num="1"/>
        </w:sectPr>
      </w:pPr>
    </w:p>
    <w:p w14:paraId="36EC4D31">
      <w:pPr>
        <w:rPr>
          <w:rFonts w:hint="eastAsia" w:ascii="宋体" w:hAnsi="宋体" w:eastAsia="宋体" w:cs="宋体"/>
          <w:color w:val="auto"/>
          <w:highlight w:val="none"/>
        </w:rPr>
      </w:pPr>
    </w:p>
    <w:p w14:paraId="07162D2F">
      <w:pPr>
        <w:rPr>
          <w:rFonts w:hint="eastAsia" w:ascii="宋体" w:hAnsi="宋体" w:eastAsia="宋体" w:cs="宋体"/>
          <w:color w:val="auto"/>
          <w:highlight w:val="none"/>
        </w:rPr>
      </w:pPr>
    </w:p>
    <w:p w14:paraId="32A7232D">
      <w:pPr>
        <w:rPr>
          <w:rFonts w:hint="eastAsia" w:ascii="宋体" w:hAnsi="宋体" w:eastAsia="宋体" w:cs="宋体"/>
          <w:color w:val="auto"/>
          <w:highlight w:val="none"/>
        </w:rPr>
      </w:pPr>
    </w:p>
    <w:p w14:paraId="36AFB736">
      <w:pPr>
        <w:spacing w:before="91" w:line="218" w:lineRule="auto"/>
        <w:ind w:left="2132"/>
        <w:rPr>
          <w:rFonts w:hint="eastAsia" w:ascii="宋体" w:hAnsi="宋体" w:eastAsia="宋体" w:cs="宋体"/>
          <w:color w:val="auto"/>
          <w:sz w:val="28"/>
          <w:szCs w:val="28"/>
          <w:highlight w:val="none"/>
        </w:rPr>
      </w:pPr>
      <w:r>
        <w:rPr>
          <w:rFonts w:hint="eastAsia" w:ascii="宋体" w:hAnsi="宋体" w:eastAsia="宋体" w:cs="宋体"/>
          <w:b/>
          <w:bCs/>
          <w:color w:val="auto"/>
          <w:spacing w:val="-5"/>
          <w:sz w:val="28"/>
          <w:szCs w:val="28"/>
          <w:highlight w:val="none"/>
        </w:rPr>
        <w:t>附录1资格审查条件（资质最低要求）①</w:t>
      </w:r>
    </w:p>
    <w:p w14:paraId="37461AB1">
      <w:pPr>
        <w:spacing w:before="203" w:line="377" w:lineRule="auto"/>
        <w:ind w:left="20" w:right="70" w:firstLine="418"/>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9"/>
          <w:sz w:val="24"/>
          <w:szCs w:val="24"/>
          <w:highlight w:val="none"/>
        </w:rPr>
        <w:t>施工企业资质等级要求：</w:t>
      </w:r>
      <w:r>
        <w:rPr>
          <w:rFonts w:hint="eastAsia" w:ascii="宋体" w:hAnsi="宋体" w:eastAsia="宋体" w:cs="宋体"/>
          <w:color w:val="auto"/>
          <w:spacing w:val="9"/>
          <w:sz w:val="24"/>
          <w:szCs w:val="24"/>
          <w:highlight w:val="none"/>
        </w:rPr>
        <w:t>本次招标要求投标人须具备公路工程施工总承包叁级</w:t>
      </w:r>
      <w:r>
        <w:rPr>
          <w:rFonts w:hint="eastAsia" w:ascii="宋体" w:hAnsi="宋体" w:eastAsia="宋体" w:cs="宋体"/>
          <w:color w:val="auto"/>
          <w:spacing w:val="-6"/>
          <w:sz w:val="24"/>
          <w:szCs w:val="24"/>
          <w:highlight w:val="none"/>
        </w:rPr>
        <w:t>(含叁级)以上资质；并具有省级及以上建设行政主管部门颁发的安全生产许可证，</w:t>
      </w:r>
      <w:r>
        <w:rPr>
          <w:rFonts w:hint="eastAsia" w:ascii="宋体" w:hAnsi="宋体" w:eastAsia="宋体" w:cs="宋体"/>
          <w:color w:val="auto"/>
          <w:spacing w:val="9"/>
          <w:sz w:val="24"/>
          <w:szCs w:val="24"/>
          <w:highlight w:val="none"/>
        </w:rPr>
        <w:t>并在人员、设备、资金等方</w:t>
      </w:r>
      <w:r>
        <w:rPr>
          <w:rFonts w:hint="eastAsia" w:ascii="宋体" w:hAnsi="宋体" w:eastAsia="宋体" w:cs="宋体"/>
          <w:color w:val="auto"/>
          <w:spacing w:val="8"/>
          <w:sz w:val="24"/>
          <w:szCs w:val="24"/>
          <w:highlight w:val="none"/>
        </w:rPr>
        <w:t>面具备相应的施工能力。</w:t>
      </w:r>
    </w:p>
    <w:p w14:paraId="53B04533">
      <w:pPr>
        <w:spacing w:before="1" w:line="380" w:lineRule="auto"/>
        <w:ind w:left="21" w:right="70" w:firstLine="417"/>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①具体资质要求由招标人在满足国家相关法律法规前提下，根据招标项目具体特点和实际情</w:t>
      </w:r>
      <w:r>
        <w:rPr>
          <w:rFonts w:hint="eastAsia" w:ascii="宋体" w:hAnsi="宋体" w:eastAsia="宋体" w:cs="宋体"/>
          <w:color w:val="auto"/>
          <w:spacing w:val="4"/>
          <w:sz w:val="24"/>
          <w:szCs w:val="24"/>
          <w:highlight w:val="none"/>
        </w:rPr>
        <w:t>况确定。</w:t>
      </w:r>
    </w:p>
    <w:p w14:paraId="7C00F09D">
      <w:pPr>
        <w:spacing w:before="3" w:line="218" w:lineRule="auto"/>
        <w:ind w:left="2132"/>
        <w:rPr>
          <w:rFonts w:hint="eastAsia" w:ascii="宋体" w:hAnsi="宋体" w:eastAsia="宋体" w:cs="宋体"/>
          <w:b/>
          <w:bCs/>
          <w:color w:val="auto"/>
          <w:spacing w:val="-3"/>
          <w:sz w:val="28"/>
          <w:szCs w:val="28"/>
          <w:highlight w:val="none"/>
        </w:rPr>
      </w:pPr>
    </w:p>
    <w:p w14:paraId="02146CB6">
      <w:pPr>
        <w:spacing w:before="3" w:line="218" w:lineRule="auto"/>
        <w:ind w:left="2132"/>
        <w:rPr>
          <w:rFonts w:hint="eastAsia" w:ascii="宋体" w:hAnsi="宋体" w:eastAsia="宋体" w:cs="宋体"/>
          <w:b/>
          <w:bCs/>
          <w:color w:val="auto"/>
          <w:spacing w:val="-3"/>
          <w:sz w:val="28"/>
          <w:szCs w:val="28"/>
          <w:highlight w:val="none"/>
        </w:rPr>
      </w:pPr>
    </w:p>
    <w:p w14:paraId="503C63C1">
      <w:pPr>
        <w:spacing w:before="3" w:line="218" w:lineRule="auto"/>
        <w:ind w:left="2132"/>
        <w:rPr>
          <w:rFonts w:hint="eastAsia" w:ascii="宋体" w:hAnsi="宋体" w:eastAsia="宋体" w:cs="宋体"/>
          <w:color w:val="auto"/>
          <w:sz w:val="28"/>
          <w:szCs w:val="28"/>
          <w:highlight w:val="none"/>
        </w:rPr>
      </w:pPr>
      <w:r>
        <w:rPr>
          <w:rFonts w:hint="eastAsia" w:ascii="宋体" w:hAnsi="宋体" w:eastAsia="宋体" w:cs="宋体"/>
          <w:b/>
          <w:bCs/>
          <w:color w:val="auto"/>
          <w:spacing w:val="-3"/>
          <w:sz w:val="28"/>
          <w:szCs w:val="28"/>
          <w:highlight w:val="none"/>
        </w:rPr>
        <w:t>附录2资格审查条件（财务最低要求）①</w:t>
      </w:r>
    </w:p>
    <w:p w14:paraId="1C955015">
      <w:pPr>
        <w:keepNext w:val="0"/>
        <w:keepLines w:val="0"/>
        <w:pageBreakBefore w:val="0"/>
        <w:widowControl/>
        <w:kinsoku w:val="0"/>
        <w:wordWrap/>
        <w:overflowPunct/>
        <w:topLinePunct w:val="0"/>
        <w:autoSpaceDE w:val="0"/>
        <w:autoSpaceDN w:val="0"/>
        <w:bidi w:val="0"/>
        <w:adjustRightInd w:val="0"/>
        <w:snapToGrid w:val="0"/>
        <w:spacing w:before="204" w:line="360" w:lineRule="auto"/>
        <w:ind w:firstLine="494"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财务要求：</w:t>
      </w:r>
      <w:r>
        <w:rPr>
          <w:rFonts w:hint="eastAsia" w:ascii="宋体" w:hAnsi="宋体" w:eastAsia="宋体" w:cs="宋体"/>
          <w:color w:val="auto"/>
          <w:spacing w:val="3"/>
          <w:sz w:val="24"/>
          <w:szCs w:val="24"/>
          <w:highlight w:val="none"/>
        </w:rPr>
        <w:t>近3年(2022年度、2023年度和2024年度)有经会计师事务所审计的会计报表。</w:t>
      </w:r>
    </w:p>
    <w:p w14:paraId="1EC9E380">
      <w:pPr>
        <w:spacing w:before="161" w:line="377" w:lineRule="auto"/>
        <w:ind w:left="22" w:right="70" w:firstLine="454"/>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(备注：对于从取得营业执照时间起到投标截止时间为止不足要求年数的企业，</w:t>
      </w:r>
      <w:r>
        <w:rPr>
          <w:rFonts w:hint="eastAsia" w:ascii="宋体" w:hAnsi="宋体" w:eastAsia="宋体" w:cs="宋体"/>
          <w:color w:val="auto"/>
          <w:spacing w:val="6"/>
          <w:sz w:val="24"/>
          <w:szCs w:val="24"/>
          <w:highlight w:val="none"/>
        </w:rPr>
        <w:t>只需提交企业</w:t>
      </w:r>
      <w:r>
        <w:rPr>
          <w:rFonts w:hint="eastAsia" w:ascii="宋体" w:hAnsi="宋体" w:eastAsia="宋体" w:cs="宋体"/>
          <w:color w:val="auto"/>
          <w:spacing w:val="9"/>
          <w:sz w:val="24"/>
          <w:szCs w:val="24"/>
          <w:highlight w:val="none"/>
        </w:rPr>
        <w:t>取得营业执照年份至所要求最近年份经审计的财务报表。)</w:t>
      </w:r>
    </w:p>
    <w:p w14:paraId="2E1C3C9A">
      <w:pPr>
        <w:spacing w:line="379" w:lineRule="auto"/>
        <w:ind w:left="21" w:right="70" w:firstLine="417"/>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①具体财务要求由招标人在满足国家相关法律法规前提下，根据招标项目具体特点和实际情</w:t>
      </w:r>
      <w:r>
        <w:rPr>
          <w:rFonts w:hint="eastAsia" w:ascii="宋体" w:hAnsi="宋体" w:eastAsia="宋体" w:cs="宋体"/>
          <w:color w:val="auto"/>
          <w:spacing w:val="10"/>
          <w:sz w:val="24"/>
          <w:szCs w:val="24"/>
          <w:highlight w:val="none"/>
        </w:rPr>
        <w:t>况确定。例如招标人可对投标人近三年的平均营业额、流动比率</w:t>
      </w:r>
      <w:r>
        <w:rPr>
          <w:rFonts w:hint="eastAsia" w:ascii="宋体" w:hAnsi="宋体" w:eastAsia="宋体" w:cs="宋体"/>
          <w:color w:val="auto"/>
          <w:spacing w:val="9"/>
          <w:sz w:val="24"/>
          <w:szCs w:val="24"/>
          <w:highlight w:val="none"/>
        </w:rPr>
        <w:t>、资产负债率、净资产等提出要</w:t>
      </w:r>
      <w:r>
        <w:rPr>
          <w:rFonts w:hint="eastAsia" w:ascii="宋体" w:hAnsi="宋体" w:eastAsia="宋体" w:cs="宋体"/>
          <w:color w:val="auto"/>
          <w:spacing w:val="-1"/>
          <w:sz w:val="24"/>
          <w:szCs w:val="24"/>
          <w:highlight w:val="none"/>
        </w:rPr>
        <w:t>求。</w:t>
      </w:r>
    </w:p>
    <w:p w14:paraId="07406D3A">
      <w:pPr>
        <w:pStyle w:val="4"/>
        <w:spacing w:line="319" w:lineRule="auto"/>
        <w:rPr>
          <w:rFonts w:hint="eastAsia" w:ascii="宋体" w:hAnsi="宋体" w:eastAsia="宋体" w:cs="宋体"/>
          <w:color w:val="auto"/>
          <w:highlight w:val="none"/>
        </w:rPr>
      </w:pPr>
    </w:p>
    <w:p w14:paraId="6A527A85">
      <w:pPr>
        <w:spacing w:before="91" w:line="218" w:lineRule="auto"/>
        <w:ind w:left="2132"/>
        <w:rPr>
          <w:rFonts w:hint="eastAsia" w:ascii="宋体" w:hAnsi="宋体" w:eastAsia="宋体" w:cs="宋体"/>
          <w:b/>
          <w:bCs/>
          <w:color w:val="auto"/>
          <w:spacing w:val="-3"/>
          <w:sz w:val="28"/>
          <w:szCs w:val="28"/>
          <w:highlight w:val="none"/>
        </w:rPr>
      </w:pPr>
    </w:p>
    <w:p w14:paraId="4145BB23">
      <w:pPr>
        <w:spacing w:before="91" w:line="218" w:lineRule="auto"/>
        <w:ind w:left="2132"/>
        <w:rPr>
          <w:rFonts w:hint="eastAsia" w:ascii="宋体" w:hAnsi="宋体" w:eastAsia="宋体" w:cs="宋体"/>
          <w:color w:val="auto"/>
          <w:sz w:val="28"/>
          <w:szCs w:val="28"/>
          <w:highlight w:val="none"/>
        </w:rPr>
      </w:pPr>
      <w:r>
        <w:rPr>
          <w:rFonts w:hint="eastAsia" w:ascii="宋体" w:hAnsi="宋体" w:eastAsia="宋体" w:cs="宋体"/>
          <w:b/>
          <w:bCs/>
          <w:color w:val="auto"/>
          <w:spacing w:val="-3"/>
          <w:sz w:val="28"/>
          <w:szCs w:val="28"/>
          <w:highlight w:val="none"/>
        </w:rPr>
        <w:t>附录3资格审查条件（业绩最低要求）①</w:t>
      </w:r>
    </w:p>
    <w:p w14:paraId="19BCC30D">
      <w:pPr>
        <w:spacing w:before="205" w:line="228" w:lineRule="auto"/>
        <w:ind w:left="438"/>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业绩要求：</w:t>
      </w:r>
      <w:r>
        <w:rPr>
          <w:rFonts w:hint="eastAsia" w:ascii="宋体" w:hAnsi="宋体" w:eastAsia="宋体" w:cs="宋体"/>
          <w:color w:val="auto"/>
          <w:spacing w:val="3"/>
          <w:sz w:val="24"/>
          <w:szCs w:val="24"/>
          <w:highlight w:val="none"/>
        </w:rPr>
        <w:t>无</w:t>
      </w:r>
    </w:p>
    <w:p w14:paraId="695849E4">
      <w:pPr>
        <w:spacing w:before="163" w:line="378" w:lineRule="auto"/>
        <w:ind w:left="21" w:right="70" w:firstLine="417"/>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①具体业绩要求由招标人在满足国家相关法律法规前提下，根据招标项目具体特点和实际情</w:t>
      </w:r>
      <w:r>
        <w:rPr>
          <w:rFonts w:hint="eastAsia" w:ascii="宋体" w:hAnsi="宋体" w:eastAsia="宋体" w:cs="宋体"/>
          <w:color w:val="auto"/>
          <w:spacing w:val="8"/>
          <w:sz w:val="24"/>
          <w:szCs w:val="24"/>
          <w:highlight w:val="none"/>
        </w:rPr>
        <w:t>况确定，但不得设置过高的业绩资格条件。</w:t>
      </w:r>
    </w:p>
    <w:p w14:paraId="1A1E22A6">
      <w:pPr>
        <w:pStyle w:val="4"/>
        <w:spacing w:line="321" w:lineRule="auto"/>
        <w:rPr>
          <w:rFonts w:hint="eastAsia" w:ascii="宋体" w:hAnsi="宋体" w:eastAsia="宋体" w:cs="宋体"/>
          <w:color w:val="auto"/>
          <w:highlight w:val="none"/>
        </w:rPr>
      </w:pPr>
    </w:p>
    <w:p w14:paraId="25CF5755">
      <w:pPr>
        <w:spacing w:before="92" w:line="218" w:lineRule="auto"/>
        <w:ind w:left="2132"/>
        <w:rPr>
          <w:rFonts w:hint="eastAsia" w:ascii="宋体" w:hAnsi="宋体" w:eastAsia="宋体" w:cs="宋体"/>
          <w:b/>
          <w:bCs/>
          <w:color w:val="auto"/>
          <w:spacing w:val="-3"/>
          <w:sz w:val="28"/>
          <w:szCs w:val="28"/>
          <w:highlight w:val="none"/>
        </w:rPr>
      </w:pPr>
    </w:p>
    <w:p w14:paraId="58390453">
      <w:pPr>
        <w:spacing w:before="92" w:line="218" w:lineRule="auto"/>
        <w:ind w:left="2132"/>
        <w:rPr>
          <w:rFonts w:hint="eastAsia" w:ascii="宋体" w:hAnsi="宋体" w:eastAsia="宋体" w:cs="宋体"/>
          <w:b/>
          <w:bCs/>
          <w:color w:val="auto"/>
          <w:spacing w:val="-3"/>
          <w:sz w:val="28"/>
          <w:szCs w:val="28"/>
          <w:highlight w:val="none"/>
        </w:rPr>
      </w:pPr>
    </w:p>
    <w:p w14:paraId="79070BB2">
      <w:pPr>
        <w:spacing w:before="92" w:line="218" w:lineRule="auto"/>
        <w:ind w:left="2132"/>
        <w:rPr>
          <w:rFonts w:hint="eastAsia" w:ascii="宋体" w:hAnsi="宋体" w:eastAsia="宋体" w:cs="宋体"/>
          <w:b/>
          <w:bCs/>
          <w:color w:val="auto"/>
          <w:spacing w:val="-3"/>
          <w:sz w:val="28"/>
          <w:szCs w:val="28"/>
          <w:highlight w:val="none"/>
        </w:rPr>
      </w:pPr>
    </w:p>
    <w:p w14:paraId="18BC8B73">
      <w:pPr>
        <w:spacing w:before="92" w:line="218" w:lineRule="auto"/>
        <w:ind w:left="2132"/>
        <w:rPr>
          <w:rFonts w:hint="eastAsia" w:ascii="宋体" w:hAnsi="宋体" w:eastAsia="宋体" w:cs="宋体"/>
          <w:b/>
          <w:bCs/>
          <w:color w:val="auto"/>
          <w:spacing w:val="-3"/>
          <w:sz w:val="28"/>
          <w:szCs w:val="28"/>
          <w:highlight w:val="none"/>
        </w:rPr>
      </w:pPr>
    </w:p>
    <w:p w14:paraId="07D4C8E5">
      <w:pPr>
        <w:spacing w:before="92" w:line="218" w:lineRule="auto"/>
        <w:ind w:left="2132"/>
        <w:rPr>
          <w:rFonts w:hint="eastAsia" w:ascii="宋体" w:hAnsi="宋体" w:eastAsia="宋体" w:cs="宋体"/>
          <w:b/>
          <w:bCs/>
          <w:color w:val="auto"/>
          <w:spacing w:val="-3"/>
          <w:sz w:val="28"/>
          <w:szCs w:val="28"/>
          <w:highlight w:val="none"/>
        </w:rPr>
      </w:pPr>
    </w:p>
    <w:p w14:paraId="1CB9A28E">
      <w:pPr>
        <w:spacing w:before="92" w:line="218" w:lineRule="auto"/>
        <w:ind w:left="2132"/>
        <w:rPr>
          <w:rFonts w:hint="eastAsia" w:ascii="宋体" w:hAnsi="宋体" w:eastAsia="宋体" w:cs="宋体"/>
          <w:b/>
          <w:bCs/>
          <w:color w:val="auto"/>
          <w:spacing w:val="-3"/>
          <w:sz w:val="28"/>
          <w:szCs w:val="28"/>
          <w:highlight w:val="none"/>
        </w:rPr>
      </w:pPr>
    </w:p>
    <w:p w14:paraId="78B1EA4B">
      <w:pPr>
        <w:spacing w:before="92" w:line="218" w:lineRule="auto"/>
        <w:rPr>
          <w:rFonts w:hint="eastAsia" w:ascii="宋体" w:hAnsi="宋体" w:eastAsia="宋体" w:cs="宋体"/>
          <w:b/>
          <w:bCs/>
          <w:color w:val="auto"/>
          <w:spacing w:val="-3"/>
          <w:sz w:val="28"/>
          <w:szCs w:val="28"/>
          <w:highlight w:val="none"/>
        </w:rPr>
      </w:pPr>
    </w:p>
    <w:p w14:paraId="281B57C6">
      <w:pPr>
        <w:spacing w:before="92" w:line="218" w:lineRule="auto"/>
        <w:ind w:left="2132"/>
        <w:rPr>
          <w:rFonts w:hint="eastAsia" w:ascii="宋体" w:hAnsi="宋体" w:eastAsia="宋体" w:cs="宋体"/>
          <w:color w:val="auto"/>
          <w:sz w:val="28"/>
          <w:szCs w:val="28"/>
          <w:highlight w:val="none"/>
        </w:rPr>
      </w:pPr>
      <w:r>
        <w:rPr>
          <w:rFonts w:hint="eastAsia" w:ascii="宋体" w:hAnsi="宋体" w:eastAsia="宋体" w:cs="宋体"/>
          <w:b/>
          <w:bCs/>
          <w:color w:val="auto"/>
          <w:spacing w:val="-3"/>
          <w:sz w:val="28"/>
          <w:szCs w:val="28"/>
          <w:highlight w:val="none"/>
        </w:rPr>
        <w:t>附录4资格审查条件（信誉最低要求）①</w:t>
      </w:r>
    </w:p>
    <w:p w14:paraId="7E35B091">
      <w:pPr>
        <w:spacing w:before="204" w:line="227" w:lineRule="auto"/>
        <w:ind w:left="439"/>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信誉要求：</w:t>
      </w:r>
    </w:p>
    <w:p w14:paraId="68A2F3F6">
      <w:pPr>
        <w:spacing w:before="162" w:line="302" w:lineRule="auto"/>
        <w:ind w:left="26" w:right="71" w:firstLine="42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1、投标人不存在被交通运输部在全国范围内或广西交通运</w:t>
      </w:r>
      <w:r>
        <w:rPr>
          <w:rFonts w:hint="eastAsia" w:ascii="宋体" w:hAnsi="宋体" w:eastAsia="宋体" w:cs="宋体"/>
          <w:color w:val="auto"/>
          <w:spacing w:val="6"/>
          <w:sz w:val="24"/>
          <w:szCs w:val="24"/>
          <w:highlight w:val="none"/>
        </w:rPr>
        <w:t>输厅作出取消投标资格或禁止进入</w:t>
      </w:r>
      <w:r>
        <w:rPr>
          <w:rFonts w:hint="eastAsia" w:ascii="宋体" w:hAnsi="宋体" w:eastAsia="宋体" w:cs="宋体"/>
          <w:color w:val="auto"/>
          <w:spacing w:val="8"/>
          <w:sz w:val="24"/>
          <w:szCs w:val="24"/>
          <w:highlight w:val="none"/>
        </w:rPr>
        <w:t>公路建设市场且处于有效期内的行政处罚；</w:t>
      </w:r>
    </w:p>
    <w:p w14:paraId="29232614">
      <w:pPr>
        <w:spacing w:before="163" w:line="327" w:lineRule="auto"/>
        <w:ind w:left="20" w:right="70" w:firstLine="421"/>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2、投标人不存在《广西壮族自治区交通运输厅关于修订广西公路建设市场施工企业信用</w:t>
      </w:r>
      <w:r>
        <w:rPr>
          <w:rFonts w:hint="eastAsia" w:ascii="宋体" w:hAnsi="宋体" w:eastAsia="宋体" w:cs="宋体"/>
          <w:color w:val="auto"/>
          <w:spacing w:val="6"/>
          <w:sz w:val="24"/>
          <w:szCs w:val="24"/>
          <w:highlight w:val="none"/>
        </w:rPr>
        <w:t>评价</w:t>
      </w:r>
      <w:r>
        <w:rPr>
          <w:rFonts w:hint="eastAsia" w:ascii="宋体" w:hAnsi="宋体" w:eastAsia="宋体" w:cs="宋体"/>
          <w:color w:val="auto"/>
          <w:spacing w:val="7"/>
          <w:sz w:val="24"/>
          <w:szCs w:val="24"/>
          <w:highlight w:val="none"/>
        </w:rPr>
        <w:t>规则实施细则的通知》(桂交建管发[20</w:t>
      </w:r>
      <w:r>
        <w:rPr>
          <w:rFonts w:hint="eastAsia" w:ascii="宋体" w:hAnsi="宋体" w:eastAsia="宋体" w:cs="宋体"/>
          <w:color w:val="auto"/>
          <w:spacing w:val="6"/>
          <w:sz w:val="24"/>
          <w:szCs w:val="24"/>
          <w:highlight w:val="none"/>
        </w:rPr>
        <w:t>16]59号)中有关其它市场禁入性规定的情况，否则，招标</w:t>
      </w:r>
      <w:r>
        <w:rPr>
          <w:rFonts w:hint="eastAsia" w:ascii="宋体" w:hAnsi="宋体" w:eastAsia="宋体" w:cs="宋体"/>
          <w:color w:val="auto"/>
          <w:spacing w:val="8"/>
          <w:sz w:val="24"/>
          <w:szCs w:val="24"/>
          <w:highlight w:val="none"/>
        </w:rPr>
        <w:t>人有权宣布取消中标资格。</w:t>
      </w:r>
    </w:p>
    <w:p w14:paraId="5AAFE850">
      <w:pPr>
        <w:spacing w:before="159" w:line="353" w:lineRule="auto"/>
        <w:ind w:left="18" w:right="70" w:firstLine="425"/>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3、信用评价等级属</w:t>
      </w:r>
      <w:r>
        <w:rPr>
          <w:rFonts w:hint="eastAsia" w:ascii="宋体" w:hAnsi="宋体" w:eastAsia="宋体" w:cs="宋体"/>
          <w:color w:val="auto"/>
          <w:sz w:val="24"/>
          <w:szCs w:val="24"/>
          <w:highlight w:val="none"/>
        </w:rPr>
        <w:t>AA</w:t>
      </w:r>
      <w:r>
        <w:rPr>
          <w:rFonts w:hint="eastAsia" w:ascii="宋体" w:hAnsi="宋体" w:eastAsia="宋体" w:cs="宋体"/>
          <w:color w:val="auto"/>
          <w:spacing w:val="6"/>
          <w:sz w:val="24"/>
          <w:szCs w:val="24"/>
          <w:highlight w:val="none"/>
        </w:rPr>
        <w:t>级、A级、B级和C级的企业，可对本工程投标。投标单位的信用</w:t>
      </w:r>
      <w:r>
        <w:rPr>
          <w:rFonts w:hint="eastAsia" w:ascii="宋体" w:hAnsi="宋体" w:eastAsia="宋体" w:cs="宋体"/>
          <w:color w:val="auto"/>
          <w:spacing w:val="10"/>
          <w:sz w:val="24"/>
          <w:szCs w:val="24"/>
          <w:highlight w:val="none"/>
        </w:rPr>
        <w:t>评价等级按照《广西壮族自治区交通运输厅关于修订广西公路设市场施</w:t>
      </w:r>
      <w:r>
        <w:rPr>
          <w:rFonts w:hint="eastAsia" w:ascii="宋体" w:hAnsi="宋体" w:eastAsia="宋体" w:cs="宋体"/>
          <w:color w:val="auto"/>
          <w:spacing w:val="9"/>
          <w:sz w:val="24"/>
          <w:szCs w:val="24"/>
          <w:highlight w:val="none"/>
        </w:rPr>
        <w:t>工企业信用评价规则实施</w:t>
      </w:r>
      <w:r>
        <w:rPr>
          <w:rFonts w:hint="eastAsia" w:ascii="宋体" w:hAnsi="宋体" w:eastAsia="宋体" w:cs="宋体"/>
          <w:color w:val="auto"/>
          <w:spacing w:val="8"/>
          <w:sz w:val="24"/>
          <w:szCs w:val="24"/>
          <w:highlight w:val="none"/>
        </w:rPr>
        <w:t>细则的通知》（桂交建管发[2016]59号）、《交通运输部关于公布2023年度公路建设</w:t>
      </w:r>
      <w:r>
        <w:rPr>
          <w:rFonts w:hint="eastAsia" w:ascii="宋体" w:hAnsi="宋体" w:eastAsia="宋体" w:cs="宋体"/>
          <w:color w:val="auto"/>
          <w:spacing w:val="7"/>
          <w:sz w:val="24"/>
          <w:szCs w:val="24"/>
          <w:highlight w:val="none"/>
        </w:rPr>
        <w:t>市场全国</w:t>
      </w:r>
      <w:r>
        <w:rPr>
          <w:rFonts w:hint="eastAsia" w:ascii="宋体" w:hAnsi="宋体" w:eastAsia="宋体" w:cs="宋体"/>
          <w:color w:val="auto"/>
          <w:spacing w:val="8"/>
          <w:sz w:val="24"/>
          <w:szCs w:val="24"/>
          <w:highlight w:val="none"/>
        </w:rPr>
        <w:t>综合信用评价结果的通知》（交通运输部公告2024年第54号）或《广西壮族自治区交通运输厅</w:t>
      </w:r>
      <w:r>
        <w:rPr>
          <w:rFonts w:hint="eastAsia" w:ascii="宋体" w:hAnsi="宋体" w:eastAsia="宋体" w:cs="宋体"/>
          <w:color w:val="auto"/>
          <w:spacing w:val="9"/>
          <w:sz w:val="24"/>
          <w:szCs w:val="24"/>
          <w:highlight w:val="none"/>
        </w:rPr>
        <w:t>关于公布广西公路建设市场2023年度公路设计企业、施工企业、监理企业及监理人员信用评价</w:t>
      </w:r>
      <w:r>
        <w:rPr>
          <w:rFonts w:hint="eastAsia" w:ascii="宋体" w:hAnsi="宋体" w:eastAsia="宋体" w:cs="宋体"/>
          <w:color w:val="auto"/>
          <w:spacing w:val="8"/>
          <w:sz w:val="24"/>
          <w:szCs w:val="24"/>
          <w:highlight w:val="none"/>
        </w:rPr>
        <w:t>结果的通知》（桂交建管函〔2024〕208号）或《2024年度玉林市公路建设市场公路设计、施工</w:t>
      </w:r>
      <w:r>
        <w:rPr>
          <w:rFonts w:hint="eastAsia" w:ascii="宋体" w:hAnsi="宋体" w:eastAsia="宋体" w:cs="宋体"/>
          <w:color w:val="auto"/>
          <w:spacing w:val="10"/>
          <w:sz w:val="24"/>
          <w:szCs w:val="24"/>
          <w:highlight w:val="none"/>
        </w:rPr>
        <w:t>及监理企业信用评价结果的通知》或初次进入玉林市公路建设市场的投</w:t>
      </w:r>
      <w:r>
        <w:rPr>
          <w:rFonts w:hint="eastAsia" w:ascii="宋体" w:hAnsi="宋体" w:eastAsia="宋体" w:cs="宋体"/>
          <w:color w:val="auto"/>
          <w:spacing w:val="9"/>
          <w:sz w:val="24"/>
          <w:szCs w:val="24"/>
          <w:highlight w:val="none"/>
        </w:rPr>
        <w:t>标单位，在递交投标文件</w:t>
      </w:r>
      <w:r>
        <w:rPr>
          <w:rFonts w:hint="eastAsia" w:ascii="宋体" w:hAnsi="宋体" w:eastAsia="宋体" w:cs="宋体"/>
          <w:color w:val="auto"/>
          <w:spacing w:val="7"/>
          <w:sz w:val="24"/>
          <w:szCs w:val="24"/>
          <w:highlight w:val="none"/>
        </w:rPr>
        <w:t>前应向玉林市公路建设市场施工企业信用评价领导小组（玉林市交通运输工程质量</w:t>
      </w:r>
      <w:r>
        <w:rPr>
          <w:rFonts w:hint="eastAsia" w:ascii="宋体" w:hAnsi="宋体" w:eastAsia="宋体" w:cs="宋体"/>
          <w:color w:val="auto"/>
          <w:spacing w:val="6"/>
          <w:sz w:val="24"/>
          <w:szCs w:val="24"/>
          <w:highlight w:val="none"/>
        </w:rPr>
        <w:t>监测鉴定中心）</w:t>
      </w:r>
      <w:r>
        <w:rPr>
          <w:rFonts w:hint="eastAsia" w:ascii="宋体" w:hAnsi="宋体" w:eastAsia="宋体" w:cs="宋体"/>
          <w:color w:val="auto"/>
          <w:spacing w:val="10"/>
          <w:sz w:val="24"/>
          <w:szCs w:val="24"/>
          <w:highlight w:val="none"/>
        </w:rPr>
        <w:t>申请办理信用等级登记手续，其信用评价等级按登记后的确定或</w:t>
      </w:r>
      <w:r>
        <w:rPr>
          <w:rFonts w:hint="eastAsia" w:ascii="宋体" w:hAnsi="宋体" w:eastAsia="宋体" w:cs="宋体"/>
          <w:color w:val="auto"/>
          <w:spacing w:val="9"/>
          <w:sz w:val="24"/>
          <w:szCs w:val="24"/>
          <w:highlight w:val="none"/>
        </w:rPr>
        <w:t>在上述评价公布结果中没有信用</w:t>
      </w:r>
      <w:r>
        <w:rPr>
          <w:rFonts w:hint="eastAsia" w:ascii="宋体" w:hAnsi="宋体" w:eastAsia="宋体" w:cs="宋体"/>
          <w:color w:val="auto"/>
          <w:spacing w:val="10"/>
          <w:sz w:val="24"/>
          <w:szCs w:val="24"/>
          <w:highlight w:val="none"/>
        </w:rPr>
        <w:t>等级评价的投标人应到玉林市交通运输工程质量监测鉴定中心办</w:t>
      </w:r>
      <w:r>
        <w:rPr>
          <w:rFonts w:hint="eastAsia" w:ascii="宋体" w:hAnsi="宋体" w:eastAsia="宋体" w:cs="宋体"/>
          <w:color w:val="auto"/>
          <w:spacing w:val="9"/>
          <w:sz w:val="24"/>
          <w:szCs w:val="24"/>
          <w:highlight w:val="none"/>
        </w:rPr>
        <w:t>理登记手续，其信用评价等级按</w:t>
      </w:r>
      <w:r>
        <w:rPr>
          <w:rFonts w:hint="eastAsia" w:ascii="宋体" w:hAnsi="宋体" w:eastAsia="宋体" w:cs="宋体"/>
          <w:color w:val="auto"/>
          <w:spacing w:val="6"/>
          <w:sz w:val="24"/>
          <w:szCs w:val="24"/>
          <w:highlight w:val="none"/>
        </w:rPr>
        <w:t>登记后的确定。</w:t>
      </w:r>
    </w:p>
    <w:p w14:paraId="4010D572">
      <w:pPr>
        <w:spacing w:before="1" w:line="302" w:lineRule="auto"/>
        <w:ind w:left="124" w:right="87" w:firstLine="415"/>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4、信用等级评价为D级以下(含D级)的投标人，按</w:t>
      </w:r>
      <w:r>
        <w:rPr>
          <w:rFonts w:hint="eastAsia" w:ascii="宋体" w:hAnsi="宋体" w:eastAsia="宋体" w:cs="宋体"/>
          <w:color w:val="auto"/>
          <w:spacing w:val="8"/>
          <w:sz w:val="24"/>
          <w:szCs w:val="24"/>
          <w:highlight w:val="none"/>
        </w:rPr>
        <w:t>广西壮族自治区交通运输厅《关于印</w:t>
      </w:r>
      <w:r>
        <w:rPr>
          <w:rFonts w:hint="eastAsia" w:ascii="宋体" w:hAnsi="宋体" w:eastAsia="宋体" w:cs="宋体"/>
          <w:color w:val="auto"/>
          <w:spacing w:val="7"/>
          <w:sz w:val="24"/>
          <w:szCs w:val="24"/>
          <w:highlight w:val="none"/>
        </w:rPr>
        <w:t>发广西公路建设市场施工企业信用评价规则实施细则(2011年修订)的通知</w:t>
      </w:r>
      <w:r>
        <w:rPr>
          <w:rFonts w:hint="eastAsia" w:ascii="宋体" w:hAnsi="宋体" w:eastAsia="宋体" w:cs="宋体"/>
          <w:color w:val="auto"/>
          <w:spacing w:val="6"/>
          <w:sz w:val="24"/>
          <w:szCs w:val="24"/>
          <w:highlight w:val="none"/>
        </w:rPr>
        <w:t>》(桂交基建发</w:t>
      </w:r>
      <w:r>
        <w:rPr>
          <w:rFonts w:hint="eastAsia" w:ascii="宋体" w:hAnsi="宋体" w:eastAsia="宋体" w:cs="宋体"/>
          <w:color w:val="auto"/>
          <w:spacing w:val="7"/>
          <w:sz w:val="24"/>
          <w:szCs w:val="24"/>
          <w:highlight w:val="none"/>
        </w:rPr>
        <w:t>[2011]113号)规定执行，将导致无法通过资格审查，并对作投标无效处理。</w:t>
      </w:r>
    </w:p>
    <w:p w14:paraId="4ABA4E03">
      <w:pPr>
        <w:spacing w:before="161" w:line="328" w:lineRule="auto"/>
        <w:ind w:left="122" w:right="16" w:firstLine="423"/>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5、与招标人存在利益关系可能影响招标公正性的法人、其他组织或者个人，不得参加投标。</w:t>
      </w:r>
      <w:r>
        <w:rPr>
          <w:rFonts w:hint="eastAsia" w:ascii="宋体" w:hAnsi="宋体" w:eastAsia="宋体" w:cs="宋体"/>
          <w:color w:val="auto"/>
          <w:spacing w:val="10"/>
          <w:sz w:val="24"/>
          <w:szCs w:val="24"/>
          <w:highlight w:val="none"/>
        </w:rPr>
        <w:t>单位负责人为同一人或者存在控股、管理关系的不同单位，不得参</w:t>
      </w:r>
      <w:r>
        <w:rPr>
          <w:rFonts w:hint="eastAsia" w:ascii="宋体" w:hAnsi="宋体" w:eastAsia="宋体" w:cs="宋体"/>
          <w:color w:val="auto"/>
          <w:spacing w:val="9"/>
          <w:sz w:val="24"/>
          <w:szCs w:val="24"/>
          <w:highlight w:val="none"/>
        </w:rPr>
        <w:t>加同一标段投标或者未划分标段的同一招标项目投标，违反上述规定的，相关投标均无效。</w:t>
      </w:r>
    </w:p>
    <w:p w14:paraId="4B4496EE">
      <w:pPr>
        <w:spacing w:before="160" w:line="327" w:lineRule="auto"/>
        <w:ind w:left="123" w:right="87" w:firstLine="420"/>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6、在国家企业信用信息公示系统(</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http</w:t>
      </w:r>
      <w:r>
        <w:rPr>
          <w:rFonts w:hint="eastAsia" w:ascii="宋体" w:hAnsi="宋体" w:eastAsia="宋体" w:cs="宋体"/>
          <w:color w:val="auto"/>
          <w:spacing w:val="10"/>
          <w:sz w:val="24"/>
          <w:szCs w:val="24"/>
          <w:highlight w:val="none"/>
        </w:rPr>
        <w:t>:</w:t>
      </w:r>
      <w:r>
        <w:rPr>
          <w:rFonts w:hint="eastAsia" w:ascii="宋体" w:hAnsi="宋体" w:eastAsia="宋体" w:cs="宋体"/>
          <w:color w:val="auto"/>
          <w:spacing w:val="10"/>
          <w:sz w:val="24"/>
          <w:szCs w:val="24"/>
          <w:highlight w:val="none"/>
        </w:rPr>
        <w:fldChar w:fldCharType="end"/>
      </w:r>
      <w:r>
        <w:rPr>
          <w:rFonts w:hint="eastAsia" w:ascii="宋体" w:hAnsi="宋体" w:eastAsia="宋体" w:cs="宋体"/>
          <w:color w:val="auto"/>
          <w:spacing w:val="10"/>
          <w:sz w:val="24"/>
          <w:szCs w:val="24"/>
          <w:highlight w:val="none"/>
        </w:rPr>
        <w:t>\\</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"https://www.gsxt.gov.cn"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www</w:t>
      </w:r>
      <w:r>
        <w:rPr>
          <w:rFonts w:hint="eastAsia" w:ascii="宋体" w:hAnsi="宋体" w:eastAsia="宋体" w:cs="宋体"/>
          <w:color w:val="auto"/>
          <w:spacing w:val="10"/>
          <w:sz w:val="24"/>
          <w:szCs w:val="24"/>
          <w:highlight w:val="none"/>
        </w:rPr>
        <w:t>.</w:t>
      </w:r>
      <w:r>
        <w:rPr>
          <w:rFonts w:hint="eastAsia" w:ascii="宋体" w:hAnsi="宋体" w:eastAsia="宋体" w:cs="宋体"/>
          <w:color w:val="auto"/>
          <w:sz w:val="24"/>
          <w:szCs w:val="24"/>
          <w:highlight w:val="none"/>
        </w:rPr>
        <w:t>gsxt</w:t>
      </w:r>
      <w:r>
        <w:rPr>
          <w:rFonts w:hint="eastAsia" w:ascii="宋体" w:hAnsi="宋体" w:eastAsia="宋体" w:cs="宋体"/>
          <w:color w:val="auto"/>
          <w:spacing w:val="10"/>
          <w:sz w:val="24"/>
          <w:szCs w:val="24"/>
          <w:highlight w:val="none"/>
        </w:rPr>
        <w:t>.</w:t>
      </w:r>
      <w:r>
        <w:rPr>
          <w:rFonts w:hint="eastAsia" w:ascii="宋体" w:hAnsi="宋体" w:eastAsia="宋体" w:cs="宋体"/>
          <w:color w:val="auto"/>
          <w:sz w:val="24"/>
          <w:szCs w:val="24"/>
          <w:highlight w:val="none"/>
        </w:rPr>
        <w:t>gov</w:t>
      </w:r>
      <w:r>
        <w:rPr>
          <w:rFonts w:hint="eastAsia" w:ascii="宋体" w:hAnsi="宋体" w:eastAsia="宋体" w:cs="宋体"/>
          <w:color w:val="auto"/>
          <w:spacing w:val="10"/>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10"/>
          <w:sz w:val="24"/>
          <w:szCs w:val="24"/>
          <w:highlight w:val="none"/>
        </w:rPr>
        <w:t>\)中被列入严重违法失信企业名</w:t>
      </w:r>
      <w:r>
        <w:rPr>
          <w:rFonts w:hint="eastAsia" w:ascii="宋体" w:hAnsi="宋体" w:eastAsia="宋体" w:cs="宋体"/>
          <w:color w:val="auto"/>
          <w:spacing w:val="8"/>
          <w:sz w:val="24"/>
          <w:szCs w:val="24"/>
          <w:highlight w:val="none"/>
        </w:rPr>
        <w:t>单、在“信用中国”网站(</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http</w:t>
      </w:r>
      <w:r>
        <w:rPr>
          <w:rFonts w:hint="eastAsia" w:ascii="宋体" w:hAnsi="宋体" w:eastAsia="宋体" w:cs="宋体"/>
          <w:color w:val="auto"/>
          <w:spacing w:val="8"/>
          <w:sz w:val="24"/>
          <w:szCs w:val="24"/>
          <w:highlight w:val="none"/>
        </w:rPr>
        <w:t>:</w:t>
      </w:r>
      <w:r>
        <w:rPr>
          <w:rFonts w:hint="eastAsia" w:ascii="宋体" w:hAnsi="宋体" w:eastAsia="宋体" w:cs="宋体"/>
          <w:color w:val="auto"/>
          <w:spacing w:val="8"/>
          <w:sz w:val="24"/>
          <w:szCs w:val="24"/>
          <w:highlight w:val="none"/>
        </w:rPr>
        <w:fldChar w:fldCharType="end"/>
      </w:r>
      <w:r>
        <w:rPr>
          <w:rFonts w:hint="eastAsia" w:ascii="宋体" w:hAnsi="宋体" w:eastAsia="宋体" w:cs="宋体"/>
          <w:color w:val="auto"/>
          <w:spacing w:val="8"/>
          <w:sz w:val="24"/>
          <w:szCs w:val="24"/>
          <w:highlight w:val="none"/>
        </w:rPr>
        <w:t>\\</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"https://www.creditchina.gov.cn"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www</w:t>
      </w:r>
      <w:r>
        <w:rPr>
          <w:rFonts w:hint="eastAsia" w:ascii="宋体" w:hAnsi="宋体" w:eastAsia="宋体" w:cs="宋体"/>
          <w:color w:val="auto"/>
          <w:spacing w:val="8"/>
          <w:sz w:val="24"/>
          <w:szCs w:val="24"/>
          <w:highlight w:val="none"/>
        </w:rPr>
        <w:t>.</w:t>
      </w:r>
      <w:r>
        <w:rPr>
          <w:rFonts w:hint="eastAsia" w:ascii="宋体" w:hAnsi="宋体" w:eastAsia="宋体" w:cs="宋体"/>
          <w:color w:val="auto"/>
          <w:sz w:val="24"/>
          <w:szCs w:val="24"/>
          <w:highlight w:val="none"/>
        </w:rPr>
        <w:t>creditchina</w:t>
      </w:r>
      <w:r>
        <w:rPr>
          <w:rFonts w:hint="eastAsia" w:ascii="宋体" w:hAnsi="宋体" w:eastAsia="宋体" w:cs="宋体"/>
          <w:color w:val="auto"/>
          <w:spacing w:val="8"/>
          <w:sz w:val="24"/>
          <w:szCs w:val="24"/>
          <w:highlight w:val="none"/>
        </w:rPr>
        <w:t>.</w:t>
      </w:r>
      <w:r>
        <w:rPr>
          <w:rFonts w:hint="eastAsia" w:ascii="宋体" w:hAnsi="宋体" w:eastAsia="宋体" w:cs="宋体"/>
          <w:color w:val="auto"/>
          <w:sz w:val="24"/>
          <w:szCs w:val="24"/>
          <w:highlight w:val="none"/>
        </w:rPr>
        <w:t>gov</w:t>
      </w:r>
      <w:r>
        <w:rPr>
          <w:rFonts w:hint="eastAsia" w:ascii="宋体" w:hAnsi="宋体" w:eastAsia="宋体" w:cs="宋体"/>
          <w:color w:val="auto"/>
          <w:spacing w:val="8"/>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8"/>
          <w:sz w:val="24"/>
          <w:szCs w:val="24"/>
          <w:highlight w:val="none"/>
        </w:rPr>
        <w:t>\)中被列入失信被执行</w:t>
      </w:r>
      <w:r>
        <w:rPr>
          <w:rFonts w:hint="eastAsia" w:ascii="宋体" w:hAnsi="宋体" w:eastAsia="宋体" w:cs="宋体"/>
          <w:color w:val="auto"/>
          <w:spacing w:val="7"/>
          <w:sz w:val="24"/>
          <w:szCs w:val="24"/>
          <w:highlight w:val="none"/>
        </w:rPr>
        <w:t>人名单的投标</w:t>
      </w:r>
      <w:r>
        <w:rPr>
          <w:rFonts w:hint="eastAsia" w:ascii="宋体" w:hAnsi="宋体" w:eastAsia="宋体" w:cs="宋体"/>
          <w:color w:val="auto"/>
          <w:spacing w:val="5"/>
          <w:sz w:val="24"/>
          <w:szCs w:val="24"/>
          <w:highlight w:val="none"/>
        </w:rPr>
        <w:t>人，不得参加投标。</w:t>
      </w:r>
    </w:p>
    <w:p w14:paraId="4DCB716C">
      <w:pPr>
        <w:spacing w:before="161" w:line="378" w:lineRule="auto"/>
        <w:ind w:left="123" w:right="87" w:firstLine="417"/>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①具体信誉要求由招标人在满足国家相关法律法规前提下，根据招标项目具体特点和实际情况确定，但不得与“投标人须知”第1.4.4项规定的内容重复。</w:t>
      </w:r>
    </w:p>
    <w:p w14:paraId="4E2ADF90">
      <w:pPr>
        <w:pStyle w:val="4"/>
        <w:spacing w:line="326" w:lineRule="auto"/>
        <w:rPr>
          <w:rFonts w:hint="eastAsia" w:ascii="宋体" w:hAnsi="宋体" w:eastAsia="宋体" w:cs="宋体"/>
          <w:color w:val="auto"/>
          <w:sz w:val="24"/>
          <w:szCs w:val="24"/>
          <w:highlight w:val="none"/>
        </w:rPr>
      </w:pPr>
    </w:p>
    <w:p w14:paraId="6DC05AA1">
      <w:pPr>
        <w:spacing w:before="91" w:line="345" w:lineRule="auto"/>
        <w:ind w:left="3272" w:right="632" w:hanging="2020"/>
        <w:rPr>
          <w:rFonts w:hint="eastAsia" w:ascii="宋体" w:hAnsi="宋体" w:eastAsia="宋体" w:cs="宋体"/>
          <w:b/>
          <w:bCs/>
          <w:color w:val="auto"/>
          <w:spacing w:val="-3"/>
          <w:sz w:val="28"/>
          <w:szCs w:val="28"/>
          <w:highlight w:val="none"/>
        </w:rPr>
      </w:pPr>
      <w:r>
        <w:rPr>
          <w:rFonts w:hint="eastAsia" w:ascii="宋体" w:hAnsi="宋体" w:eastAsia="宋体" w:cs="宋体"/>
          <w:b/>
          <w:bCs/>
          <w:color w:val="auto"/>
          <w:spacing w:val="-3"/>
          <w:sz w:val="28"/>
          <w:szCs w:val="28"/>
          <w:highlight w:val="none"/>
        </w:rPr>
        <w:t>附录5资格审查条件（项目经理和项目总工最低要求）</w:t>
      </w:r>
    </w:p>
    <w:p w14:paraId="1B6D47E6">
      <w:pPr>
        <w:spacing w:before="91" w:line="345" w:lineRule="auto"/>
        <w:ind w:left="3105" w:leftChars="1404" w:right="632" w:hanging="157" w:hangingChars="57"/>
        <w:rPr>
          <w:rFonts w:hint="eastAsia" w:ascii="宋体" w:hAnsi="宋体" w:eastAsia="宋体" w:cs="宋体"/>
          <w:color w:val="auto"/>
          <w:sz w:val="28"/>
          <w:szCs w:val="28"/>
          <w:highlight w:val="none"/>
        </w:rPr>
      </w:pPr>
      <w:r>
        <w:rPr>
          <w:rFonts w:hint="eastAsia" w:ascii="宋体" w:hAnsi="宋体" w:eastAsia="宋体" w:cs="宋体"/>
          <w:b/>
          <w:bCs/>
          <w:color w:val="auto"/>
          <w:spacing w:val="-3"/>
          <w:sz w:val="28"/>
          <w:szCs w:val="28"/>
          <w:highlight w:val="none"/>
        </w:rPr>
        <w:t>①</w:t>
      </w:r>
      <w:r>
        <w:rPr>
          <w:rFonts w:hint="eastAsia" w:ascii="宋体" w:hAnsi="宋体" w:eastAsia="宋体" w:cs="宋体"/>
          <w:b/>
          <w:bCs/>
          <w:color w:val="auto"/>
          <w:spacing w:val="-4"/>
          <w:sz w:val="28"/>
          <w:szCs w:val="28"/>
          <w:highlight w:val="none"/>
        </w:rPr>
        <w:t>项目经理和项目总工要求</w:t>
      </w:r>
    </w:p>
    <w:tbl>
      <w:tblPr>
        <w:tblStyle w:val="24"/>
        <w:tblW w:w="888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58"/>
        <w:gridCol w:w="810"/>
        <w:gridCol w:w="5119"/>
        <w:gridCol w:w="1602"/>
      </w:tblGrid>
      <w:tr w14:paraId="6BB968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7" w:hRule="atLeast"/>
        </w:trPr>
        <w:tc>
          <w:tcPr>
            <w:tcW w:w="1358" w:type="dxa"/>
            <w:vAlign w:val="top"/>
          </w:tcPr>
          <w:p w14:paraId="20EBD085">
            <w:pPr>
              <w:pStyle w:val="25"/>
              <w:spacing w:before="225" w:line="229" w:lineRule="auto"/>
              <w:ind w:left="68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人员</w:t>
            </w:r>
          </w:p>
        </w:tc>
        <w:tc>
          <w:tcPr>
            <w:tcW w:w="810" w:type="dxa"/>
            <w:vAlign w:val="top"/>
          </w:tcPr>
          <w:p w14:paraId="6FA3BAFD">
            <w:pPr>
              <w:pStyle w:val="25"/>
              <w:spacing w:before="225" w:line="228" w:lineRule="auto"/>
              <w:ind w:left="200"/>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数量</w:t>
            </w:r>
          </w:p>
        </w:tc>
        <w:tc>
          <w:tcPr>
            <w:tcW w:w="5119" w:type="dxa"/>
            <w:vAlign w:val="top"/>
          </w:tcPr>
          <w:p w14:paraId="54C10BE4">
            <w:pPr>
              <w:pStyle w:val="25"/>
              <w:spacing w:before="225" w:line="228" w:lineRule="auto"/>
              <w:ind w:left="2020"/>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资格要求</w:t>
            </w:r>
          </w:p>
        </w:tc>
        <w:tc>
          <w:tcPr>
            <w:tcW w:w="1602" w:type="dxa"/>
            <w:vAlign w:val="top"/>
          </w:tcPr>
          <w:p w14:paraId="5029948E">
            <w:pPr>
              <w:pStyle w:val="25"/>
              <w:spacing w:before="226" w:line="228" w:lineRule="auto"/>
              <w:ind w:firstLine="253" w:firstLineChars="100"/>
              <w:rPr>
                <w:rFonts w:hint="eastAsia" w:ascii="宋体" w:hAnsi="宋体" w:eastAsia="宋体" w:cs="宋体"/>
                <w:color w:val="auto"/>
                <w:sz w:val="24"/>
                <w:szCs w:val="24"/>
                <w:highlight w:val="none"/>
              </w:rPr>
            </w:pPr>
            <w:r>
              <w:rPr>
                <w:rFonts w:hint="eastAsia" w:ascii="宋体" w:hAnsi="宋体" w:eastAsia="宋体" w:cs="宋体"/>
                <w:b/>
                <w:bCs/>
                <w:color w:val="auto"/>
                <w:spacing w:val="6"/>
                <w:sz w:val="24"/>
                <w:szCs w:val="24"/>
                <w:highlight w:val="none"/>
              </w:rPr>
              <w:t>在岗要求</w:t>
            </w:r>
          </w:p>
        </w:tc>
      </w:tr>
      <w:tr w14:paraId="621335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9" w:hRule="atLeast"/>
        </w:trPr>
        <w:tc>
          <w:tcPr>
            <w:tcW w:w="1358" w:type="dxa"/>
            <w:vAlign w:val="top"/>
          </w:tcPr>
          <w:p w14:paraId="64A0A3C8">
            <w:pPr>
              <w:spacing w:line="265" w:lineRule="auto"/>
              <w:rPr>
                <w:rFonts w:hint="eastAsia" w:ascii="宋体" w:hAnsi="宋体" w:eastAsia="宋体" w:cs="宋体"/>
                <w:color w:val="auto"/>
                <w:sz w:val="24"/>
                <w:szCs w:val="24"/>
                <w:highlight w:val="none"/>
              </w:rPr>
            </w:pPr>
          </w:p>
          <w:p w14:paraId="11DED35B">
            <w:pPr>
              <w:spacing w:line="265" w:lineRule="auto"/>
              <w:rPr>
                <w:rFonts w:hint="eastAsia" w:ascii="宋体" w:hAnsi="宋体" w:eastAsia="宋体" w:cs="宋体"/>
                <w:color w:val="auto"/>
                <w:sz w:val="24"/>
                <w:szCs w:val="24"/>
                <w:highlight w:val="none"/>
              </w:rPr>
            </w:pPr>
          </w:p>
          <w:p w14:paraId="4E52623A">
            <w:pPr>
              <w:spacing w:line="265" w:lineRule="auto"/>
              <w:rPr>
                <w:rFonts w:hint="eastAsia" w:ascii="宋体" w:hAnsi="宋体" w:eastAsia="宋体" w:cs="宋体"/>
                <w:color w:val="auto"/>
                <w:sz w:val="24"/>
                <w:szCs w:val="24"/>
                <w:highlight w:val="none"/>
              </w:rPr>
            </w:pPr>
          </w:p>
          <w:p w14:paraId="37534D84">
            <w:pPr>
              <w:spacing w:line="265" w:lineRule="auto"/>
              <w:rPr>
                <w:rFonts w:hint="eastAsia" w:ascii="宋体" w:hAnsi="宋体" w:eastAsia="宋体" w:cs="宋体"/>
                <w:color w:val="auto"/>
                <w:sz w:val="24"/>
                <w:szCs w:val="24"/>
                <w:highlight w:val="none"/>
              </w:rPr>
            </w:pPr>
          </w:p>
          <w:p w14:paraId="2BEACFE7">
            <w:pPr>
              <w:spacing w:line="265" w:lineRule="auto"/>
              <w:rPr>
                <w:rFonts w:hint="eastAsia" w:ascii="宋体" w:hAnsi="宋体" w:eastAsia="宋体" w:cs="宋体"/>
                <w:color w:val="auto"/>
                <w:sz w:val="24"/>
                <w:szCs w:val="24"/>
                <w:highlight w:val="none"/>
              </w:rPr>
            </w:pPr>
          </w:p>
          <w:p w14:paraId="5C8AA2BE">
            <w:pPr>
              <w:spacing w:line="265" w:lineRule="auto"/>
              <w:rPr>
                <w:rFonts w:hint="eastAsia" w:ascii="宋体" w:hAnsi="宋体" w:eastAsia="宋体" w:cs="宋体"/>
                <w:color w:val="auto"/>
                <w:sz w:val="24"/>
                <w:szCs w:val="24"/>
                <w:highlight w:val="none"/>
              </w:rPr>
            </w:pPr>
          </w:p>
          <w:p w14:paraId="569CE2C6">
            <w:pPr>
              <w:pStyle w:val="25"/>
              <w:spacing w:before="65" w:line="228" w:lineRule="auto"/>
              <w:ind w:left="268"/>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项目经理</w:t>
            </w:r>
          </w:p>
        </w:tc>
        <w:tc>
          <w:tcPr>
            <w:tcW w:w="810" w:type="dxa"/>
            <w:vAlign w:val="top"/>
          </w:tcPr>
          <w:p w14:paraId="228A7D45">
            <w:pPr>
              <w:spacing w:line="265" w:lineRule="auto"/>
              <w:rPr>
                <w:rFonts w:hint="eastAsia" w:ascii="宋体" w:hAnsi="宋体" w:eastAsia="宋体" w:cs="宋体"/>
                <w:color w:val="auto"/>
                <w:sz w:val="24"/>
                <w:szCs w:val="24"/>
                <w:highlight w:val="none"/>
              </w:rPr>
            </w:pPr>
          </w:p>
          <w:p w14:paraId="4D0C678C">
            <w:pPr>
              <w:spacing w:line="265" w:lineRule="auto"/>
              <w:rPr>
                <w:rFonts w:hint="eastAsia" w:ascii="宋体" w:hAnsi="宋体" w:eastAsia="宋体" w:cs="宋体"/>
                <w:color w:val="auto"/>
                <w:sz w:val="24"/>
                <w:szCs w:val="24"/>
                <w:highlight w:val="none"/>
              </w:rPr>
            </w:pPr>
          </w:p>
          <w:p w14:paraId="4260C1FA">
            <w:pPr>
              <w:spacing w:line="265" w:lineRule="auto"/>
              <w:rPr>
                <w:rFonts w:hint="eastAsia" w:ascii="宋体" w:hAnsi="宋体" w:eastAsia="宋体" w:cs="宋体"/>
                <w:color w:val="auto"/>
                <w:sz w:val="24"/>
                <w:szCs w:val="24"/>
                <w:highlight w:val="none"/>
              </w:rPr>
            </w:pPr>
          </w:p>
          <w:p w14:paraId="1B145D7A">
            <w:pPr>
              <w:spacing w:line="265" w:lineRule="auto"/>
              <w:rPr>
                <w:rFonts w:hint="eastAsia" w:ascii="宋体" w:hAnsi="宋体" w:eastAsia="宋体" w:cs="宋体"/>
                <w:color w:val="auto"/>
                <w:sz w:val="24"/>
                <w:szCs w:val="24"/>
                <w:highlight w:val="none"/>
              </w:rPr>
            </w:pPr>
          </w:p>
          <w:p w14:paraId="14E77D66">
            <w:pPr>
              <w:spacing w:line="265" w:lineRule="auto"/>
              <w:rPr>
                <w:rFonts w:hint="eastAsia" w:ascii="宋体" w:hAnsi="宋体" w:eastAsia="宋体" w:cs="宋体"/>
                <w:color w:val="auto"/>
                <w:sz w:val="24"/>
                <w:szCs w:val="24"/>
                <w:highlight w:val="none"/>
              </w:rPr>
            </w:pPr>
          </w:p>
          <w:p w14:paraId="31E1DE55">
            <w:pPr>
              <w:spacing w:line="265" w:lineRule="auto"/>
              <w:rPr>
                <w:rFonts w:hint="eastAsia" w:ascii="宋体" w:hAnsi="宋体" w:eastAsia="宋体" w:cs="宋体"/>
                <w:color w:val="auto"/>
                <w:sz w:val="24"/>
                <w:szCs w:val="24"/>
                <w:highlight w:val="none"/>
              </w:rPr>
            </w:pPr>
          </w:p>
          <w:p w14:paraId="6D4109BA">
            <w:pPr>
              <w:pStyle w:val="25"/>
              <w:spacing w:before="65" w:line="270" w:lineRule="exact"/>
              <w:ind w:left="372"/>
              <w:rPr>
                <w:rFonts w:hint="eastAsia" w:ascii="宋体" w:hAnsi="宋体" w:eastAsia="宋体" w:cs="宋体"/>
                <w:color w:val="auto"/>
                <w:sz w:val="24"/>
                <w:szCs w:val="24"/>
                <w:highlight w:val="none"/>
              </w:rPr>
            </w:pPr>
            <w:r>
              <w:rPr>
                <w:rFonts w:hint="eastAsia" w:ascii="宋体" w:hAnsi="宋体" w:eastAsia="宋体" w:cs="宋体"/>
                <w:color w:val="auto"/>
                <w:position w:val="1"/>
                <w:sz w:val="24"/>
                <w:szCs w:val="24"/>
                <w:highlight w:val="none"/>
              </w:rPr>
              <w:t>1</w:t>
            </w:r>
          </w:p>
        </w:tc>
        <w:tc>
          <w:tcPr>
            <w:tcW w:w="5119" w:type="dxa"/>
            <w:vAlign w:val="top"/>
          </w:tcPr>
          <w:p w14:paraId="4FE5C28B">
            <w:pPr>
              <w:pStyle w:val="25"/>
              <w:spacing w:before="32" w:line="327" w:lineRule="auto"/>
              <w:ind w:left="113" w:right="106" w:firstLine="12"/>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1.具有省级建设行政主管部门或国务院各有关部门认定注册颁发的</w:t>
            </w:r>
            <w:r>
              <w:rPr>
                <w:rFonts w:hint="eastAsia" w:ascii="宋体" w:hAnsi="宋体" w:eastAsia="宋体" w:cs="宋体"/>
                <w:color w:val="auto"/>
                <w:spacing w:val="9"/>
                <w:sz w:val="24"/>
                <w:szCs w:val="24"/>
                <w:highlight w:val="none"/>
                <w:u w:val="single"/>
              </w:rPr>
              <w:t>公路工程二级（含二级）</w:t>
            </w:r>
            <w:r>
              <w:rPr>
                <w:rFonts w:hint="eastAsia" w:ascii="宋体" w:hAnsi="宋体" w:eastAsia="宋体" w:cs="宋体"/>
                <w:color w:val="auto"/>
                <w:spacing w:val="7"/>
                <w:sz w:val="24"/>
                <w:szCs w:val="24"/>
                <w:highlight w:val="none"/>
              </w:rPr>
              <w:t>以上建造师资质证书。</w:t>
            </w:r>
          </w:p>
          <w:p w14:paraId="5D495FF1">
            <w:pPr>
              <w:pStyle w:val="25"/>
              <w:spacing w:before="161" w:line="302" w:lineRule="auto"/>
              <w:ind w:left="110" w:right="106" w:firstLine="2"/>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2.具有省级(或以上)主管部门颁发的《安全生</w:t>
            </w:r>
            <w:r>
              <w:rPr>
                <w:rFonts w:hint="eastAsia" w:ascii="宋体" w:hAnsi="宋体" w:eastAsia="宋体" w:cs="宋体"/>
                <w:color w:val="auto"/>
                <w:spacing w:val="3"/>
                <w:sz w:val="24"/>
                <w:szCs w:val="24"/>
                <w:highlight w:val="none"/>
              </w:rPr>
              <w:t>产考核合格证书》(交安B)。</w:t>
            </w:r>
          </w:p>
          <w:p w14:paraId="5CCF97B9">
            <w:pPr>
              <w:pStyle w:val="25"/>
              <w:keepNext w:val="0"/>
              <w:keepLines w:val="0"/>
              <w:pageBreakBefore w:val="0"/>
              <w:widowControl/>
              <w:kinsoku w:val="0"/>
              <w:wordWrap/>
              <w:overflowPunct/>
              <w:topLinePunct w:val="0"/>
              <w:autoSpaceDE w:val="0"/>
              <w:autoSpaceDN w:val="0"/>
              <w:bidi w:val="0"/>
              <w:adjustRightInd w:val="0"/>
              <w:snapToGrid w:val="0"/>
              <w:spacing w:before="161" w:line="360" w:lineRule="auto"/>
              <w:ind w:left="11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w:t>
            </w:r>
            <w:r>
              <w:rPr>
                <w:rFonts w:hint="eastAsia" w:ascii="宋体" w:hAnsi="宋体" w:eastAsia="宋体" w:cs="宋体"/>
                <w:color w:val="auto"/>
                <w:spacing w:val="4"/>
                <w:sz w:val="24"/>
                <w:szCs w:val="24"/>
                <w:highlight w:val="none"/>
              </w:rPr>
              <w:t>项目经理2025年</w:t>
            </w:r>
            <w:r>
              <w:rPr>
                <w:rFonts w:hint="eastAsia" w:ascii="宋体" w:hAnsi="宋体" w:eastAsia="宋体" w:cs="宋体"/>
                <w:color w:val="auto"/>
                <w:spacing w:val="4"/>
                <w:sz w:val="24"/>
                <w:szCs w:val="24"/>
                <w:highlight w:val="none"/>
                <w:lang w:val="en-US" w:eastAsia="zh-CN"/>
              </w:rPr>
              <w:t>8</w:t>
            </w:r>
            <w:r>
              <w:rPr>
                <w:rFonts w:hint="eastAsia" w:ascii="宋体" w:hAnsi="宋体" w:eastAsia="宋体" w:cs="宋体"/>
                <w:color w:val="auto"/>
                <w:spacing w:val="4"/>
                <w:sz w:val="24"/>
                <w:szCs w:val="24"/>
                <w:highlight w:val="none"/>
              </w:rPr>
              <w:t>月至202</w:t>
            </w:r>
            <w:r>
              <w:rPr>
                <w:rFonts w:hint="eastAsia" w:ascii="宋体" w:hAnsi="宋体" w:eastAsia="宋体" w:cs="宋体"/>
                <w:color w:val="auto"/>
                <w:spacing w:val="4"/>
                <w:sz w:val="24"/>
                <w:szCs w:val="24"/>
                <w:highlight w:val="none"/>
                <w:lang w:val="en-US" w:eastAsia="zh-CN"/>
              </w:rPr>
              <w:t>6</w:t>
            </w:r>
            <w:r>
              <w:rPr>
                <w:rFonts w:hint="eastAsia" w:ascii="宋体" w:hAnsi="宋体" w:eastAsia="宋体" w:cs="宋体"/>
                <w:color w:val="auto"/>
                <w:spacing w:val="4"/>
                <w:sz w:val="24"/>
                <w:szCs w:val="24"/>
                <w:highlight w:val="none"/>
              </w:rPr>
              <w:t>年</w:t>
            </w:r>
            <w:r>
              <w:rPr>
                <w:rFonts w:hint="eastAsia" w:ascii="宋体" w:hAnsi="宋体" w:eastAsia="宋体" w:cs="宋体"/>
                <w:color w:val="auto"/>
                <w:spacing w:val="4"/>
                <w:sz w:val="24"/>
                <w:szCs w:val="24"/>
                <w:highlight w:val="none"/>
                <w:lang w:val="en-US" w:eastAsia="zh-CN"/>
              </w:rPr>
              <w:t>01</w:t>
            </w:r>
            <w:r>
              <w:rPr>
                <w:rFonts w:hint="eastAsia" w:ascii="宋体" w:hAnsi="宋体" w:eastAsia="宋体" w:cs="宋体"/>
                <w:color w:val="auto"/>
                <w:spacing w:val="4"/>
                <w:sz w:val="24"/>
                <w:szCs w:val="24"/>
                <w:highlight w:val="none"/>
              </w:rPr>
              <w:t>月的任意一个月社</w:t>
            </w:r>
            <w:r>
              <w:rPr>
                <w:rFonts w:hint="eastAsia" w:ascii="宋体" w:hAnsi="宋体" w:eastAsia="宋体" w:cs="宋体"/>
                <w:color w:val="auto"/>
                <w:spacing w:val="10"/>
                <w:sz w:val="24"/>
                <w:szCs w:val="24"/>
                <w:highlight w:val="none"/>
              </w:rPr>
              <w:t>保缴费证明或其他能够证明拟委任的项目经理</w:t>
            </w:r>
            <w:r>
              <w:rPr>
                <w:rFonts w:hint="eastAsia" w:ascii="宋体" w:hAnsi="宋体" w:eastAsia="宋体" w:cs="宋体"/>
                <w:color w:val="auto"/>
                <w:spacing w:val="8"/>
                <w:sz w:val="24"/>
                <w:szCs w:val="24"/>
                <w:highlight w:val="none"/>
              </w:rPr>
              <w:t>参加社保的有效证明材料。</w:t>
            </w:r>
          </w:p>
        </w:tc>
        <w:tc>
          <w:tcPr>
            <w:tcW w:w="1602" w:type="dxa"/>
            <w:vMerge w:val="restart"/>
            <w:tcBorders>
              <w:bottom w:val="nil"/>
            </w:tcBorders>
            <w:vAlign w:val="top"/>
          </w:tcPr>
          <w:p w14:paraId="332EC7B4">
            <w:pPr>
              <w:spacing w:line="250" w:lineRule="auto"/>
              <w:rPr>
                <w:rFonts w:hint="eastAsia" w:ascii="宋体" w:hAnsi="宋体" w:eastAsia="宋体" w:cs="宋体"/>
                <w:color w:val="auto"/>
                <w:sz w:val="24"/>
                <w:szCs w:val="24"/>
                <w:highlight w:val="none"/>
              </w:rPr>
            </w:pPr>
          </w:p>
          <w:p w14:paraId="40232294">
            <w:pPr>
              <w:spacing w:line="250" w:lineRule="auto"/>
              <w:rPr>
                <w:rFonts w:hint="eastAsia" w:ascii="宋体" w:hAnsi="宋体" w:eastAsia="宋体" w:cs="宋体"/>
                <w:color w:val="auto"/>
                <w:sz w:val="24"/>
                <w:szCs w:val="24"/>
                <w:highlight w:val="none"/>
              </w:rPr>
            </w:pPr>
          </w:p>
          <w:p w14:paraId="01B16F35">
            <w:pPr>
              <w:spacing w:line="250" w:lineRule="auto"/>
              <w:rPr>
                <w:rFonts w:hint="eastAsia" w:ascii="宋体" w:hAnsi="宋体" w:eastAsia="宋体" w:cs="宋体"/>
                <w:color w:val="auto"/>
                <w:sz w:val="24"/>
                <w:szCs w:val="24"/>
                <w:highlight w:val="none"/>
              </w:rPr>
            </w:pPr>
          </w:p>
          <w:p w14:paraId="48BFB13C">
            <w:pPr>
              <w:spacing w:line="250" w:lineRule="auto"/>
              <w:rPr>
                <w:rFonts w:hint="eastAsia" w:ascii="宋体" w:hAnsi="宋体" w:eastAsia="宋体" w:cs="宋体"/>
                <w:color w:val="auto"/>
                <w:sz w:val="24"/>
                <w:szCs w:val="24"/>
                <w:highlight w:val="none"/>
              </w:rPr>
            </w:pPr>
          </w:p>
          <w:p w14:paraId="0ADB54D8">
            <w:pPr>
              <w:spacing w:line="250" w:lineRule="auto"/>
              <w:rPr>
                <w:rFonts w:hint="eastAsia" w:ascii="宋体" w:hAnsi="宋体" w:eastAsia="宋体" w:cs="宋体"/>
                <w:color w:val="auto"/>
                <w:sz w:val="24"/>
                <w:szCs w:val="24"/>
                <w:highlight w:val="none"/>
              </w:rPr>
            </w:pPr>
          </w:p>
          <w:p w14:paraId="61F9389D">
            <w:pPr>
              <w:spacing w:line="251" w:lineRule="auto"/>
              <w:rPr>
                <w:rFonts w:hint="eastAsia" w:ascii="宋体" w:hAnsi="宋体" w:eastAsia="宋体" w:cs="宋体"/>
                <w:color w:val="auto"/>
                <w:sz w:val="24"/>
                <w:szCs w:val="24"/>
                <w:highlight w:val="none"/>
              </w:rPr>
            </w:pPr>
          </w:p>
          <w:p w14:paraId="563A0C69">
            <w:pPr>
              <w:spacing w:line="251" w:lineRule="auto"/>
              <w:rPr>
                <w:rFonts w:hint="eastAsia" w:ascii="宋体" w:hAnsi="宋体" w:eastAsia="宋体" w:cs="宋体"/>
                <w:color w:val="auto"/>
                <w:sz w:val="24"/>
                <w:szCs w:val="24"/>
                <w:highlight w:val="none"/>
              </w:rPr>
            </w:pPr>
          </w:p>
          <w:p w14:paraId="24648EE2">
            <w:pPr>
              <w:spacing w:line="251" w:lineRule="auto"/>
              <w:rPr>
                <w:rFonts w:hint="eastAsia" w:ascii="宋体" w:hAnsi="宋体" w:eastAsia="宋体" w:cs="宋体"/>
                <w:color w:val="auto"/>
                <w:sz w:val="24"/>
                <w:szCs w:val="24"/>
                <w:highlight w:val="none"/>
              </w:rPr>
            </w:pPr>
          </w:p>
          <w:p w14:paraId="48C56B3F">
            <w:pPr>
              <w:pStyle w:val="25"/>
              <w:spacing w:before="65" w:line="378" w:lineRule="auto"/>
              <w:ind w:left="114" w:right="109" w:firstLine="2"/>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无在岗项目（指目前未</w:t>
            </w:r>
            <w:r>
              <w:rPr>
                <w:rFonts w:hint="eastAsia" w:ascii="宋体" w:hAnsi="宋体" w:eastAsia="宋体" w:cs="宋体"/>
                <w:color w:val="auto"/>
                <w:spacing w:val="7"/>
                <w:sz w:val="24"/>
                <w:szCs w:val="24"/>
                <w:highlight w:val="none"/>
              </w:rPr>
              <w:t>在其他项目上任职）</w:t>
            </w:r>
          </w:p>
        </w:tc>
      </w:tr>
      <w:tr w14:paraId="3EAFA1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1" w:hRule="atLeast"/>
        </w:trPr>
        <w:tc>
          <w:tcPr>
            <w:tcW w:w="1358" w:type="dxa"/>
            <w:vAlign w:val="center"/>
          </w:tcPr>
          <w:p w14:paraId="3B3E909E">
            <w:pPr>
              <w:pStyle w:val="25"/>
              <w:spacing w:before="65" w:line="228" w:lineRule="auto"/>
              <w:ind w:firstLine="252" w:firstLineChars="100"/>
              <w:jc w:val="both"/>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项目总工</w:t>
            </w:r>
          </w:p>
        </w:tc>
        <w:tc>
          <w:tcPr>
            <w:tcW w:w="810" w:type="dxa"/>
            <w:vAlign w:val="center"/>
          </w:tcPr>
          <w:p w14:paraId="25B4E21D">
            <w:pPr>
              <w:pStyle w:val="25"/>
              <w:spacing w:before="65" w:line="271"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position w:val="1"/>
                <w:sz w:val="24"/>
                <w:szCs w:val="24"/>
                <w:highlight w:val="none"/>
              </w:rPr>
              <w:t>1</w:t>
            </w:r>
          </w:p>
        </w:tc>
        <w:tc>
          <w:tcPr>
            <w:tcW w:w="5119" w:type="dxa"/>
            <w:vAlign w:val="top"/>
          </w:tcPr>
          <w:p w14:paraId="0B7C07DF">
            <w:pPr>
              <w:pStyle w:val="25"/>
              <w:spacing w:before="33" w:line="303" w:lineRule="auto"/>
              <w:ind w:left="110" w:right="106" w:firstLine="16"/>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0"/>
                <w:sz w:val="24"/>
                <w:szCs w:val="24"/>
                <w:highlight w:val="none"/>
              </w:rPr>
              <w:t>1.具有路桥类相关专业工程师中级及以上职</w:t>
            </w:r>
            <w:r>
              <w:rPr>
                <w:rFonts w:hint="eastAsia" w:ascii="宋体" w:hAnsi="宋体" w:eastAsia="宋体" w:cs="宋体"/>
                <w:color w:val="auto"/>
                <w:sz w:val="24"/>
                <w:szCs w:val="24"/>
                <w:highlight w:val="none"/>
              </w:rPr>
              <w:t>称</w:t>
            </w:r>
            <w:r>
              <w:rPr>
                <w:rFonts w:hint="eastAsia" w:ascii="宋体" w:hAnsi="宋体" w:eastAsia="宋体" w:cs="宋体"/>
                <w:color w:val="auto"/>
                <w:sz w:val="24"/>
                <w:szCs w:val="24"/>
                <w:highlight w:val="none"/>
                <w:lang w:eastAsia="zh-CN"/>
              </w:rPr>
              <w:t>；</w:t>
            </w:r>
          </w:p>
          <w:p w14:paraId="31FC42BC">
            <w:pPr>
              <w:pStyle w:val="25"/>
              <w:keepNext w:val="0"/>
              <w:keepLines w:val="0"/>
              <w:pageBreakBefore w:val="0"/>
              <w:widowControl/>
              <w:kinsoku w:val="0"/>
              <w:wordWrap/>
              <w:overflowPunct/>
              <w:topLinePunct w:val="0"/>
              <w:autoSpaceDE w:val="0"/>
              <w:autoSpaceDN w:val="0"/>
              <w:bidi w:val="0"/>
              <w:adjustRightInd w:val="0"/>
              <w:snapToGrid w:val="0"/>
              <w:spacing w:before="161" w:line="360" w:lineRule="auto"/>
              <w:ind w:left="113"/>
              <w:textAlignment w:val="baseline"/>
              <w:rPr>
                <w:rFonts w:hint="eastAsia" w:ascii="宋体" w:hAnsi="宋体" w:eastAsia="宋体" w:cs="宋体"/>
                <w:color w:val="auto"/>
                <w:spacing w:val="7"/>
                <w:sz w:val="24"/>
                <w:szCs w:val="24"/>
                <w:highlight w:val="none"/>
              </w:rPr>
            </w:pPr>
            <w:r>
              <w:rPr>
                <w:rFonts w:hint="eastAsia" w:ascii="宋体" w:hAnsi="宋体" w:eastAsia="宋体" w:cs="宋体"/>
                <w:color w:val="auto"/>
                <w:spacing w:val="5"/>
                <w:sz w:val="24"/>
                <w:szCs w:val="24"/>
                <w:highlight w:val="none"/>
              </w:rPr>
              <w:t>2.项目总工</w:t>
            </w:r>
            <w:r>
              <w:rPr>
                <w:rFonts w:hint="eastAsia" w:ascii="宋体" w:hAnsi="宋体" w:eastAsia="宋体" w:cs="宋体"/>
                <w:color w:val="auto"/>
                <w:spacing w:val="4"/>
                <w:sz w:val="24"/>
                <w:szCs w:val="24"/>
                <w:highlight w:val="none"/>
              </w:rPr>
              <w:t>2025年</w:t>
            </w:r>
            <w:r>
              <w:rPr>
                <w:rFonts w:hint="eastAsia" w:ascii="宋体" w:hAnsi="宋体" w:eastAsia="宋体" w:cs="宋体"/>
                <w:color w:val="auto"/>
                <w:spacing w:val="4"/>
                <w:sz w:val="24"/>
                <w:szCs w:val="24"/>
                <w:highlight w:val="none"/>
                <w:lang w:val="en-US" w:eastAsia="zh-CN"/>
              </w:rPr>
              <w:t>8</w:t>
            </w:r>
            <w:r>
              <w:rPr>
                <w:rFonts w:hint="eastAsia" w:ascii="宋体" w:hAnsi="宋体" w:eastAsia="宋体" w:cs="宋体"/>
                <w:color w:val="auto"/>
                <w:spacing w:val="4"/>
                <w:sz w:val="24"/>
                <w:szCs w:val="24"/>
                <w:highlight w:val="none"/>
              </w:rPr>
              <w:t>月至202</w:t>
            </w:r>
            <w:r>
              <w:rPr>
                <w:rFonts w:hint="eastAsia" w:ascii="宋体" w:hAnsi="宋体" w:eastAsia="宋体" w:cs="宋体"/>
                <w:color w:val="auto"/>
                <w:spacing w:val="4"/>
                <w:sz w:val="24"/>
                <w:szCs w:val="24"/>
                <w:highlight w:val="none"/>
                <w:lang w:val="en-US" w:eastAsia="zh-CN"/>
              </w:rPr>
              <w:t>6</w:t>
            </w:r>
            <w:r>
              <w:rPr>
                <w:rFonts w:hint="eastAsia" w:ascii="宋体" w:hAnsi="宋体" w:eastAsia="宋体" w:cs="宋体"/>
                <w:color w:val="auto"/>
                <w:spacing w:val="4"/>
                <w:sz w:val="24"/>
                <w:szCs w:val="24"/>
                <w:highlight w:val="none"/>
              </w:rPr>
              <w:t>年</w:t>
            </w:r>
            <w:r>
              <w:rPr>
                <w:rFonts w:hint="eastAsia" w:ascii="宋体" w:hAnsi="宋体" w:eastAsia="宋体" w:cs="宋体"/>
                <w:color w:val="auto"/>
                <w:spacing w:val="4"/>
                <w:sz w:val="24"/>
                <w:szCs w:val="24"/>
                <w:highlight w:val="none"/>
                <w:lang w:val="en-US" w:eastAsia="zh-CN"/>
              </w:rPr>
              <w:t>01</w:t>
            </w:r>
            <w:r>
              <w:rPr>
                <w:rFonts w:hint="eastAsia" w:ascii="宋体" w:hAnsi="宋体" w:eastAsia="宋体" w:cs="宋体"/>
                <w:color w:val="auto"/>
                <w:spacing w:val="4"/>
                <w:sz w:val="24"/>
                <w:szCs w:val="24"/>
                <w:highlight w:val="none"/>
              </w:rPr>
              <w:t>月的</w:t>
            </w:r>
            <w:r>
              <w:rPr>
                <w:rFonts w:hint="eastAsia" w:ascii="宋体" w:hAnsi="宋体" w:eastAsia="宋体" w:cs="宋体"/>
                <w:color w:val="auto"/>
                <w:spacing w:val="4"/>
                <w:sz w:val="24"/>
                <w:szCs w:val="24"/>
                <w:highlight w:val="none"/>
                <w:lang w:eastAsia="zh-CN"/>
              </w:rPr>
              <w:t>任意一个月社保缴费证明或其它能够证明</w:t>
            </w:r>
            <w:r>
              <w:rPr>
                <w:rFonts w:hint="eastAsia" w:ascii="宋体" w:hAnsi="宋体" w:eastAsia="宋体" w:cs="宋体"/>
                <w:color w:val="auto"/>
                <w:spacing w:val="10"/>
                <w:sz w:val="24"/>
                <w:szCs w:val="24"/>
                <w:highlight w:val="none"/>
              </w:rPr>
              <w:t>拟委任</w:t>
            </w:r>
            <w:r>
              <w:rPr>
                <w:rFonts w:hint="eastAsia" w:ascii="宋体" w:hAnsi="宋体" w:eastAsia="宋体" w:cs="宋体"/>
                <w:color w:val="auto"/>
                <w:spacing w:val="7"/>
                <w:sz w:val="24"/>
                <w:szCs w:val="24"/>
                <w:highlight w:val="none"/>
              </w:rPr>
              <w:t>的项目总工参加社保的有效证明材料。</w:t>
            </w:r>
          </w:p>
          <w:p w14:paraId="29C930B1">
            <w:pPr>
              <w:pStyle w:val="25"/>
              <w:keepNext w:val="0"/>
              <w:keepLines w:val="0"/>
              <w:pageBreakBefore w:val="0"/>
              <w:widowControl/>
              <w:kinsoku w:val="0"/>
              <w:wordWrap/>
              <w:overflowPunct/>
              <w:topLinePunct w:val="0"/>
              <w:autoSpaceDE w:val="0"/>
              <w:autoSpaceDN w:val="0"/>
              <w:bidi w:val="0"/>
              <w:adjustRightInd w:val="0"/>
              <w:snapToGrid w:val="0"/>
              <w:spacing w:before="161" w:line="360" w:lineRule="auto"/>
              <w:ind w:left="113"/>
              <w:textAlignment w:val="baseline"/>
              <w:rPr>
                <w:rFonts w:hint="eastAsia" w:ascii="宋体" w:hAnsi="宋体" w:eastAsia="宋体" w:cs="宋体"/>
                <w:color w:val="auto"/>
                <w:spacing w:val="7"/>
                <w:sz w:val="24"/>
                <w:szCs w:val="24"/>
                <w:highlight w:val="none"/>
                <w:lang w:eastAsia="zh-CN"/>
              </w:rPr>
            </w:pPr>
            <w:r>
              <w:rPr>
                <w:rFonts w:hint="eastAsia" w:ascii="宋体" w:hAnsi="宋体" w:eastAsia="宋体" w:cs="宋体"/>
                <w:color w:val="auto"/>
                <w:spacing w:val="7"/>
                <w:sz w:val="24"/>
                <w:szCs w:val="24"/>
                <w:highlight w:val="none"/>
                <w:lang w:eastAsia="zh-CN"/>
              </w:rPr>
              <w:t>备注：“路桥类”专业是指职称证上的专业，为路桥、公路工程、桥梁工程、交通土建、交通工程、隧道工程、道路与桥梁、公路与城市道路、道路工程等专业均可。</w:t>
            </w:r>
          </w:p>
        </w:tc>
        <w:tc>
          <w:tcPr>
            <w:tcW w:w="1602" w:type="dxa"/>
            <w:vMerge w:val="continue"/>
            <w:tcBorders>
              <w:top w:val="nil"/>
            </w:tcBorders>
            <w:vAlign w:val="top"/>
          </w:tcPr>
          <w:p w14:paraId="053B3EFA">
            <w:pPr>
              <w:rPr>
                <w:rFonts w:hint="eastAsia" w:ascii="宋体" w:hAnsi="宋体" w:eastAsia="宋体" w:cs="宋体"/>
                <w:color w:val="auto"/>
                <w:sz w:val="24"/>
                <w:szCs w:val="24"/>
                <w:highlight w:val="none"/>
              </w:rPr>
            </w:pPr>
          </w:p>
        </w:tc>
      </w:tr>
    </w:tbl>
    <w:p w14:paraId="68E8BB25">
      <w:pPr>
        <w:pStyle w:val="4"/>
        <w:rPr>
          <w:rFonts w:hint="eastAsia" w:ascii="宋体" w:hAnsi="宋体" w:eastAsia="宋体" w:cs="宋体"/>
          <w:color w:val="auto"/>
          <w:sz w:val="24"/>
          <w:szCs w:val="24"/>
          <w:highlight w:val="none"/>
        </w:rPr>
      </w:pPr>
    </w:p>
    <w:p w14:paraId="27D09C2B">
      <w:pPr>
        <w:spacing w:before="16"/>
        <w:rPr>
          <w:rFonts w:hint="eastAsia" w:ascii="宋体" w:hAnsi="宋体" w:eastAsia="宋体" w:cs="宋体"/>
          <w:color w:val="auto"/>
          <w:highlight w:val="none"/>
        </w:rPr>
      </w:pPr>
    </w:p>
    <w:p w14:paraId="3AC79FF6">
      <w:pPr>
        <w:spacing w:before="31" w:line="378" w:lineRule="auto"/>
        <w:ind w:left="122" w:right="70" w:firstLine="418"/>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①对项目经理和项目总工的具体资格要求由招标人在满足国家相关法律法规前提下，根据招</w:t>
      </w:r>
      <w:r>
        <w:rPr>
          <w:rFonts w:hint="eastAsia" w:ascii="宋体" w:hAnsi="宋体" w:eastAsia="宋体" w:cs="宋体"/>
          <w:color w:val="auto"/>
          <w:spacing w:val="9"/>
          <w:sz w:val="20"/>
          <w:szCs w:val="20"/>
          <w:highlight w:val="none"/>
        </w:rPr>
        <w:t>标项目具体特点和实际情况确定，但不得设置过高的资格条件。</w:t>
      </w:r>
    </w:p>
    <w:p w14:paraId="3EF15CD1">
      <w:pPr>
        <w:pStyle w:val="4"/>
        <w:spacing w:line="242" w:lineRule="auto"/>
        <w:rPr>
          <w:rFonts w:hint="eastAsia" w:ascii="宋体" w:hAnsi="宋体" w:eastAsia="宋体" w:cs="宋体"/>
          <w:color w:val="auto"/>
          <w:highlight w:val="none"/>
        </w:rPr>
      </w:pPr>
    </w:p>
    <w:p w14:paraId="0E577BCF">
      <w:pPr>
        <w:pStyle w:val="4"/>
        <w:spacing w:line="243" w:lineRule="auto"/>
        <w:rPr>
          <w:rFonts w:hint="eastAsia" w:ascii="宋体" w:hAnsi="宋体" w:eastAsia="宋体" w:cs="宋体"/>
          <w:color w:val="auto"/>
          <w:highlight w:val="none"/>
        </w:rPr>
      </w:pPr>
    </w:p>
    <w:p w14:paraId="5326AC8B">
      <w:pPr>
        <w:pStyle w:val="4"/>
        <w:spacing w:line="243" w:lineRule="auto"/>
        <w:rPr>
          <w:rFonts w:hint="eastAsia" w:ascii="宋体" w:hAnsi="宋体" w:eastAsia="宋体" w:cs="宋体"/>
          <w:color w:val="auto"/>
          <w:highlight w:val="none"/>
        </w:rPr>
      </w:pPr>
    </w:p>
    <w:p w14:paraId="326FA919">
      <w:pPr>
        <w:pStyle w:val="4"/>
        <w:spacing w:line="243" w:lineRule="auto"/>
        <w:rPr>
          <w:rFonts w:hint="eastAsia" w:ascii="宋体" w:hAnsi="宋体" w:eastAsia="宋体" w:cs="宋体"/>
          <w:color w:val="auto"/>
          <w:highlight w:val="none"/>
        </w:rPr>
      </w:pPr>
    </w:p>
    <w:p w14:paraId="623759F2">
      <w:pPr>
        <w:pStyle w:val="4"/>
        <w:spacing w:line="243" w:lineRule="auto"/>
        <w:rPr>
          <w:rFonts w:hint="eastAsia" w:ascii="宋体" w:hAnsi="宋体" w:eastAsia="宋体" w:cs="宋体"/>
          <w:color w:val="auto"/>
          <w:highlight w:val="none"/>
        </w:rPr>
      </w:pPr>
    </w:p>
    <w:p w14:paraId="550F8063">
      <w:pPr>
        <w:pStyle w:val="4"/>
        <w:spacing w:line="243" w:lineRule="auto"/>
        <w:rPr>
          <w:rFonts w:hint="eastAsia" w:ascii="宋体" w:hAnsi="宋体" w:eastAsia="宋体" w:cs="宋体"/>
          <w:color w:val="auto"/>
          <w:highlight w:val="none"/>
        </w:rPr>
      </w:pPr>
    </w:p>
    <w:p w14:paraId="339B5133">
      <w:pPr>
        <w:pStyle w:val="4"/>
        <w:spacing w:line="243" w:lineRule="auto"/>
        <w:rPr>
          <w:rFonts w:hint="eastAsia" w:ascii="宋体" w:hAnsi="宋体" w:eastAsia="宋体" w:cs="宋体"/>
          <w:color w:val="auto"/>
          <w:highlight w:val="none"/>
        </w:rPr>
      </w:pPr>
    </w:p>
    <w:p w14:paraId="739041D0">
      <w:pPr>
        <w:pStyle w:val="4"/>
        <w:spacing w:line="243" w:lineRule="auto"/>
        <w:rPr>
          <w:rFonts w:hint="eastAsia" w:ascii="宋体" w:hAnsi="宋体" w:eastAsia="宋体" w:cs="宋体"/>
          <w:color w:val="auto"/>
          <w:highlight w:val="none"/>
        </w:rPr>
      </w:pPr>
    </w:p>
    <w:p w14:paraId="4CF50F41">
      <w:pPr>
        <w:pStyle w:val="4"/>
        <w:spacing w:line="243" w:lineRule="auto"/>
        <w:rPr>
          <w:rFonts w:hint="eastAsia" w:ascii="宋体" w:hAnsi="宋体" w:eastAsia="宋体" w:cs="宋体"/>
          <w:color w:val="auto"/>
          <w:highlight w:val="none"/>
        </w:rPr>
      </w:pPr>
    </w:p>
    <w:p w14:paraId="5FB5422C">
      <w:pPr>
        <w:pStyle w:val="4"/>
        <w:spacing w:line="243" w:lineRule="auto"/>
        <w:rPr>
          <w:rFonts w:hint="eastAsia" w:ascii="宋体" w:hAnsi="宋体" w:eastAsia="宋体" w:cs="宋体"/>
          <w:color w:val="auto"/>
          <w:highlight w:val="none"/>
        </w:rPr>
      </w:pPr>
    </w:p>
    <w:p w14:paraId="68F02988">
      <w:pPr>
        <w:pStyle w:val="4"/>
        <w:spacing w:line="243" w:lineRule="auto"/>
        <w:rPr>
          <w:rFonts w:hint="eastAsia" w:ascii="宋体" w:hAnsi="宋体" w:eastAsia="宋体" w:cs="宋体"/>
          <w:color w:val="auto"/>
          <w:highlight w:val="none"/>
        </w:rPr>
      </w:pPr>
    </w:p>
    <w:p w14:paraId="458EFBC2">
      <w:pPr>
        <w:spacing w:before="91" w:line="363" w:lineRule="auto"/>
        <w:ind w:left="542" w:right="615" w:firstLine="710"/>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8"/>
          <w:szCs w:val="28"/>
          <w:highlight w:val="none"/>
        </w:rPr>
        <w:t>附录6资格审查条件（其他管理和技术人员最低要求）</w:t>
      </w:r>
      <w:r>
        <w:rPr>
          <w:rFonts w:hint="eastAsia" w:ascii="宋体" w:hAnsi="宋体" w:eastAsia="宋体" w:cs="宋体"/>
          <w:b/>
          <w:bCs/>
          <w:color w:val="auto"/>
          <w:spacing w:val="-3"/>
          <w:sz w:val="24"/>
          <w:szCs w:val="24"/>
          <w:highlight w:val="none"/>
        </w:rPr>
        <w:t>①</w:t>
      </w:r>
      <w:r>
        <w:rPr>
          <w:rFonts w:hint="eastAsia" w:ascii="宋体" w:hAnsi="宋体" w:eastAsia="宋体" w:cs="宋体"/>
          <w:b/>
          <w:bCs/>
          <w:color w:val="auto"/>
          <w:spacing w:val="6"/>
          <w:sz w:val="24"/>
          <w:szCs w:val="24"/>
          <w:highlight w:val="none"/>
        </w:rPr>
        <w:t>其他管理和技术人员要求：</w:t>
      </w:r>
    </w:p>
    <w:p w14:paraId="095969B6">
      <w:pPr>
        <w:spacing w:before="1" w:line="376" w:lineRule="auto"/>
        <w:ind w:left="129" w:right="70" w:firstLine="412"/>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专职安全员1人具有省级(或以上)交通主管部门颁发的《安全生产考核</w:t>
      </w:r>
      <w:r>
        <w:rPr>
          <w:rFonts w:hint="eastAsia" w:ascii="宋体" w:hAnsi="宋体" w:eastAsia="宋体" w:cs="宋体"/>
          <w:color w:val="auto"/>
          <w:spacing w:val="8"/>
          <w:sz w:val="24"/>
          <w:szCs w:val="24"/>
          <w:highlight w:val="none"/>
        </w:rPr>
        <w:t>合格证书》C证。</w:t>
      </w:r>
      <w:r>
        <w:rPr>
          <w:rFonts w:hint="eastAsia" w:ascii="宋体" w:hAnsi="宋体" w:eastAsia="宋体" w:cs="宋体"/>
          <w:color w:val="auto"/>
          <w:spacing w:val="7"/>
          <w:sz w:val="24"/>
          <w:szCs w:val="24"/>
          <w:highlight w:val="none"/>
        </w:rPr>
        <w:t>附专职安全员</w:t>
      </w:r>
      <w:r>
        <w:rPr>
          <w:rFonts w:hint="eastAsia" w:ascii="宋体" w:hAnsi="宋体" w:eastAsia="宋体" w:cs="宋体"/>
          <w:color w:val="auto"/>
          <w:spacing w:val="4"/>
          <w:sz w:val="24"/>
          <w:szCs w:val="24"/>
          <w:highlight w:val="none"/>
        </w:rPr>
        <w:t>2025年</w:t>
      </w:r>
      <w:r>
        <w:rPr>
          <w:rFonts w:hint="eastAsia" w:ascii="宋体" w:hAnsi="宋体" w:eastAsia="宋体" w:cs="宋体"/>
          <w:color w:val="auto"/>
          <w:spacing w:val="4"/>
          <w:sz w:val="24"/>
          <w:szCs w:val="24"/>
          <w:highlight w:val="none"/>
          <w:lang w:val="en-US" w:eastAsia="zh-CN"/>
        </w:rPr>
        <w:t>8</w:t>
      </w:r>
      <w:r>
        <w:rPr>
          <w:rFonts w:hint="eastAsia" w:ascii="宋体" w:hAnsi="宋体" w:eastAsia="宋体" w:cs="宋体"/>
          <w:color w:val="auto"/>
          <w:spacing w:val="4"/>
          <w:sz w:val="24"/>
          <w:szCs w:val="24"/>
          <w:highlight w:val="none"/>
        </w:rPr>
        <w:t>月至202</w:t>
      </w:r>
      <w:r>
        <w:rPr>
          <w:rFonts w:hint="eastAsia" w:ascii="宋体" w:hAnsi="宋体" w:eastAsia="宋体" w:cs="宋体"/>
          <w:color w:val="auto"/>
          <w:spacing w:val="4"/>
          <w:sz w:val="24"/>
          <w:szCs w:val="24"/>
          <w:highlight w:val="none"/>
          <w:lang w:val="en-US" w:eastAsia="zh-CN"/>
        </w:rPr>
        <w:t>6</w:t>
      </w:r>
      <w:r>
        <w:rPr>
          <w:rFonts w:hint="eastAsia" w:ascii="宋体" w:hAnsi="宋体" w:eastAsia="宋体" w:cs="宋体"/>
          <w:color w:val="auto"/>
          <w:spacing w:val="4"/>
          <w:sz w:val="24"/>
          <w:szCs w:val="24"/>
          <w:highlight w:val="none"/>
        </w:rPr>
        <w:t>年</w:t>
      </w:r>
      <w:r>
        <w:rPr>
          <w:rFonts w:hint="eastAsia" w:ascii="宋体" w:hAnsi="宋体" w:eastAsia="宋体" w:cs="宋体"/>
          <w:color w:val="auto"/>
          <w:spacing w:val="4"/>
          <w:sz w:val="24"/>
          <w:szCs w:val="24"/>
          <w:highlight w:val="none"/>
          <w:lang w:val="en-US" w:eastAsia="zh-CN"/>
        </w:rPr>
        <w:t>01</w:t>
      </w:r>
      <w:r>
        <w:rPr>
          <w:rFonts w:hint="eastAsia" w:ascii="宋体" w:hAnsi="宋体" w:eastAsia="宋体" w:cs="宋体"/>
          <w:color w:val="auto"/>
          <w:spacing w:val="4"/>
          <w:sz w:val="24"/>
          <w:szCs w:val="24"/>
          <w:highlight w:val="none"/>
        </w:rPr>
        <w:t>月</w:t>
      </w:r>
      <w:r>
        <w:rPr>
          <w:rFonts w:hint="eastAsia" w:ascii="宋体" w:hAnsi="宋体" w:eastAsia="宋体" w:cs="宋体"/>
          <w:color w:val="auto"/>
          <w:spacing w:val="7"/>
          <w:sz w:val="24"/>
          <w:szCs w:val="24"/>
          <w:highlight w:val="none"/>
        </w:rPr>
        <w:t>的任意一个月的社保缴费证明或其他能够证明拟委任的专职安全</w:t>
      </w:r>
      <w:r>
        <w:rPr>
          <w:rFonts w:hint="eastAsia" w:ascii="宋体" w:hAnsi="宋体" w:eastAsia="宋体" w:cs="宋体"/>
          <w:color w:val="auto"/>
          <w:spacing w:val="9"/>
          <w:sz w:val="24"/>
          <w:szCs w:val="24"/>
          <w:highlight w:val="none"/>
        </w:rPr>
        <w:t>员参加社保的有效证明材料。在岗要求：无在岗项目（指目前未在其他项目上任职</w:t>
      </w:r>
      <w:r>
        <w:rPr>
          <w:rFonts w:hint="eastAsia" w:ascii="宋体" w:hAnsi="宋体" w:eastAsia="宋体" w:cs="宋体"/>
          <w:color w:val="auto"/>
          <w:spacing w:val="8"/>
          <w:sz w:val="24"/>
          <w:szCs w:val="24"/>
          <w:highlight w:val="none"/>
        </w:rPr>
        <w:t>）。</w:t>
      </w:r>
    </w:p>
    <w:p w14:paraId="673EF979">
      <w:pPr>
        <w:spacing w:before="3" w:line="378" w:lineRule="auto"/>
        <w:ind w:left="120" w:firstLine="420"/>
        <w:jc w:val="both"/>
        <w:rPr>
          <w:rFonts w:hint="eastAsia" w:ascii="宋体" w:hAnsi="宋体" w:eastAsia="宋体" w:cs="宋体"/>
          <w:color w:val="auto"/>
          <w:sz w:val="18"/>
          <w:szCs w:val="18"/>
          <w:highlight w:val="none"/>
        </w:rPr>
      </w:pPr>
      <w:r>
        <w:rPr>
          <w:rFonts w:hint="eastAsia" w:ascii="宋体" w:hAnsi="宋体" w:eastAsia="宋体" w:cs="宋体"/>
          <w:color w:val="auto"/>
          <w:spacing w:val="9"/>
          <w:sz w:val="18"/>
          <w:szCs w:val="18"/>
          <w:highlight w:val="none"/>
        </w:rPr>
        <w:t>①本表仅适用于特别复杂的特大桥梁和特长隧道项目主体工程以及其他</w:t>
      </w:r>
      <w:r>
        <w:rPr>
          <w:rFonts w:hint="eastAsia" w:ascii="宋体" w:hAnsi="宋体" w:eastAsia="宋体" w:cs="宋体"/>
          <w:color w:val="auto"/>
          <w:spacing w:val="8"/>
          <w:sz w:val="18"/>
          <w:szCs w:val="18"/>
          <w:highlight w:val="none"/>
        </w:rPr>
        <w:t>有特殊要求的工程。</w:t>
      </w:r>
      <w:r>
        <w:rPr>
          <w:rFonts w:hint="eastAsia" w:ascii="宋体" w:hAnsi="宋体" w:eastAsia="宋体" w:cs="宋体"/>
          <w:color w:val="auto"/>
          <w:spacing w:val="9"/>
          <w:sz w:val="18"/>
          <w:szCs w:val="18"/>
          <w:highlight w:val="none"/>
        </w:rPr>
        <w:t>对其他管理和技术人员（例如项目副经理、专业工程师等）的最低要</w:t>
      </w:r>
      <w:r>
        <w:rPr>
          <w:rFonts w:hint="eastAsia" w:ascii="宋体" w:hAnsi="宋体" w:eastAsia="宋体" w:cs="宋体"/>
          <w:color w:val="auto"/>
          <w:spacing w:val="8"/>
          <w:sz w:val="18"/>
          <w:szCs w:val="18"/>
          <w:highlight w:val="none"/>
        </w:rPr>
        <w:t>求，由招标人在满足国家相</w:t>
      </w:r>
      <w:r>
        <w:rPr>
          <w:rFonts w:hint="eastAsia" w:ascii="宋体" w:hAnsi="宋体" w:eastAsia="宋体" w:cs="宋体"/>
          <w:color w:val="auto"/>
          <w:spacing w:val="10"/>
          <w:sz w:val="18"/>
          <w:szCs w:val="18"/>
          <w:highlight w:val="none"/>
        </w:rPr>
        <w:t>关法律法规前提下，根据招标项目具体特点和</w:t>
      </w:r>
      <w:r>
        <w:rPr>
          <w:rFonts w:hint="eastAsia" w:ascii="宋体" w:hAnsi="宋体" w:eastAsia="宋体" w:cs="宋体"/>
          <w:color w:val="auto"/>
          <w:spacing w:val="9"/>
          <w:sz w:val="18"/>
          <w:szCs w:val="18"/>
          <w:highlight w:val="none"/>
        </w:rPr>
        <w:t>实际情况确定，但不得设置过高的资格条件。</w:t>
      </w:r>
    </w:p>
    <w:p w14:paraId="7D2E2FC2">
      <w:pPr>
        <w:pStyle w:val="4"/>
        <w:spacing w:line="320" w:lineRule="auto"/>
        <w:rPr>
          <w:rFonts w:hint="eastAsia" w:ascii="宋体" w:hAnsi="宋体" w:eastAsia="宋体" w:cs="宋体"/>
          <w:color w:val="auto"/>
          <w:highlight w:val="none"/>
        </w:rPr>
      </w:pPr>
    </w:p>
    <w:p w14:paraId="40813325">
      <w:pPr>
        <w:pStyle w:val="4"/>
        <w:spacing w:line="320" w:lineRule="auto"/>
        <w:rPr>
          <w:rFonts w:hint="eastAsia" w:ascii="宋体" w:hAnsi="宋体" w:eastAsia="宋体" w:cs="宋体"/>
          <w:color w:val="auto"/>
          <w:highlight w:val="none"/>
        </w:rPr>
      </w:pPr>
    </w:p>
    <w:p w14:paraId="20946514">
      <w:pPr>
        <w:pStyle w:val="4"/>
        <w:spacing w:line="320" w:lineRule="auto"/>
        <w:rPr>
          <w:rFonts w:hint="eastAsia" w:ascii="宋体" w:hAnsi="宋体" w:eastAsia="宋体" w:cs="宋体"/>
          <w:color w:val="auto"/>
          <w:highlight w:val="none"/>
        </w:rPr>
      </w:pPr>
    </w:p>
    <w:p w14:paraId="1825B0DE">
      <w:pPr>
        <w:spacing w:before="91" w:line="218" w:lineRule="auto"/>
        <w:ind w:left="830"/>
        <w:rPr>
          <w:rFonts w:hint="eastAsia" w:ascii="宋体" w:hAnsi="宋体" w:eastAsia="宋体" w:cs="宋体"/>
          <w:b/>
          <w:bCs/>
          <w:color w:val="auto"/>
          <w:spacing w:val="-3"/>
          <w:sz w:val="28"/>
          <w:szCs w:val="28"/>
          <w:highlight w:val="none"/>
        </w:rPr>
      </w:pPr>
    </w:p>
    <w:p w14:paraId="7FA534BB">
      <w:pPr>
        <w:spacing w:before="91" w:line="218" w:lineRule="auto"/>
        <w:ind w:left="830"/>
        <w:rPr>
          <w:rFonts w:hint="eastAsia" w:ascii="宋体" w:hAnsi="宋体" w:eastAsia="宋体" w:cs="宋体"/>
          <w:b/>
          <w:bCs/>
          <w:color w:val="auto"/>
          <w:spacing w:val="-3"/>
          <w:sz w:val="28"/>
          <w:szCs w:val="28"/>
          <w:highlight w:val="none"/>
        </w:rPr>
      </w:pPr>
      <w:r>
        <w:rPr>
          <w:rFonts w:hint="eastAsia" w:ascii="宋体" w:hAnsi="宋体" w:eastAsia="宋体" w:cs="宋体"/>
          <w:b/>
          <w:bCs/>
          <w:color w:val="auto"/>
          <w:spacing w:val="-3"/>
          <w:sz w:val="28"/>
          <w:szCs w:val="28"/>
          <w:highlight w:val="none"/>
        </w:rPr>
        <w:t>附录7资格审查条件（主要机械设备和试验检测设备最低要求</w:t>
      </w:r>
    </w:p>
    <w:p w14:paraId="385F6E49">
      <w:pPr>
        <w:spacing w:before="91" w:line="218" w:lineRule="auto"/>
        <w:ind w:left="830"/>
        <w:rPr>
          <w:rFonts w:hint="eastAsia" w:ascii="宋体" w:hAnsi="宋体" w:eastAsia="宋体" w:cs="宋体"/>
          <w:b/>
          <w:bCs/>
          <w:color w:val="auto"/>
          <w:spacing w:val="-3"/>
          <w:sz w:val="28"/>
          <w:szCs w:val="28"/>
          <w:highlight w:val="none"/>
        </w:rPr>
      </w:pPr>
    </w:p>
    <w:p w14:paraId="20219BA7">
      <w:pPr>
        <w:spacing w:before="91" w:line="218" w:lineRule="auto"/>
        <w:ind w:left="830"/>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8"/>
          <w:szCs w:val="28"/>
          <w:highlight w:val="none"/>
        </w:rPr>
        <w:t>①</w:t>
      </w:r>
      <w:r>
        <w:rPr>
          <w:rFonts w:hint="eastAsia" w:ascii="宋体" w:hAnsi="宋体" w:eastAsia="宋体" w:cs="宋体"/>
          <w:color w:val="auto"/>
          <w:spacing w:val="7"/>
          <w:sz w:val="24"/>
          <w:szCs w:val="24"/>
          <w:highlight w:val="none"/>
        </w:rPr>
        <w:t>本次招标不适用。</w:t>
      </w:r>
    </w:p>
    <w:p w14:paraId="51103566">
      <w:pPr>
        <w:spacing w:before="164" w:line="378" w:lineRule="auto"/>
        <w:ind w:left="120" w:firstLine="420"/>
        <w:jc w:val="both"/>
        <w:rPr>
          <w:rFonts w:hint="eastAsia" w:ascii="宋体" w:hAnsi="宋体" w:eastAsia="宋体" w:cs="宋体"/>
          <w:color w:val="auto"/>
          <w:spacing w:val="9"/>
          <w:sz w:val="18"/>
          <w:szCs w:val="18"/>
          <w:highlight w:val="none"/>
        </w:rPr>
      </w:pPr>
    </w:p>
    <w:p w14:paraId="1ED95793">
      <w:pPr>
        <w:spacing w:before="164" w:line="378" w:lineRule="auto"/>
        <w:ind w:left="120" w:firstLine="420"/>
        <w:jc w:val="both"/>
        <w:rPr>
          <w:rFonts w:hint="eastAsia" w:ascii="宋体" w:hAnsi="宋体" w:eastAsia="宋体" w:cs="宋体"/>
          <w:color w:val="auto"/>
          <w:sz w:val="18"/>
          <w:szCs w:val="18"/>
          <w:highlight w:val="none"/>
        </w:rPr>
      </w:pPr>
      <w:r>
        <w:rPr>
          <w:rFonts w:hint="eastAsia" w:ascii="宋体" w:hAnsi="宋体" w:eastAsia="宋体" w:cs="宋体"/>
          <w:color w:val="auto"/>
          <w:spacing w:val="9"/>
          <w:sz w:val="18"/>
          <w:szCs w:val="18"/>
          <w:highlight w:val="none"/>
        </w:rPr>
        <w:t>①本表仅适用于特别复杂的特大桥梁和特长隧道项目主体工程以及其他</w:t>
      </w:r>
      <w:r>
        <w:rPr>
          <w:rFonts w:hint="eastAsia" w:ascii="宋体" w:hAnsi="宋体" w:eastAsia="宋体" w:cs="宋体"/>
          <w:color w:val="auto"/>
          <w:spacing w:val="8"/>
          <w:sz w:val="18"/>
          <w:szCs w:val="18"/>
          <w:highlight w:val="none"/>
        </w:rPr>
        <w:t>有特殊要求的工程。</w:t>
      </w:r>
      <w:r>
        <w:rPr>
          <w:rFonts w:hint="eastAsia" w:ascii="宋体" w:hAnsi="宋体" w:eastAsia="宋体" w:cs="宋体"/>
          <w:color w:val="auto"/>
          <w:spacing w:val="9"/>
          <w:sz w:val="18"/>
          <w:szCs w:val="18"/>
          <w:highlight w:val="none"/>
        </w:rPr>
        <w:t>对主要机械设备和试验检测设备的最低要求，由招标人在满足国家相</w:t>
      </w:r>
      <w:r>
        <w:rPr>
          <w:rFonts w:hint="eastAsia" w:ascii="宋体" w:hAnsi="宋体" w:eastAsia="宋体" w:cs="宋体"/>
          <w:color w:val="auto"/>
          <w:spacing w:val="8"/>
          <w:sz w:val="18"/>
          <w:szCs w:val="18"/>
          <w:highlight w:val="none"/>
        </w:rPr>
        <w:t>关法律法规前提下，根据招标项目具体特点和实际情况确定。</w:t>
      </w:r>
    </w:p>
    <w:p w14:paraId="02C0C680">
      <w:pPr>
        <w:spacing w:line="378" w:lineRule="auto"/>
        <w:rPr>
          <w:rFonts w:hint="eastAsia" w:ascii="宋体" w:hAnsi="宋体" w:eastAsia="宋体" w:cs="宋体"/>
          <w:color w:val="auto"/>
          <w:sz w:val="18"/>
          <w:szCs w:val="18"/>
          <w:highlight w:val="none"/>
        </w:rPr>
        <w:sectPr>
          <w:headerReference r:id="rId19" w:type="default"/>
          <w:footerReference r:id="rId20" w:type="default"/>
          <w:pgSz w:w="11907" w:h="16840"/>
          <w:pgMar w:top="1182" w:right="1220" w:bottom="1014" w:left="1684" w:header="849" w:footer="852" w:gutter="0"/>
          <w:pgNumType w:fmt="decimal"/>
          <w:cols w:space="720" w:num="1"/>
        </w:sectPr>
      </w:pPr>
    </w:p>
    <w:p w14:paraId="6BBF92AA">
      <w:pPr>
        <w:pStyle w:val="4"/>
        <w:spacing w:before="298" w:line="222" w:lineRule="auto"/>
        <w:ind w:left="33"/>
        <w:outlineLvl w:val="1"/>
        <w:rPr>
          <w:rFonts w:hint="eastAsia" w:ascii="宋体" w:hAnsi="宋体" w:eastAsia="宋体" w:cs="宋体"/>
          <w:color w:val="auto"/>
          <w:sz w:val="28"/>
          <w:szCs w:val="28"/>
          <w:highlight w:val="none"/>
        </w:rPr>
      </w:pPr>
      <w:bookmarkStart w:id="60" w:name="_Toc12860"/>
      <w:bookmarkStart w:id="61" w:name="_Toc13185"/>
      <w:bookmarkStart w:id="62" w:name="_Toc4162"/>
      <w:bookmarkStart w:id="63" w:name="_Toc3511"/>
      <w:bookmarkStart w:id="64" w:name="_Toc21539"/>
      <w:r>
        <w:rPr>
          <w:rFonts w:hint="eastAsia" w:ascii="宋体" w:hAnsi="宋体" w:eastAsia="宋体" w:cs="宋体"/>
          <w:b/>
          <w:bCs/>
          <w:color w:val="auto"/>
          <w:spacing w:val="-8"/>
          <w:sz w:val="28"/>
          <w:szCs w:val="28"/>
          <w:highlight w:val="none"/>
        </w:rPr>
        <w:t>1.总则</w:t>
      </w:r>
      <w:bookmarkEnd w:id="60"/>
      <w:bookmarkEnd w:id="61"/>
      <w:bookmarkEnd w:id="62"/>
      <w:bookmarkEnd w:id="63"/>
      <w:bookmarkEnd w:id="64"/>
    </w:p>
    <w:p w14:paraId="668CE33D">
      <w:pPr>
        <w:pStyle w:val="4"/>
        <w:spacing w:line="428" w:lineRule="auto"/>
        <w:rPr>
          <w:rFonts w:hint="eastAsia" w:ascii="宋体" w:hAnsi="宋体" w:eastAsia="宋体" w:cs="宋体"/>
          <w:color w:val="auto"/>
          <w:highlight w:val="none"/>
        </w:rPr>
      </w:pPr>
    </w:p>
    <w:p w14:paraId="69875421">
      <w:pPr>
        <w:pStyle w:val="4"/>
        <w:spacing w:before="78" w:line="221" w:lineRule="auto"/>
        <w:ind w:left="30"/>
        <w:outlineLvl w:val="2"/>
        <w:rPr>
          <w:rFonts w:hint="eastAsia" w:ascii="宋体" w:hAnsi="宋体" w:eastAsia="宋体" w:cs="宋体"/>
          <w:color w:val="auto"/>
          <w:sz w:val="24"/>
          <w:szCs w:val="24"/>
          <w:highlight w:val="none"/>
        </w:rPr>
      </w:pPr>
      <w:bookmarkStart w:id="65" w:name="_Toc3049"/>
      <w:bookmarkStart w:id="66" w:name="_Toc15193"/>
      <w:bookmarkStart w:id="67" w:name="_Toc24201"/>
      <w:bookmarkStart w:id="68" w:name="_Toc21119"/>
      <w:bookmarkStart w:id="69" w:name="_Toc25876"/>
      <w:r>
        <w:rPr>
          <w:rFonts w:hint="eastAsia" w:ascii="宋体" w:hAnsi="宋体" w:eastAsia="宋体" w:cs="宋体"/>
          <w:b/>
          <w:bCs/>
          <w:color w:val="auto"/>
          <w:spacing w:val="-5"/>
          <w:sz w:val="24"/>
          <w:szCs w:val="24"/>
          <w:highlight w:val="none"/>
        </w:rPr>
        <w:t>1.1项目概况</w:t>
      </w:r>
      <w:bookmarkEnd w:id="65"/>
      <w:bookmarkEnd w:id="66"/>
      <w:bookmarkEnd w:id="67"/>
      <w:bookmarkEnd w:id="68"/>
      <w:bookmarkEnd w:id="69"/>
    </w:p>
    <w:p w14:paraId="41B936D2">
      <w:pPr>
        <w:keepNext w:val="0"/>
        <w:keepLines w:val="0"/>
        <w:pageBreakBefore w:val="0"/>
        <w:widowControl/>
        <w:kinsoku w:val="0"/>
        <w:wordWrap/>
        <w:overflowPunct/>
        <w:topLinePunct w:val="0"/>
        <w:autoSpaceDE w:val="0"/>
        <w:autoSpaceDN w:val="0"/>
        <w:bidi w:val="0"/>
        <w:adjustRightInd w:val="0"/>
        <w:snapToGrid w:val="0"/>
        <w:spacing w:before="184" w:line="377" w:lineRule="auto"/>
        <w:ind w:firstLine="516"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1.1.1根据《中华人民共和国招标投标法》《中华人民共</w:t>
      </w:r>
      <w:r>
        <w:rPr>
          <w:rFonts w:hint="eastAsia" w:ascii="宋体" w:hAnsi="宋体" w:eastAsia="宋体" w:cs="宋体"/>
          <w:color w:val="auto"/>
          <w:spacing w:val="8"/>
          <w:sz w:val="24"/>
          <w:szCs w:val="24"/>
          <w:highlight w:val="none"/>
        </w:rPr>
        <w:t>和国招标投标法实施条例》《公路</w:t>
      </w:r>
      <w:r>
        <w:rPr>
          <w:rFonts w:hint="eastAsia" w:ascii="宋体" w:hAnsi="宋体" w:eastAsia="宋体" w:cs="宋体"/>
          <w:color w:val="auto"/>
          <w:spacing w:val="6"/>
          <w:sz w:val="24"/>
          <w:szCs w:val="24"/>
          <w:highlight w:val="none"/>
        </w:rPr>
        <w:t>工程建设项目招标投标管理办法》等有关法律、法规和规章的规定，本招标项目已具备招标条件，</w:t>
      </w:r>
      <w:r>
        <w:rPr>
          <w:rFonts w:hint="eastAsia" w:ascii="宋体" w:hAnsi="宋体" w:eastAsia="宋体" w:cs="宋体"/>
          <w:color w:val="auto"/>
          <w:spacing w:val="8"/>
          <w:sz w:val="24"/>
          <w:szCs w:val="24"/>
          <w:highlight w:val="none"/>
        </w:rPr>
        <w:t>现对本标段施工进行招标。</w:t>
      </w:r>
    </w:p>
    <w:p w14:paraId="30233286">
      <w:pPr>
        <w:spacing w:line="226" w:lineRule="auto"/>
        <w:ind w:firstLine="508"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1.1.2本招标项目招标人：见投标人须知前附表。</w:t>
      </w:r>
    </w:p>
    <w:p w14:paraId="61EAC2D1">
      <w:pPr>
        <w:spacing w:before="165" w:line="227" w:lineRule="auto"/>
        <w:ind w:firstLine="508"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1.1.3本标段招标代理机构：见投标人须知前附表。</w:t>
      </w:r>
    </w:p>
    <w:p w14:paraId="4A4882DD">
      <w:pPr>
        <w:spacing w:before="162" w:line="227" w:lineRule="auto"/>
        <w:ind w:firstLine="508"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1.1.4本招标项目名称：见投标人须知前附表。</w:t>
      </w:r>
    </w:p>
    <w:p w14:paraId="1AFE2CFA">
      <w:pPr>
        <w:spacing w:before="162" w:line="227" w:lineRule="auto"/>
        <w:ind w:firstLine="508"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1.1.5本标段建设地点：见投标人须知前附表。</w:t>
      </w:r>
    </w:p>
    <w:p w14:paraId="1CB74CDC">
      <w:pPr>
        <w:pStyle w:val="4"/>
        <w:spacing w:line="326" w:lineRule="auto"/>
        <w:rPr>
          <w:rFonts w:hint="eastAsia" w:ascii="宋体" w:hAnsi="宋体" w:eastAsia="宋体" w:cs="宋体"/>
          <w:color w:val="auto"/>
          <w:highlight w:val="none"/>
        </w:rPr>
      </w:pPr>
    </w:p>
    <w:p w14:paraId="71ECA3FB">
      <w:pPr>
        <w:pStyle w:val="4"/>
        <w:spacing w:before="79" w:line="221" w:lineRule="auto"/>
        <w:ind w:left="30"/>
        <w:outlineLvl w:val="2"/>
        <w:rPr>
          <w:rFonts w:hint="eastAsia" w:ascii="宋体" w:hAnsi="宋体" w:eastAsia="宋体" w:cs="宋体"/>
          <w:color w:val="auto"/>
          <w:sz w:val="24"/>
          <w:szCs w:val="24"/>
          <w:highlight w:val="none"/>
        </w:rPr>
      </w:pPr>
      <w:bookmarkStart w:id="70" w:name="_Toc30968"/>
      <w:bookmarkStart w:id="71" w:name="_Toc7597"/>
      <w:bookmarkStart w:id="72" w:name="_Toc8112"/>
      <w:bookmarkStart w:id="73" w:name="_Toc12450"/>
      <w:bookmarkStart w:id="74" w:name="_Toc29060"/>
      <w:r>
        <w:rPr>
          <w:rFonts w:hint="eastAsia" w:ascii="宋体" w:hAnsi="宋体" w:eastAsia="宋体" w:cs="宋体"/>
          <w:b/>
          <w:bCs/>
          <w:color w:val="auto"/>
          <w:spacing w:val="-3"/>
          <w:sz w:val="24"/>
          <w:szCs w:val="24"/>
          <w:highlight w:val="none"/>
        </w:rPr>
        <w:t>1.2招标项目的资金来源和落实情况</w:t>
      </w:r>
      <w:bookmarkEnd w:id="70"/>
      <w:bookmarkEnd w:id="71"/>
      <w:bookmarkEnd w:id="72"/>
      <w:bookmarkEnd w:id="73"/>
      <w:bookmarkEnd w:id="74"/>
    </w:p>
    <w:p w14:paraId="777B9F55">
      <w:pPr>
        <w:spacing w:before="183" w:line="227" w:lineRule="auto"/>
        <w:ind w:left="455"/>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1.2.1资金来源及比例：见投标人须知前附表。</w:t>
      </w:r>
    </w:p>
    <w:p w14:paraId="6B824D61">
      <w:pPr>
        <w:spacing w:before="162" w:line="227" w:lineRule="auto"/>
        <w:ind w:left="455"/>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1.2.2资金落实情况：见投标人须知前附表。</w:t>
      </w:r>
    </w:p>
    <w:p w14:paraId="4D8D52EA">
      <w:pPr>
        <w:pStyle w:val="4"/>
        <w:spacing w:line="327" w:lineRule="auto"/>
        <w:rPr>
          <w:rFonts w:hint="eastAsia" w:ascii="宋体" w:hAnsi="宋体" w:eastAsia="宋体" w:cs="宋体"/>
          <w:color w:val="auto"/>
          <w:highlight w:val="none"/>
        </w:rPr>
      </w:pPr>
    </w:p>
    <w:p w14:paraId="1E1802F9">
      <w:pPr>
        <w:pStyle w:val="4"/>
        <w:spacing w:before="78" w:line="222" w:lineRule="auto"/>
        <w:ind w:left="30"/>
        <w:outlineLvl w:val="2"/>
        <w:rPr>
          <w:rFonts w:hint="eastAsia" w:ascii="宋体" w:hAnsi="宋体" w:eastAsia="宋体" w:cs="宋体"/>
          <w:color w:val="auto"/>
          <w:sz w:val="24"/>
          <w:szCs w:val="24"/>
          <w:highlight w:val="none"/>
        </w:rPr>
      </w:pPr>
      <w:bookmarkStart w:id="75" w:name="_Toc13669"/>
      <w:bookmarkStart w:id="76" w:name="_Toc15137"/>
      <w:bookmarkStart w:id="77" w:name="_Toc21608"/>
      <w:bookmarkStart w:id="78" w:name="_Toc25569"/>
      <w:bookmarkStart w:id="79" w:name="_Toc23939"/>
      <w:r>
        <w:rPr>
          <w:rFonts w:hint="eastAsia" w:ascii="宋体" w:hAnsi="宋体" w:eastAsia="宋体" w:cs="宋体"/>
          <w:b/>
          <w:bCs/>
          <w:color w:val="auto"/>
          <w:spacing w:val="-3"/>
          <w:sz w:val="24"/>
          <w:szCs w:val="24"/>
          <w:highlight w:val="none"/>
        </w:rPr>
        <w:t>1.3招标范围、计划工期、质量要求、安全目标</w:t>
      </w:r>
      <w:bookmarkEnd w:id="75"/>
      <w:bookmarkEnd w:id="76"/>
      <w:bookmarkEnd w:id="77"/>
      <w:bookmarkEnd w:id="78"/>
      <w:bookmarkEnd w:id="79"/>
    </w:p>
    <w:p w14:paraId="405A28C2">
      <w:pPr>
        <w:spacing w:before="182" w:line="227" w:lineRule="auto"/>
        <w:ind w:left="455"/>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1.3.1招标范围：见投标人须知前附表。</w:t>
      </w:r>
    </w:p>
    <w:p w14:paraId="127568FA">
      <w:pPr>
        <w:spacing w:before="164" w:line="227" w:lineRule="auto"/>
        <w:ind w:left="455"/>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1.3.2本标段的计划工期：见投标人须知前附表。</w:t>
      </w:r>
    </w:p>
    <w:p w14:paraId="39D4073C">
      <w:pPr>
        <w:spacing w:before="162" w:line="227" w:lineRule="auto"/>
        <w:ind w:left="455"/>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1.3.3本标段的质量要求：见投标人须知前附表。</w:t>
      </w:r>
    </w:p>
    <w:p w14:paraId="2141697B">
      <w:pPr>
        <w:spacing w:before="162" w:line="227" w:lineRule="auto"/>
        <w:ind w:left="455"/>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1.3.4本标段的安全目标：见投标人须知前附表。</w:t>
      </w:r>
    </w:p>
    <w:p w14:paraId="00F93728">
      <w:pPr>
        <w:spacing w:before="162" w:line="381" w:lineRule="auto"/>
        <w:ind w:left="21" w:right="54" w:firstLine="433"/>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1.4投标人资格要求（适用于已进行资格预审的）投标人应是收到招标人发出</w:t>
      </w:r>
      <w:r>
        <w:rPr>
          <w:rFonts w:hint="eastAsia" w:ascii="宋体" w:hAnsi="宋体" w:eastAsia="宋体" w:cs="宋体"/>
          <w:color w:val="auto"/>
          <w:spacing w:val="8"/>
          <w:sz w:val="24"/>
          <w:szCs w:val="24"/>
          <w:highlight w:val="none"/>
        </w:rPr>
        <w:t>投标邀请书的</w:t>
      </w:r>
      <w:r>
        <w:rPr>
          <w:rFonts w:hint="eastAsia" w:ascii="宋体" w:hAnsi="宋体" w:eastAsia="宋体" w:cs="宋体"/>
          <w:color w:val="auto"/>
          <w:spacing w:val="2"/>
          <w:sz w:val="24"/>
          <w:szCs w:val="24"/>
          <w:highlight w:val="none"/>
        </w:rPr>
        <w:t>单位。</w:t>
      </w:r>
    </w:p>
    <w:p w14:paraId="7213205C">
      <w:pPr>
        <w:pStyle w:val="4"/>
        <w:spacing w:before="235" w:line="222" w:lineRule="auto"/>
        <w:ind w:left="30"/>
        <w:outlineLvl w:val="2"/>
        <w:rPr>
          <w:rFonts w:hint="eastAsia" w:ascii="宋体" w:hAnsi="宋体" w:eastAsia="宋体" w:cs="宋体"/>
          <w:color w:val="auto"/>
          <w:sz w:val="24"/>
          <w:szCs w:val="24"/>
          <w:highlight w:val="none"/>
        </w:rPr>
      </w:pPr>
      <w:bookmarkStart w:id="80" w:name="_Toc1977"/>
      <w:bookmarkStart w:id="81" w:name="_Toc18487"/>
      <w:bookmarkStart w:id="82" w:name="_Toc21689"/>
      <w:bookmarkStart w:id="83" w:name="_Toc29194"/>
      <w:bookmarkStart w:id="84" w:name="_Toc508"/>
      <w:r>
        <w:rPr>
          <w:rFonts w:hint="eastAsia" w:ascii="宋体" w:hAnsi="宋体" w:eastAsia="宋体" w:cs="宋体"/>
          <w:b/>
          <w:bCs/>
          <w:color w:val="auto"/>
          <w:spacing w:val="-3"/>
          <w:sz w:val="24"/>
          <w:szCs w:val="24"/>
          <w:highlight w:val="none"/>
        </w:rPr>
        <w:t>1.4投标人资格要求（适用于未进行资格预审的）</w:t>
      </w:r>
      <w:bookmarkEnd w:id="80"/>
      <w:bookmarkEnd w:id="81"/>
      <w:bookmarkEnd w:id="82"/>
      <w:bookmarkEnd w:id="83"/>
      <w:bookmarkEnd w:id="84"/>
    </w:p>
    <w:p w14:paraId="75E1717B">
      <w:pPr>
        <w:spacing w:before="185" w:line="227" w:lineRule="auto"/>
        <w:ind w:left="455"/>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1.4.1投标人应具备承担本标段施工的资质条件</w:t>
      </w:r>
      <w:r>
        <w:rPr>
          <w:rFonts w:hint="eastAsia" w:ascii="宋体" w:hAnsi="宋体" w:eastAsia="宋体" w:cs="宋体"/>
          <w:color w:val="auto"/>
          <w:spacing w:val="7"/>
          <w:sz w:val="24"/>
          <w:szCs w:val="24"/>
          <w:highlight w:val="none"/>
        </w:rPr>
        <w:t>、能力和信誉。</w:t>
      </w:r>
    </w:p>
    <w:p w14:paraId="36D6618A">
      <w:pPr>
        <w:spacing w:before="162" w:line="227" w:lineRule="auto"/>
        <w:ind w:left="44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（1）资质要求：见投标人须知前附表；</w:t>
      </w:r>
    </w:p>
    <w:p w14:paraId="15F011E5">
      <w:pPr>
        <w:spacing w:before="162" w:line="227" w:lineRule="auto"/>
        <w:ind w:left="44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（2）财务要求：见投标人须知前附表；</w:t>
      </w:r>
    </w:p>
    <w:p w14:paraId="43F13A3F">
      <w:pPr>
        <w:spacing w:before="162" w:line="227" w:lineRule="auto"/>
        <w:ind w:left="44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（3）业绩要求：见投标人须知前附表；</w:t>
      </w:r>
    </w:p>
    <w:p w14:paraId="426BCB04">
      <w:pPr>
        <w:spacing w:before="165" w:line="227" w:lineRule="auto"/>
        <w:ind w:left="44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（4）信誉要求：见投标人须知前附表；</w:t>
      </w:r>
    </w:p>
    <w:p w14:paraId="6C8351F2">
      <w:pPr>
        <w:spacing w:before="162" w:line="227" w:lineRule="auto"/>
        <w:ind w:left="44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（5）项目经理和项目总工资格：见投标人须知前附表；</w:t>
      </w:r>
    </w:p>
    <w:p w14:paraId="6943B8F3">
      <w:pPr>
        <w:spacing w:before="162" w:line="227" w:lineRule="auto"/>
        <w:ind w:left="44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（6）其他要求：见投标人须知前附表。</w:t>
      </w:r>
    </w:p>
    <w:p w14:paraId="192C22AE">
      <w:pPr>
        <w:spacing w:before="162" w:line="227" w:lineRule="auto"/>
        <w:ind w:left="451"/>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需要提交的相关证明材料见本章第3.5款的规定。</w:t>
      </w:r>
    </w:p>
    <w:p w14:paraId="51EE8D9E">
      <w:pPr>
        <w:keepNext w:val="0"/>
        <w:keepLines w:val="0"/>
        <w:pageBreakBefore w:val="0"/>
        <w:widowControl/>
        <w:kinsoku w:val="0"/>
        <w:wordWrap/>
        <w:overflowPunct/>
        <w:topLinePunct w:val="0"/>
        <w:autoSpaceDE w:val="0"/>
        <w:autoSpaceDN w:val="0"/>
        <w:bidi w:val="0"/>
        <w:adjustRightInd w:val="0"/>
        <w:snapToGrid w:val="0"/>
        <w:spacing w:before="164" w:line="377" w:lineRule="auto"/>
        <w:ind w:left="0" w:leftChars="0" w:right="0" w:firstLine="505" w:firstLineChars="20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1.4.2投标人须知前附表规定接受联合体投标的，联合体除应符合本章第1.4.1项和投标人</w:t>
      </w:r>
      <w:r>
        <w:rPr>
          <w:rFonts w:hint="eastAsia" w:ascii="宋体" w:hAnsi="宋体" w:eastAsia="宋体" w:cs="宋体"/>
          <w:color w:val="auto"/>
          <w:spacing w:val="8"/>
          <w:sz w:val="24"/>
          <w:szCs w:val="24"/>
          <w:highlight w:val="none"/>
        </w:rPr>
        <w:t>须知前附表的要求外，还应遵守以下规定：</w:t>
      </w:r>
    </w:p>
    <w:p w14:paraId="1907A11D">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lang w:val="en-US" w:eastAsia="zh-CN"/>
        </w:rPr>
        <w:t>（1）</w:t>
      </w:r>
      <w:r>
        <w:rPr>
          <w:rFonts w:hint="eastAsia" w:ascii="宋体" w:hAnsi="宋体" w:eastAsia="宋体" w:cs="宋体"/>
          <w:color w:val="auto"/>
          <w:spacing w:val="7"/>
          <w:sz w:val="24"/>
          <w:szCs w:val="24"/>
          <w:highlight w:val="none"/>
        </w:rPr>
        <w:t>联合体各方应按招标文件提供的格式签订联合体协议书，明确联合</w:t>
      </w:r>
      <w:r>
        <w:rPr>
          <w:rFonts w:hint="eastAsia" w:ascii="宋体" w:hAnsi="宋体" w:eastAsia="宋体" w:cs="宋体"/>
          <w:color w:val="auto"/>
          <w:spacing w:val="6"/>
          <w:sz w:val="24"/>
          <w:szCs w:val="24"/>
          <w:highlight w:val="none"/>
        </w:rPr>
        <w:t>体牵头人和各方权利</w:t>
      </w:r>
      <w:r>
        <w:rPr>
          <w:rFonts w:hint="eastAsia" w:ascii="宋体" w:hAnsi="宋体" w:eastAsia="宋体" w:cs="宋体"/>
          <w:color w:val="auto"/>
          <w:spacing w:val="9"/>
          <w:sz w:val="24"/>
          <w:szCs w:val="24"/>
          <w:highlight w:val="none"/>
        </w:rPr>
        <w:t>义务，并承诺就中标项目向招标人承担连带责任；</w:t>
      </w:r>
    </w:p>
    <w:p w14:paraId="5A6E1174">
      <w:pPr>
        <w:keepNext w:val="0"/>
        <w:keepLines w:val="0"/>
        <w:pageBreakBefore w:val="0"/>
        <w:widowControl/>
        <w:kinsoku w:val="0"/>
        <w:wordWrap/>
        <w:overflowPunct/>
        <w:topLinePunct w:val="0"/>
        <w:autoSpaceDE w:val="0"/>
        <w:autoSpaceDN w:val="0"/>
        <w:bidi w:val="0"/>
        <w:adjustRightInd w:val="0"/>
        <w:snapToGrid w:val="0"/>
        <w:spacing w:before="161" w:line="360" w:lineRule="auto"/>
        <w:textAlignment w:val="baseline"/>
        <w:rPr>
          <w:rFonts w:hint="eastAsia"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rPr>
        <w:t>（2）由同一专业的单位组成的联合体，按照资质等级较低的单</w:t>
      </w:r>
      <w:r>
        <w:rPr>
          <w:rFonts w:hint="eastAsia" w:ascii="宋体" w:hAnsi="宋体" w:eastAsia="宋体" w:cs="宋体"/>
          <w:color w:val="auto"/>
          <w:spacing w:val="7"/>
          <w:sz w:val="24"/>
          <w:szCs w:val="24"/>
          <w:highlight w:val="none"/>
        </w:rPr>
        <w:t>位确定资质等级；</w:t>
      </w:r>
      <w:r>
        <w:rPr>
          <w:rFonts w:hint="eastAsia" w:ascii="宋体" w:hAnsi="宋体" w:eastAsia="宋体" w:cs="宋体"/>
          <w:color w:val="auto"/>
          <w:spacing w:val="9"/>
          <w:sz w:val="24"/>
          <w:szCs w:val="24"/>
          <w:highlight w:val="none"/>
        </w:rPr>
        <w:t>（3）联合体各方不得再以自己名义单独或参加其他联合体在同一标段中</w:t>
      </w:r>
      <w:r>
        <w:rPr>
          <w:rFonts w:hint="eastAsia" w:ascii="宋体" w:hAnsi="宋体" w:eastAsia="宋体" w:cs="宋体"/>
          <w:color w:val="auto"/>
          <w:spacing w:val="8"/>
          <w:sz w:val="24"/>
          <w:szCs w:val="24"/>
          <w:highlight w:val="none"/>
        </w:rPr>
        <w:t>投标；</w:t>
      </w:r>
    </w:p>
    <w:p w14:paraId="37349C09">
      <w:pPr>
        <w:keepNext w:val="0"/>
        <w:keepLines w:val="0"/>
        <w:pageBreakBefore w:val="0"/>
        <w:widowControl/>
        <w:kinsoku w:val="0"/>
        <w:wordWrap/>
        <w:overflowPunct/>
        <w:topLinePunct w:val="0"/>
        <w:autoSpaceDE w:val="0"/>
        <w:autoSpaceDN w:val="0"/>
        <w:bidi w:val="0"/>
        <w:adjustRightInd w:val="0"/>
        <w:snapToGrid w:val="0"/>
        <w:spacing w:before="161" w:line="360" w:lineRule="auto"/>
        <w:textAlignment w:val="baseline"/>
        <w:rPr>
          <w:rFonts w:hint="eastAsia" w:ascii="宋体" w:hAnsi="宋体" w:eastAsia="宋体" w:cs="宋体"/>
          <w:color w:val="auto"/>
          <w:spacing w:val="8"/>
          <w:sz w:val="24"/>
          <w:szCs w:val="24"/>
          <w:highlight w:val="none"/>
        </w:rPr>
      </w:pPr>
      <w:r>
        <w:rPr>
          <w:rFonts w:hint="eastAsia" w:ascii="宋体" w:hAnsi="宋体" w:eastAsia="宋体" w:cs="宋体"/>
          <w:color w:val="auto"/>
          <w:spacing w:val="7"/>
          <w:sz w:val="24"/>
          <w:szCs w:val="24"/>
          <w:highlight w:val="none"/>
        </w:rPr>
        <w:t>（4）联合体各方应分别按照本招标文件的要求，填写投标文件中的相应</w:t>
      </w:r>
      <w:r>
        <w:rPr>
          <w:rFonts w:hint="eastAsia" w:ascii="宋体" w:hAnsi="宋体" w:eastAsia="宋体" w:cs="宋体"/>
          <w:color w:val="auto"/>
          <w:spacing w:val="6"/>
          <w:sz w:val="24"/>
          <w:szCs w:val="24"/>
          <w:highlight w:val="none"/>
        </w:rPr>
        <w:t>表格，并由联合体牵</w:t>
      </w:r>
      <w:r>
        <w:rPr>
          <w:rFonts w:hint="eastAsia" w:ascii="宋体" w:hAnsi="宋体" w:eastAsia="宋体" w:cs="宋体"/>
          <w:color w:val="auto"/>
          <w:spacing w:val="10"/>
          <w:sz w:val="24"/>
          <w:szCs w:val="24"/>
          <w:highlight w:val="none"/>
        </w:rPr>
        <w:t>头人负责对联合体各成员的资料进行统一汇总后一并提交给招标</w:t>
      </w:r>
      <w:r>
        <w:rPr>
          <w:rFonts w:hint="eastAsia" w:ascii="宋体" w:hAnsi="宋体" w:eastAsia="宋体" w:cs="宋体"/>
          <w:color w:val="auto"/>
          <w:spacing w:val="9"/>
          <w:sz w:val="24"/>
          <w:szCs w:val="24"/>
          <w:highlight w:val="none"/>
        </w:rPr>
        <w:t>人；联合体牵头人所提交的投标</w:t>
      </w:r>
      <w:r>
        <w:rPr>
          <w:rFonts w:hint="eastAsia" w:ascii="宋体" w:hAnsi="宋体" w:eastAsia="宋体" w:cs="宋体"/>
          <w:color w:val="auto"/>
          <w:spacing w:val="8"/>
          <w:sz w:val="24"/>
          <w:szCs w:val="24"/>
          <w:highlight w:val="none"/>
        </w:rPr>
        <w:t>文件应认为已代表了联合体各成员的真实情况；</w:t>
      </w:r>
    </w:p>
    <w:p w14:paraId="36ABDC9F">
      <w:pPr>
        <w:keepNext w:val="0"/>
        <w:keepLines w:val="0"/>
        <w:pageBreakBefore w:val="0"/>
        <w:widowControl/>
        <w:kinsoku w:val="0"/>
        <w:wordWrap/>
        <w:overflowPunct/>
        <w:topLinePunct w:val="0"/>
        <w:autoSpaceDE w:val="0"/>
        <w:autoSpaceDN w:val="0"/>
        <w:bidi w:val="0"/>
        <w:adjustRightInd w:val="0"/>
        <w:snapToGrid w:val="0"/>
        <w:spacing w:before="161"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（5）尽管委任了联合体牵头人，但联合体各成员在投标、签订合同与履</w:t>
      </w:r>
      <w:r>
        <w:rPr>
          <w:rFonts w:hint="eastAsia" w:ascii="宋体" w:hAnsi="宋体" w:eastAsia="宋体" w:cs="宋体"/>
          <w:color w:val="auto"/>
          <w:spacing w:val="6"/>
          <w:sz w:val="24"/>
          <w:szCs w:val="24"/>
          <w:highlight w:val="none"/>
        </w:rPr>
        <w:t>行合同过程中，仍负</w:t>
      </w:r>
      <w:r>
        <w:rPr>
          <w:rFonts w:hint="eastAsia" w:ascii="宋体" w:hAnsi="宋体" w:eastAsia="宋体" w:cs="宋体"/>
          <w:color w:val="auto"/>
          <w:spacing w:val="8"/>
          <w:sz w:val="24"/>
          <w:szCs w:val="24"/>
          <w:highlight w:val="none"/>
        </w:rPr>
        <w:t>有连带的和各自的法律责任。</w:t>
      </w:r>
    </w:p>
    <w:p w14:paraId="4D3F21CA">
      <w:pPr>
        <w:spacing w:before="161" w:line="227" w:lineRule="auto"/>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1.4.3投标人（包括联合体各成员）不得与本标段相关单位存在下列关联关系：</w:t>
      </w:r>
    </w:p>
    <w:p w14:paraId="130FD22A">
      <w:pPr>
        <w:spacing w:before="162" w:line="227" w:lineRule="auto"/>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（1）为招标人不具有独立法人资格的附属机</w:t>
      </w:r>
      <w:r>
        <w:rPr>
          <w:rFonts w:hint="eastAsia" w:ascii="宋体" w:hAnsi="宋体" w:eastAsia="宋体" w:cs="宋体"/>
          <w:color w:val="auto"/>
          <w:spacing w:val="8"/>
          <w:sz w:val="24"/>
          <w:szCs w:val="24"/>
          <w:highlight w:val="none"/>
        </w:rPr>
        <w:t>构（单位</w:t>
      </w:r>
      <w:r>
        <w:rPr>
          <w:rFonts w:hint="eastAsia" w:ascii="宋体" w:hAnsi="宋体" w:eastAsia="宋体" w:cs="宋体"/>
          <w:color w:val="auto"/>
          <w:sz w:val="24"/>
          <w:szCs w:val="24"/>
          <w:highlight w:val="none"/>
        </w:rPr>
        <w:t>）；</w:t>
      </w:r>
    </w:p>
    <w:p w14:paraId="11C2155C">
      <w:pPr>
        <w:spacing w:before="164" w:line="228" w:lineRule="auto"/>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（2）与招标人存在利害关系且可能影响招标公正性；</w:t>
      </w:r>
    </w:p>
    <w:p w14:paraId="773DDEE6">
      <w:pPr>
        <w:spacing w:before="161" w:line="227" w:lineRule="auto"/>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（3）与本标段的其他投标人同为一个单位负责人；</w:t>
      </w:r>
    </w:p>
    <w:p w14:paraId="507E61E7">
      <w:pPr>
        <w:spacing w:before="162" w:line="227" w:lineRule="auto"/>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（4）与本标段的其他投标人存在控股、管理关系；</w:t>
      </w:r>
    </w:p>
    <w:p w14:paraId="78E662F5">
      <w:pPr>
        <w:spacing w:before="162" w:line="227" w:lineRule="auto"/>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（5）为本标段前期准备提供设计或咨询服务的法人或其任何附属机构（单位）；</w:t>
      </w:r>
    </w:p>
    <w:p w14:paraId="68371493">
      <w:pPr>
        <w:spacing w:before="162" w:line="227" w:lineRule="auto"/>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（6）为本标段的监理人；</w:t>
      </w:r>
    </w:p>
    <w:p w14:paraId="4E81F0FB">
      <w:pPr>
        <w:spacing w:before="162" w:line="227" w:lineRule="auto"/>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（7）为本标段的代建人；</w:t>
      </w:r>
    </w:p>
    <w:p w14:paraId="523754F2">
      <w:pPr>
        <w:spacing w:before="165" w:line="227" w:lineRule="auto"/>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（8）为本标段的招标代理机构；</w:t>
      </w:r>
    </w:p>
    <w:p w14:paraId="65D4B13D">
      <w:pPr>
        <w:spacing w:before="162" w:line="227" w:lineRule="auto"/>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（9）与本标段的监理人或代建人或招标代理机构同为一个法</w:t>
      </w:r>
      <w:r>
        <w:rPr>
          <w:rFonts w:hint="eastAsia" w:ascii="宋体" w:hAnsi="宋体" w:eastAsia="宋体" w:cs="宋体"/>
          <w:color w:val="auto"/>
          <w:spacing w:val="8"/>
          <w:sz w:val="24"/>
          <w:szCs w:val="24"/>
          <w:highlight w:val="none"/>
        </w:rPr>
        <w:t>定代表人；</w:t>
      </w:r>
    </w:p>
    <w:p w14:paraId="67A37275">
      <w:pPr>
        <w:spacing w:before="162" w:line="227" w:lineRule="auto"/>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（10）与本标段的监理人或代建人或招标代理机构存在</w:t>
      </w:r>
      <w:r>
        <w:rPr>
          <w:rFonts w:hint="eastAsia" w:ascii="宋体" w:hAnsi="宋体" w:eastAsia="宋体" w:cs="宋体"/>
          <w:color w:val="auto"/>
          <w:spacing w:val="8"/>
          <w:sz w:val="24"/>
          <w:szCs w:val="24"/>
          <w:highlight w:val="none"/>
        </w:rPr>
        <w:t>控股或参股关系；</w:t>
      </w:r>
    </w:p>
    <w:p w14:paraId="743BE9A4">
      <w:pPr>
        <w:spacing w:before="162" w:line="227" w:lineRule="auto"/>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（11）法律法规或投标人须知前附表规定的其他情形。</w:t>
      </w:r>
    </w:p>
    <w:p w14:paraId="35013EAE">
      <w:pPr>
        <w:spacing w:before="164" w:line="228" w:lineRule="auto"/>
        <w:ind w:left="455"/>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1.4.4投标人（包括联合体各成员）不得存在下列不良状况或不良信用记录：</w:t>
      </w:r>
    </w:p>
    <w:p w14:paraId="10350B5D">
      <w:pPr>
        <w:spacing w:before="161" w:line="228" w:lineRule="auto"/>
        <w:ind w:left="44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（1）被省级及以上交通运输主管部门取消招标项目所在地的投标资格且处于有效期内；</w:t>
      </w:r>
    </w:p>
    <w:p w14:paraId="4D268DBA">
      <w:pPr>
        <w:spacing w:before="161" w:line="227" w:lineRule="auto"/>
        <w:ind w:left="44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（2）被责令停业，暂扣或吊销执照，或吊销资质证书；</w:t>
      </w:r>
    </w:p>
    <w:p w14:paraId="5E33343B">
      <w:pPr>
        <w:spacing w:before="163" w:line="226" w:lineRule="auto"/>
        <w:ind w:left="44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（3）进入清算程序，或被宣告破产，或其他丧失履</w:t>
      </w:r>
      <w:r>
        <w:rPr>
          <w:rFonts w:hint="eastAsia" w:ascii="宋体" w:hAnsi="宋体" w:eastAsia="宋体" w:cs="宋体"/>
          <w:color w:val="auto"/>
          <w:spacing w:val="8"/>
          <w:sz w:val="24"/>
          <w:szCs w:val="24"/>
          <w:highlight w:val="none"/>
        </w:rPr>
        <w:t>约能力的情形；</w:t>
      </w:r>
    </w:p>
    <w:p w14:paraId="269C32F6">
      <w:pPr>
        <w:spacing w:before="164" w:line="302" w:lineRule="auto"/>
        <w:ind w:left="18" w:right="52" w:firstLine="430"/>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（4）在国家企业信用信息公示系统（</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"http://www.gsxt.gov.cn/"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http</w:t>
      </w:r>
      <w:r>
        <w:rPr>
          <w:rFonts w:hint="eastAsia" w:ascii="宋体" w:hAnsi="宋体" w:eastAsia="宋体" w:cs="宋体"/>
          <w:color w:val="auto"/>
          <w:spacing w:val="10"/>
          <w:sz w:val="24"/>
          <w:szCs w:val="24"/>
          <w:highlight w:val="none"/>
        </w:rPr>
        <w:t>://</w:t>
      </w:r>
      <w:r>
        <w:rPr>
          <w:rFonts w:hint="eastAsia" w:ascii="宋体" w:hAnsi="宋体" w:eastAsia="宋体" w:cs="宋体"/>
          <w:color w:val="auto"/>
          <w:sz w:val="24"/>
          <w:szCs w:val="24"/>
          <w:highlight w:val="none"/>
        </w:rPr>
        <w:t>www</w:t>
      </w:r>
      <w:r>
        <w:rPr>
          <w:rFonts w:hint="eastAsia" w:ascii="宋体" w:hAnsi="宋体" w:eastAsia="宋体" w:cs="宋体"/>
          <w:color w:val="auto"/>
          <w:spacing w:val="10"/>
          <w:sz w:val="24"/>
          <w:szCs w:val="24"/>
          <w:highlight w:val="none"/>
        </w:rPr>
        <w:t>.</w:t>
      </w:r>
      <w:r>
        <w:rPr>
          <w:rFonts w:hint="eastAsia" w:ascii="宋体" w:hAnsi="宋体" w:eastAsia="宋体" w:cs="宋体"/>
          <w:color w:val="auto"/>
          <w:sz w:val="24"/>
          <w:szCs w:val="24"/>
          <w:highlight w:val="none"/>
        </w:rPr>
        <w:t>gsxt</w:t>
      </w:r>
      <w:r>
        <w:rPr>
          <w:rFonts w:hint="eastAsia" w:ascii="宋体" w:hAnsi="宋体" w:eastAsia="宋体" w:cs="宋体"/>
          <w:color w:val="auto"/>
          <w:spacing w:val="10"/>
          <w:sz w:val="24"/>
          <w:szCs w:val="24"/>
          <w:highlight w:val="none"/>
        </w:rPr>
        <w:t>.</w:t>
      </w:r>
      <w:r>
        <w:rPr>
          <w:rFonts w:hint="eastAsia" w:ascii="宋体" w:hAnsi="宋体" w:eastAsia="宋体" w:cs="宋体"/>
          <w:color w:val="auto"/>
          <w:sz w:val="24"/>
          <w:szCs w:val="24"/>
          <w:highlight w:val="none"/>
        </w:rPr>
        <w:t>gov</w:t>
      </w:r>
      <w:r>
        <w:rPr>
          <w:rFonts w:hint="eastAsia" w:ascii="宋体" w:hAnsi="宋体" w:eastAsia="宋体" w:cs="宋体"/>
          <w:color w:val="auto"/>
          <w:spacing w:val="10"/>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pacing w:val="10"/>
          <w:sz w:val="24"/>
          <w:szCs w:val="24"/>
          <w:highlight w:val="none"/>
        </w:rPr>
        <w:t>/</w:t>
      </w:r>
      <w:r>
        <w:rPr>
          <w:rFonts w:hint="eastAsia" w:ascii="宋体" w:hAnsi="宋体" w:eastAsia="宋体" w:cs="宋体"/>
          <w:color w:val="auto"/>
          <w:spacing w:val="10"/>
          <w:sz w:val="24"/>
          <w:szCs w:val="24"/>
          <w:highlight w:val="none"/>
        </w:rPr>
        <w:fldChar w:fldCharType="end"/>
      </w:r>
      <w:r>
        <w:rPr>
          <w:rFonts w:hint="eastAsia" w:ascii="宋体" w:hAnsi="宋体" w:eastAsia="宋体" w:cs="宋体"/>
          <w:color w:val="auto"/>
          <w:spacing w:val="10"/>
          <w:sz w:val="24"/>
          <w:szCs w:val="24"/>
          <w:highlight w:val="none"/>
        </w:rPr>
        <w:t>）中被列入严重违法失信企</w:t>
      </w:r>
      <w:r>
        <w:rPr>
          <w:rFonts w:hint="eastAsia" w:ascii="宋体" w:hAnsi="宋体" w:eastAsia="宋体" w:cs="宋体"/>
          <w:color w:val="auto"/>
          <w:spacing w:val="5"/>
          <w:sz w:val="24"/>
          <w:szCs w:val="24"/>
          <w:highlight w:val="none"/>
        </w:rPr>
        <w:t>业名单；</w:t>
      </w:r>
    </w:p>
    <w:p w14:paraId="11464127">
      <w:pPr>
        <w:spacing w:before="163" w:line="222" w:lineRule="auto"/>
        <w:ind w:firstLine="496"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（5）在“信用中国”网站（</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"http://www.creditchina.gov.cn/"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http</w:t>
      </w:r>
      <w:r>
        <w:rPr>
          <w:rFonts w:hint="eastAsia" w:ascii="宋体" w:hAnsi="宋体" w:eastAsia="宋体" w:cs="宋体"/>
          <w:color w:val="auto"/>
          <w:spacing w:val="4"/>
          <w:sz w:val="24"/>
          <w:szCs w:val="24"/>
          <w:highlight w:val="none"/>
        </w:rPr>
        <w:t>://</w:t>
      </w:r>
      <w:r>
        <w:rPr>
          <w:rFonts w:hint="eastAsia" w:ascii="宋体" w:hAnsi="宋体" w:eastAsia="宋体" w:cs="宋体"/>
          <w:color w:val="auto"/>
          <w:sz w:val="24"/>
          <w:szCs w:val="24"/>
          <w:highlight w:val="none"/>
        </w:rPr>
        <w:t>www</w:t>
      </w:r>
      <w:r>
        <w:rPr>
          <w:rFonts w:hint="eastAsia" w:ascii="宋体" w:hAnsi="宋体" w:eastAsia="宋体" w:cs="宋体"/>
          <w:color w:val="auto"/>
          <w:spacing w:val="4"/>
          <w:sz w:val="24"/>
          <w:szCs w:val="24"/>
          <w:highlight w:val="none"/>
        </w:rPr>
        <w:t>.</w:t>
      </w:r>
      <w:r>
        <w:rPr>
          <w:rFonts w:hint="eastAsia" w:ascii="宋体" w:hAnsi="宋体" w:eastAsia="宋体" w:cs="宋体"/>
          <w:color w:val="auto"/>
          <w:sz w:val="24"/>
          <w:szCs w:val="24"/>
          <w:highlight w:val="none"/>
        </w:rPr>
        <w:t>creditchina</w:t>
      </w:r>
      <w:r>
        <w:rPr>
          <w:rFonts w:hint="eastAsia" w:ascii="宋体" w:hAnsi="宋体" w:eastAsia="宋体" w:cs="宋体"/>
          <w:color w:val="auto"/>
          <w:spacing w:val="4"/>
          <w:sz w:val="24"/>
          <w:szCs w:val="24"/>
          <w:highlight w:val="none"/>
        </w:rPr>
        <w:t>.</w:t>
      </w:r>
      <w:r>
        <w:rPr>
          <w:rFonts w:hint="eastAsia" w:ascii="宋体" w:hAnsi="宋体" w:eastAsia="宋体" w:cs="宋体"/>
          <w:color w:val="auto"/>
          <w:sz w:val="24"/>
          <w:szCs w:val="24"/>
          <w:highlight w:val="none"/>
        </w:rPr>
        <w:t>gov</w:t>
      </w:r>
      <w:r>
        <w:rPr>
          <w:rFonts w:hint="eastAsia" w:ascii="宋体" w:hAnsi="宋体" w:eastAsia="宋体" w:cs="宋体"/>
          <w:color w:val="auto"/>
          <w:spacing w:val="4"/>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4"/>
          <w:sz w:val="24"/>
          <w:szCs w:val="24"/>
          <w:highlight w:val="none"/>
        </w:rPr>
        <w:fldChar w:fldCharType="end"/>
      </w:r>
      <w:r>
        <w:rPr>
          <w:rFonts w:hint="eastAsia" w:ascii="宋体" w:hAnsi="宋体" w:eastAsia="宋体" w:cs="宋体"/>
          <w:color w:val="auto"/>
          <w:spacing w:val="4"/>
          <w:sz w:val="24"/>
          <w:szCs w:val="24"/>
          <w:highlight w:val="none"/>
        </w:rPr>
        <w:t>）中被列入失信被</w:t>
      </w:r>
      <w:r>
        <w:rPr>
          <w:rFonts w:hint="eastAsia" w:ascii="宋体" w:hAnsi="宋体" w:eastAsia="宋体" w:cs="宋体"/>
          <w:color w:val="auto"/>
          <w:spacing w:val="3"/>
          <w:sz w:val="24"/>
          <w:szCs w:val="24"/>
          <w:highlight w:val="none"/>
        </w:rPr>
        <w:t>执行人名单；</w:t>
      </w:r>
    </w:p>
    <w:p w14:paraId="26265E60">
      <w:pPr>
        <w:spacing w:before="167" w:line="302" w:lineRule="auto"/>
        <w:ind w:left="19" w:right="52" w:firstLine="43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（6）投标人或其法定代表人、拟委任的项目经理在近三年内有行贿犯罪行为的（以“中国裁判文书网”查询结果为准</w:t>
      </w:r>
      <w:r>
        <w:rPr>
          <w:rFonts w:hint="eastAsia" w:ascii="宋体" w:hAnsi="宋体" w:eastAsia="宋体" w:cs="宋体"/>
          <w:color w:val="auto"/>
          <w:sz w:val="24"/>
          <w:szCs w:val="24"/>
          <w:highlight w:val="none"/>
        </w:rPr>
        <w:t>）；</w:t>
      </w:r>
    </w:p>
    <w:p w14:paraId="306DF7C5">
      <w:pPr>
        <w:spacing w:before="162" w:line="227" w:lineRule="auto"/>
        <w:ind w:left="44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（7）法律法规或投标人须知前附表规定的其他情形。</w:t>
      </w:r>
    </w:p>
    <w:p w14:paraId="0EE8745E">
      <w:pPr>
        <w:pStyle w:val="4"/>
        <w:keepNext w:val="0"/>
        <w:keepLines w:val="0"/>
        <w:pageBreakBefore w:val="0"/>
        <w:widowControl/>
        <w:kinsoku w:val="0"/>
        <w:wordWrap/>
        <w:overflowPunct/>
        <w:topLinePunct w:val="0"/>
        <w:autoSpaceDE w:val="0"/>
        <w:autoSpaceDN w:val="0"/>
        <w:bidi w:val="0"/>
        <w:adjustRightInd w:val="0"/>
        <w:snapToGrid w:val="0"/>
        <w:spacing w:before="293" w:line="360" w:lineRule="auto"/>
        <w:ind w:left="0" w:firstLine="536" w:firstLineChars="200"/>
        <w:textAlignment w:val="baseline"/>
        <w:outlineLvl w:val="2"/>
        <w:rPr>
          <w:rFonts w:hint="eastAsia" w:ascii="宋体" w:hAnsi="宋体" w:eastAsia="宋体" w:cs="宋体"/>
          <w:color w:val="auto"/>
          <w:spacing w:val="9"/>
          <w:sz w:val="24"/>
          <w:szCs w:val="24"/>
          <w:highlight w:val="none"/>
        </w:rPr>
      </w:pPr>
      <w:bookmarkStart w:id="85" w:name="_Toc8769"/>
      <w:bookmarkStart w:id="86" w:name="_Toc27981"/>
      <w:bookmarkStart w:id="87" w:name="_Toc12431"/>
      <w:bookmarkStart w:id="88" w:name="_Toc7812"/>
      <w:bookmarkStart w:id="89" w:name="_Toc776"/>
      <w:r>
        <w:rPr>
          <w:rFonts w:hint="eastAsia" w:ascii="宋体" w:hAnsi="宋体" w:eastAsia="宋体" w:cs="宋体"/>
          <w:color w:val="auto"/>
          <w:spacing w:val="14"/>
          <w:sz w:val="24"/>
          <w:szCs w:val="24"/>
          <w:highlight w:val="none"/>
        </w:rPr>
        <w:t>1.4.5投标人（包括联合体各成员）应进</w:t>
      </w:r>
      <w:r>
        <w:rPr>
          <w:rFonts w:hint="eastAsia" w:ascii="宋体" w:hAnsi="宋体" w:eastAsia="宋体" w:cs="宋体"/>
          <w:color w:val="auto"/>
          <w:spacing w:val="13"/>
          <w:sz w:val="24"/>
          <w:szCs w:val="24"/>
          <w:highlight w:val="none"/>
        </w:rPr>
        <w:t>入交通运输部“全国公路建设市场信用信息管理系统</w:t>
      </w:r>
      <w:r>
        <w:rPr>
          <w:rFonts w:hint="eastAsia" w:ascii="宋体" w:hAnsi="宋体" w:eastAsia="宋体" w:cs="宋体"/>
          <w:color w:val="auto"/>
          <w:spacing w:val="8"/>
          <w:sz w:val="24"/>
          <w:szCs w:val="24"/>
          <w:highlight w:val="none"/>
        </w:rPr>
        <w:t>（</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"http：//glxy.mot.gov.cn"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http</w:t>
      </w:r>
      <w:r>
        <w:rPr>
          <w:rFonts w:hint="eastAsia" w:ascii="宋体" w:hAnsi="宋体" w:eastAsia="宋体" w:cs="宋体"/>
          <w:color w:val="auto"/>
          <w:spacing w:val="8"/>
          <w:sz w:val="24"/>
          <w:szCs w:val="24"/>
          <w:highlight w:val="none"/>
        </w:rPr>
        <w:t>：//</w:t>
      </w:r>
      <w:r>
        <w:rPr>
          <w:rFonts w:hint="eastAsia" w:ascii="宋体" w:hAnsi="宋体" w:eastAsia="宋体" w:cs="宋体"/>
          <w:color w:val="auto"/>
          <w:sz w:val="24"/>
          <w:szCs w:val="24"/>
          <w:highlight w:val="none"/>
        </w:rPr>
        <w:t>glxy</w:t>
      </w:r>
      <w:r>
        <w:rPr>
          <w:rFonts w:hint="eastAsia" w:ascii="宋体" w:hAnsi="宋体" w:eastAsia="宋体" w:cs="宋体"/>
          <w:color w:val="auto"/>
          <w:spacing w:val="8"/>
          <w:sz w:val="24"/>
          <w:szCs w:val="24"/>
          <w:highlight w:val="none"/>
        </w:rPr>
        <w:t>.</w:t>
      </w:r>
      <w:r>
        <w:rPr>
          <w:rFonts w:hint="eastAsia" w:ascii="宋体" w:hAnsi="宋体" w:eastAsia="宋体" w:cs="宋体"/>
          <w:color w:val="auto"/>
          <w:sz w:val="24"/>
          <w:szCs w:val="24"/>
          <w:highlight w:val="none"/>
        </w:rPr>
        <w:t>mot</w:t>
      </w:r>
      <w:r>
        <w:rPr>
          <w:rFonts w:hint="eastAsia" w:ascii="宋体" w:hAnsi="宋体" w:eastAsia="宋体" w:cs="宋体"/>
          <w:color w:val="auto"/>
          <w:spacing w:val="8"/>
          <w:sz w:val="24"/>
          <w:szCs w:val="24"/>
          <w:highlight w:val="none"/>
        </w:rPr>
        <w:t>.</w:t>
      </w:r>
      <w:r>
        <w:rPr>
          <w:rFonts w:hint="eastAsia" w:ascii="宋体" w:hAnsi="宋体" w:eastAsia="宋体" w:cs="宋体"/>
          <w:color w:val="auto"/>
          <w:sz w:val="24"/>
          <w:szCs w:val="24"/>
          <w:highlight w:val="none"/>
        </w:rPr>
        <w:t>gov</w:t>
      </w:r>
      <w:r>
        <w:rPr>
          <w:rFonts w:hint="eastAsia" w:ascii="宋体" w:hAnsi="宋体" w:eastAsia="宋体" w:cs="宋体"/>
          <w:color w:val="auto"/>
          <w:spacing w:val="8"/>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8"/>
          <w:sz w:val="24"/>
          <w:szCs w:val="24"/>
          <w:highlight w:val="none"/>
        </w:rPr>
        <w:t>）”中的公路工程施工资质企业名录，且投标人名称和资质与该名录</w:t>
      </w:r>
      <w:r>
        <w:rPr>
          <w:rFonts w:hint="eastAsia" w:ascii="宋体" w:hAnsi="宋体" w:eastAsia="宋体" w:cs="宋体"/>
          <w:color w:val="auto"/>
          <w:spacing w:val="10"/>
          <w:sz w:val="24"/>
          <w:szCs w:val="24"/>
          <w:highlight w:val="none"/>
        </w:rPr>
        <w:t>中的相应企业名称和资质完全一致。投标人不满足本项规定条件的，将</w:t>
      </w:r>
      <w:r>
        <w:rPr>
          <w:rFonts w:hint="eastAsia" w:ascii="宋体" w:hAnsi="宋体" w:eastAsia="宋体" w:cs="宋体"/>
          <w:color w:val="auto"/>
          <w:spacing w:val="9"/>
          <w:sz w:val="24"/>
          <w:szCs w:val="24"/>
          <w:highlight w:val="none"/>
        </w:rPr>
        <w:t>被否决投标。</w:t>
      </w:r>
      <w:bookmarkEnd w:id="85"/>
      <w:bookmarkEnd w:id="86"/>
      <w:bookmarkEnd w:id="87"/>
      <w:bookmarkEnd w:id="88"/>
      <w:bookmarkEnd w:id="89"/>
    </w:p>
    <w:p w14:paraId="4E2ECC3E">
      <w:pPr>
        <w:pStyle w:val="4"/>
        <w:spacing w:before="293" w:line="222" w:lineRule="auto"/>
        <w:ind w:left="30"/>
        <w:outlineLvl w:val="2"/>
        <w:rPr>
          <w:rFonts w:hint="eastAsia" w:ascii="宋体" w:hAnsi="宋体" w:eastAsia="宋体" w:cs="宋体"/>
          <w:color w:val="auto"/>
          <w:sz w:val="24"/>
          <w:szCs w:val="24"/>
          <w:highlight w:val="none"/>
        </w:rPr>
      </w:pPr>
      <w:bookmarkStart w:id="90" w:name="_Toc22803"/>
      <w:bookmarkStart w:id="91" w:name="_Toc8761"/>
      <w:bookmarkStart w:id="92" w:name="_Toc14380"/>
      <w:bookmarkStart w:id="93" w:name="_Toc23042"/>
      <w:bookmarkStart w:id="94" w:name="_Toc15881"/>
      <w:r>
        <w:rPr>
          <w:rFonts w:hint="eastAsia" w:ascii="宋体" w:hAnsi="宋体" w:eastAsia="宋体" w:cs="宋体"/>
          <w:b/>
          <w:bCs/>
          <w:color w:val="auto"/>
          <w:spacing w:val="-6"/>
          <w:sz w:val="24"/>
          <w:szCs w:val="24"/>
          <w:highlight w:val="none"/>
        </w:rPr>
        <w:t>1.5费用承担</w:t>
      </w:r>
      <w:bookmarkEnd w:id="90"/>
      <w:bookmarkEnd w:id="91"/>
      <w:bookmarkEnd w:id="92"/>
      <w:bookmarkEnd w:id="93"/>
      <w:bookmarkEnd w:id="94"/>
    </w:p>
    <w:p w14:paraId="7142B736">
      <w:pPr>
        <w:spacing w:before="182" w:line="228" w:lineRule="auto"/>
        <w:ind w:left="442"/>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投标人准备和参加投标活动发生的费用自理。</w:t>
      </w:r>
    </w:p>
    <w:p w14:paraId="44A7792A">
      <w:pPr>
        <w:pStyle w:val="4"/>
        <w:spacing w:line="324" w:lineRule="auto"/>
        <w:rPr>
          <w:rFonts w:hint="eastAsia" w:ascii="宋体" w:hAnsi="宋体" w:eastAsia="宋体" w:cs="宋体"/>
          <w:color w:val="auto"/>
          <w:highlight w:val="none"/>
        </w:rPr>
      </w:pPr>
    </w:p>
    <w:p w14:paraId="741D0BA5">
      <w:pPr>
        <w:pStyle w:val="4"/>
        <w:spacing w:before="78" w:line="221" w:lineRule="auto"/>
        <w:ind w:left="30"/>
        <w:outlineLvl w:val="2"/>
        <w:rPr>
          <w:rFonts w:hint="eastAsia" w:ascii="宋体" w:hAnsi="宋体" w:eastAsia="宋体" w:cs="宋体"/>
          <w:color w:val="auto"/>
          <w:sz w:val="24"/>
          <w:szCs w:val="24"/>
          <w:highlight w:val="none"/>
        </w:rPr>
      </w:pPr>
      <w:bookmarkStart w:id="95" w:name="_Toc21935"/>
      <w:bookmarkStart w:id="96" w:name="_Toc20070"/>
      <w:bookmarkStart w:id="97" w:name="_Toc10133"/>
      <w:bookmarkStart w:id="98" w:name="_Toc13866"/>
      <w:bookmarkStart w:id="99" w:name="_Toc12017"/>
      <w:r>
        <w:rPr>
          <w:rFonts w:hint="eastAsia" w:ascii="宋体" w:hAnsi="宋体" w:eastAsia="宋体" w:cs="宋体"/>
          <w:b/>
          <w:bCs/>
          <w:color w:val="auto"/>
          <w:spacing w:val="-7"/>
          <w:sz w:val="24"/>
          <w:szCs w:val="24"/>
          <w:highlight w:val="none"/>
        </w:rPr>
        <w:t>1.6保密</w:t>
      </w:r>
      <w:bookmarkEnd w:id="95"/>
      <w:bookmarkEnd w:id="96"/>
      <w:bookmarkEnd w:id="97"/>
      <w:bookmarkEnd w:id="98"/>
      <w:bookmarkEnd w:id="99"/>
    </w:p>
    <w:p w14:paraId="15041B81">
      <w:pPr>
        <w:spacing w:before="184" w:line="380" w:lineRule="auto"/>
        <w:ind w:left="19" w:right="71" w:firstLine="421"/>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参与招标投标活动的各方应对招标文件和投标文件中的商业</w:t>
      </w:r>
      <w:r>
        <w:rPr>
          <w:rFonts w:hint="eastAsia" w:ascii="宋体" w:hAnsi="宋体" w:eastAsia="宋体" w:cs="宋体"/>
          <w:color w:val="auto"/>
          <w:spacing w:val="9"/>
          <w:sz w:val="24"/>
          <w:szCs w:val="24"/>
          <w:highlight w:val="none"/>
        </w:rPr>
        <w:t>和技术等秘密保密，否则应承担</w:t>
      </w:r>
      <w:r>
        <w:rPr>
          <w:rFonts w:hint="eastAsia" w:ascii="宋体" w:hAnsi="宋体" w:eastAsia="宋体" w:cs="宋体"/>
          <w:color w:val="auto"/>
          <w:spacing w:val="7"/>
          <w:sz w:val="24"/>
          <w:szCs w:val="24"/>
          <w:highlight w:val="none"/>
        </w:rPr>
        <w:t>相应的法律责任。</w:t>
      </w:r>
    </w:p>
    <w:p w14:paraId="773A51E5">
      <w:pPr>
        <w:pStyle w:val="4"/>
        <w:spacing w:before="238" w:line="222" w:lineRule="auto"/>
        <w:ind w:left="30"/>
        <w:outlineLvl w:val="2"/>
        <w:rPr>
          <w:rFonts w:hint="eastAsia" w:ascii="宋体" w:hAnsi="宋体" w:eastAsia="宋体" w:cs="宋体"/>
          <w:color w:val="auto"/>
          <w:sz w:val="24"/>
          <w:szCs w:val="24"/>
          <w:highlight w:val="none"/>
        </w:rPr>
      </w:pPr>
      <w:bookmarkStart w:id="100" w:name="_Toc25797"/>
      <w:bookmarkStart w:id="101" w:name="_Toc27603"/>
      <w:bookmarkStart w:id="102" w:name="_Toc8933"/>
      <w:bookmarkStart w:id="103" w:name="_Toc2833"/>
      <w:bookmarkStart w:id="104" w:name="_Toc1650"/>
      <w:r>
        <w:rPr>
          <w:rFonts w:hint="eastAsia" w:ascii="宋体" w:hAnsi="宋体" w:eastAsia="宋体" w:cs="宋体"/>
          <w:b/>
          <w:bCs/>
          <w:color w:val="auto"/>
          <w:spacing w:val="-5"/>
          <w:sz w:val="24"/>
          <w:szCs w:val="24"/>
          <w:highlight w:val="none"/>
        </w:rPr>
        <w:t>1.7语言文字</w:t>
      </w:r>
      <w:bookmarkEnd w:id="100"/>
      <w:bookmarkEnd w:id="101"/>
      <w:bookmarkEnd w:id="102"/>
      <w:bookmarkEnd w:id="103"/>
      <w:bookmarkEnd w:id="104"/>
    </w:p>
    <w:p w14:paraId="731B2165">
      <w:pPr>
        <w:spacing w:before="182" w:line="227" w:lineRule="auto"/>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招标投标文件使用的语言文字为中文。专用术语使用外文的，应附有中文注释。</w:t>
      </w:r>
    </w:p>
    <w:p w14:paraId="1D4FB118">
      <w:pPr>
        <w:pStyle w:val="4"/>
        <w:spacing w:line="327" w:lineRule="auto"/>
        <w:rPr>
          <w:rFonts w:hint="eastAsia" w:ascii="宋体" w:hAnsi="宋体" w:eastAsia="宋体" w:cs="宋体"/>
          <w:color w:val="auto"/>
          <w:highlight w:val="none"/>
        </w:rPr>
      </w:pPr>
    </w:p>
    <w:p w14:paraId="41766998">
      <w:pPr>
        <w:pStyle w:val="4"/>
        <w:spacing w:before="78" w:line="222" w:lineRule="auto"/>
        <w:ind w:left="30"/>
        <w:outlineLvl w:val="2"/>
        <w:rPr>
          <w:rFonts w:hint="eastAsia" w:ascii="宋体" w:hAnsi="宋体" w:eastAsia="宋体" w:cs="宋体"/>
          <w:color w:val="auto"/>
          <w:sz w:val="24"/>
          <w:szCs w:val="24"/>
          <w:highlight w:val="none"/>
        </w:rPr>
      </w:pPr>
      <w:bookmarkStart w:id="105" w:name="_Toc5074"/>
      <w:bookmarkStart w:id="106" w:name="_Toc28781"/>
      <w:bookmarkStart w:id="107" w:name="_Toc31519"/>
      <w:bookmarkStart w:id="108" w:name="_Toc22517"/>
      <w:bookmarkStart w:id="109" w:name="_Toc8109"/>
      <w:r>
        <w:rPr>
          <w:rFonts w:hint="eastAsia" w:ascii="宋体" w:hAnsi="宋体" w:eastAsia="宋体" w:cs="宋体"/>
          <w:b/>
          <w:bCs/>
          <w:color w:val="auto"/>
          <w:spacing w:val="-6"/>
          <w:sz w:val="24"/>
          <w:szCs w:val="24"/>
          <w:highlight w:val="none"/>
        </w:rPr>
        <w:t>1.8计量单位</w:t>
      </w:r>
      <w:bookmarkEnd w:id="105"/>
      <w:bookmarkEnd w:id="106"/>
      <w:bookmarkEnd w:id="107"/>
      <w:bookmarkEnd w:id="108"/>
      <w:bookmarkEnd w:id="109"/>
    </w:p>
    <w:p w14:paraId="07EA4947">
      <w:pPr>
        <w:spacing w:before="181" w:line="227" w:lineRule="auto"/>
        <w:ind w:left="43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所有计量均采用中华人民共和国法定计量单位。</w:t>
      </w:r>
    </w:p>
    <w:p w14:paraId="1A302836">
      <w:pPr>
        <w:pStyle w:val="4"/>
        <w:spacing w:line="326" w:lineRule="auto"/>
        <w:rPr>
          <w:rFonts w:hint="eastAsia" w:ascii="宋体" w:hAnsi="宋体" w:eastAsia="宋体" w:cs="宋体"/>
          <w:color w:val="auto"/>
          <w:highlight w:val="none"/>
        </w:rPr>
      </w:pPr>
    </w:p>
    <w:p w14:paraId="0961B559">
      <w:pPr>
        <w:pStyle w:val="4"/>
        <w:spacing w:before="79" w:line="222" w:lineRule="auto"/>
        <w:ind w:left="30"/>
        <w:outlineLvl w:val="2"/>
        <w:rPr>
          <w:rFonts w:hint="eastAsia" w:ascii="宋体" w:hAnsi="宋体" w:eastAsia="宋体" w:cs="宋体"/>
          <w:b/>
          <w:bCs/>
          <w:color w:val="auto"/>
          <w:spacing w:val="-6"/>
          <w:sz w:val="24"/>
          <w:szCs w:val="24"/>
          <w:highlight w:val="none"/>
        </w:rPr>
      </w:pPr>
      <w:bookmarkStart w:id="110" w:name="_Toc5938"/>
      <w:bookmarkStart w:id="111" w:name="_Toc28211"/>
      <w:bookmarkStart w:id="112" w:name="_Toc9472"/>
      <w:bookmarkStart w:id="113" w:name="_Toc26641"/>
      <w:bookmarkStart w:id="114" w:name="_Toc15287"/>
      <w:r>
        <w:rPr>
          <w:rFonts w:hint="eastAsia" w:ascii="宋体" w:hAnsi="宋体" w:eastAsia="宋体" w:cs="宋体"/>
          <w:b/>
          <w:bCs/>
          <w:color w:val="auto"/>
          <w:spacing w:val="-6"/>
          <w:sz w:val="24"/>
          <w:szCs w:val="24"/>
          <w:highlight w:val="none"/>
        </w:rPr>
        <w:t>1.9踏勘现场</w:t>
      </w:r>
      <w:bookmarkEnd w:id="110"/>
      <w:bookmarkEnd w:id="111"/>
      <w:bookmarkEnd w:id="112"/>
      <w:bookmarkEnd w:id="113"/>
      <w:bookmarkEnd w:id="114"/>
    </w:p>
    <w:p w14:paraId="634C4E8F">
      <w:pPr>
        <w:pStyle w:val="4"/>
        <w:keepNext w:val="0"/>
        <w:keepLines w:val="0"/>
        <w:pageBreakBefore w:val="0"/>
        <w:widowControl/>
        <w:kinsoku w:val="0"/>
        <w:wordWrap/>
        <w:overflowPunct/>
        <w:topLinePunct w:val="0"/>
        <w:autoSpaceDE w:val="0"/>
        <w:autoSpaceDN w:val="0"/>
        <w:bidi w:val="0"/>
        <w:adjustRightInd w:val="0"/>
        <w:snapToGrid w:val="0"/>
        <w:spacing w:before="79" w:line="360" w:lineRule="auto"/>
        <w:ind w:left="28" w:firstLine="256" w:firstLineChars="100"/>
        <w:textAlignment w:val="baseline"/>
        <w:outlineLvl w:val="2"/>
        <w:rPr>
          <w:rFonts w:hint="eastAsia" w:ascii="宋体" w:hAnsi="宋体" w:eastAsia="宋体" w:cs="宋体"/>
          <w:color w:val="auto"/>
          <w:sz w:val="24"/>
          <w:szCs w:val="24"/>
          <w:highlight w:val="none"/>
        </w:rPr>
      </w:pPr>
      <w:bookmarkStart w:id="115" w:name="_Toc27387"/>
      <w:bookmarkStart w:id="116" w:name="_Toc17894"/>
      <w:bookmarkStart w:id="117" w:name="_Toc31660"/>
      <w:bookmarkStart w:id="118" w:name="_Toc23825"/>
      <w:bookmarkStart w:id="119" w:name="_Toc24731"/>
      <w:r>
        <w:rPr>
          <w:rFonts w:hint="eastAsia" w:ascii="宋体" w:hAnsi="宋体" w:eastAsia="宋体" w:cs="宋体"/>
          <w:color w:val="auto"/>
          <w:spacing w:val="8"/>
          <w:sz w:val="24"/>
          <w:szCs w:val="24"/>
          <w:highlight w:val="none"/>
        </w:rPr>
        <w:t>1.9.1第一章“招标公告”或“投标邀请书”规定组织踏</w:t>
      </w:r>
      <w:r>
        <w:rPr>
          <w:rFonts w:hint="eastAsia" w:ascii="宋体" w:hAnsi="宋体" w:eastAsia="宋体" w:cs="宋体"/>
          <w:color w:val="auto"/>
          <w:spacing w:val="7"/>
          <w:sz w:val="24"/>
          <w:szCs w:val="24"/>
          <w:highlight w:val="none"/>
        </w:rPr>
        <w:t>勘现场的，招标人按</w:t>
      </w:r>
      <w:r>
        <w:rPr>
          <w:rFonts w:hint="eastAsia" w:ascii="宋体" w:hAnsi="宋体" w:eastAsia="宋体" w:cs="宋体"/>
          <w:color w:val="auto"/>
          <w:spacing w:val="-6"/>
          <w:sz w:val="24"/>
          <w:szCs w:val="24"/>
          <w:highlight w:val="none"/>
        </w:rPr>
        <w:t>规定的时间、地点组织投标人踏勘项目现场。部分投标人未按时参加踏勘现场的，不影响踏勘现场的正常进行。招标人不得组织单个或部分投标人踏勘项目现场。</w:t>
      </w:r>
      <w:bookmarkEnd w:id="115"/>
      <w:bookmarkEnd w:id="116"/>
      <w:bookmarkEnd w:id="117"/>
      <w:bookmarkEnd w:id="118"/>
      <w:bookmarkEnd w:id="119"/>
    </w:p>
    <w:p w14:paraId="7FD8E65A">
      <w:pPr>
        <w:spacing w:before="161" w:line="228" w:lineRule="auto"/>
        <w:ind w:firstLine="252" w:firstLineChars="10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1.9.2投标人踏勘现场发生的费用自理。</w:t>
      </w:r>
    </w:p>
    <w:p w14:paraId="7C1E3356">
      <w:pPr>
        <w:spacing w:before="161" w:line="228" w:lineRule="auto"/>
        <w:ind w:firstLine="256" w:firstLineChars="10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1.9.3除招标人的原因外，投标人自行负责在踏勘现场中所发生的人员伤亡和财产损失。</w:t>
      </w:r>
    </w:p>
    <w:p w14:paraId="0A61E1EF">
      <w:pPr>
        <w:spacing w:before="162" w:line="303" w:lineRule="auto"/>
        <w:ind w:right="71" w:firstLine="258" w:firstLineChars="10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1.9.4招标人在踏勘现场中介绍的工程场地和相关的周边</w:t>
      </w:r>
      <w:r>
        <w:rPr>
          <w:rFonts w:hint="eastAsia" w:ascii="宋体" w:hAnsi="宋体" w:eastAsia="宋体" w:cs="宋体"/>
          <w:color w:val="auto"/>
          <w:spacing w:val="8"/>
          <w:sz w:val="24"/>
          <w:szCs w:val="24"/>
          <w:highlight w:val="none"/>
        </w:rPr>
        <w:t>环境情况，供投标人在编制投标文</w:t>
      </w:r>
      <w:r>
        <w:rPr>
          <w:rFonts w:hint="eastAsia" w:ascii="宋体" w:hAnsi="宋体" w:eastAsia="宋体" w:cs="宋体"/>
          <w:color w:val="auto"/>
          <w:spacing w:val="9"/>
          <w:sz w:val="24"/>
          <w:szCs w:val="24"/>
          <w:highlight w:val="none"/>
        </w:rPr>
        <w:t>件时参考，招标人不对投标人据此作出的判断和决策负责。</w:t>
      </w:r>
    </w:p>
    <w:p w14:paraId="56F6F779">
      <w:pPr>
        <w:spacing w:before="161" w:line="327" w:lineRule="auto"/>
        <w:ind w:right="71" w:firstLine="258" w:firstLineChars="100"/>
        <w:rPr>
          <w:rFonts w:hint="eastAsia" w:ascii="宋体" w:hAnsi="宋体" w:eastAsia="宋体" w:cs="宋体"/>
          <w:color w:val="auto"/>
          <w:spacing w:val="9"/>
          <w:sz w:val="24"/>
          <w:szCs w:val="24"/>
          <w:highlight w:val="none"/>
        </w:rPr>
      </w:pPr>
      <w:r>
        <w:rPr>
          <w:rFonts w:hint="eastAsia" w:ascii="宋体" w:hAnsi="宋体" w:eastAsia="宋体" w:cs="宋体"/>
          <w:color w:val="auto"/>
          <w:spacing w:val="9"/>
          <w:sz w:val="24"/>
          <w:szCs w:val="24"/>
          <w:highlight w:val="none"/>
        </w:rPr>
        <w:t>1.9.5招标人提供的本合同工程的水文、地质、气象和料</w:t>
      </w:r>
      <w:r>
        <w:rPr>
          <w:rFonts w:hint="eastAsia" w:ascii="宋体" w:hAnsi="宋体" w:eastAsia="宋体" w:cs="宋体"/>
          <w:color w:val="auto"/>
          <w:spacing w:val="8"/>
          <w:sz w:val="24"/>
          <w:szCs w:val="24"/>
          <w:highlight w:val="none"/>
        </w:rPr>
        <w:t>场分布、取土场、弃土场位置等参</w:t>
      </w:r>
      <w:r>
        <w:rPr>
          <w:rFonts w:hint="eastAsia" w:ascii="宋体" w:hAnsi="宋体" w:eastAsia="宋体" w:cs="宋体"/>
          <w:color w:val="auto"/>
          <w:spacing w:val="10"/>
          <w:sz w:val="24"/>
          <w:szCs w:val="24"/>
          <w:highlight w:val="none"/>
        </w:rPr>
        <w:t>考资料，并不构成合同文件的组成部分，投标人应对自己就上述资料</w:t>
      </w:r>
      <w:r>
        <w:rPr>
          <w:rFonts w:hint="eastAsia" w:ascii="宋体" w:hAnsi="宋体" w:eastAsia="宋体" w:cs="宋体"/>
          <w:color w:val="auto"/>
          <w:spacing w:val="9"/>
          <w:sz w:val="24"/>
          <w:szCs w:val="24"/>
          <w:highlight w:val="none"/>
        </w:rPr>
        <w:t>的解释、推论和应用负责，招标人不对投标人据此作出的判断和决策承担任何责任。</w:t>
      </w:r>
    </w:p>
    <w:p w14:paraId="6791602F">
      <w:pPr>
        <w:pStyle w:val="4"/>
        <w:spacing w:before="78" w:line="222" w:lineRule="auto"/>
        <w:ind w:left="30"/>
        <w:outlineLvl w:val="2"/>
        <w:rPr>
          <w:rFonts w:hint="eastAsia" w:ascii="宋体" w:hAnsi="宋体" w:eastAsia="宋体" w:cs="宋体"/>
          <w:color w:val="auto"/>
          <w:sz w:val="24"/>
          <w:szCs w:val="24"/>
          <w:highlight w:val="none"/>
        </w:rPr>
      </w:pPr>
      <w:bookmarkStart w:id="120" w:name="_Toc1991"/>
      <w:bookmarkStart w:id="121" w:name="_Toc24109"/>
      <w:bookmarkStart w:id="122" w:name="_Toc29971"/>
      <w:bookmarkStart w:id="123" w:name="_Toc18357"/>
      <w:bookmarkStart w:id="124" w:name="_Toc15420"/>
      <w:r>
        <w:rPr>
          <w:rFonts w:hint="eastAsia" w:ascii="宋体" w:hAnsi="宋体" w:eastAsia="宋体" w:cs="宋体"/>
          <w:b/>
          <w:bCs/>
          <w:color w:val="auto"/>
          <w:spacing w:val="-4"/>
          <w:sz w:val="24"/>
          <w:szCs w:val="24"/>
          <w:highlight w:val="none"/>
        </w:rPr>
        <w:t>1.10投标预备会</w:t>
      </w:r>
      <w:bookmarkEnd w:id="120"/>
      <w:bookmarkEnd w:id="121"/>
      <w:bookmarkEnd w:id="122"/>
      <w:bookmarkEnd w:id="123"/>
      <w:bookmarkEnd w:id="124"/>
    </w:p>
    <w:p w14:paraId="1337F713">
      <w:pPr>
        <w:keepNext w:val="0"/>
        <w:keepLines w:val="0"/>
        <w:pageBreakBefore w:val="0"/>
        <w:widowControl/>
        <w:kinsoku w:val="0"/>
        <w:wordWrap/>
        <w:overflowPunct/>
        <w:topLinePunct w:val="0"/>
        <w:autoSpaceDE w:val="0"/>
        <w:autoSpaceDN w:val="0"/>
        <w:bidi w:val="0"/>
        <w:adjustRightInd w:val="0"/>
        <w:snapToGrid w:val="0"/>
        <w:spacing w:before="183" w:line="360" w:lineRule="auto"/>
        <w:ind w:firstLine="50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1.10.1第一章“招标公告”或“投标邀请书”规定召开投标预备会的，招标</w:t>
      </w:r>
      <w:r>
        <w:rPr>
          <w:rFonts w:hint="eastAsia" w:ascii="宋体" w:hAnsi="宋体" w:eastAsia="宋体" w:cs="宋体"/>
          <w:color w:val="auto"/>
          <w:spacing w:val="4"/>
          <w:sz w:val="24"/>
          <w:szCs w:val="24"/>
          <w:highlight w:val="none"/>
        </w:rPr>
        <w:t>人按规定的时间</w:t>
      </w:r>
      <w:r>
        <w:rPr>
          <w:rFonts w:hint="eastAsia" w:ascii="宋体" w:hAnsi="宋体" w:eastAsia="宋体" w:cs="宋体"/>
          <w:color w:val="auto"/>
          <w:spacing w:val="9"/>
          <w:sz w:val="24"/>
          <w:szCs w:val="24"/>
          <w:highlight w:val="none"/>
        </w:rPr>
        <w:t>和地点召开投标预备会，澄清投标人提出的问题。</w:t>
      </w:r>
    </w:p>
    <w:p w14:paraId="63D65EF8">
      <w:pPr>
        <w:spacing w:before="161" w:line="303" w:lineRule="auto"/>
        <w:ind w:right="54" w:firstLine="504"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1.10.2投标人应按投标人须知前附表规定的时间和形式将提出的问题送达招标人，以便招标</w:t>
      </w:r>
      <w:r>
        <w:rPr>
          <w:rFonts w:hint="eastAsia" w:ascii="宋体" w:hAnsi="宋体" w:eastAsia="宋体" w:cs="宋体"/>
          <w:color w:val="auto"/>
          <w:spacing w:val="7"/>
          <w:sz w:val="24"/>
          <w:szCs w:val="24"/>
          <w:highlight w:val="none"/>
        </w:rPr>
        <w:t>人在会议期间澄清。</w:t>
      </w:r>
    </w:p>
    <w:p w14:paraId="2F0E1671">
      <w:pPr>
        <w:spacing w:before="162" w:line="302" w:lineRule="auto"/>
        <w:ind w:right="54" w:firstLine="512" w:firstLineChars="200"/>
        <w:rPr>
          <w:rFonts w:hint="eastAsia" w:ascii="宋体" w:hAnsi="宋体" w:eastAsia="宋体" w:cs="宋体"/>
          <w:color w:val="auto"/>
          <w:spacing w:val="9"/>
          <w:sz w:val="24"/>
          <w:szCs w:val="24"/>
          <w:highlight w:val="none"/>
        </w:rPr>
      </w:pPr>
      <w:r>
        <w:rPr>
          <w:rFonts w:hint="eastAsia" w:ascii="宋体" w:hAnsi="宋体" w:eastAsia="宋体" w:cs="宋体"/>
          <w:color w:val="auto"/>
          <w:spacing w:val="8"/>
          <w:sz w:val="24"/>
          <w:szCs w:val="24"/>
          <w:highlight w:val="none"/>
        </w:rPr>
        <w:t>1.10.3投标预备会后，招标人将对投标人所提问题的澄清，以本章第2.2款</w:t>
      </w:r>
      <w:r>
        <w:rPr>
          <w:rFonts w:hint="eastAsia" w:ascii="宋体" w:hAnsi="宋体" w:eastAsia="宋体" w:cs="宋体"/>
          <w:color w:val="auto"/>
          <w:spacing w:val="-6"/>
          <w:sz w:val="24"/>
          <w:szCs w:val="24"/>
          <w:highlight w:val="none"/>
        </w:rPr>
        <w:t>规定的形式通知所有购买招标文件的投标人。该澄清内容为招标文件的组成部分。</w:t>
      </w:r>
    </w:p>
    <w:p w14:paraId="6A5DEB15">
      <w:pPr>
        <w:pStyle w:val="4"/>
        <w:spacing w:before="78" w:line="222" w:lineRule="auto"/>
        <w:ind w:left="30"/>
        <w:outlineLvl w:val="2"/>
        <w:rPr>
          <w:rFonts w:hint="eastAsia" w:ascii="宋体" w:hAnsi="宋体" w:eastAsia="宋体" w:cs="宋体"/>
          <w:color w:val="auto"/>
          <w:sz w:val="24"/>
          <w:szCs w:val="24"/>
          <w:highlight w:val="none"/>
        </w:rPr>
      </w:pPr>
      <w:bookmarkStart w:id="125" w:name="_Toc30819"/>
      <w:bookmarkStart w:id="126" w:name="_Toc7444"/>
      <w:bookmarkStart w:id="127" w:name="_Toc7900"/>
      <w:bookmarkStart w:id="128" w:name="_Toc32345"/>
      <w:bookmarkStart w:id="129" w:name="_Toc852"/>
      <w:r>
        <w:rPr>
          <w:rFonts w:hint="eastAsia" w:ascii="宋体" w:hAnsi="宋体" w:eastAsia="宋体" w:cs="宋体"/>
          <w:b/>
          <w:bCs/>
          <w:color w:val="auto"/>
          <w:spacing w:val="-7"/>
          <w:sz w:val="24"/>
          <w:szCs w:val="24"/>
          <w:highlight w:val="none"/>
        </w:rPr>
        <w:t>1.11分包</w:t>
      </w:r>
      <w:bookmarkEnd w:id="125"/>
      <w:bookmarkEnd w:id="126"/>
      <w:bookmarkEnd w:id="127"/>
      <w:bookmarkEnd w:id="128"/>
      <w:bookmarkEnd w:id="129"/>
    </w:p>
    <w:p w14:paraId="33A693D5">
      <w:pPr>
        <w:spacing w:before="181" w:line="378" w:lineRule="auto"/>
        <w:ind w:left="20" w:right="54" w:firstLine="434"/>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1.11.1投标人拟在中标后将中标项目的部分非主体、非关键性工作进行分包的，应符合以下</w:t>
      </w:r>
      <w:r>
        <w:rPr>
          <w:rFonts w:hint="eastAsia" w:ascii="宋体" w:hAnsi="宋体" w:eastAsia="宋体" w:cs="宋体"/>
          <w:color w:val="auto"/>
          <w:spacing w:val="2"/>
          <w:sz w:val="24"/>
          <w:szCs w:val="24"/>
          <w:highlight w:val="none"/>
        </w:rPr>
        <w:t>规定：</w:t>
      </w:r>
    </w:p>
    <w:p w14:paraId="6F68D72D">
      <w:pPr>
        <w:keepNext w:val="0"/>
        <w:keepLines w:val="0"/>
        <w:pageBreakBefore w:val="0"/>
        <w:widowControl/>
        <w:kinsoku w:val="0"/>
        <w:wordWrap/>
        <w:overflowPunct/>
        <w:topLinePunct w:val="0"/>
        <w:autoSpaceDE w:val="0"/>
        <w:autoSpaceDN w:val="0"/>
        <w:bidi w:val="0"/>
        <w:adjustRightInd w:val="0"/>
        <w:snapToGrid w:val="0"/>
        <w:spacing w:before="1" w:line="360" w:lineRule="exact"/>
        <w:ind w:left="22" w:right="54" w:firstLine="42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（1）分包内容要求：允许分包的工程范围仅限于非关键性工程或适合专</w:t>
      </w:r>
      <w:r>
        <w:rPr>
          <w:rFonts w:hint="eastAsia" w:ascii="宋体" w:hAnsi="宋体" w:eastAsia="宋体" w:cs="宋体"/>
          <w:color w:val="auto"/>
          <w:spacing w:val="6"/>
          <w:sz w:val="24"/>
          <w:szCs w:val="24"/>
          <w:highlight w:val="none"/>
        </w:rPr>
        <w:t>业化队伍施工的专项</w:t>
      </w:r>
      <w:r>
        <w:rPr>
          <w:rFonts w:hint="eastAsia" w:ascii="宋体" w:hAnsi="宋体" w:eastAsia="宋体" w:cs="宋体"/>
          <w:color w:val="auto"/>
          <w:spacing w:val="9"/>
          <w:sz w:val="24"/>
          <w:szCs w:val="24"/>
          <w:highlight w:val="none"/>
        </w:rPr>
        <w:t>工程。招标人允许分包或不允许分包的专项工程（如有）应在投标人须知前附表中载明。</w:t>
      </w:r>
    </w:p>
    <w:p w14:paraId="40769EC5">
      <w:pPr>
        <w:keepNext w:val="0"/>
        <w:keepLines w:val="0"/>
        <w:pageBreakBefore w:val="0"/>
        <w:widowControl/>
        <w:kinsoku w:val="0"/>
        <w:wordWrap/>
        <w:overflowPunct/>
        <w:topLinePunct w:val="0"/>
        <w:autoSpaceDE w:val="0"/>
        <w:autoSpaceDN w:val="0"/>
        <w:bidi w:val="0"/>
        <w:adjustRightInd w:val="0"/>
        <w:snapToGrid w:val="0"/>
        <w:spacing w:before="162" w:line="360" w:lineRule="exact"/>
        <w:ind w:left="19" w:firstLine="43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（2）接受分包的第三人资格要求：分包人的资格能力应与其分包工程的标准和规模相适应，</w:t>
      </w:r>
      <w:r>
        <w:rPr>
          <w:rFonts w:hint="eastAsia" w:ascii="宋体" w:hAnsi="宋体" w:eastAsia="宋体" w:cs="宋体"/>
          <w:color w:val="auto"/>
          <w:spacing w:val="9"/>
          <w:sz w:val="24"/>
          <w:szCs w:val="24"/>
          <w:highlight w:val="none"/>
        </w:rPr>
        <w:t>且具备投标人须知前附表中规定的资格条件。</w:t>
      </w:r>
    </w:p>
    <w:p w14:paraId="3847BA2B">
      <w:pPr>
        <w:keepNext w:val="0"/>
        <w:keepLines w:val="0"/>
        <w:pageBreakBefore w:val="0"/>
        <w:widowControl/>
        <w:kinsoku w:val="0"/>
        <w:wordWrap/>
        <w:overflowPunct/>
        <w:topLinePunct w:val="0"/>
        <w:autoSpaceDE w:val="0"/>
        <w:autoSpaceDN w:val="0"/>
        <w:bidi w:val="0"/>
        <w:adjustRightInd w:val="0"/>
        <w:snapToGrid w:val="0"/>
        <w:spacing w:before="162" w:line="360" w:lineRule="exact"/>
        <w:ind w:left="20" w:right="54" w:firstLine="42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（3）其他要求：投标人如有分包计划，应按第九章“投标文件格式”的要求填写“拟分包项目情况表”，明确拟分包的工程及规模，且投标人中标后的分包应满足合同条款第4.3款的相关</w:t>
      </w:r>
      <w:r>
        <w:rPr>
          <w:rFonts w:hint="eastAsia" w:ascii="宋体" w:hAnsi="宋体" w:eastAsia="宋体" w:cs="宋体"/>
          <w:color w:val="auto"/>
          <w:spacing w:val="2"/>
          <w:sz w:val="24"/>
          <w:szCs w:val="24"/>
          <w:highlight w:val="none"/>
        </w:rPr>
        <w:t>要求。</w:t>
      </w:r>
    </w:p>
    <w:p w14:paraId="0F60BF5A">
      <w:pPr>
        <w:pStyle w:val="2"/>
        <w:keepNext w:val="0"/>
        <w:keepLines w:val="0"/>
        <w:pageBreakBefore w:val="0"/>
        <w:widowControl/>
        <w:kinsoku w:val="0"/>
        <w:wordWrap/>
        <w:overflowPunct/>
        <w:topLinePunct w:val="0"/>
        <w:autoSpaceDE w:val="0"/>
        <w:autoSpaceDN w:val="0"/>
        <w:bidi w:val="0"/>
        <w:adjustRightInd w:val="0"/>
        <w:snapToGrid w:val="0"/>
        <w:spacing w:line="360" w:lineRule="exact"/>
        <w:ind w:firstLine="504" w:firstLineChars="200"/>
        <w:textAlignment w:val="baseline"/>
        <w:rPr>
          <w:rFonts w:hint="eastAsia" w:ascii="宋体" w:hAnsi="宋体" w:eastAsia="宋体" w:cs="宋体"/>
          <w:color w:val="auto"/>
          <w:spacing w:val="8"/>
          <w:sz w:val="24"/>
          <w:szCs w:val="24"/>
          <w:highlight w:val="none"/>
        </w:rPr>
      </w:pPr>
      <w:r>
        <w:rPr>
          <w:rFonts w:hint="eastAsia" w:ascii="宋体" w:hAnsi="宋体" w:eastAsia="宋体" w:cs="宋体"/>
          <w:color w:val="auto"/>
          <w:spacing w:val="6"/>
          <w:sz w:val="24"/>
          <w:szCs w:val="24"/>
          <w:highlight w:val="none"/>
        </w:rPr>
        <w:t>1.11.2中标人不得向他人转让中标项目，接受分包</w:t>
      </w:r>
      <w:r>
        <w:rPr>
          <w:rFonts w:hint="eastAsia" w:ascii="宋体" w:hAnsi="宋体" w:eastAsia="宋体" w:cs="宋体"/>
          <w:color w:val="auto"/>
          <w:spacing w:val="5"/>
          <w:sz w:val="24"/>
          <w:szCs w:val="24"/>
          <w:highlight w:val="none"/>
        </w:rPr>
        <w:t>的人不得再次分包。中标人应就分包项目</w:t>
      </w:r>
      <w:r>
        <w:rPr>
          <w:rFonts w:hint="eastAsia" w:ascii="宋体" w:hAnsi="宋体" w:eastAsia="宋体" w:cs="宋体"/>
          <w:color w:val="auto"/>
          <w:spacing w:val="8"/>
          <w:sz w:val="24"/>
          <w:szCs w:val="24"/>
          <w:highlight w:val="none"/>
        </w:rPr>
        <w:t>向招标人负责，接受分包的人就分包项目承担连带责任。</w:t>
      </w:r>
    </w:p>
    <w:p w14:paraId="0F5DC60D">
      <w:pPr>
        <w:pStyle w:val="4"/>
        <w:keepNext w:val="0"/>
        <w:keepLines w:val="0"/>
        <w:pageBreakBefore w:val="0"/>
        <w:widowControl/>
        <w:kinsoku w:val="0"/>
        <w:wordWrap/>
        <w:overflowPunct/>
        <w:topLinePunct w:val="0"/>
        <w:autoSpaceDE w:val="0"/>
        <w:autoSpaceDN w:val="0"/>
        <w:bidi w:val="0"/>
        <w:adjustRightInd w:val="0"/>
        <w:snapToGrid w:val="0"/>
        <w:spacing w:before="245" w:line="360" w:lineRule="exact"/>
        <w:ind w:left="30"/>
        <w:textAlignment w:val="baseline"/>
        <w:outlineLvl w:val="2"/>
        <w:rPr>
          <w:rFonts w:hint="eastAsia" w:ascii="宋体" w:hAnsi="宋体" w:eastAsia="宋体" w:cs="宋体"/>
          <w:color w:val="auto"/>
          <w:sz w:val="24"/>
          <w:szCs w:val="24"/>
          <w:highlight w:val="none"/>
        </w:rPr>
      </w:pPr>
      <w:bookmarkStart w:id="130" w:name="_Toc4160"/>
      <w:bookmarkStart w:id="131" w:name="_Toc4343"/>
      <w:bookmarkStart w:id="132" w:name="_Toc25310"/>
      <w:bookmarkStart w:id="133" w:name="_Toc26727"/>
      <w:bookmarkStart w:id="134" w:name="_Toc13511"/>
      <w:r>
        <w:rPr>
          <w:rFonts w:hint="eastAsia" w:ascii="宋体" w:hAnsi="宋体" w:eastAsia="宋体" w:cs="宋体"/>
          <w:b/>
          <w:bCs/>
          <w:color w:val="auto"/>
          <w:spacing w:val="-4"/>
          <w:sz w:val="24"/>
          <w:szCs w:val="24"/>
          <w:highlight w:val="none"/>
        </w:rPr>
        <w:t>1.12响应和偏差</w:t>
      </w:r>
      <w:bookmarkEnd w:id="130"/>
      <w:bookmarkEnd w:id="131"/>
      <w:bookmarkEnd w:id="132"/>
      <w:bookmarkEnd w:id="133"/>
      <w:bookmarkEnd w:id="134"/>
    </w:p>
    <w:p w14:paraId="1C6A26CC">
      <w:pPr>
        <w:keepNext w:val="0"/>
        <w:keepLines w:val="0"/>
        <w:pageBreakBefore w:val="0"/>
        <w:widowControl/>
        <w:kinsoku w:val="0"/>
        <w:wordWrap/>
        <w:overflowPunct/>
        <w:topLinePunct w:val="0"/>
        <w:autoSpaceDE w:val="0"/>
        <w:autoSpaceDN w:val="0"/>
        <w:bidi w:val="0"/>
        <w:adjustRightInd w:val="0"/>
        <w:snapToGrid w:val="0"/>
        <w:spacing w:before="181" w:line="360" w:lineRule="exact"/>
        <w:ind w:left="19" w:right="54" w:firstLine="435"/>
        <w:textAlignment w:val="baseline"/>
        <w:rPr>
          <w:rFonts w:hint="eastAsia" w:ascii="宋体" w:hAnsi="宋体" w:eastAsia="宋体" w:cs="宋体"/>
          <w:color w:val="auto"/>
          <w:spacing w:val="3"/>
          <w:sz w:val="24"/>
          <w:szCs w:val="24"/>
          <w:highlight w:val="none"/>
        </w:rPr>
      </w:pPr>
      <w:r>
        <w:rPr>
          <w:rFonts w:hint="eastAsia" w:ascii="宋体" w:hAnsi="宋体" w:eastAsia="宋体" w:cs="宋体"/>
          <w:color w:val="auto"/>
          <w:spacing w:val="6"/>
          <w:sz w:val="24"/>
          <w:szCs w:val="24"/>
          <w:highlight w:val="none"/>
        </w:rPr>
        <w:t>1.12.1投标文件偏离招标文件某些要求，视为投标文件存在偏差。偏差包括重大偏差和细微</w:t>
      </w:r>
      <w:r>
        <w:rPr>
          <w:rFonts w:hint="eastAsia" w:ascii="宋体" w:hAnsi="宋体" w:eastAsia="宋体" w:cs="宋体"/>
          <w:color w:val="auto"/>
          <w:spacing w:val="3"/>
          <w:sz w:val="24"/>
          <w:szCs w:val="24"/>
          <w:highlight w:val="none"/>
        </w:rPr>
        <w:t>偏差。</w:t>
      </w:r>
    </w:p>
    <w:p w14:paraId="7BEB0AF3">
      <w:pPr>
        <w:pStyle w:val="2"/>
        <w:keepNext w:val="0"/>
        <w:keepLines w:val="0"/>
        <w:pageBreakBefore w:val="0"/>
        <w:widowControl/>
        <w:kinsoku w:val="0"/>
        <w:wordWrap/>
        <w:overflowPunct/>
        <w:topLinePunct w:val="0"/>
        <w:autoSpaceDE w:val="0"/>
        <w:autoSpaceDN w:val="0"/>
        <w:bidi w:val="0"/>
        <w:adjustRightInd w:val="0"/>
        <w:snapToGrid w:val="0"/>
        <w:spacing w:line="36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1.12.2投标文件应对招标文件的实质性要求和条件作出满足性或更有利于招标人的响应，否则，视为投标文件存在重大偏差，投标人的投标将被否决。投标文件存在第三章“评标办法”中所列任一否决投标情形的，均属于存在重大偏差。</w:t>
      </w:r>
    </w:p>
    <w:p w14:paraId="224849B4">
      <w:pPr>
        <w:pStyle w:val="4"/>
        <w:spacing w:line="272" w:lineRule="auto"/>
        <w:rPr>
          <w:rFonts w:hint="eastAsia" w:ascii="宋体" w:hAnsi="宋体" w:eastAsia="宋体" w:cs="宋体"/>
          <w:color w:val="auto"/>
          <w:sz w:val="24"/>
          <w:szCs w:val="24"/>
          <w:highlight w:val="none"/>
        </w:rPr>
      </w:pPr>
    </w:p>
    <w:p w14:paraId="55617880">
      <w:pPr>
        <w:spacing w:line="30" w:lineRule="exact"/>
        <w:ind w:firstLine="13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drawing>
          <wp:inline distT="0" distB="0" distL="0" distR="0">
            <wp:extent cx="1390650" cy="19050"/>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312"/>
                    <a:stretch>
                      <a:fillRect/>
                    </a:stretch>
                  </pic:blipFill>
                  <pic:spPr>
                    <a:xfrm>
                      <a:off x="0" y="0"/>
                      <a:ext cx="1390726" cy="19050"/>
                    </a:xfrm>
                    <a:prstGeom prst="rect">
                      <a:avLst/>
                    </a:prstGeom>
                  </pic:spPr>
                </pic:pic>
              </a:graphicData>
            </a:graphic>
          </wp:inline>
        </w:drawing>
      </w:r>
    </w:p>
    <w:p w14:paraId="437C1AB0">
      <w:pPr>
        <w:pStyle w:val="4"/>
        <w:spacing w:line="334" w:lineRule="auto"/>
        <w:rPr>
          <w:rFonts w:hint="eastAsia" w:ascii="宋体" w:hAnsi="宋体" w:eastAsia="宋体" w:cs="宋体"/>
          <w:color w:val="auto"/>
          <w:sz w:val="24"/>
          <w:szCs w:val="24"/>
          <w:highlight w:val="none"/>
        </w:rPr>
      </w:pPr>
    </w:p>
    <w:p w14:paraId="1A6900DF">
      <w:pPr>
        <w:spacing w:before="66" w:line="378" w:lineRule="auto"/>
        <w:ind w:left="24" w:right="69" w:firstLine="10"/>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1本项规定仅适用于根据《关于发布公路工程从业企业资质名录的通知》（厅公路字〔2011〕114</w:t>
      </w:r>
      <w:r>
        <w:rPr>
          <w:rFonts w:hint="eastAsia" w:ascii="宋体" w:hAnsi="宋体" w:eastAsia="宋体" w:cs="宋体"/>
          <w:color w:val="auto"/>
          <w:spacing w:val="9"/>
          <w:sz w:val="20"/>
          <w:szCs w:val="20"/>
          <w:highlight w:val="none"/>
        </w:rPr>
        <w:t>号）要求，招标人应通过名录对投标人资质条件进行审核的公路施工企业。</w:t>
      </w:r>
    </w:p>
    <w:p w14:paraId="5E4B0D67">
      <w:pPr>
        <w:spacing w:before="163" w:line="228" w:lineRule="auto"/>
        <w:ind w:left="455"/>
        <w:rPr>
          <w:rFonts w:hint="eastAsia" w:ascii="宋体" w:hAnsi="宋体" w:eastAsia="宋体" w:cs="宋体"/>
          <w:color w:val="auto"/>
          <w:spacing w:val="7"/>
          <w:sz w:val="24"/>
          <w:szCs w:val="24"/>
          <w:highlight w:val="none"/>
        </w:rPr>
      </w:pPr>
    </w:p>
    <w:p w14:paraId="6FC5A047">
      <w:pPr>
        <w:spacing w:before="163" w:line="228" w:lineRule="auto"/>
        <w:ind w:left="455"/>
        <w:rPr>
          <w:rFonts w:hint="eastAsia" w:ascii="宋体" w:hAnsi="宋体" w:eastAsia="宋体" w:cs="宋体"/>
          <w:color w:val="auto"/>
          <w:spacing w:val="7"/>
          <w:sz w:val="24"/>
          <w:szCs w:val="24"/>
          <w:highlight w:val="none"/>
        </w:rPr>
      </w:pPr>
    </w:p>
    <w:p w14:paraId="57116756">
      <w:pPr>
        <w:spacing w:before="163" w:line="228" w:lineRule="auto"/>
        <w:ind w:left="455"/>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1.12.3投标文件中的下列偏差为细微</w:t>
      </w:r>
      <w:r>
        <w:rPr>
          <w:rFonts w:hint="eastAsia" w:ascii="宋体" w:hAnsi="宋体" w:eastAsia="宋体" w:cs="宋体"/>
          <w:color w:val="auto"/>
          <w:spacing w:val="6"/>
          <w:sz w:val="24"/>
          <w:szCs w:val="24"/>
          <w:highlight w:val="none"/>
        </w:rPr>
        <w:t>偏差：</w:t>
      </w:r>
    </w:p>
    <w:p w14:paraId="462897C3">
      <w:pPr>
        <w:spacing w:before="163" w:line="326" w:lineRule="auto"/>
        <w:ind w:left="20" w:right="54" w:firstLine="42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（1）在按照第三章“评标办法”的规定对投标价进行算术性错误修正及其他错误修正后，最</w:t>
      </w:r>
      <w:r>
        <w:rPr>
          <w:rFonts w:hint="eastAsia" w:ascii="宋体" w:hAnsi="宋体" w:eastAsia="宋体" w:cs="宋体"/>
          <w:color w:val="auto"/>
          <w:spacing w:val="9"/>
          <w:sz w:val="24"/>
          <w:szCs w:val="24"/>
          <w:highlight w:val="none"/>
        </w:rPr>
        <w:t>终投标报价未超过最高投标限价（如有）的情况下，出现第三章“评标办法”规定的算术性错误</w:t>
      </w:r>
      <w:r>
        <w:rPr>
          <w:rFonts w:hint="eastAsia" w:ascii="宋体" w:hAnsi="宋体" w:eastAsia="宋体" w:cs="宋体"/>
          <w:color w:val="auto"/>
          <w:spacing w:val="8"/>
          <w:sz w:val="24"/>
          <w:szCs w:val="24"/>
          <w:highlight w:val="none"/>
        </w:rPr>
        <w:t>和投标报价的其他错误；</w:t>
      </w:r>
    </w:p>
    <w:p w14:paraId="6F859AF0">
      <w:pPr>
        <w:spacing w:before="165" w:line="227" w:lineRule="auto"/>
        <w:ind w:left="44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（2）施工组织设计（含关键工程技术方案）和项目管理机构</w:t>
      </w:r>
      <w:r>
        <w:rPr>
          <w:rFonts w:hint="eastAsia" w:ascii="宋体" w:hAnsi="宋体" w:eastAsia="宋体" w:cs="宋体"/>
          <w:color w:val="auto"/>
          <w:spacing w:val="8"/>
          <w:sz w:val="24"/>
          <w:szCs w:val="24"/>
          <w:highlight w:val="none"/>
        </w:rPr>
        <w:t>不够完善；</w:t>
      </w:r>
    </w:p>
    <w:p w14:paraId="7AA6CFAD">
      <w:pPr>
        <w:spacing w:before="162" w:line="227" w:lineRule="auto"/>
        <w:ind w:left="455"/>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1.12.4评标委员会对投标文件中的细微</w:t>
      </w:r>
      <w:r>
        <w:rPr>
          <w:rFonts w:hint="eastAsia" w:ascii="宋体" w:hAnsi="宋体" w:eastAsia="宋体" w:cs="宋体"/>
          <w:color w:val="auto"/>
          <w:spacing w:val="7"/>
          <w:sz w:val="24"/>
          <w:szCs w:val="24"/>
          <w:highlight w:val="none"/>
        </w:rPr>
        <w:t>偏差按如下规定处理：</w:t>
      </w:r>
    </w:p>
    <w:p w14:paraId="637AF99E">
      <w:pPr>
        <w:numPr>
          <w:ilvl w:val="0"/>
          <w:numId w:val="3"/>
        </w:numPr>
        <w:spacing w:before="163" w:line="302" w:lineRule="auto"/>
        <w:ind w:left="19" w:right="54" w:firstLine="430"/>
        <w:rPr>
          <w:rFonts w:hint="eastAsia" w:ascii="宋体" w:hAnsi="宋体" w:eastAsia="宋体" w:cs="宋体"/>
          <w:color w:val="auto"/>
          <w:spacing w:val="8"/>
          <w:sz w:val="24"/>
          <w:szCs w:val="24"/>
          <w:highlight w:val="none"/>
        </w:rPr>
      </w:pPr>
      <w:r>
        <w:rPr>
          <w:rFonts w:hint="eastAsia" w:ascii="宋体" w:hAnsi="宋体" w:eastAsia="宋体" w:cs="宋体"/>
          <w:color w:val="auto"/>
          <w:spacing w:val="6"/>
          <w:sz w:val="24"/>
          <w:szCs w:val="24"/>
          <w:highlight w:val="none"/>
        </w:rPr>
        <w:t>对于本章第1.12.3项（1）目所述的细微偏差，</w:t>
      </w:r>
      <w:r>
        <w:rPr>
          <w:rFonts w:hint="eastAsia" w:ascii="宋体" w:hAnsi="宋体" w:eastAsia="宋体" w:cs="宋体"/>
          <w:color w:val="auto"/>
          <w:spacing w:val="-6"/>
          <w:sz w:val="24"/>
          <w:szCs w:val="24"/>
          <w:highlight w:val="none"/>
        </w:rPr>
        <w:t>按照第三章“评标办法”</w:t>
      </w:r>
      <w:r>
        <w:rPr>
          <w:rFonts w:hint="eastAsia" w:ascii="宋体" w:hAnsi="宋体" w:eastAsia="宋体" w:cs="宋体"/>
          <w:color w:val="auto"/>
          <w:spacing w:val="5"/>
          <w:sz w:val="24"/>
          <w:szCs w:val="24"/>
          <w:highlight w:val="none"/>
        </w:rPr>
        <w:t>的规定予以</w:t>
      </w:r>
      <w:r>
        <w:rPr>
          <w:rFonts w:hint="eastAsia" w:ascii="宋体" w:hAnsi="宋体" w:eastAsia="宋体" w:cs="宋体"/>
          <w:color w:val="auto"/>
          <w:spacing w:val="8"/>
          <w:sz w:val="24"/>
          <w:szCs w:val="24"/>
          <w:highlight w:val="none"/>
        </w:rPr>
        <w:t>修正并要求投标人进行澄清；</w:t>
      </w:r>
    </w:p>
    <w:p w14:paraId="07A2019A">
      <w:pPr>
        <w:numPr>
          <w:ilvl w:val="0"/>
          <w:numId w:val="0"/>
        </w:numPr>
        <w:spacing w:before="163" w:line="302" w:lineRule="auto"/>
        <w:ind w:right="54" w:rightChars="0" w:firstLine="508"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（2）对于本章第1.12.3项（2）目所述的细</w:t>
      </w:r>
      <w:r>
        <w:rPr>
          <w:rFonts w:hint="eastAsia" w:ascii="宋体" w:hAnsi="宋体" w:eastAsia="宋体" w:cs="宋体"/>
          <w:color w:val="auto"/>
          <w:spacing w:val="6"/>
          <w:sz w:val="24"/>
          <w:szCs w:val="24"/>
          <w:highlight w:val="none"/>
        </w:rPr>
        <w:t>微偏差，如果采用合理低价法或经评审的最低</w:t>
      </w:r>
      <w:r>
        <w:rPr>
          <w:rFonts w:hint="eastAsia" w:ascii="宋体" w:hAnsi="宋体" w:eastAsia="宋体" w:cs="宋体"/>
          <w:color w:val="auto"/>
          <w:spacing w:val="10"/>
          <w:sz w:val="24"/>
          <w:szCs w:val="24"/>
          <w:highlight w:val="none"/>
        </w:rPr>
        <w:t>投标价法评标，应要求投标人对细微偏差进</w:t>
      </w:r>
      <w:r>
        <w:rPr>
          <w:rFonts w:hint="eastAsia" w:ascii="宋体" w:hAnsi="宋体" w:eastAsia="宋体" w:cs="宋体"/>
          <w:color w:val="auto"/>
          <w:spacing w:val="9"/>
          <w:sz w:val="24"/>
          <w:szCs w:val="24"/>
          <w:highlight w:val="none"/>
        </w:rPr>
        <w:t>行澄清，只有投标人的澄清文件被评标委员会接受，</w:t>
      </w:r>
      <w:r>
        <w:rPr>
          <w:rFonts w:hint="eastAsia" w:ascii="宋体" w:hAnsi="宋体" w:eastAsia="宋体" w:cs="宋体"/>
          <w:color w:val="auto"/>
          <w:spacing w:val="10"/>
          <w:sz w:val="24"/>
          <w:szCs w:val="24"/>
          <w:highlight w:val="none"/>
        </w:rPr>
        <w:t>投标人才能参加评标价的最终评比。如果采用技术评分最低标</w:t>
      </w:r>
      <w:r>
        <w:rPr>
          <w:rFonts w:hint="eastAsia" w:ascii="宋体" w:hAnsi="宋体" w:eastAsia="宋体" w:cs="宋体"/>
          <w:color w:val="auto"/>
          <w:spacing w:val="9"/>
          <w:sz w:val="24"/>
          <w:szCs w:val="24"/>
          <w:highlight w:val="none"/>
        </w:rPr>
        <w:t>价法或综合评分法评标，可在相关</w:t>
      </w:r>
      <w:r>
        <w:rPr>
          <w:rFonts w:hint="eastAsia" w:ascii="宋体" w:hAnsi="宋体" w:eastAsia="宋体" w:cs="宋体"/>
          <w:color w:val="auto"/>
          <w:spacing w:val="8"/>
          <w:sz w:val="24"/>
          <w:szCs w:val="24"/>
          <w:highlight w:val="none"/>
        </w:rPr>
        <w:t>评分因素的评分中酌情扣分；</w:t>
      </w:r>
    </w:p>
    <w:p w14:paraId="19501D41">
      <w:pPr>
        <w:keepNext w:val="0"/>
        <w:keepLines w:val="0"/>
        <w:pageBreakBefore w:val="0"/>
        <w:widowControl/>
        <w:kinsoku w:val="0"/>
        <w:wordWrap/>
        <w:overflowPunct/>
        <w:topLinePunct w:val="0"/>
        <w:autoSpaceDE w:val="0"/>
        <w:autoSpaceDN w:val="0"/>
        <w:bidi w:val="0"/>
        <w:adjustRightInd w:val="0"/>
        <w:snapToGrid w:val="0"/>
        <w:spacing w:line="360" w:lineRule="auto"/>
        <w:ind w:right="11" w:firstLine="504"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（3）对于本章第1.12.3项（3）目所述的细微偏差，可要求投标人对细微偏差进行澄清。</w:t>
      </w:r>
    </w:p>
    <w:p w14:paraId="1FE6F4A5">
      <w:pPr>
        <w:keepNext w:val="0"/>
        <w:keepLines w:val="0"/>
        <w:pageBreakBefore w:val="0"/>
        <w:widowControl/>
        <w:kinsoku w:val="0"/>
        <w:wordWrap/>
        <w:overflowPunct/>
        <w:topLinePunct w:val="0"/>
        <w:autoSpaceDE w:val="0"/>
        <w:autoSpaceDN w:val="0"/>
        <w:bidi w:val="0"/>
        <w:adjustRightInd w:val="0"/>
        <w:snapToGrid w:val="0"/>
        <w:spacing w:before="162" w:line="360" w:lineRule="auto"/>
        <w:ind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1.12.5投标人应根据招标文件的要求提供施工组织设计等内容以对招标文件作出响应。</w:t>
      </w:r>
    </w:p>
    <w:p w14:paraId="32AD41AD">
      <w:pPr>
        <w:pStyle w:val="4"/>
        <w:spacing w:before="91" w:line="222" w:lineRule="auto"/>
        <w:ind w:left="18"/>
        <w:outlineLvl w:val="1"/>
        <w:rPr>
          <w:rFonts w:hint="eastAsia" w:ascii="宋体" w:hAnsi="宋体" w:eastAsia="宋体" w:cs="宋体"/>
          <w:color w:val="auto"/>
          <w:sz w:val="28"/>
          <w:szCs w:val="28"/>
          <w:highlight w:val="none"/>
        </w:rPr>
      </w:pPr>
      <w:bookmarkStart w:id="135" w:name="_Toc28992"/>
      <w:bookmarkStart w:id="136" w:name="_Toc23963"/>
      <w:bookmarkStart w:id="137" w:name="_Toc30779"/>
      <w:bookmarkStart w:id="138" w:name="_Toc26589"/>
      <w:bookmarkStart w:id="139" w:name="_Toc20632"/>
      <w:r>
        <w:rPr>
          <w:rFonts w:hint="eastAsia" w:ascii="宋体" w:hAnsi="宋体" w:eastAsia="宋体" w:cs="宋体"/>
          <w:b/>
          <w:bCs/>
          <w:color w:val="auto"/>
          <w:spacing w:val="-5"/>
          <w:sz w:val="28"/>
          <w:szCs w:val="28"/>
          <w:highlight w:val="none"/>
        </w:rPr>
        <w:t>2.招标文件</w:t>
      </w:r>
      <w:bookmarkEnd w:id="135"/>
      <w:bookmarkEnd w:id="136"/>
      <w:bookmarkEnd w:id="137"/>
      <w:bookmarkEnd w:id="138"/>
      <w:bookmarkEnd w:id="139"/>
    </w:p>
    <w:p w14:paraId="44CB4C8A">
      <w:pPr>
        <w:pStyle w:val="4"/>
        <w:spacing w:line="428" w:lineRule="auto"/>
        <w:rPr>
          <w:rFonts w:hint="eastAsia" w:ascii="宋体" w:hAnsi="宋体" w:eastAsia="宋体" w:cs="宋体"/>
          <w:color w:val="auto"/>
          <w:highlight w:val="none"/>
        </w:rPr>
      </w:pPr>
    </w:p>
    <w:p w14:paraId="2F501E75">
      <w:pPr>
        <w:pStyle w:val="4"/>
        <w:spacing w:before="78" w:line="222" w:lineRule="auto"/>
        <w:ind w:left="17"/>
        <w:outlineLvl w:val="2"/>
        <w:rPr>
          <w:rFonts w:hint="eastAsia" w:ascii="宋体" w:hAnsi="宋体" w:eastAsia="宋体" w:cs="宋体"/>
          <w:color w:val="auto"/>
          <w:sz w:val="24"/>
          <w:szCs w:val="24"/>
          <w:highlight w:val="none"/>
        </w:rPr>
      </w:pPr>
      <w:bookmarkStart w:id="140" w:name="_Toc25830"/>
      <w:bookmarkStart w:id="141" w:name="_Toc20694"/>
      <w:bookmarkStart w:id="142" w:name="_Toc23337"/>
      <w:bookmarkStart w:id="143" w:name="_Toc15606"/>
      <w:bookmarkStart w:id="144" w:name="_Toc4226"/>
      <w:r>
        <w:rPr>
          <w:rFonts w:hint="eastAsia" w:ascii="宋体" w:hAnsi="宋体" w:eastAsia="宋体" w:cs="宋体"/>
          <w:b/>
          <w:bCs/>
          <w:color w:val="auto"/>
          <w:spacing w:val="-3"/>
          <w:sz w:val="24"/>
          <w:szCs w:val="24"/>
          <w:highlight w:val="none"/>
        </w:rPr>
        <w:t>2.1招标文件的组成</w:t>
      </w:r>
      <w:bookmarkEnd w:id="140"/>
      <w:bookmarkEnd w:id="141"/>
      <w:bookmarkEnd w:id="142"/>
      <w:bookmarkEnd w:id="143"/>
      <w:bookmarkEnd w:id="144"/>
    </w:p>
    <w:p w14:paraId="06EF94EB">
      <w:pPr>
        <w:spacing w:before="182" w:line="227" w:lineRule="auto"/>
        <w:ind w:left="44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本招标文件包括：</w:t>
      </w:r>
    </w:p>
    <w:p w14:paraId="63014DF4">
      <w:pPr>
        <w:spacing w:before="162" w:line="226" w:lineRule="auto"/>
        <w:ind w:left="44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（1）招标公告（或投标邀请书</w:t>
      </w:r>
      <w:r>
        <w:rPr>
          <w:rFonts w:hint="eastAsia" w:ascii="宋体" w:hAnsi="宋体" w:eastAsia="宋体" w:cs="宋体"/>
          <w:color w:val="auto"/>
          <w:sz w:val="24"/>
          <w:szCs w:val="24"/>
          <w:highlight w:val="none"/>
        </w:rPr>
        <w:t>）；</w:t>
      </w:r>
    </w:p>
    <w:p w14:paraId="4703442F">
      <w:pPr>
        <w:spacing w:before="166" w:line="228" w:lineRule="auto"/>
        <w:ind w:left="449"/>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（2）投标人须知；</w:t>
      </w:r>
    </w:p>
    <w:p w14:paraId="2517F688">
      <w:pPr>
        <w:spacing w:before="160" w:line="228" w:lineRule="auto"/>
        <w:ind w:left="449"/>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（3）评标办法；</w:t>
      </w:r>
    </w:p>
    <w:p w14:paraId="513FAE5A">
      <w:pPr>
        <w:spacing w:before="161" w:line="228" w:lineRule="auto"/>
        <w:ind w:left="44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（4）合同条款及格式；</w:t>
      </w:r>
    </w:p>
    <w:p w14:paraId="46684776">
      <w:pPr>
        <w:spacing w:before="162" w:line="228" w:lineRule="auto"/>
        <w:ind w:left="449"/>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（5）工程量清单；</w:t>
      </w:r>
    </w:p>
    <w:p w14:paraId="364154D6">
      <w:pPr>
        <w:spacing w:before="163" w:line="229" w:lineRule="auto"/>
        <w:ind w:left="449"/>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（6）图纸；</w:t>
      </w:r>
    </w:p>
    <w:p w14:paraId="4E063D81">
      <w:pPr>
        <w:spacing w:before="160" w:line="228" w:lineRule="auto"/>
        <w:ind w:left="449"/>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（7）技术规范；</w:t>
      </w:r>
    </w:p>
    <w:p w14:paraId="409BED5C">
      <w:pPr>
        <w:spacing w:before="161" w:line="228" w:lineRule="auto"/>
        <w:ind w:left="449"/>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（8）工程量清单计量规则；</w:t>
      </w:r>
    </w:p>
    <w:p w14:paraId="5DA3E415">
      <w:pPr>
        <w:spacing w:before="161" w:line="228" w:lineRule="auto"/>
        <w:ind w:left="44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（9）投标文件格式；</w:t>
      </w:r>
    </w:p>
    <w:p w14:paraId="1B4BC27C">
      <w:pPr>
        <w:spacing w:before="161" w:line="227" w:lineRule="auto"/>
        <w:ind w:left="449"/>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（10）投标人须知前附表规定的其他资料。</w:t>
      </w:r>
    </w:p>
    <w:p w14:paraId="071EE359">
      <w:pPr>
        <w:spacing w:before="162" w:line="378" w:lineRule="auto"/>
        <w:ind w:left="36" w:right="1" w:firstLine="402"/>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根据本章第1.10款、第2.2款和第2.3款对招标文件所作的澄清、修改，构成招标文件</w:t>
      </w:r>
      <w:r>
        <w:rPr>
          <w:rFonts w:hint="eastAsia" w:ascii="宋体" w:hAnsi="宋体" w:eastAsia="宋体" w:cs="宋体"/>
          <w:color w:val="auto"/>
          <w:spacing w:val="3"/>
          <w:sz w:val="24"/>
          <w:szCs w:val="24"/>
          <w:highlight w:val="none"/>
        </w:rPr>
        <w:t>的组成部分。</w:t>
      </w:r>
    </w:p>
    <w:p w14:paraId="2F7E2BA6">
      <w:pPr>
        <w:spacing w:line="378" w:lineRule="auto"/>
        <w:ind w:right="1" w:firstLine="516"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当招标文件、招标文件的澄清或修改等在同一内容的表述上不一致时，以最后发出的书面文</w:t>
      </w:r>
      <w:r>
        <w:rPr>
          <w:rFonts w:hint="eastAsia" w:ascii="宋体" w:hAnsi="宋体" w:eastAsia="宋体" w:cs="宋体"/>
          <w:color w:val="auto"/>
          <w:spacing w:val="5"/>
          <w:sz w:val="24"/>
          <w:szCs w:val="24"/>
          <w:highlight w:val="none"/>
        </w:rPr>
        <w:t>件为准。</w:t>
      </w:r>
    </w:p>
    <w:p w14:paraId="3625A261">
      <w:pPr>
        <w:pStyle w:val="4"/>
        <w:spacing w:before="241" w:line="222" w:lineRule="auto"/>
        <w:ind w:left="17"/>
        <w:outlineLvl w:val="2"/>
        <w:rPr>
          <w:rFonts w:hint="eastAsia" w:ascii="宋体" w:hAnsi="宋体" w:eastAsia="宋体" w:cs="宋体"/>
          <w:color w:val="auto"/>
          <w:sz w:val="24"/>
          <w:szCs w:val="24"/>
          <w:highlight w:val="none"/>
        </w:rPr>
      </w:pPr>
      <w:bookmarkStart w:id="145" w:name="_Toc27783"/>
      <w:bookmarkStart w:id="146" w:name="_Toc31127"/>
      <w:bookmarkStart w:id="147" w:name="_Toc32401"/>
      <w:bookmarkStart w:id="148" w:name="_Toc16056"/>
      <w:bookmarkStart w:id="149" w:name="_Toc26695"/>
      <w:r>
        <w:rPr>
          <w:rFonts w:hint="eastAsia" w:ascii="宋体" w:hAnsi="宋体" w:eastAsia="宋体" w:cs="宋体"/>
          <w:b/>
          <w:bCs/>
          <w:color w:val="auto"/>
          <w:spacing w:val="-3"/>
          <w:sz w:val="24"/>
          <w:szCs w:val="24"/>
          <w:highlight w:val="none"/>
        </w:rPr>
        <w:t>2.2招标文件的澄清</w:t>
      </w:r>
      <w:bookmarkEnd w:id="145"/>
      <w:bookmarkEnd w:id="146"/>
      <w:bookmarkEnd w:id="147"/>
      <w:bookmarkEnd w:id="148"/>
      <w:bookmarkEnd w:id="149"/>
    </w:p>
    <w:p w14:paraId="236F42C4">
      <w:pPr>
        <w:spacing w:before="181" w:line="328" w:lineRule="auto"/>
        <w:ind w:right="1" w:firstLine="456"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2.2.1投标人应仔细阅读和检查招标文件的全部内容。如发现缺页或附件不全，</w:t>
      </w:r>
      <w:r>
        <w:rPr>
          <w:rFonts w:hint="eastAsia" w:ascii="宋体" w:hAnsi="宋体" w:eastAsia="宋体" w:cs="宋体"/>
          <w:color w:val="auto"/>
          <w:spacing w:val="9"/>
          <w:sz w:val="24"/>
          <w:szCs w:val="24"/>
          <w:highlight w:val="none"/>
        </w:rPr>
        <w:t>应及时</w:t>
      </w:r>
      <w:r>
        <w:rPr>
          <w:rFonts w:hint="eastAsia" w:ascii="宋体" w:hAnsi="宋体" w:eastAsia="宋体" w:cs="宋体"/>
          <w:color w:val="auto"/>
          <w:spacing w:val="8"/>
          <w:sz w:val="24"/>
          <w:szCs w:val="24"/>
          <w:highlight w:val="none"/>
        </w:rPr>
        <w:t>向招</w:t>
      </w:r>
      <w:r>
        <w:rPr>
          <w:rFonts w:hint="eastAsia" w:ascii="宋体" w:hAnsi="宋体" w:eastAsia="宋体" w:cs="宋体"/>
          <w:color w:val="auto"/>
          <w:spacing w:val="10"/>
          <w:sz w:val="24"/>
          <w:szCs w:val="24"/>
          <w:highlight w:val="none"/>
        </w:rPr>
        <w:t>标人提出，以便补齐。如有疑问，应按投标人须知前附表规定的时</w:t>
      </w:r>
      <w:r>
        <w:rPr>
          <w:rFonts w:hint="eastAsia" w:ascii="宋体" w:hAnsi="宋体" w:eastAsia="宋体" w:cs="宋体"/>
          <w:color w:val="auto"/>
          <w:spacing w:val="9"/>
          <w:sz w:val="24"/>
          <w:szCs w:val="24"/>
          <w:highlight w:val="none"/>
        </w:rPr>
        <w:t>间和形式将提出的问题送达招</w:t>
      </w:r>
      <w:r>
        <w:rPr>
          <w:rFonts w:hint="eastAsia" w:ascii="宋体" w:hAnsi="宋体" w:eastAsia="宋体" w:cs="宋体"/>
          <w:color w:val="auto"/>
          <w:spacing w:val="8"/>
          <w:sz w:val="24"/>
          <w:szCs w:val="24"/>
          <w:highlight w:val="none"/>
        </w:rPr>
        <w:t>标人，要求招标人对招标文件予以澄清。</w:t>
      </w:r>
    </w:p>
    <w:p w14:paraId="64A09E80">
      <w:pPr>
        <w:spacing w:before="161" w:line="327" w:lineRule="auto"/>
        <w:ind w:right="1" w:firstLine="516"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2.2.2招标文件的澄清以投标人须知前附表规定的形式发给所有购买招标文件的投标人</w:t>
      </w:r>
      <w:r>
        <w:rPr>
          <w:rFonts w:hint="eastAsia" w:ascii="宋体" w:hAnsi="宋体" w:eastAsia="宋体" w:cs="宋体"/>
          <w:color w:val="auto"/>
          <w:spacing w:val="8"/>
          <w:sz w:val="24"/>
          <w:szCs w:val="24"/>
          <w:highlight w:val="none"/>
        </w:rPr>
        <w:t>，但不指明澄清问题的来源。澄清发出的时间距第一章“招标公告”或“投标邀请书”规定的投标截止时间不足15日，且澄清内容可能影响投标文件编制的，将相应延长投标</w:t>
      </w:r>
      <w:r>
        <w:rPr>
          <w:rFonts w:hint="eastAsia" w:ascii="宋体" w:hAnsi="宋体" w:eastAsia="宋体" w:cs="宋体"/>
          <w:color w:val="auto"/>
          <w:spacing w:val="7"/>
          <w:sz w:val="24"/>
          <w:szCs w:val="24"/>
          <w:highlight w:val="none"/>
        </w:rPr>
        <w:t>截止时间。</w:t>
      </w:r>
    </w:p>
    <w:p w14:paraId="48DFD912">
      <w:pPr>
        <w:spacing w:before="162" w:line="303" w:lineRule="auto"/>
        <w:ind w:right="1" w:firstLine="516"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2.2.3投标人在收到澄清后，应按投标人须知前附表规定的时间和形式通知招标人，确</w:t>
      </w:r>
      <w:r>
        <w:rPr>
          <w:rFonts w:hint="eastAsia" w:ascii="宋体" w:hAnsi="宋体" w:eastAsia="宋体" w:cs="宋体"/>
          <w:color w:val="auto"/>
          <w:spacing w:val="8"/>
          <w:sz w:val="24"/>
          <w:szCs w:val="24"/>
          <w:highlight w:val="none"/>
        </w:rPr>
        <w:t>认已</w:t>
      </w:r>
      <w:r>
        <w:rPr>
          <w:rFonts w:hint="eastAsia" w:ascii="宋体" w:hAnsi="宋体" w:eastAsia="宋体" w:cs="宋体"/>
          <w:color w:val="auto"/>
          <w:spacing w:val="5"/>
          <w:sz w:val="24"/>
          <w:szCs w:val="24"/>
          <w:highlight w:val="none"/>
        </w:rPr>
        <w:t>收到该澄清。</w:t>
      </w:r>
    </w:p>
    <w:p w14:paraId="753BF11D">
      <w:pPr>
        <w:keepNext w:val="0"/>
        <w:keepLines w:val="0"/>
        <w:pageBreakBefore w:val="0"/>
        <w:widowControl/>
        <w:kinsoku w:val="0"/>
        <w:wordWrap/>
        <w:overflowPunct/>
        <w:topLinePunct w:val="0"/>
        <w:autoSpaceDE w:val="0"/>
        <w:autoSpaceDN w:val="0"/>
        <w:bidi w:val="0"/>
        <w:adjustRightInd w:val="0"/>
        <w:snapToGrid w:val="0"/>
        <w:spacing w:before="162" w:line="360" w:lineRule="auto"/>
        <w:ind w:firstLine="508"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2.2.4除非招标人认为确有必要答复，否则，招标人有权拒绝回复投标人在本章第2.2.1</w:t>
      </w:r>
      <w:r>
        <w:rPr>
          <w:rFonts w:hint="eastAsia" w:ascii="宋体" w:hAnsi="宋体" w:eastAsia="宋体" w:cs="宋体"/>
          <w:color w:val="auto"/>
          <w:spacing w:val="6"/>
          <w:sz w:val="24"/>
          <w:szCs w:val="24"/>
          <w:highlight w:val="none"/>
        </w:rPr>
        <w:t>项</w:t>
      </w:r>
      <w:r>
        <w:rPr>
          <w:rFonts w:hint="eastAsia" w:ascii="宋体" w:hAnsi="宋体" w:eastAsia="宋体" w:cs="宋体"/>
          <w:color w:val="auto"/>
          <w:spacing w:val="8"/>
          <w:sz w:val="24"/>
          <w:szCs w:val="24"/>
          <w:highlight w:val="none"/>
        </w:rPr>
        <w:t>规定的时间后提出的任何澄清要求。</w:t>
      </w:r>
    </w:p>
    <w:p w14:paraId="191CE8BF">
      <w:pPr>
        <w:pStyle w:val="4"/>
        <w:spacing w:before="78" w:line="222" w:lineRule="auto"/>
        <w:ind w:left="17"/>
        <w:outlineLvl w:val="2"/>
        <w:rPr>
          <w:rFonts w:hint="eastAsia" w:ascii="宋体" w:hAnsi="宋体" w:eastAsia="宋体" w:cs="宋体"/>
          <w:color w:val="auto"/>
          <w:sz w:val="24"/>
          <w:szCs w:val="24"/>
          <w:highlight w:val="none"/>
        </w:rPr>
      </w:pPr>
      <w:bookmarkStart w:id="150" w:name="_Toc26553"/>
      <w:bookmarkStart w:id="151" w:name="_Toc7865"/>
      <w:bookmarkStart w:id="152" w:name="_Toc977"/>
      <w:bookmarkStart w:id="153" w:name="_Toc8375"/>
      <w:bookmarkStart w:id="154" w:name="_Toc985"/>
      <w:r>
        <w:rPr>
          <w:rFonts w:hint="eastAsia" w:ascii="宋体" w:hAnsi="宋体" w:eastAsia="宋体" w:cs="宋体"/>
          <w:b/>
          <w:bCs/>
          <w:color w:val="auto"/>
          <w:spacing w:val="-3"/>
          <w:sz w:val="24"/>
          <w:szCs w:val="24"/>
          <w:highlight w:val="none"/>
        </w:rPr>
        <w:t>2.3招标文件的修改</w:t>
      </w:r>
      <w:bookmarkEnd w:id="150"/>
      <w:bookmarkEnd w:id="151"/>
      <w:bookmarkEnd w:id="152"/>
      <w:bookmarkEnd w:id="153"/>
      <w:bookmarkEnd w:id="154"/>
    </w:p>
    <w:p w14:paraId="742850AE">
      <w:pPr>
        <w:spacing w:before="181" w:line="328" w:lineRule="auto"/>
        <w:ind w:right="69" w:firstLine="516"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2.3.1招标人以投标人须知前附表规定的形式修改招标文件，并通知所有已购买招标文</w:t>
      </w:r>
      <w:r>
        <w:rPr>
          <w:rFonts w:hint="eastAsia" w:ascii="宋体" w:hAnsi="宋体" w:eastAsia="宋体" w:cs="宋体"/>
          <w:color w:val="auto"/>
          <w:spacing w:val="8"/>
          <w:sz w:val="24"/>
          <w:szCs w:val="24"/>
          <w:highlight w:val="none"/>
        </w:rPr>
        <w:t>件的</w:t>
      </w:r>
      <w:r>
        <w:rPr>
          <w:rFonts w:hint="eastAsia" w:ascii="宋体" w:hAnsi="宋体" w:eastAsia="宋体" w:cs="宋体"/>
          <w:color w:val="auto"/>
          <w:sz w:val="24"/>
          <w:szCs w:val="24"/>
          <w:highlight w:val="none"/>
        </w:rPr>
        <w:t>投标人。修改招标文件的时间距第一章“招标公告”或“投标邀请书”规定的投标截止时间不足15</w:t>
      </w:r>
      <w:r>
        <w:rPr>
          <w:rFonts w:hint="eastAsia" w:ascii="宋体" w:hAnsi="宋体" w:eastAsia="宋体" w:cs="宋体"/>
          <w:color w:val="auto"/>
          <w:spacing w:val="9"/>
          <w:sz w:val="24"/>
          <w:szCs w:val="24"/>
          <w:highlight w:val="none"/>
        </w:rPr>
        <w:t>日，且修改内容可能影响投标文件编制的，将相应延长投标截止时间。</w:t>
      </w:r>
    </w:p>
    <w:p w14:paraId="58265633">
      <w:pPr>
        <w:spacing w:before="161" w:line="302" w:lineRule="auto"/>
        <w:ind w:right="71" w:firstLine="516"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2.3.2投标人收到修改内容后，应按投标人须知前附表规定的时间和形式通知招标人，</w:t>
      </w:r>
      <w:r>
        <w:rPr>
          <w:rFonts w:hint="eastAsia" w:ascii="宋体" w:hAnsi="宋体" w:eastAsia="宋体" w:cs="宋体"/>
          <w:color w:val="auto"/>
          <w:spacing w:val="8"/>
          <w:sz w:val="24"/>
          <w:szCs w:val="24"/>
          <w:highlight w:val="none"/>
        </w:rPr>
        <w:t>确认</w:t>
      </w:r>
      <w:r>
        <w:rPr>
          <w:rFonts w:hint="eastAsia" w:ascii="宋体" w:hAnsi="宋体" w:eastAsia="宋体" w:cs="宋体"/>
          <w:color w:val="auto"/>
          <w:spacing w:val="3"/>
          <w:sz w:val="24"/>
          <w:szCs w:val="24"/>
          <w:highlight w:val="none"/>
        </w:rPr>
        <w:t>已收到该修改。</w:t>
      </w:r>
    </w:p>
    <w:p w14:paraId="46E55AD5">
      <w:pPr>
        <w:pStyle w:val="4"/>
        <w:spacing w:line="327" w:lineRule="auto"/>
        <w:rPr>
          <w:rFonts w:hint="eastAsia" w:ascii="宋体" w:hAnsi="宋体" w:eastAsia="宋体" w:cs="宋体"/>
          <w:color w:val="auto"/>
          <w:highlight w:val="none"/>
        </w:rPr>
      </w:pPr>
    </w:p>
    <w:p w14:paraId="000B0769">
      <w:pPr>
        <w:pStyle w:val="4"/>
        <w:spacing w:before="79" w:line="222" w:lineRule="auto"/>
        <w:ind w:left="17"/>
        <w:outlineLvl w:val="2"/>
        <w:rPr>
          <w:rFonts w:hint="eastAsia" w:ascii="宋体" w:hAnsi="宋体" w:eastAsia="宋体" w:cs="宋体"/>
          <w:color w:val="auto"/>
          <w:sz w:val="24"/>
          <w:szCs w:val="24"/>
          <w:highlight w:val="none"/>
        </w:rPr>
      </w:pPr>
      <w:bookmarkStart w:id="155" w:name="_Toc14489"/>
      <w:bookmarkStart w:id="156" w:name="_Toc578"/>
      <w:bookmarkStart w:id="157" w:name="_Toc21647"/>
      <w:bookmarkStart w:id="158" w:name="_Toc29713"/>
      <w:bookmarkStart w:id="159" w:name="_Toc26448"/>
      <w:r>
        <w:rPr>
          <w:rFonts w:hint="eastAsia" w:ascii="宋体" w:hAnsi="宋体" w:eastAsia="宋体" w:cs="宋体"/>
          <w:b/>
          <w:bCs/>
          <w:color w:val="auto"/>
          <w:spacing w:val="-3"/>
          <w:sz w:val="24"/>
          <w:szCs w:val="24"/>
          <w:highlight w:val="none"/>
        </w:rPr>
        <w:t>2.4招标文件的异议</w:t>
      </w:r>
      <w:bookmarkEnd w:id="155"/>
      <w:bookmarkEnd w:id="156"/>
      <w:bookmarkEnd w:id="157"/>
      <w:bookmarkEnd w:id="158"/>
      <w:bookmarkEnd w:id="159"/>
    </w:p>
    <w:p w14:paraId="73F495E4">
      <w:pPr>
        <w:spacing w:before="183" w:line="377" w:lineRule="auto"/>
        <w:ind w:left="20" w:firstLine="421"/>
        <w:jc w:val="both"/>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投标人或其他利害关系人对招标文件有异议的，应在投标截止时间10日前以书面形式提出。</w:t>
      </w:r>
      <w:r>
        <w:rPr>
          <w:rFonts w:hint="eastAsia" w:ascii="宋体" w:hAnsi="宋体" w:eastAsia="宋体" w:cs="宋体"/>
          <w:color w:val="auto"/>
          <w:spacing w:val="6"/>
          <w:sz w:val="24"/>
          <w:szCs w:val="24"/>
          <w:highlight w:val="none"/>
        </w:rPr>
        <w:t>招标人将在收到异议之日起3日内作出答复；作出答复前，将暂停招标投标活动。提出异议</w:t>
      </w:r>
      <w:r>
        <w:rPr>
          <w:rFonts w:hint="eastAsia" w:ascii="宋体" w:hAnsi="宋体" w:eastAsia="宋体" w:cs="宋体"/>
          <w:color w:val="auto"/>
          <w:spacing w:val="5"/>
          <w:sz w:val="24"/>
          <w:szCs w:val="24"/>
          <w:highlight w:val="none"/>
        </w:rPr>
        <w:t>与作</w:t>
      </w:r>
      <w:r>
        <w:rPr>
          <w:rFonts w:hint="eastAsia" w:ascii="宋体" w:hAnsi="宋体" w:eastAsia="宋体" w:cs="宋体"/>
          <w:color w:val="auto"/>
          <w:spacing w:val="6"/>
          <w:sz w:val="24"/>
          <w:szCs w:val="24"/>
          <w:highlight w:val="none"/>
        </w:rPr>
        <w:t>出答复均应通过“电子交易平台”在“异议与答复”菜单以书面形式进行。</w:t>
      </w:r>
    </w:p>
    <w:p w14:paraId="6DB45C4E">
      <w:pPr>
        <w:pStyle w:val="4"/>
        <w:spacing w:before="289" w:line="222" w:lineRule="auto"/>
        <w:ind w:left="22"/>
        <w:outlineLvl w:val="1"/>
        <w:rPr>
          <w:rFonts w:hint="eastAsia" w:ascii="宋体" w:hAnsi="宋体" w:eastAsia="宋体" w:cs="宋体"/>
          <w:b/>
          <w:bCs/>
          <w:color w:val="auto"/>
          <w:spacing w:val="-5"/>
          <w:sz w:val="28"/>
          <w:szCs w:val="28"/>
          <w:highlight w:val="none"/>
        </w:rPr>
      </w:pPr>
    </w:p>
    <w:p w14:paraId="040C8D7D">
      <w:pPr>
        <w:pStyle w:val="4"/>
        <w:spacing w:before="289" w:line="222" w:lineRule="auto"/>
        <w:ind w:left="22"/>
        <w:outlineLvl w:val="1"/>
        <w:rPr>
          <w:rFonts w:hint="eastAsia" w:ascii="宋体" w:hAnsi="宋体" w:eastAsia="宋体" w:cs="宋体"/>
          <w:b/>
          <w:bCs/>
          <w:color w:val="auto"/>
          <w:spacing w:val="-5"/>
          <w:sz w:val="28"/>
          <w:szCs w:val="28"/>
          <w:highlight w:val="none"/>
        </w:rPr>
      </w:pPr>
    </w:p>
    <w:p w14:paraId="7832A8EC">
      <w:pPr>
        <w:pStyle w:val="4"/>
        <w:spacing w:before="289" w:line="222" w:lineRule="auto"/>
        <w:ind w:left="22"/>
        <w:outlineLvl w:val="1"/>
        <w:rPr>
          <w:rFonts w:hint="eastAsia" w:ascii="宋体" w:hAnsi="宋体" w:eastAsia="宋体" w:cs="宋体"/>
          <w:color w:val="auto"/>
          <w:sz w:val="28"/>
          <w:szCs w:val="28"/>
          <w:highlight w:val="none"/>
        </w:rPr>
      </w:pPr>
      <w:bookmarkStart w:id="160" w:name="_Toc16649"/>
      <w:bookmarkStart w:id="161" w:name="_Toc1372"/>
      <w:bookmarkStart w:id="162" w:name="_Toc9335"/>
      <w:bookmarkStart w:id="163" w:name="_Toc30607"/>
      <w:bookmarkStart w:id="164" w:name="_Toc12350"/>
      <w:r>
        <w:rPr>
          <w:rFonts w:hint="eastAsia" w:ascii="宋体" w:hAnsi="宋体" w:eastAsia="宋体" w:cs="宋体"/>
          <w:b/>
          <w:bCs/>
          <w:color w:val="auto"/>
          <w:spacing w:val="-5"/>
          <w:sz w:val="28"/>
          <w:szCs w:val="28"/>
          <w:highlight w:val="none"/>
        </w:rPr>
        <w:t>3.投标文件</w:t>
      </w:r>
      <w:bookmarkEnd w:id="160"/>
      <w:bookmarkEnd w:id="161"/>
      <w:bookmarkEnd w:id="162"/>
      <w:bookmarkEnd w:id="163"/>
      <w:bookmarkEnd w:id="164"/>
    </w:p>
    <w:p w14:paraId="076BB2DE">
      <w:pPr>
        <w:pStyle w:val="4"/>
        <w:spacing w:line="428" w:lineRule="auto"/>
        <w:rPr>
          <w:rFonts w:hint="eastAsia" w:ascii="宋体" w:hAnsi="宋体" w:eastAsia="宋体" w:cs="宋体"/>
          <w:color w:val="auto"/>
          <w:highlight w:val="none"/>
        </w:rPr>
      </w:pPr>
    </w:p>
    <w:p w14:paraId="628D2CD4">
      <w:pPr>
        <w:pStyle w:val="4"/>
        <w:spacing w:before="78" w:line="222" w:lineRule="auto"/>
        <w:ind w:left="20"/>
        <w:outlineLvl w:val="2"/>
        <w:rPr>
          <w:rFonts w:hint="eastAsia" w:ascii="宋体" w:hAnsi="宋体" w:eastAsia="宋体" w:cs="宋体"/>
          <w:color w:val="auto"/>
          <w:sz w:val="24"/>
          <w:szCs w:val="24"/>
          <w:highlight w:val="none"/>
        </w:rPr>
      </w:pPr>
      <w:bookmarkStart w:id="165" w:name="_Toc19341"/>
      <w:bookmarkStart w:id="166" w:name="_Toc18191"/>
      <w:bookmarkStart w:id="167" w:name="_Toc17869"/>
      <w:bookmarkStart w:id="168" w:name="_Toc16103"/>
      <w:bookmarkStart w:id="169" w:name="_Toc19602"/>
      <w:r>
        <w:rPr>
          <w:rFonts w:hint="eastAsia" w:ascii="宋体" w:hAnsi="宋体" w:eastAsia="宋体" w:cs="宋体"/>
          <w:b/>
          <w:bCs/>
          <w:color w:val="auto"/>
          <w:spacing w:val="-3"/>
          <w:sz w:val="24"/>
          <w:szCs w:val="24"/>
          <w:highlight w:val="none"/>
        </w:rPr>
        <w:t>3.1投标文件的组成</w:t>
      </w:r>
      <w:bookmarkEnd w:id="165"/>
      <w:bookmarkEnd w:id="166"/>
      <w:bookmarkEnd w:id="167"/>
      <w:bookmarkEnd w:id="168"/>
      <w:bookmarkEnd w:id="169"/>
    </w:p>
    <w:p w14:paraId="46BA1A1E">
      <w:pPr>
        <w:spacing w:before="183" w:line="227" w:lineRule="auto"/>
        <w:ind w:left="43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根据投标人须知前附表规定的不同形式，投标文件的组成应满足相应条款要求。</w:t>
      </w:r>
    </w:p>
    <w:p w14:paraId="7A985118">
      <w:pPr>
        <w:spacing w:before="162" w:line="228" w:lineRule="auto"/>
        <w:ind w:left="443"/>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3.1.1投标文件应包括下列内容：</w:t>
      </w:r>
    </w:p>
    <w:p w14:paraId="03233BFC">
      <w:pPr>
        <w:spacing w:before="161" w:line="228" w:lineRule="auto"/>
        <w:ind w:left="43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第一个信封（商务及技术文件</w:t>
      </w:r>
      <w:r>
        <w:rPr>
          <w:rFonts w:hint="eastAsia" w:ascii="宋体" w:hAnsi="宋体" w:eastAsia="宋体" w:cs="宋体"/>
          <w:color w:val="auto"/>
          <w:spacing w:val="1"/>
          <w:sz w:val="24"/>
          <w:szCs w:val="24"/>
          <w:highlight w:val="none"/>
        </w:rPr>
        <w:t>）：</w:t>
      </w:r>
    </w:p>
    <w:p w14:paraId="3EFA50FB">
      <w:pPr>
        <w:spacing w:before="163" w:line="227" w:lineRule="auto"/>
        <w:ind w:left="449"/>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（1）投标函及投标函附录；</w:t>
      </w:r>
    </w:p>
    <w:p w14:paraId="2CE697D2">
      <w:pPr>
        <w:spacing w:before="163" w:line="227" w:lineRule="auto"/>
        <w:ind w:left="44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（2）联合体协议书；</w:t>
      </w:r>
    </w:p>
    <w:p w14:paraId="04023C65">
      <w:pPr>
        <w:spacing w:before="162" w:line="228" w:lineRule="auto"/>
        <w:ind w:left="449"/>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（3）投标保证金；</w:t>
      </w:r>
    </w:p>
    <w:p w14:paraId="01D70CEB">
      <w:pPr>
        <w:spacing w:before="161" w:line="229" w:lineRule="auto"/>
        <w:ind w:left="44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（4）施工组织设计；</w:t>
      </w:r>
    </w:p>
    <w:p w14:paraId="4D43AE6B">
      <w:pPr>
        <w:spacing w:before="162" w:line="227" w:lineRule="auto"/>
        <w:ind w:left="44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（5）项目管理机构；</w:t>
      </w:r>
    </w:p>
    <w:p w14:paraId="7CDBE526">
      <w:pPr>
        <w:spacing w:before="162" w:line="227" w:lineRule="auto"/>
        <w:ind w:left="449"/>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（6）拟分包项目情况表；</w:t>
      </w:r>
    </w:p>
    <w:p w14:paraId="0E27201C">
      <w:pPr>
        <w:spacing w:before="162" w:line="228" w:lineRule="auto"/>
        <w:ind w:left="44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（7）资格审查资料；</w:t>
      </w:r>
    </w:p>
    <w:p w14:paraId="1EC0822B">
      <w:pPr>
        <w:spacing w:before="161" w:line="227" w:lineRule="auto"/>
        <w:ind w:left="44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（8）投标人须知前附表规定的其他资料。</w:t>
      </w:r>
    </w:p>
    <w:p w14:paraId="688F6FC9">
      <w:pPr>
        <w:spacing w:before="163" w:line="226" w:lineRule="auto"/>
        <w:ind w:left="43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第二个信封（报价文件</w:t>
      </w:r>
      <w:r>
        <w:rPr>
          <w:rFonts w:hint="eastAsia" w:ascii="宋体" w:hAnsi="宋体" w:eastAsia="宋体" w:cs="宋体"/>
          <w:color w:val="auto"/>
          <w:spacing w:val="4"/>
          <w:sz w:val="24"/>
          <w:szCs w:val="24"/>
          <w:highlight w:val="none"/>
        </w:rPr>
        <w:t>）：</w:t>
      </w:r>
    </w:p>
    <w:p w14:paraId="70E943F0">
      <w:pPr>
        <w:spacing w:before="165" w:line="226" w:lineRule="auto"/>
        <w:ind w:left="44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（1）调价函及调价后的工程量清单（如有</w:t>
      </w:r>
      <w:r>
        <w:rPr>
          <w:rFonts w:hint="eastAsia" w:ascii="宋体" w:hAnsi="宋体" w:eastAsia="宋体" w:cs="宋体"/>
          <w:color w:val="auto"/>
          <w:spacing w:val="5"/>
          <w:sz w:val="24"/>
          <w:szCs w:val="24"/>
          <w:highlight w:val="none"/>
        </w:rPr>
        <w:t>）；</w:t>
      </w:r>
    </w:p>
    <w:p w14:paraId="57BB0512">
      <w:pPr>
        <w:spacing w:before="163" w:line="228" w:lineRule="auto"/>
        <w:ind w:left="449"/>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（2）投标函；</w:t>
      </w:r>
    </w:p>
    <w:p w14:paraId="31F655B6">
      <w:pPr>
        <w:spacing w:before="161" w:line="226" w:lineRule="auto"/>
        <w:ind w:left="44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（3）已标价工程量清单；</w:t>
      </w:r>
    </w:p>
    <w:p w14:paraId="20C12A3B">
      <w:pPr>
        <w:spacing w:before="163" w:line="226" w:lineRule="auto"/>
        <w:ind w:left="44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（4）合同用款估算表；</w:t>
      </w:r>
    </w:p>
    <w:p w14:paraId="3A576878">
      <w:pPr>
        <w:spacing w:before="166" w:line="228" w:lineRule="auto"/>
        <w:ind w:left="449"/>
        <w:rPr>
          <w:rFonts w:hint="eastAsia" w:ascii="宋体" w:hAnsi="宋体" w:eastAsia="宋体" w:cs="宋体"/>
          <w:color w:val="auto"/>
          <w:spacing w:val="5"/>
          <w:sz w:val="24"/>
          <w:szCs w:val="24"/>
          <w:highlight w:val="none"/>
        </w:rPr>
      </w:pPr>
      <w:r>
        <w:rPr>
          <w:rFonts w:hint="eastAsia" w:ascii="宋体" w:hAnsi="宋体" w:eastAsia="宋体" w:cs="宋体"/>
          <w:color w:val="auto"/>
          <w:spacing w:val="5"/>
          <w:sz w:val="24"/>
          <w:szCs w:val="24"/>
          <w:highlight w:val="none"/>
        </w:rPr>
        <w:t>（5）其他资料。</w:t>
      </w:r>
    </w:p>
    <w:p w14:paraId="02FBC27A">
      <w:pPr>
        <w:keepNext w:val="0"/>
        <w:keepLines w:val="0"/>
        <w:pageBreakBefore w:val="0"/>
        <w:widowControl/>
        <w:kinsoku w:val="0"/>
        <w:wordWrap/>
        <w:overflowPunct/>
        <w:topLinePunct w:val="0"/>
        <w:autoSpaceDE w:val="0"/>
        <w:autoSpaceDN w:val="0"/>
        <w:bidi w:val="0"/>
        <w:adjustRightInd w:val="0"/>
        <w:snapToGrid w:val="0"/>
        <w:spacing w:before="166"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投标人在评标过程中作出的符合法律法规和招标文件规定</w:t>
      </w:r>
      <w:r>
        <w:rPr>
          <w:rFonts w:hint="eastAsia" w:ascii="宋体" w:hAnsi="宋体" w:eastAsia="宋体" w:cs="宋体"/>
          <w:color w:val="auto"/>
          <w:spacing w:val="9"/>
          <w:sz w:val="24"/>
          <w:szCs w:val="24"/>
          <w:highlight w:val="none"/>
        </w:rPr>
        <w:t>的澄清确认，构成投标文件的组成</w:t>
      </w:r>
      <w:r>
        <w:rPr>
          <w:rFonts w:hint="eastAsia" w:ascii="宋体" w:hAnsi="宋体" w:eastAsia="宋体" w:cs="宋体"/>
          <w:color w:val="auto"/>
          <w:spacing w:val="2"/>
          <w:sz w:val="24"/>
          <w:szCs w:val="24"/>
          <w:highlight w:val="none"/>
        </w:rPr>
        <w:t>部分。</w:t>
      </w:r>
    </w:p>
    <w:p w14:paraId="071CD64B">
      <w:pPr>
        <w:spacing w:before="161" w:line="303" w:lineRule="auto"/>
        <w:ind w:right="71" w:firstLine="516"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3.1.2投标人须知前附表规定不接受联合体投标的，或投标人没有组成联合体的，投</w:t>
      </w:r>
      <w:r>
        <w:rPr>
          <w:rFonts w:hint="eastAsia" w:ascii="宋体" w:hAnsi="宋体" w:eastAsia="宋体" w:cs="宋体"/>
          <w:color w:val="auto"/>
          <w:spacing w:val="8"/>
          <w:sz w:val="24"/>
          <w:szCs w:val="24"/>
          <w:highlight w:val="none"/>
        </w:rPr>
        <w:t>标文件</w:t>
      </w:r>
      <w:r>
        <w:rPr>
          <w:rFonts w:hint="eastAsia" w:ascii="宋体" w:hAnsi="宋体" w:eastAsia="宋体" w:cs="宋体"/>
          <w:color w:val="auto"/>
          <w:spacing w:val="5"/>
          <w:sz w:val="24"/>
          <w:szCs w:val="24"/>
          <w:highlight w:val="none"/>
        </w:rPr>
        <w:t>不包括本章第3.1.1（2）目所指的联合体协议书。</w:t>
      </w:r>
    </w:p>
    <w:p w14:paraId="746A9515">
      <w:pPr>
        <w:keepNext w:val="0"/>
        <w:keepLines w:val="0"/>
        <w:pageBreakBefore w:val="0"/>
        <w:widowControl/>
        <w:kinsoku w:val="0"/>
        <w:wordWrap/>
        <w:overflowPunct/>
        <w:topLinePunct w:val="0"/>
        <w:autoSpaceDE w:val="0"/>
        <w:autoSpaceDN w:val="0"/>
        <w:bidi w:val="0"/>
        <w:adjustRightInd w:val="0"/>
        <w:snapToGrid w:val="0"/>
        <w:spacing w:before="163" w:line="303" w:lineRule="auto"/>
        <w:ind w:right="0" w:firstLine="504"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3.1.3投标人须知前附表未要求提交投标保证金的，投标文件不包括本章第3.1.1（3）目所</w:t>
      </w:r>
      <w:r>
        <w:rPr>
          <w:rFonts w:hint="eastAsia" w:ascii="宋体" w:hAnsi="宋体" w:eastAsia="宋体" w:cs="宋体"/>
          <w:color w:val="auto"/>
          <w:spacing w:val="7"/>
          <w:sz w:val="24"/>
          <w:szCs w:val="24"/>
          <w:highlight w:val="none"/>
        </w:rPr>
        <w:t>指的投标保证金。</w:t>
      </w:r>
    </w:p>
    <w:p w14:paraId="3B3AAC7F">
      <w:pPr>
        <w:pStyle w:val="4"/>
        <w:spacing w:line="324" w:lineRule="auto"/>
        <w:rPr>
          <w:rFonts w:hint="eastAsia" w:ascii="宋体" w:hAnsi="宋体" w:eastAsia="宋体" w:cs="宋体"/>
          <w:color w:val="auto"/>
          <w:highlight w:val="none"/>
        </w:rPr>
      </w:pPr>
    </w:p>
    <w:p w14:paraId="073EC77C">
      <w:pPr>
        <w:pStyle w:val="4"/>
        <w:spacing w:before="78" w:line="222" w:lineRule="auto"/>
        <w:ind w:left="20"/>
        <w:outlineLvl w:val="2"/>
        <w:rPr>
          <w:rFonts w:hint="eastAsia" w:ascii="宋体" w:hAnsi="宋体" w:eastAsia="宋体" w:cs="宋体"/>
          <w:color w:val="auto"/>
          <w:sz w:val="24"/>
          <w:szCs w:val="24"/>
          <w:highlight w:val="none"/>
        </w:rPr>
      </w:pPr>
      <w:bookmarkStart w:id="170" w:name="_Toc8043"/>
      <w:bookmarkStart w:id="171" w:name="_Toc25944"/>
      <w:bookmarkStart w:id="172" w:name="_Toc9328"/>
      <w:bookmarkStart w:id="173" w:name="_Toc15542"/>
      <w:bookmarkStart w:id="174" w:name="_Toc23363"/>
      <w:r>
        <w:rPr>
          <w:rFonts w:hint="eastAsia" w:ascii="宋体" w:hAnsi="宋体" w:eastAsia="宋体" w:cs="宋体"/>
          <w:b/>
          <w:bCs/>
          <w:color w:val="auto"/>
          <w:spacing w:val="-4"/>
          <w:sz w:val="24"/>
          <w:szCs w:val="24"/>
          <w:highlight w:val="none"/>
        </w:rPr>
        <w:t>3.2投标报价</w:t>
      </w:r>
      <w:bookmarkEnd w:id="170"/>
      <w:bookmarkEnd w:id="171"/>
      <w:bookmarkEnd w:id="172"/>
      <w:bookmarkEnd w:id="173"/>
      <w:bookmarkEnd w:id="174"/>
    </w:p>
    <w:p w14:paraId="304943D5">
      <w:pPr>
        <w:spacing w:before="183" w:line="377" w:lineRule="auto"/>
        <w:ind w:left="20" w:right="70" w:firstLine="423"/>
        <w:jc w:val="both"/>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3.2.1投标报价应包括国家规定的增值税税金，除投标人须知前附表另有规定外，增</w:t>
      </w:r>
      <w:r>
        <w:rPr>
          <w:rFonts w:hint="eastAsia" w:ascii="宋体" w:hAnsi="宋体" w:eastAsia="宋体" w:cs="宋体"/>
          <w:color w:val="auto"/>
          <w:spacing w:val="8"/>
          <w:sz w:val="24"/>
          <w:szCs w:val="24"/>
          <w:highlight w:val="none"/>
        </w:rPr>
        <w:t>值税税</w:t>
      </w:r>
      <w:r>
        <w:rPr>
          <w:rFonts w:hint="eastAsia" w:ascii="宋体" w:hAnsi="宋体" w:eastAsia="宋体" w:cs="宋体"/>
          <w:color w:val="auto"/>
          <w:spacing w:val="9"/>
          <w:sz w:val="24"/>
          <w:szCs w:val="24"/>
          <w:highlight w:val="none"/>
        </w:rPr>
        <w:t>金按一般计税方法计算。投标人应按第九章“投标文件格式”的要求在投标函中进行报价并填写</w:t>
      </w:r>
      <w:r>
        <w:rPr>
          <w:rFonts w:hint="eastAsia" w:ascii="宋体" w:hAnsi="宋体" w:eastAsia="宋体" w:cs="宋体"/>
          <w:color w:val="auto"/>
          <w:spacing w:val="10"/>
          <w:sz w:val="24"/>
          <w:szCs w:val="24"/>
          <w:highlight w:val="none"/>
        </w:rPr>
        <w:t>工程量清单相应表格。工程量清单的填写分下列两种方式。投标人</w:t>
      </w:r>
      <w:r>
        <w:rPr>
          <w:rFonts w:hint="eastAsia" w:ascii="宋体" w:hAnsi="宋体" w:eastAsia="宋体" w:cs="宋体"/>
          <w:color w:val="auto"/>
          <w:spacing w:val="9"/>
          <w:sz w:val="24"/>
          <w:szCs w:val="24"/>
          <w:highlight w:val="none"/>
        </w:rPr>
        <w:t>应按投标人须知前附表规定的</w:t>
      </w:r>
      <w:r>
        <w:rPr>
          <w:rFonts w:hint="eastAsia" w:ascii="宋体" w:hAnsi="宋体" w:eastAsia="宋体" w:cs="宋体"/>
          <w:color w:val="auto"/>
          <w:spacing w:val="7"/>
          <w:sz w:val="24"/>
          <w:szCs w:val="24"/>
          <w:highlight w:val="none"/>
        </w:rPr>
        <w:t>方式填写工程量清单。</w:t>
      </w:r>
    </w:p>
    <w:p w14:paraId="7106F910">
      <w:pPr>
        <w:spacing w:line="377" w:lineRule="auto"/>
        <w:ind w:left="18" w:right="70" w:firstLine="431"/>
        <w:jc w:val="both"/>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（1）本项目招标采用工程量固化清单2，招标人需在做</w:t>
      </w:r>
      <w:r>
        <w:rPr>
          <w:rFonts w:hint="eastAsia" w:ascii="宋体" w:hAnsi="宋体" w:eastAsia="宋体" w:cs="宋体"/>
          <w:color w:val="auto"/>
          <w:spacing w:val="7"/>
          <w:sz w:val="24"/>
          <w:szCs w:val="24"/>
          <w:highlight w:val="none"/>
        </w:rPr>
        <w:t>招标文件时将电子版固化清单一并放</w:t>
      </w:r>
      <w:r>
        <w:rPr>
          <w:rFonts w:hint="eastAsia" w:ascii="宋体" w:hAnsi="宋体" w:eastAsia="宋体" w:cs="宋体"/>
          <w:color w:val="auto"/>
          <w:spacing w:val="10"/>
          <w:sz w:val="24"/>
          <w:szCs w:val="24"/>
          <w:highlight w:val="none"/>
        </w:rPr>
        <w:t>入招标文件内打包或将工程量固化清单电子文件上传至投标人须知前附表</w:t>
      </w:r>
      <w:r>
        <w:rPr>
          <w:rFonts w:hint="eastAsia" w:ascii="宋体" w:hAnsi="宋体" w:eastAsia="宋体" w:cs="宋体"/>
          <w:color w:val="auto"/>
          <w:spacing w:val="9"/>
          <w:sz w:val="24"/>
          <w:szCs w:val="24"/>
          <w:highlight w:val="none"/>
        </w:rPr>
        <w:t>载明的网站供投标人自</w:t>
      </w:r>
      <w:r>
        <w:rPr>
          <w:rFonts w:hint="eastAsia" w:ascii="宋体" w:hAnsi="宋体" w:eastAsia="宋体" w:cs="宋体"/>
          <w:color w:val="auto"/>
          <w:spacing w:val="10"/>
          <w:sz w:val="24"/>
          <w:szCs w:val="24"/>
          <w:highlight w:val="none"/>
        </w:rPr>
        <w:t>行下载，供投标人下载使用。投标人根据工程量清单自行报价。确定投标</w:t>
      </w:r>
      <w:r>
        <w:rPr>
          <w:rFonts w:hint="eastAsia" w:ascii="宋体" w:hAnsi="宋体" w:eastAsia="宋体" w:cs="宋体"/>
          <w:color w:val="auto"/>
          <w:spacing w:val="9"/>
          <w:sz w:val="24"/>
          <w:szCs w:val="24"/>
          <w:highlight w:val="none"/>
        </w:rPr>
        <w:t>报价后生成电子版投标</w:t>
      </w:r>
      <w:r>
        <w:rPr>
          <w:rFonts w:hint="eastAsia" w:ascii="宋体" w:hAnsi="宋体" w:eastAsia="宋体" w:cs="宋体"/>
          <w:color w:val="auto"/>
          <w:spacing w:val="10"/>
          <w:sz w:val="24"/>
          <w:szCs w:val="24"/>
          <w:highlight w:val="none"/>
        </w:rPr>
        <w:t>报价，编入投标文件。投标人未在工程量清单中填入单价或总额价的工程</w:t>
      </w:r>
      <w:r>
        <w:rPr>
          <w:rFonts w:hint="eastAsia" w:ascii="宋体" w:hAnsi="宋体" w:eastAsia="宋体" w:cs="宋体"/>
          <w:color w:val="auto"/>
          <w:spacing w:val="9"/>
          <w:sz w:val="24"/>
          <w:szCs w:val="24"/>
          <w:highlight w:val="none"/>
        </w:rPr>
        <w:t>子目，将被认为其已包含在工程量清单其他子目的单价和总额价中，招标人将不予支付。</w:t>
      </w:r>
    </w:p>
    <w:p w14:paraId="139CC13A">
      <w:pPr>
        <w:spacing w:before="1" w:line="377" w:lineRule="auto"/>
        <w:ind w:firstLine="52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投标人必须严格遵循工程量固化清单电子文件中的数据、</w:t>
      </w:r>
      <w:r>
        <w:rPr>
          <w:rFonts w:hint="eastAsia" w:ascii="宋体" w:hAnsi="宋体" w:eastAsia="宋体" w:cs="宋体"/>
          <w:color w:val="auto"/>
          <w:spacing w:val="9"/>
          <w:sz w:val="24"/>
          <w:szCs w:val="24"/>
          <w:highlight w:val="none"/>
        </w:rPr>
        <w:t>格式及运算定义，并将已填写完毕</w:t>
      </w:r>
      <w:r>
        <w:rPr>
          <w:rFonts w:hint="eastAsia" w:ascii="宋体" w:hAnsi="宋体" w:eastAsia="宋体" w:cs="宋体"/>
          <w:color w:val="auto"/>
          <w:spacing w:val="6"/>
          <w:sz w:val="24"/>
          <w:szCs w:val="24"/>
          <w:highlight w:val="none"/>
        </w:rPr>
        <w:t>的投标工程量清单电子文件上传至“电子交易平台”并单独拷入光盘（或U盘）中密封与不加密的电子投标文件一并递交。严禁投标人修改工程量固化清单电子文件中的数据、格式及运算定义。</w:t>
      </w:r>
    </w:p>
    <w:p w14:paraId="28A0D330">
      <w:pPr>
        <w:spacing w:before="1" w:line="376" w:lineRule="auto"/>
        <w:ind w:right="71" w:firstLine="520"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投标人根据招标人提供的工程量固化清单电子文件以及填</w:t>
      </w:r>
      <w:r>
        <w:rPr>
          <w:rFonts w:hint="eastAsia" w:ascii="宋体" w:hAnsi="宋体" w:eastAsia="宋体" w:cs="宋体"/>
          <w:color w:val="auto"/>
          <w:spacing w:val="9"/>
          <w:sz w:val="24"/>
          <w:szCs w:val="24"/>
          <w:highlight w:val="none"/>
        </w:rPr>
        <w:t>报完成并打印的投标工程量清单中的投标报价和投标函大写金额报价应一致，如果报价金额出现差异，其投标将被否决。</w:t>
      </w:r>
    </w:p>
    <w:p w14:paraId="66420947">
      <w:pPr>
        <w:numPr>
          <w:ilvl w:val="0"/>
          <w:numId w:val="3"/>
        </w:numPr>
        <w:spacing w:before="1" w:line="378" w:lineRule="auto"/>
        <w:ind w:left="19" w:leftChars="0" w:right="70" w:firstLine="430" w:firstLineChars="0"/>
        <w:jc w:val="both"/>
        <w:rPr>
          <w:rFonts w:hint="eastAsia" w:ascii="宋体" w:hAnsi="宋体" w:eastAsia="宋体" w:cs="宋体"/>
          <w:color w:val="auto"/>
          <w:spacing w:val="8"/>
          <w:sz w:val="24"/>
          <w:szCs w:val="24"/>
          <w:highlight w:val="none"/>
        </w:rPr>
      </w:pPr>
      <w:r>
        <w:rPr>
          <w:rFonts w:hint="eastAsia" w:ascii="宋体" w:hAnsi="宋体" w:eastAsia="宋体" w:cs="宋体"/>
          <w:color w:val="auto"/>
          <w:spacing w:val="7"/>
          <w:sz w:val="24"/>
          <w:szCs w:val="24"/>
          <w:highlight w:val="none"/>
        </w:rPr>
        <w:t>本项目招标由招标人提供书面工程量清单，由投标人按照招标人提</w:t>
      </w:r>
      <w:r>
        <w:rPr>
          <w:rFonts w:hint="eastAsia" w:ascii="宋体" w:hAnsi="宋体" w:eastAsia="宋体" w:cs="宋体"/>
          <w:color w:val="auto"/>
          <w:spacing w:val="6"/>
          <w:sz w:val="24"/>
          <w:szCs w:val="24"/>
          <w:highlight w:val="none"/>
        </w:rPr>
        <w:t>供的工程量清单填写</w:t>
      </w:r>
      <w:r>
        <w:rPr>
          <w:rFonts w:hint="eastAsia" w:ascii="宋体" w:hAnsi="宋体" w:eastAsia="宋体" w:cs="宋体"/>
          <w:color w:val="auto"/>
          <w:spacing w:val="9"/>
          <w:sz w:val="24"/>
          <w:szCs w:val="24"/>
          <w:highlight w:val="none"/>
        </w:rPr>
        <w:t>本合同各工程子目的单价、合价和总额价。评标委员会将按照第三章“评标办法”的规定对投标</w:t>
      </w:r>
      <w:r>
        <w:rPr>
          <w:rFonts w:hint="eastAsia" w:ascii="宋体" w:hAnsi="宋体" w:eastAsia="宋体" w:cs="宋体"/>
          <w:color w:val="auto"/>
          <w:spacing w:val="8"/>
          <w:sz w:val="24"/>
          <w:szCs w:val="24"/>
          <w:highlight w:val="none"/>
        </w:rPr>
        <w:t>价进行算术性错误修正及其他错误修正。</w:t>
      </w:r>
    </w:p>
    <w:p w14:paraId="6DB0DEAB">
      <w:pPr>
        <w:pStyle w:val="4"/>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highlight w:val="none"/>
          <w:lang w:val="en-US" w:eastAsia="zh-CN"/>
        </w:rPr>
        <w:t xml:space="preserve"> </w:t>
      </w:r>
      <w:r>
        <w:rPr>
          <w:rFonts w:hint="eastAsia" w:ascii="宋体" w:hAnsi="宋体" w:eastAsia="宋体" w:cs="宋体"/>
          <w:color w:val="auto"/>
          <w:sz w:val="24"/>
          <w:szCs w:val="24"/>
          <w:highlight w:val="none"/>
          <w:lang w:val="en-US" w:eastAsia="zh-CN"/>
        </w:rPr>
        <w:t xml:space="preserve">      3.2.2投标人应充分了解本项目的总体情况以及影响投标报价的其他要素。</w:t>
      </w:r>
    </w:p>
    <w:p w14:paraId="17763CE3">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3.2.3本项目的报价方式见投标人须知前附表。投标人在投标截止时间前修改投标函中的投标总报价，应同时修改投标文件“已标价工程量清单”中的相应报价。此修改须符合本章第4.3款的有关要求。</w:t>
      </w:r>
    </w:p>
    <w:p w14:paraId="6B39430D">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3.2.4投标人如果发现工程量清单中的数量与图纸中数量不一致时，应立即通知招标人核查，除非招标人以书面方式予以更正，否则，应以工程量清单中列出的数量为准。</w:t>
      </w:r>
    </w:p>
    <w:p w14:paraId="516E6D3D">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3.2.5投标人应根据《公路水运工程安全生产监督管理办法》，在投标总价中计入安全生产费用，安全生产费用应符合合同条款第9.2.5项的规定。工程量清单第100章内列有上述安全生产费的支付子目，由投标人按招标文件的规定填写总额价。</w:t>
      </w:r>
    </w:p>
    <w:p w14:paraId="2A384F2C">
      <w:pPr>
        <w:pStyle w:val="4"/>
        <w:keepNext w:val="0"/>
        <w:keepLines w:val="0"/>
        <w:pageBreakBefore w:val="0"/>
        <w:widowControl/>
        <w:kinsoku w:val="0"/>
        <w:wordWrap/>
        <w:overflowPunct/>
        <w:topLinePunct w:val="0"/>
        <w:autoSpaceDE w:val="0"/>
        <w:autoSpaceDN w:val="0"/>
        <w:bidi w:val="0"/>
        <w:adjustRightInd w:val="0"/>
        <w:snapToGrid w:val="0"/>
        <w:spacing w:line="360" w:lineRule="auto"/>
        <w:ind w:firstLine="516" w:firstLineChars="200"/>
        <w:textAlignment w:val="baseline"/>
        <w:rPr>
          <w:rFonts w:hint="eastAsia" w:ascii="宋体" w:hAnsi="宋体" w:eastAsia="宋体" w:cs="宋体"/>
          <w:color w:val="auto"/>
          <w:highlight w:val="none"/>
        </w:rPr>
      </w:pPr>
      <w:r>
        <w:rPr>
          <w:rFonts w:hint="eastAsia" w:ascii="宋体" w:hAnsi="宋体" w:eastAsia="宋体" w:cs="宋体"/>
          <w:color w:val="auto"/>
          <w:spacing w:val="9"/>
          <w:sz w:val="24"/>
          <w:szCs w:val="24"/>
          <w:highlight w:val="none"/>
        </w:rPr>
        <w:t>3.2.6除投标人须知前附表另有规定外，招标人不接受调价函。若招标人接受调价函</w:t>
      </w:r>
      <w:r>
        <w:rPr>
          <w:rFonts w:hint="eastAsia" w:ascii="宋体" w:hAnsi="宋体" w:eastAsia="宋体" w:cs="宋体"/>
          <w:color w:val="auto"/>
          <w:spacing w:val="8"/>
          <w:sz w:val="24"/>
          <w:szCs w:val="24"/>
          <w:highlight w:val="none"/>
        </w:rPr>
        <w:t>，则应</w:t>
      </w:r>
      <w:r>
        <w:rPr>
          <w:rFonts w:hint="eastAsia" w:ascii="宋体" w:hAnsi="宋体" w:eastAsia="宋体" w:cs="宋体"/>
          <w:color w:val="auto"/>
          <w:spacing w:val="9"/>
          <w:sz w:val="24"/>
          <w:szCs w:val="24"/>
          <w:highlight w:val="none"/>
        </w:rPr>
        <w:t>在招标文件中给出调价函的格式。投标人若有调价函则应遵循如下规定：</w:t>
      </w:r>
    </w:p>
    <w:p w14:paraId="69069286">
      <w:pPr>
        <w:pStyle w:val="4"/>
        <w:spacing w:line="248" w:lineRule="auto"/>
        <w:rPr>
          <w:rFonts w:hint="eastAsia" w:ascii="宋体" w:hAnsi="宋体" w:eastAsia="宋体" w:cs="宋体"/>
          <w:color w:val="auto"/>
          <w:highlight w:val="none"/>
        </w:rPr>
      </w:pPr>
    </w:p>
    <w:p w14:paraId="5CCFCD8E">
      <w:pPr>
        <w:pStyle w:val="4"/>
        <w:spacing w:line="248" w:lineRule="auto"/>
        <w:rPr>
          <w:rFonts w:hint="eastAsia" w:ascii="宋体" w:hAnsi="宋体" w:eastAsia="宋体" w:cs="宋体"/>
          <w:color w:val="auto"/>
          <w:highlight w:val="none"/>
        </w:rPr>
      </w:pPr>
      <w:r>
        <w:rPr>
          <w:rFonts w:hint="eastAsia" w:ascii="宋体" w:hAnsi="宋体" w:eastAsia="宋体" w:cs="宋体"/>
          <w:color w:val="auto"/>
          <w:highlight w:val="none"/>
        </w:rPr>
        <w:pict>
          <v:shape id="_x0000_s1028" o:spid="_x0000_s1028" style="position:absolute;left:0pt;margin-left:0.75pt;margin-top:5.45pt;height:0.5pt;width:110.15pt;z-index:251663360;mso-width-relative:page;mso-height-relative:page;" filled="f" stroked="t" coordsize="2203,10" path="m0,4l2202,4e">
            <v:fill on="f" focussize="0,0"/>
            <v:stroke weight="0.48pt" color="#000000" miterlimit="2" joinstyle="bevel"/>
            <v:imagedata o:title=""/>
            <o:lock v:ext="edit"/>
          </v:shape>
        </w:pict>
      </w:r>
    </w:p>
    <w:p w14:paraId="10293686">
      <w:pPr>
        <w:spacing w:before="65" w:line="378" w:lineRule="auto"/>
        <w:ind w:left="18" w:right="70" w:firstLine="3"/>
        <w:jc w:val="both"/>
        <w:rPr>
          <w:rFonts w:hint="eastAsia" w:ascii="宋体" w:hAnsi="宋体" w:eastAsia="宋体" w:cs="宋体"/>
          <w:color w:val="auto"/>
          <w:sz w:val="20"/>
          <w:szCs w:val="20"/>
          <w:highlight w:val="none"/>
        </w:rPr>
      </w:pPr>
      <w:r>
        <w:rPr>
          <w:rFonts w:hint="eastAsia" w:ascii="宋体" w:hAnsi="宋体" w:eastAsia="宋体" w:cs="宋体"/>
          <w:color w:val="auto"/>
          <w:spacing w:val="10"/>
          <w:sz w:val="20"/>
          <w:szCs w:val="20"/>
          <w:highlight w:val="none"/>
        </w:rPr>
        <w:t>2为减少评标阶段对投标报价进行修正的</w:t>
      </w:r>
      <w:r>
        <w:rPr>
          <w:rFonts w:hint="eastAsia" w:ascii="宋体" w:hAnsi="宋体" w:eastAsia="宋体" w:cs="宋体"/>
          <w:color w:val="auto"/>
          <w:spacing w:val="9"/>
          <w:sz w:val="20"/>
          <w:szCs w:val="20"/>
          <w:highlight w:val="none"/>
        </w:rPr>
        <w:t>工作量，建议招标人在出售招标文件时，同时提供“工程量固化清单”，清单的数据、格式及运算定义应保证投标人无法修改。投标人只需填写各子目</w:t>
      </w:r>
      <w:r>
        <w:rPr>
          <w:rFonts w:hint="eastAsia" w:ascii="宋体" w:hAnsi="宋体" w:eastAsia="宋体" w:cs="宋体"/>
          <w:color w:val="auto"/>
          <w:spacing w:val="8"/>
          <w:sz w:val="20"/>
          <w:szCs w:val="20"/>
          <w:highlight w:val="none"/>
        </w:rPr>
        <w:t>单价或总额价，即可自动生成投标报价。</w:t>
      </w:r>
    </w:p>
    <w:p w14:paraId="13EDB9F0">
      <w:pPr>
        <w:spacing w:before="164" w:line="301" w:lineRule="auto"/>
        <w:ind w:right="87" w:firstLine="254" w:firstLineChars="10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（1）调价函必须采用招标文件规定的格式；</w:t>
      </w:r>
      <w:r>
        <w:rPr>
          <w:rFonts w:hint="eastAsia" w:ascii="宋体" w:hAnsi="宋体" w:eastAsia="宋体" w:cs="宋体"/>
          <w:color w:val="auto"/>
          <w:spacing w:val="-6"/>
          <w:sz w:val="24"/>
          <w:szCs w:val="24"/>
          <w:highlight w:val="none"/>
        </w:rPr>
        <w:t>调价函应说明调价后的最终报价，</w:t>
      </w:r>
      <w:r>
        <w:rPr>
          <w:rFonts w:hint="eastAsia" w:ascii="宋体" w:hAnsi="宋体" w:eastAsia="宋体" w:cs="宋体"/>
          <w:color w:val="auto"/>
          <w:spacing w:val="6"/>
          <w:sz w:val="24"/>
          <w:szCs w:val="24"/>
          <w:highlight w:val="none"/>
        </w:rPr>
        <w:t>并以最终报价</w:t>
      </w:r>
      <w:r>
        <w:rPr>
          <w:rFonts w:hint="eastAsia" w:ascii="宋体" w:hAnsi="宋体" w:eastAsia="宋体" w:cs="宋体"/>
          <w:color w:val="auto"/>
          <w:spacing w:val="8"/>
          <w:sz w:val="24"/>
          <w:szCs w:val="24"/>
          <w:highlight w:val="none"/>
        </w:rPr>
        <w:t>为准，而且投标人只能有一次调价的机会；</w:t>
      </w:r>
    </w:p>
    <w:p w14:paraId="7ED52C16">
      <w:pPr>
        <w:spacing w:before="163" w:line="226" w:lineRule="auto"/>
        <w:ind w:firstLine="256" w:firstLineChars="10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（2）工程量清单中招标人指定的报价不允许调价；</w:t>
      </w:r>
    </w:p>
    <w:p w14:paraId="0B1F0D31">
      <w:pPr>
        <w:spacing w:before="161" w:line="340" w:lineRule="auto"/>
        <w:ind w:firstLine="248" w:firstLineChars="10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（3）调价函必须附有调价后的工程量清单；调价函必须附在投标文件第二个信封（报价</w:t>
      </w:r>
      <w:r>
        <w:rPr>
          <w:rFonts w:hint="eastAsia" w:ascii="宋体" w:hAnsi="宋体" w:eastAsia="宋体" w:cs="宋体"/>
          <w:color w:val="auto"/>
          <w:spacing w:val="3"/>
          <w:sz w:val="24"/>
          <w:szCs w:val="24"/>
          <w:highlight w:val="none"/>
        </w:rPr>
        <w:t>文件）</w:t>
      </w:r>
      <w:r>
        <w:rPr>
          <w:rFonts w:hint="eastAsia" w:ascii="宋体" w:hAnsi="宋体" w:eastAsia="宋体" w:cs="宋体"/>
          <w:color w:val="auto"/>
          <w:spacing w:val="10"/>
          <w:sz w:val="24"/>
          <w:szCs w:val="24"/>
          <w:highlight w:val="none"/>
        </w:rPr>
        <w:t>指定位置。若投标人未提交调价后的工程量清单，或调价函未装在投标</w:t>
      </w:r>
      <w:r>
        <w:rPr>
          <w:rFonts w:hint="eastAsia" w:ascii="宋体" w:hAnsi="宋体" w:eastAsia="宋体" w:cs="宋体"/>
          <w:color w:val="auto"/>
          <w:spacing w:val="9"/>
          <w:sz w:val="24"/>
          <w:szCs w:val="24"/>
          <w:highlight w:val="none"/>
        </w:rPr>
        <w:t>文件第二个信封（报价文</w:t>
      </w:r>
      <w:r>
        <w:rPr>
          <w:rFonts w:hint="eastAsia" w:ascii="宋体" w:hAnsi="宋体" w:eastAsia="宋体" w:cs="宋体"/>
          <w:color w:val="auto"/>
          <w:spacing w:val="7"/>
          <w:sz w:val="24"/>
          <w:szCs w:val="24"/>
          <w:highlight w:val="none"/>
        </w:rPr>
        <w:t>件）指定位置，调价函均视为无效，仍以原报价作为最终报价。若投标人提交的调价函</w:t>
      </w:r>
      <w:r>
        <w:rPr>
          <w:rFonts w:hint="eastAsia" w:ascii="宋体" w:hAnsi="宋体" w:eastAsia="宋体" w:cs="宋体"/>
          <w:color w:val="auto"/>
          <w:spacing w:val="6"/>
          <w:sz w:val="24"/>
          <w:szCs w:val="24"/>
          <w:highlight w:val="none"/>
        </w:rPr>
        <w:t>多于一个，</w:t>
      </w:r>
      <w:r>
        <w:rPr>
          <w:rFonts w:hint="eastAsia" w:ascii="宋体" w:hAnsi="宋体" w:eastAsia="宋体" w:cs="宋体"/>
          <w:color w:val="auto"/>
          <w:spacing w:val="9"/>
          <w:sz w:val="24"/>
          <w:szCs w:val="24"/>
          <w:highlight w:val="none"/>
        </w:rPr>
        <w:t>或对不允许调价的内容进行了调价，或调价函有附加条件，其投标将被否决。</w:t>
      </w:r>
    </w:p>
    <w:p w14:paraId="6CBF0832">
      <w:pPr>
        <w:spacing w:before="164" w:line="301" w:lineRule="auto"/>
        <w:ind w:right="87" w:firstLine="254" w:firstLineChars="10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（4）若招标人接受调价函，投标人调价后的工程量清单和有效调价函的</w:t>
      </w:r>
      <w:r>
        <w:rPr>
          <w:rFonts w:hint="eastAsia" w:ascii="宋体" w:hAnsi="宋体" w:eastAsia="宋体" w:cs="宋体"/>
          <w:color w:val="auto"/>
          <w:spacing w:val="6"/>
          <w:sz w:val="24"/>
          <w:szCs w:val="24"/>
          <w:highlight w:val="none"/>
        </w:rPr>
        <w:t>大写金额报价应保持</w:t>
      </w:r>
      <w:r>
        <w:rPr>
          <w:rFonts w:hint="eastAsia" w:ascii="宋体" w:hAnsi="宋体" w:eastAsia="宋体" w:cs="宋体"/>
          <w:color w:val="auto"/>
          <w:spacing w:val="9"/>
          <w:sz w:val="24"/>
          <w:szCs w:val="24"/>
          <w:highlight w:val="none"/>
        </w:rPr>
        <w:t>一致，如果报价金额出现差异，则以有效调价函的大写金额报价为准。</w:t>
      </w:r>
    </w:p>
    <w:p w14:paraId="21A6B7DA">
      <w:pPr>
        <w:spacing w:before="162" w:line="347" w:lineRule="auto"/>
        <w:ind w:left="18" w:right="87" w:firstLine="425"/>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3.2.7在合同实施期间，投标人填写的单价、合价和总额价是否由于物价波动进行价</w:t>
      </w:r>
      <w:r>
        <w:rPr>
          <w:rFonts w:hint="eastAsia" w:ascii="宋体" w:hAnsi="宋体" w:eastAsia="宋体" w:cs="宋体"/>
          <w:color w:val="auto"/>
          <w:spacing w:val="8"/>
          <w:sz w:val="24"/>
          <w:szCs w:val="24"/>
          <w:highlight w:val="none"/>
        </w:rPr>
        <w:t>格调整按照合同条款第16.1款的规定处理。如果按照合同条款第16.1.1项的规定采用价格调整公式</w:t>
      </w:r>
      <w:r>
        <w:rPr>
          <w:rFonts w:hint="eastAsia" w:ascii="宋体" w:hAnsi="宋体" w:eastAsia="宋体" w:cs="宋体"/>
          <w:color w:val="auto"/>
          <w:spacing w:val="10"/>
          <w:sz w:val="24"/>
          <w:szCs w:val="24"/>
          <w:highlight w:val="none"/>
        </w:rPr>
        <w:t>进行价格调整，由招标人根据项目实际情况测算确定价格调整公式中的变</w:t>
      </w:r>
      <w:r>
        <w:rPr>
          <w:rFonts w:hint="eastAsia" w:ascii="宋体" w:hAnsi="宋体" w:eastAsia="宋体" w:cs="宋体"/>
          <w:color w:val="auto"/>
          <w:spacing w:val="9"/>
          <w:sz w:val="24"/>
          <w:szCs w:val="24"/>
          <w:highlight w:val="none"/>
        </w:rPr>
        <w:t>值权重范围，并在投标</w:t>
      </w:r>
      <w:r>
        <w:rPr>
          <w:rFonts w:hint="eastAsia" w:ascii="宋体" w:hAnsi="宋体" w:eastAsia="宋体" w:cs="宋体"/>
          <w:color w:val="auto"/>
          <w:spacing w:val="10"/>
          <w:sz w:val="24"/>
          <w:szCs w:val="24"/>
          <w:highlight w:val="none"/>
        </w:rPr>
        <w:t>函附录价格指数和权重表中约定范围；投标人在此范围内填写各可调因子</w:t>
      </w:r>
      <w:r>
        <w:rPr>
          <w:rFonts w:hint="eastAsia" w:ascii="宋体" w:hAnsi="宋体" w:eastAsia="宋体" w:cs="宋体"/>
          <w:color w:val="auto"/>
          <w:spacing w:val="9"/>
          <w:sz w:val="24"/>
          <w:szCs w:val="24"/>
          <w:highlight w:val="none"/>
        </w:rPr>
        <w:t>的权重，合同实施期间</w:t>
      </w:r>
      <w:r>
        <w:rPr>
          <w:rFonts w:hint="eastAsia" w:ascii="宋体" w:hAnsi="宋体" w:eastAsia="宋体" w:cs="宋体"/>
          <w:color w:val="auto"/>
          <w:spacing w:val="8"/>
          <w:sz w:val="24"/>
          <w:szCs w:val="24"/>
          <w:highlight w:val="none"/>
        </w:rPr>
        <w:t>将按此权重进行调价。</w:t>
      </w:r>
    </w:p>
    <w:p w14:paraId="44A2EE9E">
      <w:pPr>
        <w:spacing w:before="162" w:line="303" w:lineRule="auto"/>
        <w:ind w:right="87" w:firstLine="456"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3.2.8招标人设有最高投标限价的，投标人的投标报价不得超过最高投标限价，</w:t>
      </w:r>
      <w:r>
        <w:rPr>
          <w:rFonts w:hint="eastAsia" w:ascii="宋体" w:hAnsi="宋体" w:eastAsia="宋体" w:cs="宋体"/>
          <w:color w:val="auto"/>
          <w:spacing w:val="9"/>
          <w:sz w:val="24"/>
          <w:szCs w:val="24"/>
          <w:highlight w:val="none"/>
        </w:rPr>
        <w:t>最高</w:t>
      </w:r>
      <w:r>
        <w:rPr>
          <w:rFonts w:hint="eastAsia" w:ascii="宋体" w:hAnsi="宋体" w:eastAsia="宋体" w:cs="宋体"/>
          <w:color w:val="auto"/>
          <w:spacing w:val="8"/>
          <w:sz w:val="24"/>
          <w:szCs w:val="24"/>
          <w:highlight w:val="none"/>
        </w:rPr>
        <w:t>投标限价在投标人须知前附表中载明。</w:t>
      </w:r>
    </w:p>
    <w:p w14:paraId="12D077DC">
      <w:pPr>
        <w:spacing w:before="163" w:line="226" w:lineRule="auto"/>
        <w:ind w:firstLine="508"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3.2.9投标报价的其他要求见投标人须知前附表。</w:t>
      </w:r>
    </w:p>
    <w:p w14:paraId="1E72E194">
      <w:pPr>
        <w:pStyle w:val="4"/>
        <w:spacing w:line="327" w:lineRule="auto"/>
        <w:rPr>
          <w:rFonts w:hint="eastAsia" w:ascii="宋体" w:hAnsi="宋体" w:eastAsia="宋体" w:cs="宋体"/>
          <w:color w:val="auto"/>
          <w:highlight w:val="none"/>
        </w:rPr>
      </w:pPr>
    </w:p>
    <w:p w14:paraId="73B95D46">
      <w:pPr>
        <w:pStyle w:val="4"/>
        <w:spacing w:before="79" w:line="221" w:lineRule="auto"/>
        <w:ind w:left="20"/>
        <w:outlineLvl w:val="2"/>
        <w:rPr>
          <w:rFonts w:hint="eastAsia" w:ascii="宋体" w:hAnsi="宋体" w:eastAsia="宋体" w:cs="宋体"/>
          <w:color w:val="auto"/>
          <w:sz w:val="24"/>
          <w:szCs w:val="24"/>
          <w:highlight w:val="none"/>
        </w:rPr>
      </w:pPr>
      <w:bookmarkStart w:id="175" w:name="_Toc16760"/>
      <w:bookmarkStart w:id="176" w:name="_Toc28945"/>
      <w:bookmarkStart w:id="177" w:name="_Toc20629"/>
      <w:bookmarkStart w:id="178" w:name="_Toc30056"/>
      <w:bookmarkStart w:id="179" w:name="_Toc31644"/>
      <w:r>
        <w:rPr>
          <w:rFonts w:hint="eastAsia" w:ascii="宋体" w:hAnsi="宋体" w:eastAsia="宋体" w:cs="宋体"/>
          <w:b/>
          <w:bCs/>
          <w:color w:val="auto"/>
          <w:spacing w:val="-3"/>
          <w:sz w:val="24"/>
          <w:szCs w:val="24"/>
          <w:highlight w:val="none"/>
        </w:rPr>
        <w:t>3.3投标有效期</w:t>
      </w:r>
      <w:bookmarkEnd w:id="175"/>
      <w:bookmarkEnd w:id="176"/>
      <w:bookmarkEnd w:id="177"/>
      <w:bookmarkEnd w:id="178"/>
      <w:bookmarkEnd w:id="179"/>
    </w:p>
    <w:p w14:paraId="319B85CA">
      <w:pPr>
        <w:spacing w:before="183" w:line="227" w:lineRule="auto"/>
        <w:ind w:left="443"/>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3.3.1除投标人须知前附表另有规定外，投标有效期为90日。</w:t>
      </w:r>
    </w:p>
    <w:p w14:paraId="3631D988">
      <w:pPr>
        <w:spacing w:before="164" w:line="228" w:lineRule="auto"/>
        <w:ind w:left="443"/>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3.3.2在投标有效期内，投标人撤销投标文件的，</w:t>
      </w:r>
      <w:r>
        <w:rPr>
          <w:rFonts w:hint="eastAsia" w:ascii="宋体" w:hAnsi="宋体" w:eastAsia="宋体" w:cs="宋体"/>
          <w:color w:val="auto"/>
          <w:spacing w:val="8"/>
          <w:sz w:val="24"/>
          <w:szCs w:val="24"/>
          <w:highlight w:val="none"/>
        </w:rPr>
        <w:t>应承担招标文件和法律规定的责任。</w:t>
      </w:r>
    </w:p>
    <w:p w14:paraId="44883EAB">
      <w:pPr>
        <w:spacing w:before="161" w:line="302" w:lineRule="auto"/>
        <w:ind w:right="87" w:firstLine="516"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3.3.3出现特殊情况需要延长投标有效期的，招标人以书面形式通知所有投标人延长</w:t>
      </w:r>
      <w:r>
        <w:rPr>
          <w:rFonts w:hint="eastAsia" w:ascii="宋体" w:hAnsi="宋体" w:eastAsia="宋体" w:cs="宋体"/>
          <w:color w:val="auto"/>
          <w:spacing w:val="8"/>
          <w:sz w:val="24"/>
          <w:szCs w:val="24"/>
          <w:highlight w:val="none"/>
        </w:rPr>
        <w:t>投标有</w:t>
      </w:r>
      <w:r>
        <w:rPr>
          <w:rFonts w:hint="eastAsia" w:ascii="宋体" w:hAnsi="宋体" w:eastAsia="宋体" w:cs="宋体"/>
          <w:color w:val="auto"/>
          <w:spacing w:val="10"/>
          <w:sz w:val="24"/>
          <w:szCs w:val="24"/>
          <w:highlight w:val="none"/>
        </w:rPr>
        <w:t>效期。投标人应予以书面答复，同意延长的，应相应延长</w:t>
      </w:r>
      <w:r>
        <w:rPr>
          <w:rFonts w:hint="eastAsia" w:ascii="宋体" w:hAnsi="宋体" w:eastAsia="宋体" w:cs="宋体"/>
          <w:color w:val="auto"/>
          <w:spacing w:val="9"/>
          <w:sz w:val="24"/>
          <w:szCs w:val="24"/>
          <w:highlight w:val="none"/>
        </w:rPr>
        <w:t>其投</w:t>
      </w:r>
      <w:r>
        <w:rPr>
          <w:rFonts w:hint="eastAsia" w:ascii="宋体" w:hAnsi="宋体" w:eastAsia="宋体" w:cs="宋体"/>
          <w:color w:val="auto"/>
          <w:spacing w:val="-6"/>
          <w:sz w:val="24"/>
          <w:szCs w:val="24"/>
          <w:highlight w:val="none"/>
        </w:rPr>
        <w:t>标保证金的有效期，但不得要求或被允许修改其投标文件；投标人拒绝延长的，</w:t>
      </w:r>
      <w:r>
        <w:rPr>
          <w:rFonts w:hint="eastAsia" w:ascii="宋体" w:hAnsi="宋体" w:eastAsia="宋体" w:cs="宋体"/>
          <w:color w:val="auto"/>
          <w:spacing w:val="10"/>
          <w:sz w:val="24"/>
          <w:szCs w:val="24"/>
          <w:highlight w:val="none"/>
        </w:rPr>
        <w:t>其投标失效，但投标人</w:t>
      </w:r>
      <w:r>
        <w:rPr>
          <w:rFonts w:hint="eastAsia" w:ascii="宋体" w:hAnsi="宋体" w:eastAsia="宋体" w:cs="宋体"/>
          <w:color w:val="auto"/>
          <w:spacing w:val="9"/>
          <w:sz w:val="24"/>
          <w:szCs w:val="24"/>
          <w:highlight w:val="none"/>
        </w:rPr>
        <w:t>有权收回其投标保证金及以现金或支票形式递交的投标保证金的银行同期活期存款利息。</w:t>
      </w:r>
    </w:p>
    <w:p w14:paraId="5BA5BD58">
      <w:pPr>
        <w:pStyle w:val="4"/>
        <w:spacing w:before="244" w:line="222" w:lineRule="auto"/>
        <w:ind w:left="20"/>
        <w:outlineLvl w:val="2"/>
        <w:rPr>
          <w:rFonts w:hint="eastAsia" w:ascii="宋体" w:hAnsi="宋体" w:eastAsia="宋体" w:cs="宋体"/>
          <w:color w:val="auto"/>
          <w:sz w:val="24"/>
          <w:szCs w:val="24"/>
          <w:highlight w:val="none"/>
        </w:rPr>
      </w:pPr>
      <w:bookmarkStart w:id="180" w:name="_Toc24162"/>
      <w:bookmarkStart w:id="181" w:name="_Toc26239"/>
      <w:bookmarkStart w:id="182" w:name="_Toc7905"/>
      <w:bookmarkStart w:id="183" w:name="_Toc26032"/>
      <w:bookmarkStart w:id="184" w:name="_Toc14400"/>
      <w:r>
        <w:rPr>
          <w:rFonts w:hint="eastAsia" w:ascii="宋体" w:hAnsi="宋体" w:eastAsia="宋体" w:cs="宋体"/>
          <w:b/>
          <w:bCs/>
          <w:color w:val="auto"/>
          <w:spacing w:val="-3"/>
          <w:sz w:val="24"/>
          <w:szCs w:val="24"/>
          <w:highlight w:val="none"/>
        </w:rPr>
        <w:t>3.4投标保证金</w:t>
      </w:r>
      <w:bookmarkEnd w:id="180"/>
      <w:bookmarkEnd w:id="181"/>
      <w:bookmarkEnd w:id="182"/>
      <w:bookmarkEnd w:id="183"/>
      <w:bookmarkEnd w:id="184"/>
    </w:p>
    <w:p w14:paraId="32A626C2">
      <w:pPr>
        <w:spacing w:before="180" w:line="377" w:lineRule="auto"/>
        <w:ind w:right="1" w:firstLine="512"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3.4.1投标人在递交投标文件的同时，应按投标人须知前附表规定的金额3和第九章“投标</w:t>
      </w:r>
      <w:r>
        <w:rPr>
          <w:rFonts w:hint="eastAsia" w:ascii="宋体" w:hAnsi="宋体" w:eastAsia="宋体" w:cs="宋体"/>
          <w:color w:val="auto"/>
          <w:spacing w:val="9"/>
          <w:sz w:val="24"/>
          <w:szCs w:val="24"/>
          <w:highlight w:val="none"/>
        </w:rPr>
        <w:t>文件格式”规定的投标保证金格式递交投标保证金，并作为其投标文件的组成部分。联合体</w:t>
      </w:r>
      <w:r>
        <w:rPr>
          <w:rFonts w:hint="eastAsia" w:ascii="宋体" w:hAnsi="宋体" w:eastAsia="宋体" w:cs="宋体"/>
          <w:color w:val="auto"/>
          <w:spacing w:val="8"/>
          <w:sz w:val="24"/>
          <w:szCs w:val="24"/>
          <w:highlight w:val="none"/>
        </w:rPr>
        <w:t>投标</w:t>
      </w:r>
      <w:r>
        <w:rPr>
          <w:rFonts w:hint="eastAsia" w:ascii="宋体" w:hAnsi="宋体" w:eastAsia="宋体" w:cs="宋体"/>
          <w:color w:val="auto"/>
          <w:spacing w:val="9"/>
          <w:sz w:val="24"/>
          <w:szCs w:val="24"/>
          <w:highlight w:val="none"/>
        </w:rPr>
        <w:t>的，其投标保证金由牵头人递交，并应符合投标人须知前附表的规定。</w:t>
      </w:r>
    </w:p>
    <w:p w14:paraId="21F20C2C">
      <w:pPr>
        <w:spacing w:before="1" w:line="377" w:lineRule="auto"/>
        <w:ind w:right="1" w:firstLine="516"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投标保证金应采用现金、支票、银行转账、纸质银行保函</w:t>
      </w:r>
      <w:r>
        <w:rPr>
          <w:rFonts w:hint="eastAsia" w:ascii="宋体" w:hAnsi="宋体" w:eastAsia="宋体" w:cs="宋体"/>
          <w:color w:val="auto"/>
          <w:spacing w:val="8"/>
          <w:sz w:val="24"/>
          <w:szCs w:val="24"/>
          <w:highlight w:val="none"/>
        </w:rPr>
        <w:t>、电子保函或招标人在投标人须知</w:t>
      </w:r>
      <w:r>
        <w:rPr>
          <w:rFonts w:hint="eastAsia" w:ascii="宋体" w:hAnsi="宋体" w:eastAsia="宋体" w:cs="宋体"/>
          <w:color w:val="auto"/>
          <w:spacing w:val="7"/>
          <w:sz w:val="24"/>
          <w:szCs w:val="24"/>
          <w:highlight w:val="none"/>
        </w:rPr>
        <w:t>前附表规定的其他形式。</w:t>
      </w:r>
    </w:p>
    <w:p w14:paraId="18DFAA2D">
      <w:pPr>
        <w:spacing w:before="2" w:line="326" w:lineRule="auto"/>
        <w:ind w:left="23" w:right="1" w:firstLine="426"/>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（1）若采用现金、支票或银行转账，</w:t>
      </w:r>
      <w:r>
        <w:rPr>
          <w:rFonts w:hint="eastAsia" w:ascii="宋体" w:hAnsi="宋体" w:eastAsia="宋体" w:cs="宋体"/>
          <w:color w:val="auto"/>
          <w:spacing w:val="-6"/>
          <w:sz w:val="24"/>
          <w:szCs w:val="24"/>
          <w:highlight w:val="none"/>
        </w:rPr>
        <w:t>投标人应在递交投标文件截止时间之前，</w:t>
      </w:r>
      <w:r>
        <w:rPr>
          <w:rFonts w:hint="eastAsia" w:ascii="宋体" w:hAnsi="宋体" w:eastAsia="宋体" w:cs="宋体"/>
          <w:color w:val="auto"/>
          <w:spacing w:val="6"/>
          <w:sz w:val="24"/>
          <w:szCs w:val="24"/>
          <w:highlight w:val="none"/>
        </w:rPr>
        <w:t>将投标保证金</w:t>
      </w:r>
      <w:r>
        <w:rPr>
          <w:rFonts w:hint="eastAsia" w:ascii="宋体" w:hAnsi="宋体" w:eastAsia="宋体" w:cs="宋体"/>
          <w:color w:val="auto"/>
          <w:spacing w:val="10"/>
          <w:sz w:val="24"/>
          <w:szCs w:val="24"/>
          <w:highlight w:val="none"/>
        </w:rPr>
        <w:t>由投标人的基本账户转入招标人指定账户，否则视为投标保</w:t>
      </w:r>
      <w:r>
        <w:rPr>
          <w:rFonts w:hint="eastAsia" w:ascii="宋体" w:hAnsi="宋体" w:eastAsia="宋体" w:cs="宋体"/>
          <w:color w:val="auto"/>
          <w:spacing w:val="9"/>
          <w:sz w:val="24"/>
          <w:szCs w:val="24"/>
          <w:highlight w:val="none"/>
        </w:rPr>
        <w:t>证金无效。招标人指定的开户银行及</w:t>
      </w:r>
      <w:r>
        <w:rPr>
          <w:rFonts w:hint="eastAsia" w:ascii="宋体" w:hAnsi="宋体" w:eastAsia="宋体" w:cs="宋体"/>
          <w:color w:val="auto"/>
          <w:spacing w:val="8"/>
          <w:sz w:val="24"/>
          <w:szCs w:val="24"/>
          <w:highlight w:val="none"/>
        </w:rPr>
        <w:t>账号见投标人须知前附表。</w:t>
      </w:r>
    </w:p>
    <w:p w14:paraId="16869D98">
      <w:pPr>
        <w:spacing w:before="161" w:line="328" w:lineRule="auto"/>
        <w:ind w:left="20" w:right="1" w:firstLine="429"/>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（2）若采用纸质银行保函，则应由符合投标人须知前附表规定级别的银</w:t>
      </w:r>
      <w:r>
        <w:rPr>
          <w:rFonts w:hint="eastAsia" w:ascii="宋体" w:hAnsi="宋体" w:eastAsia="宋体" w:cs="宋体"/>
          <w:color w:val="auto"/>
          <w:spacing w:val="6"/>
          <w:sz w:val="24"/>
          <w:szCs w:val="24"/>
          <w:highlight w:val="none"/>
        </w:rPr>
        <w:t>行开具，并采用招标</w:t>
      </w:r>
      <w:r>
        <w:rPr>
          <w:rFonts w:hint="eastAsia" w:ascii="宋体" w:hAnsi="宋体" w:eastAsia="宋体" w:cs="宋体"/>
          <w:color w:val="auto"/>
          <w:spacing w:val="10"/>
          <w:sz w:val="24"/>
          <w:szCs w:val="24"/>
          <w:highlight w:val="none"/>
        </w:rPr>
        <w:t>文件提供的格式。银行保函复印件装订在投标文件内，原件应在递</w:t>
      </w:r>
      <w:r>
        <w:rPr>
          <w:rFonts w:hint="eastAsia" w:ascii="宋体" w:hAnsi="宋体" w:eastAsia="宋体" w:cs="宋体"/>
          <w:color w:val="auto"/>
          <w:spacing w:val="9"/>
          <w:sz w:val="24"/>
          <w:szCs w:val="24"/>
          <w:highlight w:val="none"/>
        </w:rPr>
        <w:t>交投标文件截止时间之前单独密封递交给招标人，否则视为投标保证金无</w:t>
      </w:r>
      <w:r>
        <w:rPr>
          <w:rFonts w:hint="eastAsia" w:ascii="宋体" w:hAnsi="宋体" w:eastAsia="宋体" w:cs="宋体"/>
          <w:color w:val="auto"/>
          <w:spacing w:val="8"/>
          <w:sz w:val="24"/>
          <w:szCs w:val="24"/>
          <w:highlight w:val="none"/>
        </w:rPr>
        <w:t>效。</w:t>
      </w:r>
    </w:p>
    <w:p w14:paraId="0AA501FD">
      <w:pPr>
        <w:spacing w:before="160" w:line="377" w:lineRule="auto"/>
        <w:ind w:right="1" w:firstLine="456"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无论采取何种形式的投标保证金，投标保证金有效期均应与投标有效期一致。</w:t>
      </w:r>
      <w:r>
        <w:rPr>
          <w:rFonts w:hint="eastAsia" w:ascii="宋体" w:hAnsi="宋体" w:eastAsia="宋体" w:cs="宋体"/>
          <w:color w:val="auto"/>
          <w:spacing w:val="9"/>
          <w:sz w:val="24"/>
          <w:szCs w:val="24"/>
          <w:highlight w:val="none"/>
        </w:rPr>
        <w:t>招标人如果按</w:t>
      </w:r>
      <w:r>
        <w:rPr>
          <w:rFonts w:hint="eastAsia" w:ascii="宋体" w:hAnsi="宋体" w:eastAsia="宋体" w:cs="宋体"/>
          <w:color w:val="auto"/>
          <w:spacing w:val="8"/>
          <w:sz w:val="24"/>
          <w:szCs w:val="24"/>
          <w:highlight w:val="none"/>
        </w:rPr>
        <w:t>本章第3.3.3项的规定延长了投标有效期，则投标保证金的有效期也相应延长。</w:t>
      </w:r>
    </w:p>
    <w:p w14:paraId="223EEA8E">
      <w:pPr>
        <w:spacing w:before="1" w:line="226" w:lineRule="auto"/>
        <w:ind w:firstLine="51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3.4.2投标人不按本章第3.4.1项要求提交投标保证金的，评标委员会将否决其投</w:t>
      </w:r>
      <w:r>
        <w:rPr>
          <w:rFonts w:hint="eastAsia" w:ascii="宋体" w:hAnsi="宋体" w:eastAsia="宋体" w:cs="宋体"/>
          <w:color w:val="auto"/>
          <w:spacing w:val="7"/>
          <w:sz w:val="24"/>
          <w:szCs w:val="24"/>
          <w:highlight w:val="none"/>
        </w:rPr>
        <w:t>标。</w:t>
      </w:r>
    </w:p>
    <w:p w14:paraId="14ED0A7F">
      <w:pPr>
        <w:spacing w:before="165" w:line="339" w:lineRule="auto"/>
        <w:ind w:right="1" w:firstLine="520"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3.4.3招标人最迟将在中标通知书发出后5日内向中标候选人以外的其他投标人退还投标</w:t>
      </w:r>
      <w:r>
        <w:rPr>
          <w:rFonts w:hint="eastAsia" w:ascii="宋体" w:hAnsi="宋体" w:eastAsia="宋体" w:cs="宋体"/>
          <w:color w:val="auto"/>
          <w:spacing w:val="6"/>
          <w:sz w:val="24"/>
          <w:szCs w:val="24"/>
          <w:highlight w:val="none"/>
        </w:rPr>
        <w:t>保证金，与中标人签订合同后5日内向中标人和其他中标候选人退还投标保证金。投标保证金以</w:t>
      </w:r>
      <w:r>
        <w:rPr>
          <w:rFonts w:hint="eastAsia" w:ascii="宋体" w:hAnsi="宋体" w:eastAsia="宋体" w:cs="宋体"/>
          <w:color w:val="auto"/>
          <w:spacing w:val="10"/>
          <w:sz w:val="24"/>
          <w:szCs w:val="24"/>
          <w:highlight w:val="none"/>
        </w:rPr>
        <w:t>现金或支票形式递交的，招标人应同时退还投标保证金的银行同期</w:t>
      </w:r>
      <w:r>
        <w:rPr>
          <w:rFonts w:hint="eastAsia" w:ascii="宋体" w:hAnsi="宋体" w:eastAsia="宋体" w:cs="宋体"/>
          <w:color w:val="auto"/>
          <w:spacing w:val="9"/>
          <w:sz w:val="24"/>
          <w:szCs w:val="24"/>
          <w:highlight w:val="none"/>
        </w:rPr>
        <w:t>活期存款利息，且退还至投标</w:t>
      </w:r>
      <w:r>
        <w:rPr>
          <w:rFonts w:hint="eastAsia" w:ascii="宋体" w:hAnsi="宋体" w:eastAsia="宋体" w:cs="宋体"/>
          <w:color w:val="auto"/>
          <w:spacing w:val="6"/>
          <w:sz w:val="24"/>
          <w:szCs w:val="24"/>
          <w:highlight w:val="none"/>
        </w:rPr>
        <w:t>人的基本账户。</w:t>
      </w:r>
    </w:p>
    <w:p w14:paraId="3FC23A36">
      <w:pPr>
        <w:spacing w:before="165" w:line="227" w:lineRule="auto"/>
        <w:ind w:firstLine="51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利息计算原则见投标人须知前附表。</w:t>
      </w:r>
    </w:p>
    <w:p w14:paraId="75FA3F3E">
      <w:pPr>
        <w:spacing w:before="162" w:line="228" w:lineRule="auto"/>
        <w:ind w:firstLine="51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3.4.4有下列情形之一的，投标保证金将不</w:t>
      </w:r>
      <w:r>
        <w:rPr>
          <w:rFonts w:hint="eastAsia" w:ascii="宋体" w:hAnsi="宋体" w:eastAsia="宋体" w:cs="宋体"/>
          <w:color w:val="auto"/>
          <w:spacing w:val="7"/>
          <w:sz w:val="24"/>
          <w:szCs w:val="24"/>
          <w:highlight w:val="none"/>
        </w:rPr>
        <w:t>予退还：</w:t>
      </w:r>
    </w:p>
    <w:p w14:paraId="1A23E3C8">
      <w:pPr>
        <w:spacing w:before="161" w:line="228" w:lineRule="auto"/>
        <w:ind w:left="44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（1）投标人在投标有效期内撤销投标文件；</w:t>
      </w:r>
    </w:p>
    <w:p w14:paraId="0F61ED09">
      <w:pPr>
        <w:spacing w:before="161" w:line="302" w:lineRule="auto"/>
        <w:ind w:left="20" w:right="1" w:firstLine="429"/>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（2）中标人在收到中标通知书后，无正当理由不与招标人订立合同，在</w:t>
      </w:r>
      <w:r>
        <w:rPr>
          <w:rFonts w:hint="eastAsia" w:ascii="宋体" w:hAnsi="宋体" w:eastAsia="宋体" w:cs="宋体"/>
          <w:color w:val="auto"/>
          <w:spacing w:val="6"/>
          <w:sz w:val="24"/>
          <w:szCs w:val="24"/>
          <w:highlight w:val="none"/>
        </w:rPr>
        <w:t>签订合同时向招标人</w:t>
      </w:r>
      <w:r>
        <w:rPr>
          <w:rFonts w:hint="eastAsia" w:ascii="宋体" w:hAnsi="宋体" w:eastAsia="宋体" w:cs="宋体"/>
          <w:color w:val="auto"/>
          <w:spacing w:val="9"/>
          <w:sz w:val="24"/>
          <w:szCs w:val="24"/>
          <w:highlight w:val="none"/>
        </w:rPr>
        <w:t>提出附加条件，或不按照招标文件要求提交履约保证金；</w:t>
      </w:r>
    </w:p>
    <w:p w14:paraId="3D6FBF4F">
      <w:pPr>
        <w:spacing w:before="164" w:line="227" w:lineRule="auto"/>
        <w:ind w:left="44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（3）发生投标人须知前附表规定的其他可以不予退还投标保证</w:t>
      </w:r>
      <w:r>
        <w:rPr>
          <w:rFonts w:hint="eastAsia" w:ascii="宋体" w:hAnsi="宋体" w:eastAsia="宋体" w:cs="宋体"/>
          <w:color w:val="auto"/>
          <w:spacing w:val="8"/>
          <w:sz w:val="24"/>
          <w:szCs w:val="24"/>
          <w:highlight w:val="none"/>
        </w:rPr>
        <w:t>金的情形。</w:t>
      </w:r>
    </w:p>
    <w:p w14:paraId="68121B5B">
      <w:pPr>
        <w:pStyle w:val="4"/>
        <w:spacing w:line="245" w:lineRule="auto"/>
        <w:rPr>
          <w:rFonts w:hint="eastAsia" w:ascii="宋体" w:hAnsi="宋体" w:eastAsia="宋体" w:cs="宋体"/>
          <w:color w:val="auto"/>
          <w:highlight w:val="none"/>
        </w:rPr>
      </w:pPr>
    </w:p>
    <w:p w14:paraId="466B731E">
      <w:pPr>
        <w:pStyle w:val="4"/>
        <w:spacing w:line="246" w:lineRule="auto"/>
        <w:rPr>
          <w:rFonts w:hint="eastAsia" w:ascii="宋体" w:hAnsi="宋体" w:eastAsia="宋体" w:cs="宋体"/>
          <w:color w:val="auto"/>
          <w:highlight w:val="none"/>
        </w:rPr>
      </w:pPr>
    </w:p>
    <w:p w14:paraId="4221506A">
      <w:pPr>
        <w:pStyle w:val="4"/>
        <w:spacing w:line="246" w:lineRule="auto"/>
        <w:rPr>
          <w:rFonts w:hint="eastAsia" w:ascii="宋体" w:hAnsi="宋体" w:eastAsia="宋体" w:cs="宋体"/>
          <w:color w:val="auto"/>
          <w:highlight w:val="none"/>
        </w:rPr>
      </w:pPr>
    </w:p>
    <w:p w14:paraId="4DB39821">
      <w:pPr>
        <w:pStyle w:val="4"/>
        <w:spacing w:line="246" w:lineRule="auto"/>
        <w:rPr>
          <w:rFonts w:hint="eastAsia" w:ascii="宋体" w:hAnsi="宋体" w:eastAsia="宋体" w:cs="宋体"/>
          <w:color w:val="auto"/>
          <w:highlight w:val="none"/>
        </w:rPr>
      </w:pPr>
    </w:p>
    <w:p w14:paraId="5DA1F06C">
      <w:pPr>
        <w:pStyle w:val="4"/>
        <w:spacing w:line="246" w:lineRule="auto"/>
        <w:rPr>
          <w:rFonts w:hint="eastAsia" w:ascii="宋体" w:hAnsi="宋体" w:eastAsia="宋体" w:cs="宋体"/>
          <w:color w:val="auto"/>
          <w:highlight w:val="none"/>
        </w:rPr>
      </w:pPr>
    </w:p>
    <w:p w14:paraId="0C677D64">
      <w:pPr>
        <w:pStyle w:val="4"/>
        <w:spacing w:line="246" w:lineRule="auto"/>
        <w:rPr>
          <w:rFonts w:hint="eastAsia" w:ascii="宋体" w:hAnsi="宋体" w:eastAsia="宋体" w:cs="宋体"/>
          <w:color w:val="auto"/>
          <w:highlight w:val="none"/>
        </w:rPr>
      </w:pPr>
    </w:p>
    <w:p w14:paraId="7AAA468A">
      <w:pPr>
        <w:pStyle w:val="4"/>
        <w:spacing w:line="246" w:lineRule="auto"/>
        <w:rPr>
          <w:rFonts w:hint="eastAsia" w:ascii="宋体" w:hAnsi="宋体" w:eastAsia="宋体" w:cs="宋体"/>
          <w:color w:val="auto"/>
          <w:highlight w:val="none"/>
        </w:rPr>
      </w:pPr>
      <w:r>
        <w:rPr>
          <w:rFonts w:hint="eastAsia" w:ascii="宋体" w:hAnsi="宋体" w:eastAsia="宋体" w:cs="宋体"/>
          <w:color w:val="auto"/>
          <w:highlight w:val="none"/>
        </w:rPr>
        <w:pict>
          <v:shape id="_x0000_s1029" o:spid="_x0000_s1029" style="position:absolute;left:0pt;margin-left:0.75pt;margin-top:5.3pt;height:0.5pt;width:141.75pt;z-index:251664384;mso-width-relative:page;mso-height-relative:page;" filled="f" stroked="t" coordsize="2835,10" path="m0,4l2835,4e">
            <v:fill on="f" focussize="0,0"/>
            <v:stroke weight="0.48pt" color="#000000" miterlimit="2" joinstyle="bevel"/>
            <v:imagedata o:title=""/>
            <o:lock v:ext="edit"/>
          </v:shape>
        </w:pict>
      </w:r>
    </w:p>
    <w:p w14:paraId="10CB63C2">
      <w:pPr>
        <w:spacing w:before="65" w:line="226" w:lineRule="auto"/>
        <w:ind w:left="23"/>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3投标保证金不得超过招标标段估算价的2%</w:t>
      </w:r>
      <w:r>
        <w:rPr>
          <w:rFonts w:hint="eastAsia" w:ascii="宋体" w:hAnsi="宋体" w:eastAsia="宋体" w:cs="宋体"/>
          <w:color w:val="auto"/>
          <w:spacing w:val="8"/>
          <w:sz w:val="20"/>
          <w:szCs w:val="20"/>
          <w:highlight w:val="none"/>
        </w:rPr>
        <w:t>，招标人应据此测算出具体金额。</w:t>
      </w:r>
    </w:p>
    <w:p w14:paraId="3CE20681">
      <w:pPr>
        <w:spacing w:line="226" w:lineRule="auto"/>
        <w:rPr>
          <w:rFonts w:hint="eastAsia" w:ascii="宋体" w:hAnsi="宋体" w:eastAsia="宋体" w:cs="宋体"/>
          <w:color w:val="auto"/>
          <w:sz w:val="20"/>
          <w:szCs w:val="20"/>
          <w:highlight w:val="none"/>
        </w:rPr>
        <w:sectPr>
          <w:headerReference r:id="rId21" w:type="default"/>
          <w:footerReference r:id="rId22" w:type="default"/>
          <w:pgSz w:w="11907" w:h="16840"/>
          <w:pgMar w:top="1182" w:right="1290" w:bottom="1014" w:left="1786" w:header="849" w:footer="852" w:gutter="0"/>
          <w:pgNumType w:fmt="decimal"/>
          <w:cols w:space="720" w:num="1"/>
        </w:sectPr>
      </w:pPr>
    </w:p>
    <w:p w14:paraId="1CAE91EC">
      <w:pPr>
        <w:pStyle w:val="4"/>
        <w:spacing w:before="298" w:line="222" w:lineRule="auto"/>
        <w:ind w:left="22"/>
        <w:outlineLvl w:val="1"/>
        <w:rPr>
          <w:rFonts w:hint="eastAsia" w:ascii="宋体" w:hAnsi="宋体" w:eastAsia="宋体" w:cs="宋体"/>
          <w:color w:val="auto"/>
          <w:sz w:val="28"/>
          <w:szCs w:val="28"/>
          <w:highlight w:val="none"/>
        </w:rPr>
      </w:pPr>
      <w:bookmarkStart w:id="185" w:name="_Toc17616"/>
      <w:bookmarkStart w:id="186" w:name="_Toc2924"/>
      <w:bookmarkStart w:id="187" w:name="_Toc5775"/>
      <w:bookmarkStart w:id="188" w:name="_Toc26478"/>
      <w:bookmarkStart w:id="189" w:name="_Toc17063"/>
      <w:r>
        <w:rPr>
          <w:rFonts w:hint="eastAsia" w:ascii="宋体" w:hAnsi="宋体" w:eastAsia="宋体" w:cs="宋体"/>
          <w:b/>
          <w:bCs/>
          <w:color w:val="auto"/>
          <w:spacing w:val="-3"/>
          <w:sz w:val="28"/>
          <w:szCs w:val="28"/>
          <w:highlight w:val="none"/>
        </w:rPr>
        <w:t>3.5资格审查资料（适用于已进行资格预审的）</w:t>
      </w:r>
      <w:bookmarkEnd w:id="185"/>
      <w:bookmarkEnd w:id="186"/>
      <w:bookmarkEnd w:id="187"/>
      <w:bookmarkEnd w:id="188"/>
      <w:bookmarkEnd w:id="189"/>
    </w:p>
    <w:p w14:paraId="6C7BA419">
      <w:pPr>
        <w:pStyle w:val="4"/>
        <w:spacing w:line="438" w:lineRule="auto"/>
        <w:rPr>
          <w:rFonts w:hint="eastAsia" w:ascii="宋体" w:hAnsi="宋体" w:eastAsia="宋体" w:cs="宋体"/>
          <w:color w:val="auto"/>
          <w:highlight w:val="none"/>
        </w:rPr>
      </w:pPr>
    </w:p>
    <w:p w14:paraId="5FC96EF0">
      <w:pPr>
        <w:spacing w:before="65" w:line="377" w:lineRule="auto"/>
        <w:ind w:right="71" w:firstLine="516"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3.5.1投标人在递交投标文件前，发生可能影响其投标资格的新情况的，应在投标文</w:t>
      </w:r>
      <w:r>
        <w:rPr>
          <w:rFonts w:hint="eastAsia" w:ascii="宋体" w:hAnsi="宋体" w:eastAsia="宋体" w:cs="宋体"/>
          <w:color w:val="auto"/>
          <w:spacing w:val="8"/>
          <w:sz w:val="24"/>
          <w:szCs w:val="24"/>
          <w:highlight w:val="none"/>
        </w:rPr>
        <w:t>件中更</w:t>
      </w:r>
      <w:r>
        <w:rPr>
          <w:rFonts w:hint="eastAsia" w:ascii="宋体" w:hAnsi="宋体" w:eastAsia="宋体" w:cs="宋体"/>
          <w:color w:val="auto"/>
          <w:spacing w:val="10"/>
          <w:sz w:val="24"/>
          <w:szCs w:val="24"/>
          <w:highlight w:val="none"/>
        </w:rPr>
        <w:t>新或补充其在申请资格预审时提供的资料，以证实其各项资格条件</w:t>
      </w:r>
      <w:r>
        <w:rPr>
          <w:rFonts w:hint="eastAsia" w:ascii="宋体" w:hAnsi="宋体" w:eastAsia="宋体" w:cs="宋体"/>
          <w:color w:val="auto"/>
          <w:spacing w:val="9"/>
          <w:sz w:val="24"/>
          <w:szCs w:val="24"/>
          <w:highlight w:val="none"/>
        </w:rPr>
        <w:t>仍能继续满足资格预审文件的要求。投标人至少应更新以下资料（如有</w:t>
      </w:r>
      <w:r>
        <w:rPr>
          <w:rFonts w:hint="eastAsia" w:ascii="宋体" w:hAnsi="宋体" w:eastAsia="宋体" w:cs="宋体"/>
          <w:color w:val="auto"/>
          <w:spacing w:val="2"/>
          <w:sz w:val="24"/>
          <w:szCs w:val="24"/>
          <w:highlight w:val="none"/>
        </w:rPr>
        <w:t>）：</w:t>
      </w:r>
    </w:p>
    <w:p w14:paraId="2AF46273">
      <w:pPr>
        <w:spacing w:line="302" w:lineRule="auto"/>
        <w:ind w:left="21" w:right="70" w:firstLine="42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（1）财务状况方面的变化，新近取得银行信贷额度（如有必要）的证明</w:t>
      </w:r>
      <w:r>
        <w:rPr>
          <w:rFonts w:hint="eastAsia" w:ascii="宋体" w:hAnsi="宋体" w:eastAsia="宋体" w:cs="宋体"/>
          <w:color w:val="auto"/>
          <w:spacing w:val="6"/>
          <w:sz w:val="24"/>
          <w:szCs w:val="24"/>
          <w:highlight w:val="none"/>
        </w:rPr>
        <w:t>和（或）获得其他资</w:t>
      </w:r>
      <w:r>
        <w:rPr>
          <w:rFonts w:hint="eastAsia" w:ascii="宋体" w:hAnsi="宋体" w:eastAsia="宋体" w:cs="宋体"/>
          <w:color w:val="auto"/>
          <w:spacing w:val="9"/>
          <w:sz w:val="24"/>
          <w:szCs w:val="24"/>
          <w:highlight w:val="none"/>
        </w:rPr>
        <w:t>金来源的证据，以及现已接受（中标或签约）的新合同工程对财务状况的影响；</w:t>
      </w:r>
    </w:p>
    <w:p w14:paraId="74CF543C">
      <w:pPr>
        <w:spacing w:before="163" w:line="228" w:lineRule="auto"/>
        <w:ind w:left="449"/>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（2）投标人名称的变化及有关批件。</w:t>
      </w:r>
    </w:p>
    <w:p w14:paraId="343C1E3E">
      <w:pPr>
        <w:spacing w:before="160" w:line="340" w:lineRule="auto"/>
        <w:ind w:right="71" w:firstLine="516"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3.5.2如果投标人在投标阶段发生合并、分立、破产等重大变化，或发生重大安全或</w:t>
      </w:r>
      <w:r>
        <w:rPr>
          <w:rFonts w:hint="eastAsia" w:ascii="宋体" w:hAnsi="宋体" w:eastAsia="宋体" w:cs="宋体"/>
          <w:color w:val="auto"/>
          <w:spacing w:val="8"/>
          <w:sz w:val="24"/>
          <w:szCs w:val="24"/>
          <w:highlight w:val="none"/>
        </w:rPr>
        <w:t>质量事</w:t>
      </w:r>
      <w:r>
        <w:rPr>
          <w:rFonts w:hint="eastAsia" w:ascii="宋体" w:hAnsi="宋体" w:eastAsia="宋体" w:cs="宋体"/>
          <w:color w:val="auto"/>
          <w:spacing w:val="10"/>
          <w:sz w:val="24"/>
          <w:szCs w:val="24"/>
          <w:highlight w:val="none"/>
        </w:rPr>
        <w:t>故，或由于其他任何情况，导致投标人不再具备资格预审文件规定的各项</w:t>
      </w:r>
      <w:r>
        <w:rPr>
          <w:rFonts w:hint="eastAsia" w:ascii="宋体" w:hAnsi="宋体" w:eastAsia="宋体" w:cs="宋体"/>
          <w:color w:val="auto"/>
          <w:spacing w:val="9"/>
          <w:sz w:val="24"/>
          <w:szCs w:val="24"/>
          <w:highlight w:val="none"/>
        </w:rPr>
        <w:t>资格条件或其投标影响</w:t>
      </w:r>
      <w:r>
        <w:rPr>
          <w:rFonts w:hint="eastAsia" w:ascii="宋体" w:hAnsi="宋体" w:eastAsia="宋体" w:cs="宋体"/>
          <w:color w:val="auto"/>
          <w:spacing w:val="10"/>
          <w:sz w:val="24"/>
          <w:szCs w:val="24"/>
          <w:highlight w:val="none"/>
        </w:rPr>
        <w:t>招标公正性时，投标人必须在其投标文件中对上述情况进行如实说明，否</w:t>
      </w:r>
      <w:r>
        <w:rPr>
          <w:rFonts w:hint="eastAsia" w:ascii="宋体" w:hAnsi="宋体" w:eastAsia="宋体" w:cs="宋体"/>
          <w:color w:val="auto"/>
          <w:spacing w:val="9"/>
          <w:sz w:val="24"/>
          <w:szCs w:val="24"/>
          <w:highlight w:val="none"/>
        </w:rPr>
        <w:t>则，招标人一经查实，将视为投标人弄虚作假，其投标将被否决。</w:t>
      </w:r>
    </w:p>
    <w:p w14:paraId="5BD7AD2D">
      <w:pPr>
        <w:spacing w:before="163" w:line="352" w:lineRule="auto"/>
        <w:ind w:right="70" w:firstLine="456"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3.5.3招标人有权核查投标人在资格预审申请文件和投标文件中提供的资料，</w:t>
      </w:r>
      <w:r>
        <w:rPr>
          <w:rFonts w:hint="eastAsia" w:ascii="宋体" w:hAnsi="宋体" w:eastAsia="宋体" w:cs="宋体"/>
          <w:color w:val="auto"/>
          <w:spacing w:val="9"/>
          <w:sz w:val="24"/>
          <w:szCs w:val="24"/>
          <w:highlight w:val="none"/>
        </w:rPr>
        <w:t>若在评</w:t>
      </w:r>
      <w:r>
        <w:rPr>
          <w:rFonts w:hint="eastAsia" w:ascii="宋体" w:hAnsi="宋体" w:eastAsia="宋体" w:cs="宋体"/>
          <w:color w:val="auto"/>
          <w:spacing w:val="8"/>
          <w:sz w:val="24"/>
          <w:szCs w:val="24"/>
          <w:highlight w:val="none"/>
        </w:rPr>
        <w:t>标期间</w:t>
      </w:r>
      <w:r>
        <w:rPr>
          <w:rFonts w:hint="eastAsia" w:ascii="宋体" w:hAnsi="宋体" w:eastAsia="宋体" w:cs="宋体"/>
          <w:color w:val="auto"/>
          <w:spacing w:val="10"/>
          <w:sz w:val="24"/>
          <w:szCs w:val="24"/>
          <w:highlight w:val="none"/>
        </w:rPr>
        <w:t>发现投标人提供了虚假资料，其投标将被否决；若在签订合同前发现</w:t>
      </w:r>
      <w:r>
        <w:rPr>
          <w:rFonts w:hint="eastAsia" w:ascii="宋体" w:hAnsi="宋体" w:eastAsia="宋体" w:cs="宋体"/>
          <w:color w:val="auto"/>
          <w:spacing w:val="9"/>
          <w:sz w:val="24"/>
          <w:szCs w:val="24"/>
          <w:highlight w:val="none"/>
        </w:rPr>
        <w:t>作为中标候选人的投标人提</w:t>
      </w:r>
      <w:r>
        <w:rPr>
          <w:rFonts w:hint="eastAsia" w:ascii="宋体" w:hAnsi="宋体" w:eastAsia="宋体" w:cs="宋体"/>
          <w:color w:val="auto"/>
          <w:spacing w:val="10"/>
          <w:sz w:val="24"/>
          <w:szCs w:val="24"/>
          <w:highlight w:val="none"/>
        </w:rPr>
        <w:t>供了虚假资料，招标人有权取消其中标资格；若在合同实施期间发现</w:t>
      </w:r>
      <w:r>
        <w:rPr>
          <w:rFonts w:hint="eastAsia" w:ascii="宋体" w:hAnsi="宋体" w:eastAsia="宋体" w:cs="宋体"/>
          <w:color w:val="auto"/>
          <w:spacing w:val="9"/>
          <w:sz w:val="24"/>
          <w:szCs w:val="24"/>
          <w:highlight w:val="none"/>
        </w:rPr>
        <w:t>投标人提供了虚假资料，招</w:t>
      </w:r>
      <w:r>
        <w:rPr>
          <w:rFonts w:hint="eastAsia" w:ascii="宋体" w:hAnsi="宋体" w:eastAsia="宋体" w:cs="宋体"/>
          <w:color w:val="auto"/>
          <w:spacing w:val="7"/>
          <w:sz w:val="24"/>
          <w:szCs w:val="24"/>
          <w:highlight w:val="none"/>
        </w:rPr>
        <w:t>标人有权从工程支付款或履约保证金中扣除不超过10％签约合同价的金额作为违约金。同时招标</w:t>
      </w:r>
      <w:r>
        <w:rPr>
          <w:rFonts w:hint="eastAsia" w:ascii="宋体" w:hAnsi="宋体" w:eastAsia="宋体" w:cs="宋体"/>
          <w:color w:val="auto"/>
          <w:spacing w:val="10"/>
          <w:sz w:val="24"/>
          <w:szCs w:val="24"/>
          <w:highlight w:val="none"/>
        </w:rPr>
        <w:t>人将投标人上述弄虚作假行为上报省级交通运输主管部门，作为不良</w:t>
      </w:r>
      <w:r>
        <w:rPr>
          <w:rFonts w:hint="eastAsia" w:ascii="宋体" w:hAnsi="宋体" w:eastAsia="宋体" w:cs="宋体"/>
          <w:color w:val="auto"/>
          <w:spacing w:val="9"/>
          <w:sz w:val="24"/>
          <w:szCs w:val="24"/>
          <w:highlight w:val="none"/>
        </w:rPr>
        <w:t>记录纳入公路建设市场信用</w:t>
      </w:r>
      <w:r>
        <w:rPr>
          <w:rFonts w:hint="eastAsia" w:ascii="宋体" w:hAnsi="宋体" w:eastAsia="宋体" w:cs="宋体"/>
          <w:color w:val="auto"/>
          <w:spacing w:val="7"/>
          <w:sz w:val="24"/>
          <w:szCs w:val="24"/>
          <w:highlight w:val="none"/>
        </w:rPr>
        <w:t>信息管理系统。</w:t>
      </w:r>
    </w:p>
    <w:p w14:paraId="49D5544E">
      <w:pPr>
        <w:pStyle w:val="4"/>
        <w:spacing w:line="359" w:lineRule="auto"/>
        <w:rPr>
          <w:rFonts w:hint="eastAsia" w:ascii="宋体" w:hAnsi="宋体" w:eastAsia="宋体" w:cs="宋体"/>
          <w:color w:val="auto"/>
          <w:highlight w:val="none"/>
        </w:rPr>
      </w:pPr>
    </w:p>
    <w:p w14:paraId="3C31FB7A">
      <w:pPr>
        <w:pStyle w:val="4"/>
        <w:spacing w:before="91" w:line="222" w:lineRule="auto"/>
        <w:ind w:left="22"/>
        <w:outlineLvl w:val="1"/>
        <w:rPr>
          <w:rFonts w:hint="eastAsia" w:ascii="宋体" w:hAnsi="宋体" w:eastAsia="宋体" w:cs="宋体"/>
          <w:color w:val="auto"/>
          <w:sz w:val="28"/>
          <w:szCs w:val="28"/>
          <w:highlight w:val="none"/>
        </w:rPr>
      </w:pPr>
      <w:bookmarkStart w:id="190" w:name="_Toc23829"/>
      <w:bookmarkStart w:id="191" w:name="_Toc24121"/>
      <w:bookmarkStart w:id="192" w:name="_Toc26600"/>
      <w:bookmarkStart w:id="193" w:name="_Toc18167"/>
      <w:bookmarkStart w:id="194" w:name="_Toc4096"/>
      <w:r>
        <w:rPr>
          <w:rFonts w:hint="eastAsia" w:ascii="宋体" w:hAnsi="宋体" w:eastAsia="宋体" w:cs="宋体"/>
          <w:b/>
          <w:bCs/>
          <w:color w:val="auto"/>
          <w:spacing w:val="-3"/>
          <w:sz w:val="28"/>
          <w:szCs w:val="28"/>
          <w:highlight w:val="none"/>
        </w:rPr>
        <w:t>3.5资格审查资料（适用于未进行资格预审的）</w:t>
      </w:r>
      <w:bookmarkEnd w:id="190"/>
      <w:bookmarkEnd w:id="191"/>
      <w:bookmarkEnd w:id="192"/>
      <w:bookmarkEnd w:id="193"/>
      <w:bookmarkEnd w:id="194"/>
    </w:p>
    <w:p w14:paraId="7F2BC90B">
      <w:pPr>
        <w:pStyle w:val="4"/>
        <w:spacing w:line="436" w:lineRule="auto"/>
        <w:rPr>
          <w:rFonts w:hint="eastAsia" w:ascii="宋体" w:hAnsi="宋体" w:eastAsia="宋体" w:cs="宋体"/>
          <w:color w:val="auto"/>
          <w:highlight w:val="none"/>
        </w:rPr>
      </w:pPr>
    </w:p>
    <w:p w14:paraId="3A97F440">
      <w:pPr>
        <w:spacing w:before="65" w:line="377" w:lineRule="auto"/>
        <w:ind w:left="27" w:right="71" w:firstLine="425"/>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除投标人须知前附表另有规定外，投标人应按下列规定提供资格审查资料，以证明其满足本</w:t>
      </w:r>
      <w:r>
        <w:rPr>
          <w:rFonts w:hint="eastAsia" w:ascii="宋体" w:hAnsi="宋体" w:eastAsia="宋体" w:cs="宋体"/>
          <w:color w:val="auto"/>
          <w:spacing w:val="8"/>
          <w:sz w:val="24"/>
          <w:szCs w:val="24"/>
          <w:highlight w:val="none"/>
        </w:rPr>
        <w:t>章第1.4款规定的资质、财务、业绩、信誉</w:t>
      </w:r>
      <w:r>
        <w:rPr>
          <w:rFonts w:hint="eastAsia" w:ascii="宋体" w:hAnsi="宋体" w:eastAsia="宋体" w:cs="宋体"/>
          <w:color w:val="auto"/>
          <w:spacing w:val="7"/>
          <w:sz w:val="24"/>
          <w:szCs w:val="24"/>
          <w:highlight w:val="none"/>
        </w:rPr>
        <w:t>等要求。</w:t>
      </w:r>
    </w:p>
    <w:p w14:paraId="0800A156">
      <w:pPr>
        <w:keepNext w:val="0"/>
        <w:keepLines w:val="0"/>
        <w:pageBreakBefore w:val="0"/>
        <w:widowControl/>
        <w:kinsoku w:val="0"/>
        <w:wordWrap/>
        <w:overflowPunct/>
        <w:topLinePunct w:val="0"/>
        <w:autoSpaceDE w:val="0"/>
        <w:autoSpaceDN w:val="0"/>
        <w:bidi w:val="0"/>
        <w:adjustRightInd w:val="0"/>
        <w:snapToGrid w:val="0"/>
        <w:spacing w:before="3" w:line="377" w:lineRule="auto"/>
        <w:ind w:right="0" w:firstLine="512"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3.5.1“投标人基本情况表”应附企业法人营业执照副本和组织机构代码证副本（按照“三证合一”或“五证合一”登记制度进行登记的，可仅提供营业执照副本，下同）、施工资质证书</w:t>
      </w:r>
      <w:r>
        <w:rPr>
          <w:rFonts w:hint="eastAsia" w:ascii="宋体" w:hAnsi="宋体" w:eastAsia="宋体" w:cs="宋体"/>
          <w:color w:val="auto"/>
          <w:spacing w:val="12"/>
          <w:sz w:val="24"/>
          <w:szCs w:val="24"/>
          <w:highlight w:val="none"/>
        </w:rPr>
        <w:t>副本、安全生产许可证副本、基本账户开户许可证明材料的复印件4，投标人在交通运输部“全</w:t>
      </w:r>
      <w:r>
        <w:rPr>
          <w:rFonts w:hint="eastAsia" w:ascii="宋体" w:hAnsi="宋体" w:eastAsia="宋体" w:cs="宋体"/>
          <w:color w:val="auto"/>
          <w:spacing w:val="8"/>
          <w:sz w:val="24"/>
          <w:szCs w:val="24"/>
          <w:highlight w:val="none"/>
        </w:rPr>
        <w:t>国公路建设市场信用信息管理系统”公路工程施工资质企业名录中的网页截图复印件，以及投标</w:t>
      </w:r>
      <w:r>
        <w:rPr>
          <w:rFonts w:hint="eastAsia" w:ascii="宋体" w:hAnsi="宋体" w:eastAsia="宋体" w:cs="宋体"/>
          <w:color w:val="auto"/>
          <w:spacing w:val="10"/>
          <w:sz w:val="24"/>
          <w:szCs w:val="24"/>
          <w:highlight w:val="none"/>
        </w:rPr>
        <w:t>人在国家企业信用信息公示系统中基础信息（体现股东及出资详细信</w:t>
      </w:r>
      <w:r>
        <w:rPr>
          <w:rFonts w:hint="eastAsia" w:ascii="宋体" w:hAnsi="宋体" w:eastAsia="宋体" w:cs="宋体"/>
          <w:color w:val="auto"/>
          <w:spacing w:val="9"/>
          <w:sz w:val="24"/>
          <w:szCs w:val="24"/>
          <w:highlight w:val="none"/>
        </w:rPr>
        <w:t>息）的网页截图或由法定的社会验资机构出具的验资报告或注册地工商部门出具的股东出资情况证明复印件。</w:t>
      </w:r>
    </w:p>
    <w:p w14:paraId="109E1623">
      <w:pPr>
        <w:spacing w:before="2" w:line="376" w:lineRule="auto"/>
        <w:ind w:left="19" w:firstLine="423"/>
        <w:jc w:val="both"/>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企业法人营业执照副本和组织机构代码证副本、施工资质</w:t>
      </w:r>
      <w:r>
        <w:rPr>
          <w:rFonts w:hint="eastAsia" w:ascii="宋体" w:hAnsi="宋体" w:eastAsia="宋体" w:cs="宋体"/>
          <w:color w:val="auto"/>
          <w:spacing w:val="9"/>
          <w:sz w:val="24"/>
          <w:szCs w:val="24"/>
          <w:highlight w:val="none"/>
        </w:rPr>
        <w:t>证书副本、安全生产许可证副本的</w:t>
      </w:r>
      <w:r>
        <w:rPr>
          <w:rFonts w:hint="eastAsia" w:ascii="宋体" w:hAnsi="宋体" w:eastAsia="宋体" w:cs="宋体"/>
          <w:color w:val="auto"/>
          <w:spacing w:val="7"/>
          <w:sz w:val="24"/>
          <w:szCs w:val="24"/>
          <w:highlight w:val="none"/>
        </w:rPr>
        <w:t>复印件应提供全本（证书封面、封底、空白页除外</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7"/>
          <w:sz w:val="24"/>
          <w:szCs w:val="24"/>
          <w:highlight w:val="none"/>
        </w:rPr>
        <w:t>应包括投标人名称、投标人其他相关信</w:t>
      </w:r>
      <w:r>
        <w:rPr>
          <w:rFonts w:hint="eastAsia" w:ascii="宋体" w:hAnsi="宋体" w:eastAsia="宋体" w:cs="宋体"/>
          <w:color w:val="auto"/>
          <w:spacing w:val="6"/>
          <w:sz w:val="24"/>
          <w:szCs w:val="24"/>
          <w:highlight w:val="none"/>
        </w:rPr>
        <w:t>息、</w:t>
      </w:r>
      <w:r>
        <w:rPr>
          <w:rFonts w:hint="eastAsia" w:ascii="宋体" w:hAnsi="宋体" w:eastAsia="宋体" w:cs="宋体"/>
          <w:color w:val="auto"/>
          <w:spacing w:val="9"/>
          <w:sz w:val="24"/>
          <w:szCs w:val="24"/>
          <w:highlight w:val="none"/>
        </w:rPr>
        <w:t>颁发机构名称、投标人信息变更情况等关键页在内。</w:t>
      </w:r>
    </w:p>
    <w:p w14:paraId="15A8063B">
      <w:pPr>
        <w:spacing w:before="1" w:line="379" w:lineRule="auto"/>
        <w:ind w:left="18" w:right="71" w:firstLine="425"/>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3.5.2“财务状况表”应附经会计师事务所或审计机构审计的财务会计报表，包括资产负债</w:t>
      </w:r>
      <w:r>
        <w:rPr>
          <w:rFonts w:hint="eastAsia" w:ascii="宋体" w:hAnsi="宋体" w:eastAsia="宋体" w:cs="宋体"/>
          <w:color w:val="auto"/>
          <w:spacing w:val="10"/>
          <w:sz w:val="24"/>
          <w:szCs w:val="24"/>
          <w:highlight w:val="none"/>
        </w:rPr>
        <w:t>表、现金流量表、利润表和财务情况说明书的复印件，具体年份要求见</w:t>
      </w:r>
      <w:r>
        <w:rPr>
          <w:rFonts w:hint="eastAsia" w:ascii="宋体" w:hAnsi="宋体" w:eastAsia="宋体" w:cs="宋体"/>
          <w:color w:val="auto"/>
          <w:spacing w:val="9"/>
          <w:sz w:val="24"/>
          <w:szCs w:val="24"/>
          <w:highlight w:val="none"/>
        </w:rPr>
        <w:t>投标人须知前附表。投标人的成立时间少于投标人须知前附表规定年份的，应提供成立以来的财务状况表。</w:t>
      </w:r>
    </w:p>
    <w:p w14:paraId="01C93D13">
      <w:pPr>
        <w:spacing w:before="161" w:line="378" w:lineRule="auto"/>
        <w:ind w:left="23" w:right="100" w:firstLine="42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3.5.3“近年完成的类似项目”应是已列入交通运输主管部门“公路建设市场信用信息管理系统”并公开的主包已建业绩或分包已建业绩，具体时间要求见投标人须知前附表。</w:t>
      </w:r>
    </w:p>
    <w:p w14:paraId="55E2A73C">
      <w:pPr>
        <w:spacing w:before="5" w:line="371" w:lineRule="auto"/>
        <w:ind w:left="19" w:firstLine="409"/>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“近年完成的类似项目情况表”应附在交通运输部“全国公路建设市场信用信息管理系</w:t>
      </w:r>
      <w:r>
        <w:rPr>
          <w:rFonts w:hint="eastAsia" w:ascii="宋体" w:hAnsi="宋体" w:eastAsia="宋体" w:cs="宋体"/>
          <w:color w:val="auto"/>
          <w:spacing w:val="10"/>
          <w:sz w:val="24"/>
          <w:szCs w:val="24"/>
          <w:highlight w:val="none"/>
        </w:rPr>
        <w:t>统”</w:t>
      </w:r>
      <w:r>
        <w:rPr>
          <w:rFonts w:hint="eastAsia" w:ascii="宋体" w:hAnsi="宋体" w:eastAsia="宋体" w:cs="宋体"/>
          <w:color w:val="auto"/>
          <w:spacing w:val="8"/>
          <w:sz w:val="24"/>
          <w:szCs w:val="24"/>
          <w:highlight w:val="none"/>
        </w:rPr>
        <w:t>（网址：</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glxy.mot.gov.cn/BM/）中查询到的企业“业绩信息”相关项目网页截图复印件，即包括“项目名称”“标段类型”“合同价”“主要工程量”“项目主要管理人员”等栏目在内的项目详细信息网页截图复印件。在交通运输部“全国公路建设市场信用信息管理系统”中无法查询，但可在省级交通运输主管部门“公路建设市场信用信息管理系统”中查询的，应附省级交通运输主管部门“公路建设市场信用信息管理系统”中查询到的网页截图复印件。除网页截图复印件外，投标人无须再提供任何业绩证明材料。"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http</w:t>
      </w:r>
      <w:r>
        <w:rPr>
          <w:rFonts w:hint="eastAsia" w:ascii="宋体" w:hAnsi="宋体" w:eastAsia="宋体" w:cs="宋体"/>
          <w:color w:val="auto"/>
          <w:spacing w:val="8"/>
          <w:sz w:val="24"/>
          <w:szCs w:val="24"/>
          <w:highlight w:val="none"/>
        </w:rPr>
        <w:t>://</w:t>
      </w:r>
      <w:r>
        <w:rPr>
          <w:rFonts w:hint="eastAsia" w:ascii="宋体" w:hAnsi="宋体" w:eastAsia="宋体" w:cs="宋体"/>
          <w:color w:val="auto"/>
          <w:sz w:val="24"/>
          <w:szCs w:val="24"/>
          <w:highlight w:val="none"/>
        </w:rPr>
        <w:t>glxy</w:t>
      </w:r>
      <w:r>
        <w:rPr>
          <w:rFonts w:hint="eastAsia" w:ascii="宋体" w:hAnsi="宋体" w:eastAsia="宋体" w:cs="宋体"/>
          <w:color w:val="auto"/>
          <w:spacing w:val="8"/>
          <w:sz w:val="24"/>
          <w:szCs w:val="24"/>
          <w:highlight w:val="none"/>
        </w:rPr>
        <w:t>.</w:t>
      </w:r>
      <w:r>
        <w:rPr>
          <w:rFonts w:hint="eastAsia" w:ascii="宋体" w:hAnsi="宋体" w:eastAsia="宋体" w:cs="宋体"/>
          <w:color w:val="auto"/>
          <w:sz w:val="24"/>
          <w:szCs w:val="24"/>
          <w:highlight w:val="none"/>
        </w:rPr>
        <w:t>mot</w:t>
      </w:r>
      <w:r>
        <w:rPr>
          <w:rFonts w:hint="eastAsia" w:ascii="宋体" w:hAnsi="宋体" w:eastAsia="宋体" w:cs="宋体"/>
          <w:color w:val="auto"/>
          <w:spacing w:val="8"/>
          <w:sz w:val="24"/>
          <w:szCs w:val="24"/>
          <w:highlight w:val="none"/>
        </w:rPr>
        <w:t>.</w:t>
      </w:r>
      <w:r>
        <w:rPr>
          <w:rFonts w:hint="eastAsia" w:ascii="宋体" w:hAnsi="宋体" w:eastAsia="宋体" w:cs="宋体"/>
          <w:color w:val="auto"/>
          <w:sz w:val="24"/>
          <w:szCs w:val="24"/>
          <w:highlight w:val="none"/>
        </w:rPr>
        <w:t>gov</w:t>
      </w:r>
      <w:r>
        <w:rPr>
          <w:rFonts w:hint="eastAsia" w:ascii="宋体" w:hAnsi="宋体" w:eastAsia="宋体" w:cs="宋体"/>
          <w:color w:val="auto"/>
          <w:spacing w:val="8"/>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pacing w:val="8"/>
          <w:sz w:val="24"/>
          <w:szCs w:val="24"/>
          <w:highlight w:val="none"/>
        </w:rPr>
        <w:t>/</w:t>
      </w:r>
      <w:r>
        <w:rPr>
          <w:rFonts w:hint="eastAsia" w:ascii="宋体" w:hAnsi="宋体" w:eastAsia="宋体" w:cs="宋体"/>
          <w:color w:val="auto"/>
          <w:sz w:val="24"/>
          <w:szCs w:val="24"/>
          <w:highlight w:val="none"/>
        </w:rPr>
        <w:t>BM</w:t>
      </w:r>
      <w:r>
        <w:rPr>
          <w:rFonts w:hint="eastAsia" w:ascii="宋体" w:hAnsi="宋体" w:eastAsia="宋体" w:cs="宋体"/>
          <w:color w:val="auto"/>
          <w:spacing w:val="8"/>
          <w:sz w:val="24"/>
          <w:szCs w:val="24"/>
          <w:highlight w:val="none"/>
        </w:rPr>
        <w:t>/）中查询到的企业“业绩信息”相关项目网页截图复印</w:t>
      </w:r>
      <w:r>
        <w:rPr>
          <w:rFonts w:hint="eastAsia" w:ascii="宋体" w:hAnsi="宋体" w:eastAsia="宋体" w:cs="宋体"/>
          <w:color w:val="auto"/>
          <w:spacing w:val="7"/>
          <w:sz w:val="24"/>
          <w:szCs w:val="24"/>
          <w:highlight w:val="none"/>
        </w:rPr>
        <w:t>件，</w:t>
      </w:r>
      <w:r>
        <w:rPr>
          <w:rFonts w:hint="eastAsia" w:ascii="宋体" w:hAnsi="宋体" w:eastAsia="宋体" w:cs="宋体"/>
          <w:color w:val="auto"/>
          <w:spacing w:val="7"/>
          <w:sz w:val="24"/>
          <w:szCs w:val="24"/>
          <w:highlight w:val="none"/>
        </w:rPr>
        <w:fldChar w:fldCharType="end"/>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glxy.mot.gov.cn/BM/）中查询到的企业“业绩信息”相关项目网页截图复印件，即包括“项目名称”“标段类型”“合同价”“主要工程量”“项目主要管理人员”等栏目在内的项目详细信息网页截图复印件。在交通运输部“全国公路建设市场信用信息管理系统”中无法查询，但可在省级交通运输主管部门“公路建设市场信用信息管理系统”中查询的，应附省级交通运输主管部门“公路建设市场信用信息管理系统”中查询到的网页截图复印件。除网页截图复印件外，投标人无须再提供任何业绩证明材料。"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pacing w:val="10"/>
          <w:sz w:val="24"/>
          <w:szCs w:val="24"/>
          <w:highlight w:val="none"/>
        </w:rPr>
        <w:t>即包括“项目名称”“标段类型”“合同价”“主要工程量”“项目</w:t>
      </w:r>
      <w:r>
        <w:rPr>
          <w:rFonts w:hint="eastAsia" w:ascii="宋体" w:hAnsi="宋体" w:eastAsia="宋体" w:cs="宋体"/>
          <w:color w:val="auto"/>
          <w:spacing w:val="9"/>
          <w:sz w:val="24"/>
          <w:szCs w:val="24"/>
          <w:highlight w:val="none"/>
        </w:rPr>
        <w:t>主要管理人员”等栏目在内</w:t>
      </w:r>
      <w:r>
        <w:rPr>
          <w:rFonts w:hint="eastAsia" w:ascii="宋体" w:hAnsi="宋体" w:eastAsia="宋体" w:cs="宋体"/>
          <w:color w:val="auto"/>
          <w:spacing w:val="9"/>
          <w:sz w:val="24"/>
          <w:szCs w:val="24"/>
          <w:highlight w:val="none"/>
        </w:rPr>
        <w:fldChar w:fldCharType="end"/>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glxy.mot.gov.cn/BM/）中查询到的企业“业绩信息”相关项目网页截图复印件，即包括“项目名称”“标段类型”“合同价”“主要工程量”“项目主要管理人员”等栏目在内的项目详细信息网页截图复印件。在交通运输部“全国公路建设市场信用信息管理系统”中无法查询，但可在省级交通运输主管部门“公路建设市场信用信息管理系统”中查询的，应附省级交通运输主管部门“公路建设市场信用信息管理系统”中查询到的网页截图复印件。除网页截图复印件外，投标人无须再提供任何业绩证明材料。"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pacing w:val="-6"/>
          <w:sz w:val="24"/>
          <w:szCs w:val="24"/>
          <w:highlight w:val="none"/>
        </w:rPr>
        <w:t>的项目详细信息网页截图复印件。</w:t>
      </w:r>
      <w:r>
        <w:rPr>
          <w:rFonts w:hint="eastAsia" w:ascii="宋体" w:hAnsi="宋体" w:eastAsia="宋体" w:cs="宋体"/>
          <w:color w:val="auto"/>
          <w:spacing w:val="10"/>
          <w:sz w:val="24"/>
          <w:szCs w:val="24"/>
          <w:highlight w:val="none"/>
        </w:rPr>
        <w:t>在交通运输部“全国公路建设市场</w:t>
      </w:r>
      <w:r>
        <w:rPr>
          <w:rFonts w:hint="eastAsia" w:ascii="宋体" w:hAnsi="宋体" w:eastAsia="宋体" w:cs="宋体"/>
          <w:color w:val="auto"/>
          <w:spacing w:val="9"/>
          <w:sz w:val="24"/>
          <w:szCs w:val="24"/>
          <w:highlight w:val="none"/>
        </w:rPr>
        <w:t>信用信息管理系统”中无法</w:t>
      </w:r>
      <w:r>
        <w:rPr>
          <w:rFonts w:hint="eastAsia" w:ascii="宋体" w:hAnsi="宋体" w:eastAsia="宋体" w:cs="宋体"/>
          <w:color w:val="auto"/>
          <w:spacing w:val="9"/>
          <w:sz w:val="24"/>
          <w:szCs w:val="24"/>
          <w:highlight w:val="none"/>
        </w:rPr>
        <w:fldChar w:fldCharType="end"/>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glxy.mot.gov.cn/BM/）中查询到的企业“业绩信息”相关项目网页截图复印件，即包括“项目名称”“标段类型”“合同价”“主要工程量”“项目主要管理人员”等栏目在内的项目详细信息网页截图复印件。在交通运输部“全国公路建设市场信用信息管理系统”中无法查询，但可在省级交通运输主管部门“公路建设市场信用信息管理系统”中查询的，应附省级交通运输主管部门“公路建设市场信用信息管理系统”中查询到的网页截图复印件。除网页截图复印件外，投标人无须再提供任何业绩证明材料。"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pacing w:val="10"/>
          <w:sz w:val="24"/>
          <w:szCs w:val="24"/>
          <w:highlight w:val="none"/>
        </w:rPr>
        <w:t>查询，但可在省级交通运输主管部门“公路建设市场信用信息管理系</w:t>
      </w:r>
      <w:r>
        <w:rPr>
          <w:rFonts w:hint="eastAsia" w:ascii="宋体" w:hAnsi="宋体" w:eastAsia="宋体" w:cs="宋体"/>
          <w:color w:val="auto"/>
          <w:spacing w:val="9"/>
          <w:sz w:val="24"/>
          <w:szCs w:val="24"/>
          <w:highlight w:val="none"/>
        </w:rPr>
        <w:t>统”中查询的，应附省级交</w:t>
      </w:r>
      <w:r>
        <w:rPr>
          <w:rFonts w:hint="eastAsia" w:ascii="宋体" w:hAnsi="宋体" w:eastAsia="宋体" w:cs="宋体"/>
          <w:color w:val="auto"/>
          <w:spacing w:val="9"/>
          <w:sz w:val="24"/>
          <w:szCs w:val="24"/>
          <w:highlight w:val="none"/>
        </w:rPr>
        <w:fldChar w:fldCharType="end"/>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glxy.mot.gov.cn/BM/）中查询到的企业“业绩信息”相关项目网页截图复印件，即包括“项目名称”“标段类型”“合同价”“主要工程量”“项目主要管理人员”等栏目在内的项目详细信息网页截图复印件。在交通运输部“全国公路建设市场信用信息管理系统”中无法查询，但可在省级交通运输主管部门“公路建设市场信用信息管理系统”中查询的，应附省级交通运输主管部门“公路建设市场信用信息管理系统”中查询到的网页截图复印件。除网页截图复印件外，投标人无须再提供任何业绩证明材料。"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pacing w:val="10"/>
          <w:sz w:val="24"/>
          <w:szCs w:val="24"/>
          <w:highlight w:val="none"/>
        </w:rPr>
        <w:t>通运输主管部门“公路建设市场信用信息管理系统”中查询到的网页</w:t>
      </w:r>
      <w:r>
        <w:rPr>
          <w:rFonts w:hint="eastAsia" w:ascii="宋体" w:hAnsi="宋体" w:eastAsia="宋体" w:cs="宋体"/>
          <w:color w:val="auto"/>
          <w:spacing w:val="9"/>
          <w:sz w:val="24"/>
          <w:szCs w:val="24"/>
          <w:highlight w:val="none"/>
        </w:rPr>
        <w:t>截图复印件。除网页截图复</w:t>
      </w:r>
      <w:r>
        <w:rPr>
          <w:rFonts w:hint="eastAsia" w:ascii="宋体" w:hAnsi="宋体" w:eastAsia="宋体" w:cs="宋体"/>
          <w:color w:val="auto"/>
          <w:spacing w:val="9"/>
          <w:sz w:val="24"/>
          <w:szCs w:val="24"/>
          <w:highlight w:val="none"/>
        </w:rPr>
        <w:fldChar w:fldCharType="end"/>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glxy.mot.gov.cn/BM/）中查询到的企业“业绩信息”相关项目网页截图复印件，即包括“项目名称”“标段类型”“合同价”“主要工程量”“项目主要管理人员”等栏目在内的项目详细信息网页截图复印件。在交通运输部“全国公路建设市场信用信息管理系统”中无法查询，但可在省级交通运输主管部门“公路建设市场信用信息管理系统”中查询的，应附省级交通运输主管部门“公路建设市场信用信息管理系统”中查询到的网页截图复印件。除网页截图复印件外，投标人无须再提供任何业绩证明材料。"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pacing w:val="9"/>
          <w:sz w:val="24"/>
          <w:szCs w:val="24"/>
          <w:highlight w:val="none"/>
        </w:rPr>
        <w:t>印件外，投标人无须再提供任何业绩证明材料。</w:t>
      </w:r>
      <w:r>
        <w:rPr>
          <w:rFonts w:hint="eastAsia" w:ascii="宋体" w:hAnsi="宋体" w:eastAsia="宋体" w:cs="宋体"/>
          <w:color w:val="auto"/>
          <w:spacing w:val="9"/>
          <w:sz w:val="24"/>
          <w:szCs w:val="24"/>
          <w:highlight w:val="none"/>
        </w:rPr>
        <w:fldChar w:fldCharType="end"/>
      </w:r>
    </w:p>
    <w:p w14:paraId="7256B54E">
      <w:pPr>
        <w:spacing w:before="40" w:line="377" w:lineRule="auto"/>
        <w:ind w:left="20" w:right="100" w:firstLine="422"/>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如投标人未提供相关项目网页截图复印件或相关项目网页</w:t>
      </w:r>
      <w:r>
        <w:rPr>
          <w:rFonts w:hint="eastAsia" w:ascii="宋体" w:hAnsi="宋体" w:eastAsia="宋体" w:cs="宋体"/>
          <w:color w:val="auto"/>
          <w:spacing w:val="9"/>
          <w:sz w:val="24"/>
          <w:szCs w:val="24"/>
          <w:highlight w:val="none"/>
        </w:rPr>
        <w:t>截图中的信息无法证实投标人满足招标文件规定的资格审查条件（业绩最低要求</w:t>
      </w:r>
      <w:r>
        <w:rPr>
          <w:rFonts w:hint="eastAsia" w:ascii="宋体" w:hAnsi="宋体" w:eastAsia="宋体" w:cs="宋体"/>
          <w:color w:val="auto"/>
          <w:spacing w:val="17"/>
          <w:sz w:val="24"/>
          <w:szCs w:val="24"/>
          <w:highlight w:val="none"/>
        </w:rPr>
        <w:t>），</w:t>
      </w:r>
      <w:r>
        <w:rPr>
          <w:rFonts w:hint="eastAsia" w:ascii="宋体" w:hAnsi="宋体" w:eastAsia="宋体" w:cs="宋体"/>
          <w:color w:val="auto"/>
          <w:spacing w:val="9"/>
          <w:sz w:val="24"/>
          <w:szCs w:val="24"/>
          <w:highlight w:val="none"/>
        </w:rPr>
        <w:t>则该项目业</w:t>
      </w:r>
      <w:r>
        <w:rPr>
          <w:rFonts w:hint="eastAsia" w:ascii="宋体" w:hAnsi="宋体" w:eastAsia="宋体" w:cs="宋体"/>
          <w:color w:val="auto"/>
          <w:spacing w:val="8"/>
          <w:sz w:val="24"/>
          <w:szCs w:val="24"/>
          <w:highlight w:val="none"/>
        </w:rPr>
        <w:t>绩不予认定。</w:t>
      </w:r>
    </w:p>
    <w:p w14:paraId="4C7240C5">
      <w:pPr>
        <w:spacing w:before="2" w:line="326" w:lineRule="auto"/>
        <w:ind w:left="19" w:right="29" w:firstLine="424"/>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3.5.4“投标人的信誉情况表”应附投标人在国家企业信用信息公示系统中未被列入严重违</w:t>
      </w:r>
      <w:r>
        <w:rPr>
          <w:rFonts w:hint="eastAsia" w:ascii="宋体" w:hAnsi="宋体" w:eastAsia="宋体" w:cs="宋体"/>
          <w:color w:val="auto"/>
          <w:spacing w:val="6"/>
          <w:sz w:val="24"/>
          <w:szCs w:val="24"/>
          <w:highlight w:val="none"/>
        </w:rPr>
        <w:t>法失信企业名单、在“信用中国”网站中未被列入失信被执行人名单以及投标</w:t>
      </w:r>
      <w:r>
        <w:rPr>
          <w:rFonts w:hint="eastAsia" w:ascii="宋体" w:hAnsi="宋体" w:eastAsia="宋体" w:cs="宋体"/>
          <w:color w:val="auto"/>
          <w:spacing w:val="5"/>
          <w:sz w:val="24"/>
          <w:szCs w:val="24"/>
          <w:highlight w:val="none"/>
        </w:rPr>
        <w:t>人或其法定代表人、</w:t>
      </w:r>
      <w:r>
        <w:rPr>
          <w:rFonts w:hint="eastAsia" w:ascii="宋体" w:hAnsi="宋体" w:eastAsia="宋体" w:cs="宋体"/>
          <w:color w:val="auto"/>
          <w:spacing w:val="8"/>
          <w:sz w:val="24"/>
          <w:szCs w:val="24"/>
          <w:highlight w:val="none"/>
        </w:rPr>
        <w:t>拟委的项目经理在近三年内无行贿犯罪行为(以“中国裁判文书网”查询结果为准)的网页截</w:t>
      </w:r>
      <w:r>
        <w:rPr>
          <w:rFonts w:hint="eastAsia" w:ascii="宋体" w:hAnsi="宋体" w:eastAsia="宋体" w:cs="宋体"/>
          <w:color w:val="auto"/>
          <w:spacing w:val="7"/>
          <w:sz w:val="24"/>
          <w:szCs w:val="24"/>
          <w:highlight w:val="none"/>
        </w:rPr>
        <w:t>图。</w:t>
      </w:r>
    </w:p>
    <w:p w14:paraId="32B07836">
      <w:pPr>
        <w:spacing w:before="163" w:line="347" w:lineRule="auto"/>
        <w:ind w:left="18" w:right="12" w:firstLine="425"/>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3.5.5“拟委任的项目经理和项目总工资历表”应附项目经理和项目总工的身份证、职称资</w:t>
      </w:r>
      <w:r>
        <w:rPr>
          <w:rFonts w:hint="eastAsia" w:ascii="宋体" w:hAnsi="宋体" w:eastAsia="宋体" w:cs="宋体"/>
          <w:color w:val="auto"/>
          <w:spacing w:val="7"/>
          <w:sz w:val="24"/>
          <w:szCs w:val="24"/>
          <w:highlight w:val="none"/>
        </w:rPr>
        <w:t>格证书以及资格审查条件所要求的其他相关证书（如建造师注册证书、安全生产考核合</w:t>
      </w:r>
      <w:r>
        <w:rPr>
          <w:rFonts w:hint="eastAsia" w:ascii="宋体" w:hAnsi="宋体" w:eastAsia="宋体" w:cs="宋体"/>
          <w:color w:val="auto"/>
          <w:spacing w:val="6"/>
          <w:sz w:val="24"/>
          <w:szCs w:val="24"/>
          <w:highlight w:val="none"/>
        </w:rPr>
        <w:t>格证书等）</w:t>
      </w:r>
      <w:r>
        <w:rPr>
          <w:rFonts w:hint="eastAsia" w:ascii="宋体" w:hAnsi="宋体" w:eastAsia="宋体" w:cs="宋体"/>
          <w:color w:val="auto"/>
          <w:spacing w:val="10"/>
          <w:sz w:val="24"/>
          <w:szCs w:val="24"/>
          <w:highlight w:val="none"/>
        </w:rPr>
        <w:t>的复印件，建造师注册证书、安全生产考核合格证书在政府相关部门网</w:t>
      </w:r>
      <w:r>
        <w:rPr>
          <w:rFonts w:hint="eastAsia" w:ascii="宋体" w:hAnsi="宋体" w:eastAsia="宋体" w:cs="宋体"/>
          <w:color w:val="auto"/>
          <w:spacing w:val="9"/>
          <w:sz w:val="24"/>
          <w:szCs w:val="24"/>
          <w:highlight w:val="none"/>
        </w:rPr>
        <w:t>站上公开信息的网页截图复印件，以及投标人所属社保机构出具的拟委任的项目经理和项目总工的</w:t>
      </w:r>
      <w:r>
        <w:rPr>
          <w:rFonts w:hint="eastAsia" w:ascii="宋体" w:hAnsi="宋体" w:eastAsia="宋体" w:cs="宋体"/>
          <w:color w:val="auto"/>
          <w:spacing w:val="8"/>
          <w:sz w:val="24"/>
          <w:szCs w:val="24"/>
          <w:highlight w:val="none"/>
        </w:rPr>
        <w:t>社保缴费证明或其他能</w:t>
      </w:r>
      <w:r>
        <w:rPr>
          <w:rFonts w:hint="eastAsia" w:ascii="宋体" w:hAnsi="宋体" w:eastAsia="宋体" w:cs="宋体"/>
          <w:color w:val="auto"/>
          <w:spacing w:val="9"/>
          <w:sz w:val="24"/>
          <w:szCs w:val="24"/>
          <w:highlight w:val="none"/>
        </w:rPr>
        <w:t>够证明拟委任的项目经理和项目总工参加社保的有效证明材料复印件。</w:t>
      </w:r>
    </w:p>
    <w:p w14:paraId="78E8BEF7">
      <w:pPr>
        <w:spacing w:before="164" w:line="377" w:lineRule="auto"/>
        <w:ind w:left="21" w:right="29" w:firstLine="408"/>
        <w:jc w:val="both"/>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拟委任的项目经理和项目总工资历表”还应附交通运输部“全国公路建设市场信用信息管理系统”中载明的、能够证明项目经理和项目总工具有相关业绩的网页截图复印件。在交通运输部“全国公路建设市场信用信息管理系统”中无法查询，但可在省级交通运输主管部门“公</w:t>
      </w:r>
      <w:r>
        <w:rPr>
          <w:rFonts w:hint="eastAsia" w:ascii="宋体" w:hAnsi="宋体" w:eastAsia="宋体" w:cs="宋体"/>
          <w:color w:val="auto"/>
          <w:spacing w:val="8"/>
          <w:sz w:val="24"/>
          <w:szCs w:val="24"/>
          <w:highlight w:val="none"/>
        </w:rPr>
        <w:t>路建</w:t>
      </w:r>
      <w:r>
        <w:rPr>
          <w:rFonts w:hint="eastAsia" w:ascii="宋体" w:hAnsi="宋体" w:eastAsia="宋体" w:cs="宋体"/>
          <w:color w:val="auto"/>
          <w:spacing w:val="9"/>
          <w:sz w:val="24"/>
          <w:szCs w:val="24"/>
          <w:highlight w:val="none"/>
        </w:rPr>
        <w:t>设市场信用信息管理系统”中查询的，应附省级交通运输主管部门“公路建设市场信用信息管理</w:t>
      </w:r>
      <w:r>
        <w:rPr>
          <w:rFonts w:hint="eastAsia" w:ascii="宋体" w:hAnsi="宋体" w:eastAsia="宋体" w:cs="宋体"/>
          <w:color w:val="auto"/>
          <w:spacing w:val="6"/>
          <w:sz w:val="24"/>
          <w:szCs w:val="24"/>
          <w:highlight w:val="none"/>
        </w:rPr>
        <w:t>系统”中查询到的网页截图复印件。除网页截图复印件外，投标人无须再</w:t>
      </w:r>
      <w:r>
        <w:rPr>
          <w:rFonts w:hint="eastAsia" w:ascii="宋体" w:hAnsi="宋体" w:eastAsia="宋体" w:cs="宋体"/>
          <w:color w:val="auto"/>
          <w:spacing w:val="5"/>
          <w:sz w:val="24"/>
          <w:szCs w:val="24"/>
          <w:highlight w:val="none"/>
        </w:rPr>
        <w:t>提供任何业绩证明材料。</w:t>
      </w:r>
      <w:r>
        <w:rPr>
          <w:rFonts w:hint="eastAsia" w:ascii="宋体" w:hAnsi="宋体" w:eastAsia="宋体" w:cs="宋体"/>
          <w:color w:val="auto"/>
          <w:spacing w:val="10"/>
          <w:sz w:val="24"/>
          <w:szCs w:val="24"/>
          <w:highlight w:val="none"/>
        </w:rPr>
        <w:t>如投标人未提供相关业绩网页截图复印件或相关业绩网页截图中</w:t>
      </w:r>
      <w:r>
        <w:rPr>
          <w:rFonts w:hint="eastAsia" w:ascii="宋体" w:hAnsi="宋体" w:eastAsia="宋体" w:cs="宋体"/>
          <w:color w:val="auto"/>
          <w:spacing w:val="9"/>
          <w:sz w:val="24"/>
          <w:szCs w:val="24"/>
          <w:highlight w:val="none"/>
        </w:rPr>
        <w:t>的信息无法证实投标人满足招标文件规定的资格审查条件（项目经理和项目总工最低要求</w:t>
      </w:r>
      <w:r>
        <w:rPr>
          <w:rFonts w:hint="eastAsia" w:ascii="宋体" w:hAnsi="宋体" w:eastAsia="宋体" w:cs="宋体"/>
          <w:color w:val="auto"/>
          <w:spacing w:val="16"/>
          <w:sz w:val="24"/>
          <w:szCs w:val="24"/>
          <w:highlight w:val="none"/>
        </w:rPr>
        <w:t>），</w:t>
      </w:r>
      <w:r>
        <w:rPr>
          <w:rFonts w:hint="eastAsia" w:ascii="宋体" w:hAnsi="宋体" w:eastAsia="宋体" w:cs="宋体"/>
          <w:color w:val="auto"/>
          <w:spacing w:val="9"/>
          <w:sz w:val="24"/>
          <w:szCs w:val="24"/>
          <w:highlight w:val="none"/>
        </w:rPr>
        <w:t>则该业绩不予认定。</w:t>
      </w:r>
    </w:p>
    <w:p w14:paraId="007984B6">
      <w:pPr>
        <w:spacing w:before="1" w:line="377" w:lineRule="auto"/>
        <w:ind w:left="19" w:right="135" w:firstLine="423"/>
        <w:rPr>
          <w:rFonts w:hint="eastAsia" w:ascii="宋体" w:hAnsi="宋体" w:eastAsia="宋体" w:cs="宋体"/>
          <w:color w:val="auto"/>
          <w:spacing w:val="9"/>
          <w:sz w:val="24"/>
          <w:szCs w:val="24"/>
          <w:highlight w:val="none"/>
        </w:rPr>
      </w:pPr>
      <w:r>
        <w:rPr>
          <w:rFonts w:hint="eastAsia" w:ascii="宋体" w:hAnsi="宋体" w:eastAsia="宋体" w:cs="宋体"/>
          <w:color w:val="auto"/>
          <w:spacing w:val="9"/>
          <w:sz w:val="24"/>
          <w:szCs w:val="24"/>
          <w:highlight w:val="none"/>
        </w:rPr>
        <w:t>如项目经理或项目总工目前仍在其他项目上任职，则投标人应提供由</w:t>
      </w:r>
      <w:r>
        <w:rPr>
          <w:rFonts w:hint="eastAsia" w:ascii="宋体" w:hAnsi="宋体" w:eastAsia="宋体" w:cs="宋体"/>
          <w:color w:val="auto"/>
          <w:spacing w:val="8"/>
          <w:sz w:val="24"/>
          <w:szCs w:val="24"/>
          <w:highlight w:val="none"/>
        </w:rPr>
        <w:t>该项目发包人出具的、</w:t>
      </w:r>
      <w:r>
        <w:rPr>
          <w:rFonts w:hint="eastAsia" w:ascii="宋体" w:hAnsi="宋体" w:eastAsia="宋体" w:cs="宋体"/>
          <w:color w:val="auto"/>
          <w:spacing w:val="9"/>
          <w:sz w:val="24"/>
          <w:szCs w:val="24"/>
          <w:highlight w:val="none"/>
        </w:rPr>
        <w:t>承诺上述人员能够从该项目撤离的书面证明材料原件。</w:t>
      </w:r>
    </w:p>
    <w:p w14:paraId="42FD2182">
      <w:pPr>
        <w:spacing w:before="289" w:line="347" w:lineRule="auto"/>
        <w:ind w:left="20" w:firstLine="423"/>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3.5.6“拟委任的其他管理和技术人员汇总表”（如有）应填报满足投标人须知前附表附录6</w:t>
      </w:r>
      <w:r>
        <w:rPr>
          <w:rFonts w:hint="eastAsia" w:ascii="宋体" w:hAnsi="宋体" w:eastAsia="宋体" w:cs="宋体"/>
          <w:color w:val="auto"/>
          <w:spacing w:val="9"/>
          <w:sz w:val="24"/>
          <w:szCs w:val="24"/>
          <w:highlight w:val="none"/>
        </w:rPr>
        <w:t>规定的其他人员的相关信息。</w:t>
      </w:r>
      <w:r>
        <w:rPr>
          <w:rFonts w:hint="eastAsia" w:ascii="宋体" w:hAnsi="宋体" w:eastAsia="宋体" w:cs="宋体"/>
          <w:color w:val="auto"/>
          <w:spacing w:val="-6"/>
          <w:sz w:val="24"/>
          <w:szCs w:val="24"/>
          <w:highlight w:val="none"/>
        </w:rPr>
        <w:t>“拟委任的其他管理和技术人员资历表”</w:t>
      </w:r>
      <w:r>
        <w:rPr>
          <w:rFonts w:hint="eastAsia" w:ascii="宋体" w:hAnsi="宋体" w:eastAsia="宋体" w:cs="宋体"/>
          <w:color w:val="auto"/>
          <w:spacing w:val="9"/>
          <w:sz w:val="24"/>
          <w:szCs w:val="24"/>
          <w:highlight w:val="none"/>
        </w:rPr>
        <w:t>（如有）中相关人员应附</w:t>
      </w:r>
      <w:r>
        <w:rPr>
          <w:rFonts w:hint="eastAsia" w:ascii="宋体" w:hAnsi="宋体" w:eastAsia="宋体" w:cs="宋体"/>
          <w:color w:val="auto"/>
          <w:spacing w:val="10"/>
          <w:sz w:val="24"/>
          <w:szCs w:val="24"/>
          <w:highlight w:val="none"/>
        </w:rPr>
        <w:t>身份证、职称资格证书以及资格审查条件所要求的其他相关证书的</w:t>
      </w:r>
      <w:r>
        <w:rPr>
          <w:rFonts w:hint="eastAsia" w:ascii="宋体" w:hAnsi="宋体" w:eastAsia="宋体" w:cs="宋体"/>
          <w:color w:val="auto"/>
          <w:spacing w:val="9"/>
          <w:sz w:val="24"/>
          <w:szCs w:val="24"/>
          <w:highlight w:val="none"/>
        </w:rPr>
        <w:t>复印件，相关业绩证明材料复</w:t>
      </w:r>
      <w:r>
        <w:rPr>
          <w:rFonts w:hint="eastAsia" w:ascii="宋体" w:hAnsi="宋体" w:eastAsia="宋体" w:cs="宋体"/>
          <w:color w:val="auto"/>
          <w:spacing w:val="10"/>
          <w:sz w:val="24"/>
          <w:szCs w:val="24"/>
          <w:highlight w:val="none"/>
        </w:rPr>
        <w:t>印件，以及投标人所属社保机构出具的社保缴费证明或其他能够证</w:t>
      </w:r>
      <w:r>
        <w:rPr>
          <w:rFonts w:hint="eastAsia" w:ascii="宋体" w:hAnsi="宋体" w:eastAsia="宋体" w:cs="宋体"/>
          <w:color w:val="auto"/>
          <w:spacing w:val="9"/>
          <w:sz w:val="24"/>
          <w:szCs w:val="24"/>
          <w:highlight w:val="none"/>
        </w:rPr>
        <w:t>明其参加社保的有效证明材料</w:t>
      </w:r>
      <w:r>
        <w:rPr>
          <w:rFonts w:hint="eastAsia" w:ascii="宋体" w:hAnsi="宋体" w:eastAsia="宋体" w:cs="宋体"/>
          <w:color w:val="auto"/>
          <w:spacing w:val="4"/>
          <w:sz w:val="24"/>
          <w:szCs w:val="24"/>
          <w:highlight w:val="none"/>
        </w:rPr>
        <w:t>复印件。</w:t>
      </w:r>
    </w:p>
    <w:p w14:paraId="7EE359EF">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pacing w:val="4"/>
          <w:sz w:val="24"/>
          <w:szCs w:val="24"/>
          <w:highlight w:val="none"/>
          <w:lang w:val="en-US" w:eastAsia="zh-CN"/>
        </w:rPr>
      </w:pPr>
      <w:r>
        <w:rPr>
          <w:rFonts w:hint="eastAsia" w:ascii="宋体" w:hAnsi="宋体" w:eastAsia="宋体" w:cs="宋体"/>
          <w:color w:val="auto"/>
          <w:spacing w:val="4"/>
          <w:sz w:val="24"/>
          <w:szCs w:val="24"/>
          <w:highlight w:val="none"/>
          <w:lang w:val="en-US" w:eastAsia="zh-CN"/>
        </w:rPr>
        <w:t xml:space="preserve">   3.5.7“拟投入本标段的主要施工机械表”“拟配备本标段的主要材料试验、测量、质检仪器设备表”（如有）应填报满足投标人须知前附表附录7规定的机械设备和试验检测设备。</w:t>
      </w:r>
    </w:p>
    <w:p w14:paraId="591FE176">
      <w:pPr>
        <w:pStyle w:val="2"/>
        <w:keepNext w:val="0"/>
        <w:keepLines w:val="0"/>
        <w:pageBreakBefore w:val="0"/>
        <w:widowControl/>
        <w:kinsoku w:val="0"/>
        <w:wordWrap/>
        <w:overflowPunct/>
        <w:topLinePunct w:val="0"/>
        <w:autoSpaceDE w:val="0"/>
        <w:autoSpaceDN w:val="0"/>
        <w:bidi w:val="0"/>
        <w:adjustRightInd w:val="0"/>
        <w:snapToGrid w:val="0"/>
        <w:spacing w:line="360" w:lineRule="auto"/>
        <w:ind w:firstLine="248" w:firstLineChars="100"/>
        <w:textAlignment w:val="baseline"/>
        <w:rPr>
          <w:rFonts w:hint="eastAsia" w:ascii="宋体" w:hAnsi="宋体" w:eastAsia="宋体" w:cs="宋体"/>
          <w:color w:val="auto"/>
          <w:spacing w:val="4"/>
          <w:sz w:val="24"/>
          <w:szCs w:val="24"/>
          <w:highlight w:val="none"/>
          <w:lang w:val="en-US" w:eastAsia="zh-CN"/>
        </w:rPr>
      </w:pPr>
      <w:r>
        <w:rPr>
          <w:rFonts w:hint="eastAsia" w:ascii="宋体" w:hAnsi="宋体" w:eastAsia="宋体" w:cs="宋体"/>
          <w:color w:val="auto"/>
          <w:spacing w:val="4"/>
          <w:sz w:val="24"/>
          <w:szCs w:val="24"/>
          <w:highlight w:val="none"/>
          <w:lang w:val="en-US" w:eastAsia="zh-CN"/>
        </w:rPr>
        <w:t>3.5.8投标人须知前附表规定接受联合体投标的，本章第3.5.1项至第3.5.7项规定的表格和资料应包括联合体各方相关情况。</w:t>
      </w:r>
    </w:p>
    <w:p w14:paraId="468079FD">
      <w:pPr>
        <w:pStyle w:val="2"/>
        <w:keepNext w:val="0"/>
        <w:keepLines w:val="0"/>
        <w:pageBreakBefore w:val="0"/>
        <w:widowControl/>
        <w:kinsoku w:val="0"/>
        <w:wordWrap/>
        <w:overflowPunct/>
        <w:topLinePunct w:val="0"/>
        <w:autoSpaceDE w:val="0"/>
        <w:autoSpaceDN w:val="0"/>
        <w:bidi w:val="0"/>
        <w:adjustRightInd w:val="0"/>
        <w:snapToGrid w:val="0"/>
        <w:spacing w:line="360" w:lineRule="auto"/>
        <w:ind w:firstLine="248" w:firstLineChars="100"/>
        <w:textAlignment w:val="baseline"/>
        <w:rPr>
          <w:rFonts w:hint="eastAsia" w:ascii="宋体" w:hAnsi="宋体" w:eastAsia="宋体" w:cs="宋体"/>
          <w:color w:val="auto"/>
          <w:spacing w:val="4"/>
          <w:sz w:val="24"/>
          <w:szCs w:val="24"/>
          <w:highlight w:val="none"/>
          <w:lang w:val="en-US" w:eastAsia="zh-CN"/>
        </w:rPr>
      </w:pPr>
      <w:r>
        <w:rPr>
          <w:rFonts w:hint="eastAsia" w:ascii="宋体" w:hAnsi="宋体" w:eastAsia="宋体" w:cs="宋体"/>
          <w:color w:val="auto"/>
          <w:spacing w:val="4"/>
          <w:sz w:val="24"/>
          <w:szCs w:val="24"/>
          <w:highlight w:val="none"/>
          <w:lang w:val="en-US" w:eastAsia="zh-CN"/>
        </w:rPr>
        <w:t>3.5.9除合同条款约定的特殊情形外，投标人在投标文件中填报的项目经理和项目总工不允许更换。</w:t>
      </w:r>
    </w:p>
    <w:p w14:paraId="2274D36F">
      <w:pPr>
        <w:pStyle w:val="2"/>
        <w:keepNext w:val="0"/>
        <w:keepLines w:val="0"/>
        <w:pageBreakBefore w:val="0"/>
        <w:widowControl/>
        <w:kinsoku w:val="0"/>
        <w:wordWrap/>
        <w:overflowPunct/>
        <w:topLinePunct w:val="0"/>
        <w:autoSpaceDE w:val="0"/>
        <w:autoSpaceDN w:val="0"/>
        <w:bidi w:val="0"/>
        <w:adjustRightInd w:val="0"/>
        <w:snapToGrid w:val="0"/>
        <w:spacing w:line="360" w:lineRule="auto"/>
        <w:ind w:firstLine="248" w:firstLineChars="100"/>
        <w:textAlignment w:val="baseline"/>
        <w:rPr>
          <w:rFonts w:hint="eastAsia" w:ascii="宋体" w:hAnsi="宋体" w:eastAsia="宋体" w:cs="宋体"/>
          <w:color w:val="auto"/>
          <w:spacing w:val="4"/>
          <w:sz w:val="24"/>
          <w:szCs w:val="24"/>
          <w:highlight w:val="none"/>
          <w:lang w:val="en-US" w:eastAsia="zh-CN"/>
        </w:rPr>
      </w:pPr>
    </w:p>
    <w:p w14:paraId="0ADF54E7">
      <w:pPr>
        <w:pStyle w:val="4"/>
        <w:spacing w:line="249" w:lineRule="auto"/>
        <w:rPr>
          <w:rFonts w:hint="eastAsia" w:ascii="宋体" w:hAnsi="宋体" w:eastAsia="宋体" w:cs="宋体"/>
          <w:color w:val="auto"/>
          <w:highlight w:val="none"/>
        </w:rPr>
      </w:pPr>
      <w:r>
        <w:rPr>
          <w:rFonts w:hint="eastAsia" w:ascii="宋体" w:hAnsi="宋体" w:eastAsia="宋体" w:cs="宋体"/>
          <w:color w:val="auto"/>
          <w:highlight w:val="none"/>
        </w:rPr>
        <w:pict>
          <v:shape id="_x0000_s1030" o:spid="_x0000_s1030" style="position:absolute;left:0pt;margin-left:5.9pt;margin-top:5.5pt;height:0.5pt;width:120.9pt;z-index:251665408;mso-width-relative:page;mso-height-relative:page;" filled="f" stroked="t" coordsize="2418,10" path="m0,4l2417,4e">
            <v:fill on="f" focussize="0,0"/>
            <v:stroke weight="0.48pt" color="#000000" miterlimit="2" joinstyle="bevel"/>
            <v:imagedata o:title=""/>
            <o:lock v:ext="edit"/>
          </v:shape>
        </w:pict>
      </w:r>
    </w:p>
    <w:p w14:paraId="7A2E51FD">
      <w:pPr>
        <w:spacing w:before="66" w:line="378" w:lineRule="auto"/>
        <w:ind w:left="18" w:right="100"/>
        <w:rPr>
          <w:rFonts w:hint="eastAsia" w:ascii="宋体" w:hAnsi="宋体" w:eastAsia="宋体" w:cs="宋体"/>
          <w:color w:val="auto"/>
          <w:sz w:val="20"/>
          <w:szCs w:val="20"/>
          <w:highlight w:val="none"/>
        </w:rPr>
      </w:pPr>
      <w:r>
        <w:rPr>
          <w:rFonts w:hint="eastAsia" w:ascii="宋体" w:hAnsi="宋体" w:eastAsia="宋体" w:cs="宋体"/>
          <w:color w:val="auto"/>
          <w:spacing w:val="10"/>
          <w:sz w:val="20"/>
          <w:szCs w:val="20"/>
          <w:highlight w:val="none"/>
        </w:rPr>
        <w:t>4招标文件中要求投标人提供的各类证照复印件</w:t>
      </w:r>
      <w:r>
        <w:rPr>
          <w:rFonts w:hint="eastAsia" w:ascii="宋体" w:hAnsi="宋体" w:eastAsia="宋体" w:cs="宋体"/>
          <w:color w:val="auto"/>
          <w:spacing w:val="9"/>
          <w:sz w:val="20"/>
          <w:szCs w:val="20"/>
          <w:highlight w:val="none"/>
        </w:rPr>
        <w:t>均指彩色扫描件或彩色复印件，其他资料的复印</w:t>
      </w:r>
      <w:r>
        <w:rPr>
          <w:rFonts w:hint="eastAsia" w:ascii="宋体" w:hAnsi="宋体" w:eastAsia="宋体" w:cs="宋体"/>
          <w:color w:val="auto"/>
          <w:spacing w:val="8"/>
          <w:sz w:val="20"/>
          <w:szCs w:val="20"/>
          <w:highlight w:val="none"/>
        </w:rPr>
        <w:t>件可为黑白扫描件或黑白复印件。</w:t>
      </w:r>
    </w:p>
    <w:p w14:paraId="1294B771">
      <w:pPr>
        <w:spacing w:line="378" w:lineRule="auto"/>
        <w:rPr>
          <w:rFonts w:hint="eastAsia" w:ascii="宋体" w:hAnsi="宋体" w:eastAsia="宋体" w:cs="宋体"/>
          <w:color w:val="auto"/>
          <w:sz w:val="20"/>
          <w:szCs w:val="20"/>
          <w:highlight w:val="none"/>
        </w:rPr>
        <w:sectPr>
          <w:headerReference r:id="rId23" w:type="default"/>
          <w:footerReference r:id="rId24" w:type="default"/>
          <w:pgSz w:w="11907" w:h="16840"/>
          <w:pgMar w:top="1182" w:right="1191" w:bottom="1014" w:left="1786" w:header="849" w:footer="852" w:gutter="0"/>
          <w:pgNumType w:fmt="decimal"/>
          <w:cols w:space="720" w:num="1"/>
        </w:sectPr>
      </w:pPr>
    </w:p>
    <w:p w14:paraId="247E9260">
      <w:pPr>
        <w:spacing w:before="162" w:line="302" w:lineRule="auto"/>
        <w:ind w:left="18" w:right="212" w:firstLine="425"/>
        <w:rPr>
          <w:rFonts w:hint="eastAsia" w:ascii="宋体" w:hAnsi="宋体" w:eastAsia="宋体" w:cs="宋体"/>
          <w:color w:val="auto"/>
          <w:sz w:val="20"/>
          <w:szCs w:val="20"/>
          <w:highlight w:val="none"/>
        </w:rPr>
      </w:pPr>
    </w:p>
    <w:p w14:paraId="7341CE9C">
      <w:pPr>
        <w:spacing w:before="162" w:line="339" w:lineRule="auto"/>
        <w:ind w:right="1" w:firstLine="456"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3.5.10投标人在投标文件中填报的资质、业绩、主要人员资历和目前在岗情况、信用等级等信息，应与其在交通运输主管部门“公路建设市场信用信息管理系统”</w:t>
      </w:r>
      <w:r>
        <w:rPr>
          <w:rFonts w:hint="eastAsia" w:ascii="宋体" w:hAnsi="宋体" w:eastAsia="宋体" w:cs="宋体"/>
          <w:color w:val="auto"/>
          <w:spacing w:val="9"/>
          <w:sz w:val="24"/>
          <w:szCs w:val="24"/>
          <w:highlight w:val="none"/>
        </w:rPr>
        <w:t>上填报并发布的相关信息</w:t>
      </w:r>
      <w:r>
        <w:rPr>
          <w:rFonts w:hint="eastAsia" w:ascii="宋体" w:hAnsi="宋体" w:eastAsia="宋体" w:cs="宋体"/>
          <w:color w:val="auto"/>
          <w:spacing w:val="10"/>
          <w:sz w:val="24"/>
          <w:szCs w:val="24"/>
          <w:highlight w:val="none"/>
        </w:rPr>
        <w:t>一致。投标人应根据本单位实际情况及时完成相关信息的申报、录入</w:t>
      </w:r>
      <w:r>
        <w:rPr>
          <w:rFonts w:hint="eastAsia" w:ascii="宋体" w:hAnsi="宋体" w:eastAsia="宋体" w:cs="宋体"/>
          <w:color w:val="auto"/>
          <w:spacing w:val="9"/>
          <w:sz w:val="24"/>
          <w:szCs w:val="24"/>
          <w:highlight w:val="none"/>
        </w:rPr>
        <w:t>和动态更新，并对相关信息</w:t>
      </w:r>
      <w:r>
        <w:rPr>
          <w:rFonts w:hint="eastAsia" w:ascii="宋体" w:hAnsi="宋体" w:eastAsia="宋体" w:cs="宋体"/>
          <w:color w:val="auto"/>
          <w:spacing w:val="8"/>
          <w:sz w:val="24"/>
          <w:szCs w:val="24"/>
          <w:highlight w:val="none"/>
        </w:rPr>
        <w:t>的真实性、完整性和准确性负责。</w:t>
      </w:r>
    </w:p>
    <w:p w14:paraId="10D5AB17">
      <w:pPr>
        <w:spacing w:before="162" w:line="339" w:lineRule="auto"/>
        <w:ind w:right="1" w:firstLine="456" w:firstLineChars="200"/>
        <w:rPr>
          <w:rFonts w:hint="eastAsia" w:ascii="宋体" w:hAnsi="宋体" w:eastAsia="宋体" w:cs="宋体"/>
          <w:color w:val="auto"/>
          <w:highlight w:val="none"/>
        </w:rPr>
      </w:pPr>
      <w:r>
        <w:rPr>
          <w:rFonts w:hint="eastAsia" w:ascii="宋体" w:hAnsi="宋体" w:eastAsia="宋体" w:cs="宋体"/>
          <w:color w:val="auto"/>
          <w:spacing w:val="-6"/>
          <w:sz w:val="24"/>
          <w:szCs w:val="24"/>
          <w:highlight w:val="none"/>
        </w:rPr>
        <w:t>3.5.11招标人有权核查投标人在资格预审申请文件和投标文件中提供的资料，</w:t>
      </w:r>
      <w:r>
        <w:rPr>
          <w:rFonts w:hint="eastAsia" w:ascii="宋体" w:hAnsi="宋体" w:eastAsia="宋体" w:cs="宋体"/>
          <w:color w:val="auto"/>
          <w:spacing w:val="8"/>
          <w:sz w:val="24"/>
          <w:szCs w:val="24"/>
          <w:highlight w:val="none"/>
        </w:rPr>
        <w:t>若在</w:t>
      </w:r>
      <w:r>
        <w:rPr>
          <w:rFonts w:hint="eastAsia" w:ascii="宋体" w:hAnsi="宋体" w:eastAsia="宋体" w:cs="宋体"/>
          <w:color w:val="auto"/>
          <w:spacing w:val="10"/>
          <w:sz w:val="24"/>
          <w:szCs w:val="24"/>
          <w:highlight w:val="none"/>
        </w:rPr>
        <w:t>评标期间发现投标人提供了虚假资料，其投标将被否决；若在</w:t>
      </w:r>
      <w:r>
        <w:rPr>
          <w:rFonts w:hint="eastAsia" w:ascii="宋体" w:hAnsi="宋体" w:eastAsia="宋体" w:cs="宋体"/>
          <w:color w:val="auto"/>
          <w:spacing w:val="9"/>
          <w:sz w:val="24"/>
          <w:szCs w:val="24"/>
          <w:highlight w:val="none"/>
        </w:rPr>
        <w:t>签订合同前发现作为中标</w:t>
      </w:r>
      <w:r>
        <w:rPr>
          <w:rFonts w:hint="eastAsia" w:ascii="宋体" w:hAnsi="宋体" w:eastAsia="宋体" w:cs="宋体"/>
          <w:color w:val="auto"/>
          <w:spacing w:val="10"/>
          <w:sz w:val="24"/>
          <w:szCs w:val="24"/>
          <w:highlight w:val="none"/>
        </w:rPr>
        <w:t>候选人的投标人提供了虚假资料，招标人有权取消其中标资格</w:t>
      </w:r>
      <w:r>
        <w:rPr>
          <w:rFonts w:hint="eastAsia" w:ascii="宋体" w:hAnsi="宋体" w:eastAsia="宋体" w:cs="宋体"/>
          <w:color w:val="auto"/>
          <w:spacing w:val="9"/>
          <w:sz w:val="24"/>
          <w:szCs w:val="24"/>
          <w:highlight w:val="none"/>
        </w:rPr>
        <w:t>；若在合同实施期间发现投标人提供了虚假资料，招标人有权从工程支付款或履约保证金中扣除不超过10％签约</w:t>
      </w:r>
      <w:r>
        <w:rPr>
          <w:rFonts w:hint="eastAsia" w:ascii="宋体" w:hAnsi="宋体" w:eastAsia="宋体" w:cs="宋体"/>
          <w:color w:val="auto"/>
          <w:spacing w:val="10"/>
          <w:sz w:val="24"/>
          <w:szCs w:val="24"/>
          <w:highlight w:val="none"/>
        </w:rPr>
        <w:t>合同价的金额作为违约金。同时招标人将投标人上述弄虚作假</w:t>
      </w:r>
      <w:r>
        <w:rPr>
          <w:rFonts w:hint="eastAsia" w:ascii="宋体" w:hAnsi="宋体" w:eastAsia="宋体" w:cs="宋体"/>
          <w:color w:val="auto"/>
          <w:spacing w:val="9"/>
          <w:sz w:val="24"/>
          <w:szCs w:val="24"/>
          <w:highlight w:val="none"/>
        </w:rPr>
        <w:t>行为上报省级交通运输主管部门，作为不良记录纳入公路建设市场信用信息管理系统。</w:t>
      </w:r>
    </w:p>
    <w:p w14:paraId="364ABD6F">
      <w:pPr>
        <w:pStyle w:val="4"/>
        <w:spacing w:before="78" w:line="221" w:lineRule="auto"/>
        <w:ind w:left="20"/>
        <w:outlineLvl w:val="2"/>
        <w:rPr>
          <w:rFonts w:hint="eastAsia" w:ascii="宋体" w:hAnsi="宋体" w:eastAsia="宋体" w:cs="宋体"/>
          <w:color w:val="auto"/>
          <w:sz w:val="24"/>
          <w:szCs w:val="24"/>
          <w:highlight w:val="none"/>
        </w:rPr>
      </w:pPr>
      <w:bookmarkStart w:id="195" w:name="_Toc12636"/>
      <w:bookmarkStart w:id="196" w:name="_Toc13166"/>
      <w:bookmarkStart w:id="197" w:name="_Toc26688"/>
      <w:bookmarkStart w:id="198" w:name="_Toc10206"/>
      <w:bookmarkStart w:id="199" w:name="_Toc2437"/>
      <w:r>
        <w:rPr>
          <w:rFonts w:hint="eastAsia" w:ascii="宋体" w:hAnsi="宋体" w:eastAsia="宋体" w:cs="宋体"/>
          <w:b/>
          <w:bCs/>
          <w:color w:val="auto"/>
          <w:spacing w:val="-4"/>
          <w:sz w:val="24"/>
          <w:szCs w:val="24"/>
          <w:highlight w:val="none"/>
        </w:rPr>
        <w:t>3.6备选投标方案</w:t>
      </w:r>
      <w:bookmarkEnd w:id="195"/>
      <w:bookmarkEnd w:id="196"/>
      <w:bookmarkEnd w:id="197"/>
      <w:bookmarkEnd w:id="198"/>
      <w:bookmarkEnd w:id="199"/>
    </w:p>
    <w:p w14:paraId="4AAEBC41">
      <w:pPr>
        <w:spacing w:before="184" w:line="302" w:lineRule="auto"/>
        <w:ind w:left="26" w:right="1" w:firstLine="417"/>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3.6.1除投标人须知前附表规定允许外，投标人不得递交备选投标方案，否则其投标</w:t>
      </w:r>
      <w:r>
        <w:rPr>
          <w:rFonts w:hint="eastAsia" w:ascii="宋体" w:hAnsi="宋体" w:eastAsia="宋体" w:cs="宋体"/>
          <w:color w:val="auto"/>
          <w:spacing w:val="8"/>
          <w:sz w:val="24"/>
          <w:szCs w:val="24"/>
          <w:highlight w:val="none"/>
        </w:rPr>
        <w:t>将被否</w:t>
      </w:r>
      <w:r>
        <w:rPr>
          <w:rFonts w:hint="eastAsia" w:ascii="宋体" w:hAnsi="宋体" w:eastAsia="宋体" w:cs="宋体"/>
          <w:color w:val="auto"/>
          <w:spacing w:val="-3"/>
          <w:sz w:val="24"/>
          <w:szCs w:val="24"/>
          <w:highlight w:val="none"/>
        </w:rPr>
        <w:t>决。</w:t>
      </w:r>
    </w:p>
    <w:p w14:paraId="005A4B7C">
      <w:pPr>
        <w:spacing w:before="161" w:line="302" w:lineRule="auto"/>
        <w:ind w:left="19" w:right="633" w:firstLine="424"/>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3.6.2允许投标人递交备选投标方案的，只有中标人所递交的备选投</w:t>
      </w:r>
      <w:r>
        <w:rPr>
          <w:rFonts w:hint="eastAsia" w:ascii="宋体" w:hAnsi="宋体" w:eastAsia="宋体" w:cs="宋体"/>
          <w:color w:val="auto"/>
          <w:spacing w:val="8"/>
          <w:sz w:val="24"/>
          <w:szCs w:val="24"/>
          <w:highlight w:val="none"/>
        </w:rPr>
        <w:t>标方案方可予以</w:t>
      </w:r>
      <w:r>
        <w:rPr>
          <w:rFonts w:hint="eastAsia" w:ascii="宋体" w:hAnsi="宋体" w:eastAsia="宋体" w:cs="宋体"/>
          <w:color w:val="auto"/>
          <w:spacing w:val="10"/>
          <w:sz w:val="24"/>
          <w:szCs w:val="24"/>
          <w:highlight w:val="none"/>
        </w:rPr>
        <w:t>考虑。评标委员会认为中标人的备选投标方案优于其按照招</w:t>
      </w:r>
      <w:r>
        <w:rPr>
          <w:rFonts w:hint="eastAsia" w:ascii="宋体" w:hAnsi="宋体" w:eastAsia="宋体" w:cs="宋体"/>
          <w:color w:val="auto"/>
          <w:spacing w:val="9"/>
          <w:sz w:val="24"/>
          <w:szCs w:val="24"/>
          <w:highlight w:val="none"/>
        </w:rPr>
        <w:t>标文件要求编制的投标方案</w:t>
      </w:r>
    </w:p>
    <w:p w14:paraId="6BEC8C84">
      <w:pPr>
        <w:spacing w:before="165" w:line="228" w:lineRule="auto"/>
        <w:ind w:left="36"/>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的，招标人可以接受该备选投标方案。</w:t>
      </w:r>
    </w:p>
    <w:p w14:paraId="10EB8986">
      <w:pPr>
        <w:spacing w:before="160" w:line="302" w:lineRule="auto"/>
        <w:ind w:left="19" w:right="1" w:firstLine="424"/>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3.6.3投标人提供两个或两个以上投标报价，或在投标文件中提供一个报价，但同时</w:t>
      </w:r>
      <w:r>
        <w:rPr>
          <w:rFonts w:hint="eastAsia" w:ascii="宋体" w:hAnsi="宋体" w:eastAsia="宋体" w:cs="宋体"/>
          <w:color w:val="auto"/>
          <w:spacing w:val="8"/>
          <w:sz w:val="24"/>
          <w:szCs w:val="24"/>
          <w:highlight w:val="none"/>
        </w:rPr>
        <w:t>提供两</w:t>
      </w:r>
      <w:r>
        <w:rPr>
          <w:rFonts w:hint="eastAsia" w:ascii="宋体" w:hAnsi="宋体" w:eastAsia="宋体" w:cs="宋体"/>
          <w:color w:val="auto"/>
          <w:spacing w:val="9"/>
          <w:sz w:val="24"/>
          <w:szCs w:val="24"/>
          <w:highlight w:val="none"/>
        </w:rPr>
        <w:t>个或两个以上施工组织设计的，视为提供备选方案。</w:t>
      </w:r>
    </w:p>
    <w:p w14:paraId="12350399">
      <w:pPr>
        <w:spacing w:before="162" w:line="228" w:lineRule="auto"/>
        <w:ind w:left="443"/>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3.7投标文件的编制</w:t>
      </w:r>
    </w:p>
    <w:p w14:paraId="79E31F19">
      <w:pPr>
        <w:spacing w:before="162" w:line="378" w:lineRule="auto"/>
        <w:ind w:left="18" w:right="1" w:firstLine="425"/>
        <w:jc w:val="both"/>
        <w:rPr>
          <w:rFonts w:hint="eastAsia"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rPr>
        <w:t>3.7.1投标文件应按第九章“投标文件格式”进行编写，如有必要，可以增加附页，作为投</w:t>
      </w:r>
      <w:r>
        <w:rPr>
          <w:rFonts w:hint="eastAsia" w:ascii="宋体" w:hAnsi="宋体" w:eastAsia="宋体" w:cs="宋体"/>
          <w:color w:val="auto"/>
          <w:spacing w:val="10"/>
          <w:sz w:val="24"/>
          <w:szCs w:val="24"/>
          <w:highlight w:val="none"/>
        </w:rPr>
        <w:t>标文件的组成部分。其中，投标函附录在满足招标文件实质性要求的基</w:t>
      </w:r>
      <w:r>
        <w:rPr>
          <w:rFonts w:hint="eastAsia" w:ascii="宋体" w:hAnsi="宋体" w:eastAsia="宋体" w:cs="宋体"/>
          <w:color w:val="auto"/>
          <w:spacing w:val="9"/>
          <w:sz w:val="24"/>
          <w:szCs w:val="24"/>
          <w:highlight w:val="none"/>
        </w:rPr>
        <w:t>础上，可以提出比招标文</w:t>
      </w:r>
      <w:r>
        <w:rPr>
          <w:rFonts w:hint="eastAsia" w:ascii="宋体" w:hAnsi="宋体" w:eastAsia="宋体" w:cs="宋体"/>
          <w:color w:val="auto"/>
          <w:spacing w:val="8"/>
          <w:sz w:val="24"/>
          <w:szCs w:val="24"/>
          <w:highlight w:val="none"/>
        </w:rPr>
        <w:t>件要求更有利于招标人的承诺。</w:t>
      </w:r>
    </w:p>
    <w:p w14:paraId="5155BF57">
      <w:pPr>
        <w:spacing w:before="162" w:line="378" w:lineRule="auto"/>
        <w:ind w:left="18" w:right="1" w:firstLine="425"/>
        <w:jc w:val="both"/>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3.7.2投标文件应对招标文件有关工期、投标有效期、质量要求、安</w:t>
      </w:r>
      <w:r>
        <w:rPr>
          <w:rFonts w:hint="eastAsia" w:ascii="宋体" w:hAnsi="宋体" w:eastAsia="宋体" w:cs="宋体"/>
          <w:color w:val="auto"/>
          <w:spacing w:val="8"/>
          <w:sz w:val="24"/>
          <w:szCs w:val="24"/>
          <w:highlight w:val="none"/>
        </w:rPr>
        <w:t>全目标、技术标准和要求、招标范围等实质性内容作出响应。</w:t>
      </w:r>
    </w:p>
    <w:p w14:paraId="4CAF5B5D">
      <w:pPr>
        <w:spacing w:before="163" w:line="228" w:lineRule="auto"/>
        <w:ind w:left="443"/>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3.7.3投标文件的制作应满足以下规定：</w:t>
      </w:r>
    </w:p>
    <w:p w14:paraId="410D9841">
      <w:pPr>
        <w:keepNext w:val="0"/>
        <w:keepLines w:val="0"/>
        <w:pageBreakBefore w:val="0"/>
        <w:widowControl/>
        <w:kinsoku w:val="0"/>
        <w:wordWrap/>
        <w:overflowPunct/>
        <w:topLinePunct w:val="0"/>
        <w:autoSpaceDE w:val="0"/>
        <w:autoSpaceDN w:val="0"/>
        <w:bidi w:val="0"/>
        <w:adjustRightInd w:val="0"/>
        <w:snapToGrid w:val="0"/>
        <w:spacing w:before="161" w:line="360" w:lineRule="auto"/>
        <w:ind w:firstLine="252" w:firstLineChars="1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（1）投标文件由投标人使用“电子交易平台”自带的“投标文件制作工具”制作生成。</w:t>
      </w:r>
    </w:p>
    <w:p w14:paraId="76DEF590">
      <w:pPr>
        <w:spacing w:before="160" w:line="228" w:lineRule="auto"/>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（2）投标人在编制投标文件时应建立分级目录，并按照标签提示导入相关内容。</w:t>
      </w:r>
    </w:p>
    <w:p w14:paraId="3CF5B333">
      <w:pPr>
        <w:spacing w:before="161" w:line="303" w:lineRule="auto"/>
        <w:ind w:right="7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（3）投标文件中证明资料的“复印件”均为“原件的扫描件”，应从“电</w:t>
      </w:r>
      <w:r>
        <w:rPr>
          <w:rFonts w:hint="eastAsia" w:ascii="宋体" w:hAnsi="宋体" w:eastAsia="宋体" w:cs="宋体"/>
          <w:color w:val="auto"/>
          <w:spacing w:val="3"/>
          <w:sz w:val="24"/>
          <w:szCs w:val="24"/>
          <w:highlight w:val="none"/>
        </w:rPr>
        <w:t>子交易平台”会员</w:t>
      </w:r>
      <w:r>
        <w:rPr>
          <w:rFonts w:hint="eastAsia" w:ascii="宋体" w:hAnsi="宋体" w:eastAsia="宋体" w:cs="宋体"/>
          <w:color w:val="auto"/>
          <w:spacing w:val="9"/>
          <w:sz w:val="24"/>
          <w:szCs w:val="24"/>
          <w:highlight w:val="none"/>
        </w:rPr>
        <w:t>诚信库中选择并进行超链接，未标示“复印</w:t>
      </w:r>
      <w:r>
        <w:rPr>
          <w:rFonts w:hint="eastAsia" w:ascii="宋体" w:hAnsi="宋体" w:eastAsia="宋体" w:cs="宋体"/>
          <w:color w:val="auto"/>
          <w:spacing w:val="8"/>
          <w:sz w:val="24"/>
          <w:szCs w:val="24"/>
          <w:highlight w:val="none"/>
        </w:rPr>
        <w:t>件”的证明资料均应直接制作生成。</w:t>
      </w:r>
    </w:p>
    <w:p w14:paraId="40FEFE7B">
      <w:pPr>
        <w:spacing w:before="163" w:line="302" w:lineRule="auto"/>
        <w:ind w:right="71"/>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（4）投标文件中的已标价工程量清单数据文件应与招标人提供的工程量</w:t>
      </w:r>
      <w:r>
        <w:rPr>
          <w:rFonts w:hint="eastAsia" w:ascii="宋体" w:hAnsi="宋体" w:eastAsia="宋体" w:cs="宋体"/>
          <w:color w:val="auto"/>
          <w:spacing w:val="6"/>
          <w:sz w:val="24"/>
          <w:szCs w:val="24"/>
          <w:highlight w:val="none"/>
        </w:rPr>
        <w:t>清单数据文件格式一</w:t>
      </w:r>
      <w:r>
        <w:rPr>
          <w:rFonts w:hint="eastAsia" w:ascii="宋体" w:hAnsi="宋体" w:eastAsia="宋体" w:cs="宋体"/>
          <w:color w:val="auto"/>
          <w:sz w:val="24"/>
          <w:szCs w:val="24"/>
          <w:highlight w:val="none"/>
        </w:rPr>
        <w:t>致。</w:t>
      </w:r>
    </w:p>
    <w:p w14:paraId="191A59E3">
      <w:pPr>
        <w:spacing w:before="163" w:line="302" w:lineRule="auto"/>
        <w:ind w:right="71"/>
        <w:rPr>
          <w:rFonts w:hint="eastAsia" w:ascii="宋体" w:hAnsi="宋体" w:eastAsia="宋体" w:cs="宋体"/>
          <w:color w:val="auto"/>
          <w:spacing w:val="8"/>
          <w:sz w:val="24"/>
          <w:szCs w:val="24"/>
          <w:highlight w:val="none"/>
        </w:rPr>
      </w:pPr>
      <w:r>
        <w:rPr>
          <w:rFonts w:hint="eastAsia" w:ascii="宋体" w:hAnsi="宋体" w:eastAsia="宋体" w:cs="宋体"/>
          <w:color w:val="auto"/>
          <w:spacing w:val="6"/>
          <w:sz w:val="24"/>
          <w:szCs w:val="24"/>
          <w:highlight w:val="none"/>
        </w:rPr>
        <w:t>（5）第九章“投标文件格式”中要求盖单位章和（或）签章的地方，投标人均应使用</w:t>
      </w:r>
      <w:r>
        <w:rPr>
          <w:rFonts w:hint="eastAsia" w:ascii="宋体" w:hAnsi="宋体" w:eastAsia="宋体" w:cs="宋体"/>
          <w:color w:val="auto"/>
          <w:sz w:val="24"/>
          <w:szCs w:val="24"/>
          <w:highlight w:val="none"/>
        </w:rPr>
        <w:t>CA</w:t>
      </w:r>
      <w:r>
        <w:rPr>
          <w:rFonts w:hint="eastAsia" w:ascii="宋体" w:hAnsi="宋体" w:eastAsia="宋体" w:cs="宋体"/>
          <w:color w:val="auto"/>
          <w:spacing w:val="6"/>
          <w:sz w:val="24"/>
          <w:szCs w:val="24"/>
          <w:highlight w:val="none"/>
        </w:rPr>
        <w:t>数</w:t>
      </w:r>
      <w:r>
        <w:rPr>
          <w:rFonts w:hint="eastAsia" w:ascii="宋体" w:hAnsi="宋体" w:eastAsia="宋体" w:cs="宋体"/>
          <w:color w:val="auto"/>
          <w:spacing w:val="10"/>
          <w:sz w:val="24"/>
          <w:szCs w:val="24"/>
          <w:highlight w:val="none"/>
        </w:rPr>
        <w:t>字证书加盖投标人的单位电子印章和（或）法定代表人的个人电子</w:t>
      </w:r>
      <w:r>
        <w:rPr>
          <w:rFonts w:hint="eastAsia" w:ascii="宋体" w:hAnsi="宋体" w:eastAsia="宋体" w:cs="宋体"/>
          <w:color w:val="auto"/>
          <w:spacing w:val="9"/>
          <w:sz w:val="24"/>
          <w:szCs w:val="24"/>
          <w:highlight w:val="none"/>
        </w:rPr>
        <w:t>印章或电子签名章。联合体投</w:t>
      </w:r>
      <w:r>
        <w:rPr>
          <w:rFonts w:hint="eastAsia" w:ascii="宋体" w:hAnsi="宋体" w:eastAsia="宋体" w:cs="宋体"/>
          <w:color w:val="auto"/>
          <w:spacing w:val="10"/>
          <w:sz w:val="24"/>
          <w:szCs w:val="24"/>
          <w:highlight w:val="none"/>
        </w:rPr>
        <w:t>标的，投标文件由联合体牵头人按上述规定加盖联合体牵头人单位</w:t>
      </w:r>
      <w:r>
        <w:rPr>
          <w:rFonts w:hint="eastAsia" w:ascii="宋体" w:hAnsi="宋体" w:eastAsia="宋体" w:cs="宋体"/>
          <w:color w:val="auto"/>
          <w:spacing w:val="9"/>
          <w:sz w:val="24"/>
          <w:szCs w:val="24"/>
          <w:highlight w:val="none"/>
        </w:rPr>
        <w:t>电子印章和（或）法定代表人</w:t>
      </w:r>
      <w:r>
        <w:rPr>
          <w:rFonts w:hint="eastAsia" w:ascii="宋体" w:hAnsi="宋体" w:eastAsia="宋体" w:cs="宋体"/>
          <w:color w:val="auto"/>
          <w:spacing w:val="8"/>
          <w:sz w:val="24"/>
          <w:szCs w:val="24"/>
          <w:highlight w:val="none"/>
        </w:rPr>
        <w:t>的个人电子印章或电子签名章。</w:t>
      </w:r>
    </w:p>
    <w:p w14:paraId="6E260EDE">
      <w:pPr>
        <w:spacing w:before="163" w:line="302" w:lineRule="auto"/>
        <w:ind w:right="71"/>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（6）投标文件制作完成后，</w:t>
      </w:r>
      <w:r>
        <w:rPr>
          <w:rFonts w:hint="eastAsia" w:ascii="宋体" w:hAnsi="宋体" w:eastAsia="宋体" w:cs="宋体"/>
          <w:color w:val="auto"/>
          <w:spacing w:val="-6"/>
          <w:sz w:val="24"/>
          <w:szCs w:val="24"/>
          <w:highlight w:val="none"/>
        </w:rPr>
        <w:t>投标人应使用CA数字证书对投标文件进行文件加密，</w:t>
      </w:r>
      <w:r>
        <w:rPr>
          <w:rFonts w:hint="eastAsia" w:ascii="宋体" w:hAnsi="宋体" w:eastAsia="宋体" w:cs="宋体"/>
          <w:color w:val="auto"/>
          <w:spacing w:val="8"/>
          <w:sz w:val="24"/>
          <w:szCs w:val="24"/>
          <w:highlight w:val="none"/>
        </w:rPr>
        <w:t>形成加密的投标文件。</w:t>
      </w:r>
    </w:p>
    <w:p w14:paraId="1EAC6D63">
      <w:pPr>
        <w:spacing w:before="161" w:line="228" w:lineRule="auto"/>
        <w:rPr>
          <w:rFonts w:hint="eastAsia" w:ascii="宋体" w:hAnsi="宋体" w:eastAsia="宋体" w:cs="宋体"/>
          <w:color w:val="auto"/>
          <w:spacing w:val="7"/>
          <w:sz w:val="24"/>
          <w:szCs w:val="24"/>
          <w:highlight w:val="none"/>
        </w:rPr>
      </w:pPr>
      <w:r>
        <w:rPr>
          <w:rFonts w:hint="eastAsia" w:ascii="宋体" w:hAnsi="宋体" w:eastAsia="宋体" w:cs="宋体"/>
          <w:color w:val="auto"/>
          <w:spacing w:val="8"/>
          <w:sz w:val="24"/>
          <w:szCs w:val="24"/>
          <w:highlight w:val="none"/>
        </w:rPr>
        <w:t>（7）投标文件制作的具体方法详见“投标文件制作工具”中的帮助文</w:t>
      </w:r>
      <w:r>
        <w:rPr>
          <w:rFonts w:hint="eastAsia" w:ascii="宋体" w:hAnsi="宋体" w:eastAsia="宋体" w:cs="宋体"/>
          <w:color w:val="auto"/>
          <w:spacing w:val="7"/>
          <w:sz w:val="24"/>
          <w:szCs w:val="24"/>
          <w:highlight w:val="none"/>
        </w:rPr>
        <w:t>档。</w:t>
      </w:r>
    </w:p>
    <w:p w14:paraId="2CE72C64">
      <w:pPr>
        <w:keepNext w:val="0"/>
        <w:keepLines w:val="0"/>
        <w:pageBreakBefore w:val="0"/>
        <w:widowControl/>
        <w:kinsoku w:val="0"/>
        <w:wordWrap/>
        <w:overflowPunct/>
        <w:topLinePunct w:val="0"/>
        <w:autoSpaceDE w:val="0"/>
        <w:autoSpaceDN w:val="0"/>
        <w:bidi w:val="0"/>
        <w:adjustRightInd w:val="0"/>
        <w:snapToGrid w:val="0"/>
        <w:spacing w:before="161" w:line="360" w:lineRule="auto"/>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3.7.4因投标人自身原因而导致投标文件无法导入“电子交易平台”电子开标、评标系统，</w:t>
      </w:r>
      <w:r>
        <w:rPr>
          <w:rFonts w:hint="eastAsia" w:ascii="宋体" w:hAnsi="宋体" w:eastAsia="宋体" w:cs="宋体"/>
          <w:color w:val="auto"/>
          <w:spacing w:val="9"/>
          <w:sz w:val="24"/>
          <w:szCs w:val="24"/>
          <w:highlight w:val="none"/>
        </w:rPr>
        <w:t>该投标视为无效投标，投标人自行承担由此导致的全部责任。</w:t>
      </w:r>
    </w:p>
    <w:p w14:paraId="79ED7028">
      <w:pPr>
        <w:pStyle w:val="4"/>
        <w:spacing w:before="288" w:line="223" w:lineRule="auto"/>
        <w:ind w:left="16"/>
        <w:outlineLvl w:val="1"/>
        <w:rPr>
          <w:rFonts w:hint="eastAsia" w:ascii="宋体" w:hAnsi="宋体" w:eastAsia="宋体" w:cs="宋体"/>
          <w:color w:val="auto"/>
          <w:sz w:val="28"/>
          <w:szCs w:val="28"/>
          <w:highlight w:val="none"/>
        </w:rPr>
      </w:pPr>
      <w:bookmarkStart w:id="200" w:name="_Toc6036"/>
      <w:bookmarkStart w:id="201" w:name="_Toc18003"/>
      <w:bookmarkStart w:id="202" w:name="_Toc11282"/>
      <w:bookmarkStart w:id="203" w:name="_Toc14263"/>
      <w:bookmarkStart w:id="204" w:name="_Toc8576"/>
      <w:r>
        <w:rPr>
          <w:rFonts w:hint="eastAsia" w:ascii="宋体" w:hAnsi="宋体" w:eastAsia="宋体" w:cs="宋体"/>
          <w:b/>
          <w:bCs/>
          <w:color w:val="auto"/>
          <w:spacing w:val="-5"/>
          <w:sz w:val="28"/>
          <w:szCs w:val="28"/>
          <w:highlight w:val="none"/>
        </w:rPr>
        <w:t>4.投标</w:t>
      </w:r>
      <w:bookmarkEnd w:id="200"/>
      <w:bookmarkEnd w:id="201"/>
      <w:bookmarkEnd w:id="202"/>
      <w:bookmarkEnd w:id="203"/>
      <w:bookmarkEnd w:id="204"/>
    </w:p>
    <w:p w14:paraId="3967BB8B">
      <w:pPr>
        <w:pStyle w:val="4"/>
        <w:spacing w:line="427" w:lineRule="auto"/>
        <w:rPr>
          <w:rFonts w:hint="eastAsia" w:ascii="宋体" w:hAnsi="宋体" w:eastAsia="宋体" w:cs="宋体"/>
          <w:color w:val="auto"/>
          <w:highlight w:val="none"/>
        </w:rPr>
      </w:pPr>
    </w:p>
    <w:p w14:paraId="708C8363">
      <w:pPr>
        <w:pStyle w:val="4"/>
        <w:spacing w:before="79" w:line="221" w:lineRule="auto"/>
        <w:ind w:left="16"/>
        <w:outlineLvl w:val="2"/>
        <w:rPr>
          <w:rFonts w:hint="eastAsia" w:ascii="宋体" w:hAnsi="宋体" w:eastAsia="宋体" w:cs="宋体"/>
          <w:color w:val="auto"/>
          <w:sz w:val="24"/>
          <w:szCs w:val="24"/>
          <w:highlight w:val="none"/>
        </w:rPr>
      </w:pPr>
      <w:bookmarkStart w:id="205" w:name="_Toc20219"/>
      <w:bookmarkStart w:id="206" w:name="_Toc20678"/>
      <w:bookmarkStart w:id="207" w:name="_Toc10475"/>
      <w:bookmarkStart w:id="208" w:name="_Toc25423"/>
      <w:bookmarkStart w:id="209" w:name="_Toc24203"/>
      <w:r>
        <w:rPr>
          <w:rFonts w:hint="eastAsia" w:ascii="宋体" w:hAnsi="宋体" w:eastAsia="宋体" w:cs="宋体"/>
          <w:b/>
          <w:bCs/>
          <w:color w:val="auto"/>
          <w:spacing w:val="-3"/>
          <w:sz w:val="24"/>
          <w:szCs w:val="24"/>
          <w:highlight w:val="none"/>
        </w:rPr>
        <w:t>4.1电子投标文件的加密</w:t>
      </w:r>
      <w:bookmarkEnd w:id="205"/>
      <w:bookmarkEnd w:id="206"/>
      <w:bookmarkEnd w:id="207"/>
      <w:bookmarkEnd w:id="208"/>
      <w:bookmarkEnd w:id="209"/>
    </w:p>
    <w:p w14:paraId="029A341D">
      <w:pPr>
        <w:spacing w:before="183" w:line="378" w:lineRule="auto"/>
        <w:ind w:left="29" w:right="70" w:firstLine="434"/>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电子投标文件应按照本章第3.7.3项要求制作并加密，未按要求加密</w:t>
      </w:r>
      <w:r>
        <w:rPr>
          <w:rFonts w:hint="eastAsia" w:ascii="宋体" w:hAnsi="宋体" w:eastAsia="宋体" w:cs="宋体"/>
          <w:color w:val="auto"/>
          <w:spacing w:val="10"/>
          <w:sz w:val="24"/>
          <w:szCs w:val="24"/>
          <w:highlight w:val="none"/>
        </w:rPr>
        <w:t>的投标文件，招标人</w:t>
      </w:r>
      <w:r>
        <w:rPr>
          <w:rFonts w:hint="eastAsia" w:ascii="宋体" w:hAnsi="宋体" w:eastAsia="宋体" w:cs="宋体"/>
          <w:color w:val="auto"/>
          <w:spacing w:val="4"/>
          <w:sz w:val="24"/>
          <w:szCs w:val="24"/>
          <w:highlight w:val="none"/>
        </w:rPr>
        <w:t>（“电子交易平台”）将拒绝接收并提示。</w:t>
      </w:r>
    </w:p>
    <w:p w14:paraId="29E23108">
      <w:pPr>
        <w:pStyle w:val="4"/>
        <w:spacing w:before="244" w:line="221" w:lineRule="auto"/>
        <w:ind w:left="16"/>
        <w:outlineLvl w:val="2"/>
        <w:rPr>
          <w:rFonts w:hint="eastAsia" w:ascii="宋体" w:hAnsi="宋体" w:eastAsia="宋体" w:cs="宋体"/>
          <w:color w:val="auto"/>
          <w:sz w:val="24"/>
          <w:szCs w:val="24"/>
          <w:highlight w:val="none"/>
        </w:rPr>
      </w:pPr>
      <w:bookmarkStart w:id="210" w:name="_Toc12804"/>
      <w:bookmarkStart w:id="211" w:name="_Toc27940"/>
      <w:bookmarkStart w:id="212" w:name="_Toc25240"/>
      <w:bookmarkStart w:id="213" w:name="_Toc30709"/>
      <w:bookmarkStart w:id="214" w:name="_Toc23391"/>
      <w:r>
        <w:rPr>
          <w:rFonts w:hint="eastAsia" w:ascii="宋体" w:hAnsi="宋体" w:eastAsia="宋体" w:cs="宋体"/>
          <w:b/>
          <w:bCs/>
          <w:color w:val="auto"/>
          <w:spacing w:val="-3"/>
          <w:sz w:val="24"/>
          <w:szCs w:val="24"/>
          <w:highlight w:val="none"/>
        </w:rPr>
        <w:t>4.2不加密的电子投标文件的密封和标识</w:t>
      </w:r>
      <w:bookmarkEnd w:id="210"/>
      <w:bookmarkEnd w:id="211"/>
      <w:bookmarkEnd w:id="212"/>
      <w:bookmarkEnd w:id="213"/>
      <w:bookmarkEnd w:id="214"/>
    </w:p>
    <w:p w14:paraId="0712FEE8">
      <w:pPr>
        <w:spacing w:before="181" w:line="377" w:lineRule="auto"/>
        <w:ind w:left="18" w:firstLine="420"/>
        <w:jc w:val="both"/>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4.2.1投标文件应采用双信封形式密封。投标文件第一个信封（商务及技术文件）以及第二</w:t>
      </w:r>
      <w:r>
        <w:rPr>
          <w:rFonts w:hint="eastAsia" w:ascii="宋体" w:hAnsi="宋体" w:eastAsia="宋体" w:cs="宋体"/>
          <w:color w:val="auto"/>
          <w:spacing w:val="10"/>
          <w:sz w:val="24"/>
          <w:szCs w:val="24"/>
          <w:highlight w:val="none"/>
        </w:rPr>
        <w:t>个信封（报价文件）应单独密封包装。商务及技术文件应统一密封在一</w:t>
      </w:r>
      <w:r>
        <w:rPr>
          <w:rFonts w:hint="eastAsia" w:ascii="宋体" w:hAnsi="宋体" w:eastAsia="宋体" w:cs="宋体"/>
          <w:color w:val="auto"/>
          <w:spacing w:val="9"/>
          <w:sz w:val="24"/>
          <w:szCs w:val="24"/>
          <w:highlight w:val="none"/>
        </w:rPr>
        <w:t>个封套中。报价文件以及</w:t>
      </w:r>
      <w:r>
        <w:rPr>
          <w:rFonts w:hint="eastAsia" w:ascii="宋体" w:hAnsi="宋体" w:eastAsia="宋体" w:cs="宋体"/>
          <w:color w:val="auto"/>
          <w:spacing w:val="7"/>
          <w:sz w:val="24"/>
          <w:szCs w:val="24"/>
          <w:highlight w:val="none"/>
        </w:rPr>
        <w:t>填写完毕的工程量固化清单电子文件（如采用工程</w:t>
      </w:r>
      <w:r>
        <w:rPr>
          <w:rFonts w:hint="eastAsia" w:ascii="宋体" w:hAnsi="宋体" w:eastAsia="宋体" w:cs="宋体"/>
          <w:color w:val="auto"/>
          <w:spacing w:val="6"/>
          <w:sz w:val="24"/>
          <w:szCs w:val="24"/>
          <w:highlight w:val="none"/>
        </w:rPr>
        <w:t>量固化清单形式）应统一密封在另一个封套中。</w:t>
      </w:r>
      <w:r>
        <w:rPr>
          <w:rFonts w:hint="eastAsia" w:ascii="宋体" w:hAnsi="宋体" w:eastAsia="宋体" w:cs="宋体"/>
          <w:color w:val="auto"/>
          <w:spacing w:val="10"/>
          <w:sz w:val="24"/>
          <w:szCs w:val="24"/>
          <w:highlight w:val="none"/>
        </w:rPr>
        <w:t>封套应加贴封条，并在封套的封口处加盖投标人单位章或由投标人的法</w:t>
      </w:r>
      <w:r>
        <w:rPr>
          <w:rFonts w:hint="eastAsia" w:ascii="宋体" w:hAnsi="宋体" w:eastAsia="宋体" w:cs="宋体"/>
          <w:color w:val="auto"/>
          <w:spacing w:val="9"/>
          <w:sz w:val="24"/>
          <w:szCs w:val="24"/>
          <w:highlight w:val="none"/>
        </w:rPr>
        <w:t>定代表人或其委托代理人</w:t>
      </w:r>
      <w:r>
        <w:rPr>
          <w:rFonts w:hint="eastAsia" w:ascii="宋体" w:hAnsi="宋体" w:eastAsia="宋体" w:cs="宋体"/>
          <w:color w:val="auto"/>
          <w:spacing w:val="3"/>
          <w:sz w:val="24"/>
          <w:szCs w:val="24"/>
          <w:highlight w:val="none"/>
        </w:rPr>
        <w:t>签字。</w:t>
      </w:r>
    </w:p>
    <w:p w14:paraId="74011B8E">
      <w:pPr>
        <w:spacing w:before="1" w:line="226" w:lineRule="auto"/>
        <w:ind w:left="438"/>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采用银行保函形式提交投标保证金的，银行保函原件应密封在单独的封套中。</w:t>
      </w:r>
    </w:p>
    <w:p w14:paraId="5AF2D1A6">
      <w:pPr>
        <w:spacing w:before="164" w:line="378" w:lineRule="auto"/>
        <w:ind w:left="18" w:right="71" w:firstLine="42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4.2.2不加密的电子投标文件第一个信封（商务及技术文件）、第二个信封（报价文件）以</w:t>
      </w:r>
      <w:r>
        <w:rPr>
          <w:rFonts w:hint="eastAsia" w:ascii="宋体" w:hAnsi="宋体" w:eastAsia="宋体" w:cs="宋体"/>
          <w:color w:val="auto"/>
          <w:spacing w:val="9"/>
          <w:sz w:val="24"/>
          <w:szCs w:val="24"/>
          <w:highlight w:val="none"/>
        </w:rPr>
        <w:t>及银行保函封套上应写明的内容见投标人须知前附表。</w:t>
      </w:r>
    </w:p>
    <w:p w14:paraId="3C806281">
      <w:pPr>
        <w:spacing w:line="378" w:lineRule="auto"/>
        <w:rPr>
          <w:rFonts w:hint="eastAsia" w:ascii="宋体" w:hAnsi="宋体" w:eastAsia="宋体" w:cs="宋体"/>
          <w:color w:val="auto"/>
          <w:sz w:val="24"/>
          <w:szCs w:val="24"/>
          <w:highlight w:val="none"/>
        </w:rPr>
        <w:sectPr>
          <w:headerReference r:id="rId25" w:type="default"/>
          <w:footerReference r:id="rId26" w:type="default"/>
          <w:pgSz w:w="11907" w:h="16840"/>
          <w:pgMar w:top="1182" w:right="1220" w:bottom="1014" w:left="1786" w:header="849" w:footer="852" w:gutter="0"/>
          <w:pgNumType w:fmt="decimal"/>
          <w:cols w:space="720" w:num="1"/>
        </w:sectPr>
      </w:pPr>
    </w:p>
    <w:p w14:paraId="273EC574">
      <w:pPr>
        <w:spacing w:before="288" w:line="227" w:lineRule="auto"/>
        <w:ind w:left="438"/>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4.2.3未按本章第4.2.1项要求密封的投标文件</w:t>
      </w:r>
      <w:r>
        <w:rPr>
          <w:rFonts w:hint="eastAsia" w:ascii="宋体" w:hAnsi="宋体" w:eastAsia="宋体" w:cs="宋体"/>
          <w:color w:val="auto"/>
          <w:spacing w:val="7"/>
          <w:sz w:val="24"/>
          <w:szCs w:val="24"/>
          <w:highlight w:val="none"/>
        </w:rPr>
        <w:t>，招标人将予以拒收。</w:t>
      </w:r>
    </w:p>
    <w:p w14:paraId="53396BCD">
      <w:pPr>
        <w:pStyle w:val="4"/>
        <w:spacing w:line="326" w:lineRule="auto"/>
        <w:rPr>
          <w:rFonts w:hint="eastAsia" w:ascii="宋体" w:hAnsi="宋体" w:eastAsia="宋体" w:cs="宋体"/>
          <w:color w:val="auto"/>
          <w:highlight w:val="none"/>
        </w:rPr>
      </w:pPr>
    </w:p>
    <w:p w14:paraId="11AA6E97">
      <w:pPr>
        <w:pStyle w:val="4"/>
        <w:spacing w:before="78" w:line="222" w:lineRule="auto"/>
        <w:ind w:left="16"/>
        <w:outlineLvl w:val="2"/>
        <w:rPr>
          <w:rFonts w:hint="eastAsia" w:ascii="宋体" w:hAnsi="宋体" w:eastAsia="宋体" w:cs="宋体"/>
          <w:color w:val="auto"/>
          <w:sz w:val="24"/>
          <w:szCs w:val="24"/>
          <w:highlight w:val="none"/>
        </w:rPr>
      </w:pPr>
      <w:bookmarkStart w:id="215" w:name="_Toc2862"/>
      <w:bookmarkStart w:id="216" w:name="_Toc16133"/>
      <w:bookmarkStart w:id="217" w:name="_Toc14648"/>
      <w:bookmarkStart w:id="218" w:name="_Toc21001"/>
      <w:bookmarkStart w:id="219" w:name="_Toc23045"/>
      <w:r>
        <w:rPr>
          <w:rFonts w:hint="eastAsia" w:ascii="宋体" w:hAnsi="宋体" w:eastAsia="宋体" w:cs="宋体"/>
          <w:b/>
          <w:bCs/>
          <w:color w:val="auto"/>
          <w:spacing w:val="-3"/>
          <w:sz w:val="24"/>
          <w:szCs w:val="24"/>
          <w:highlight w:val="none"/>
        </w:rPr>
        <w:t>4.3电子投标文件的递交</w:t>
      </w:r>
      <w:bookmarkEnd w:id="215"/>
      <w:bookmarkEnd w:id="216"/>
      <w:bookmarkEnd w:id="217"/>
      <w:bookmarkEnd w:id="218"/>
      <w:bookmarkEnd w:id="219"/>
    </w:p>
    <w:p w14:paraId="7EE7D193">
      <w:pPr>
        <w:keepNext w:val="0"/>
        <w:keepLines w:val="0"/>
        <w:pageBreakBefore w:val="0"/>
        <w:widowControl/>
        <w:kinsoku w:val="0"/>
        <w:wordWrap/>
        <w:overflowPunct/>
        <w:topLinePunct w:val="0"/>
        <w:autoSpaceDE w:val="0"/>
        <w:autoSpaceDN w:val="0"/>
        <w:bidi w:val="0"/>
        <w:adjustRightInd w:val="0"/>
        <w:snapToGrid w:val="0"/>
        <w:spacing w:before="184" w:line="348" w:lineRule="auto"/>
        <w:ind w:right="0" w:firstLine="256" w:firstLineChars="1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4.3.1投标人应在第一章“招标公告”或“投标邀请书”</w:t>
      </w:r>
      <w:r>
        <w:rPr>
          <w:rFonts w:hint="eastAsia" w:ascii="宋体" w:hAnsi="宋体" w:eastAsia="宋体" w:cs="宋体"/>
          <w:color w:val="auto"/>
          <w:spacing w:val="7"/>
          <w:sz w:val="24"/>
          <w:szCs w:val="24"/>
          <w:highlight w:val="none"/>
        </w:rPr>
        <w:t>规定的投标截止时间前通过互</w:t>
      </w:r>
      <w:r>
        <w:rPr>
          <w:rFonts w:hint="eastAsia" w:ascii="宋体" w:hAnsi="宋体" w:eastAsia="宋体" w:cs="宋体"/>
          <w:color w:val="auto"/>
          <w:spacing w:val="8"/>
          <w:sz w:val="24"/>
          <w:szCs w:val="24"/>
          <w:highlight w:val="none"/>
        </w:rPr>
        <w:t>联网使用</w:t>
      </w:r>
      <w:r>
        <w:rPr>
          <w:rFonts w:hint="eastAsia" w:ascii="宋体" w:hAnsi="宋体" w:eastAsia="宋体" w:cs="宋体"/>
          <w:color w:val="auto"/>
          <w:sz w:val="24"/>
          <w:szCs w:val="24"/>
          <w:highlight w:val="none"/>
        </w:rPr>
        <w:t>CA</w:t>
      </w:r>
      <w:r>
        <w:rPr>
          <w:rFonts w:hint="eastAsia" w:ascii="宋体" w:hAnsi="宋体" w:eastAsia="宋体" w:cs="宋体"/>
          <w:color w:val="auto"/>
          <w:spacing w:val="8"/>
          <w:sz w:val="24"/>
          <w:szCs w:val="24"/>
          <w:highlight w:val="none"/>
        </w:rPr>
        <w:t>数字证书登录“电子交易平台”，将加密的投标文件上传，并保存上传成功后系统</w:t>
      </w:r>
      <w:r>
        <w:rPr>
          <w:rFonts w:hint="eastAsia" w:ascii="宋体" w:hAnsi="宋体" w:eastAsia="宋体" w:cs="宋体"/>
          <w:color w:val="auto"/>
          <w:spacing w:val="10"/>
          <w:sz w:val="24"/>
          <w:szCs w:val="24"/>
          <w:highlight w:val="none"/>
        </w:rPr>
        <w:t>自动生成的电子签收凭证，递交时间即为电子签收凭证时间投标人应</w:t>
      </w:r>
      <w:r>
        <w:rPr>
          <w:rFonts w:hint="eastAsia" w:ascii="宋体" w:hAnsi="宋体" w:eastAsia="宋体" w:cs="宋体"/>
          <w:color w:val="auto"/>
          <w:spacing w:val="9"/>
          <w:sz w:val="24"/>
          <w:szCs w:val="24"/>
          <w:highlight w:val="none"/>
        </w:rPr>
        <w:t>充分考虑上传文件时的不</w:t>
      </w:r>
      <w:r>
        <w:rPr>
          <w:rFonts w:hint="eastAsia" w:ascii="宋体" w:hAnsi="宋体" w:eastAsia="宋体" w:cs="宋体"/>
          <w:color w:val="auto"/>
          <w:spacing w:val="7"/>
          <w:sz w:val="24"/>
          <w:szCs w:val="24"/>
          <w:highlight w:val="none"/>
        </w:rPr>
        <w:t>可预见因素，未在投标截止时间前完成上传的</w:t>
      </w:r>
      <w:r>
        <w:rPr>
          <w:rFonts w:hint="eastAsia" w:ascii="宋体" w:hAnsi="宋体" w:eastAsia="宋体" w:cs="宋体"/>
          <w:color w:val="auto"/>
          <w:spacing w:val="7"/>
          <w:sz w:val="24"/>
          <w:szCs w:val="24"/>
          <w:highlight w:val="none"/>
          <w:lang w:eastAsia="zh-CN"/>
        </w:rPr>
        <w:t>，</w:t>
      </w:r>
      <w:r>
        <w:rPr>
          <w:rFonts w:hint="eastAsia" w:ascii="宋体" w:hAnsi="宋体" w:eastAsia="宋体" w:cs="宋体"/>
          <w:color w:val="auto"/>
          <w:spacing w:val="7"/>
          <w:sz w:val="24"/>
          <w:szCs w:val="24"/>
          <w:highlight w:val="none"/>
        </w:rPr>
        <w:t>视为逾期送达，招标人（“电子交易平台”）将</w:t>
      </w:r>
      <w:r>
        <w:rPr>
          <w:rFonts w:hint="eastAsia" w:ascii="宋体" w:hAnsi="宋体" w:eastAsia="宋体" w:cs="宋体"/>
          <w:color w:val="auto"/>
          <w:spacing w:val="6"/>
          <w:sz w:val="24"/>
          <w:szCs w:val="24"/>
          <w:highlight w:val="none"/>
        </w:rPr>
        <w:t>拒绝接收。</w:t>
      </w:r>
    </w:p>
    <w:p w14:paraId="3A1D73C2">
      <w:pPr>
        <w:spacing w:before="164" w:line="302" w:lineRule="auto"/>
        <w:ind w:left="20" w:right="70" w:firstLine="418"/>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4.3.2根据本章第4.1款的规定，投标人递交的投标文件，只要出现应当拒收的情形，其投</w:t>
      </w:r>
      <w:r>
        <w:rPr>
          <w:rFonts w:hint="eastAsia" w:ascii="宋体" w:hAnsi="宋体" w:eastAsia="宋体" w:cs="宋体"/>
          <w:color w:val="auto"/>
          <w:spacing w:val="7"/>
          <w:sz w:val="24"/>
          <w:szCs w:val="24"/>
          <w:highlight w:val="none"/>
        </w:rPr>
        <w:t>标文件将予以拒收。</w:t>
      </w:r>
    </w:p>
    <w:p w14:paraId="566A5C7E">
      <w:pPr>
        <w:pStyle w:val="4"/>
        <w:spacing w:line="325" w:lineRule="auto"/>
        <w:rPr>
          <w:rFonts w:hint="eastAsia" w:ascii="宋体" w:hAnsi="宋体" w:eastAsia="宋体" w:cs="宋体"/>
          <w:color w:val="auto"/>
          <w:highlight w:val="none"/>
        </w:rPr>
      </w:pPr>
    </w:p>
    <w:p w14:paraId="3B782563">
      <w:pPr>
        <w:pStyle w:val="4"/>
        <w:spacing w:before="78" w:line="221" w:lineRule="auto"/>
        <w:ind w:left="16"/>
        <w:outlineLvl w:val="2"/>
        <w:rPr>
          <w:rFonts w:hint="eastAsia" w:ascii="宋体" w:hAnsi="宋体" w:eastAsia="宋体" w:cs="宋体"/>
          <w:color w:val="auto"/>
          <w:sz w:val="24"/>
          <w:szCs w:val="24"/>
          <w:highlight w:val="none"/>
        </w:rPr>
      </w:pPr>
      <w:bookmarkStart w:id="220" w:name="_Toc12159"/>
      <w:bookmarkStart w:id="221" w:name="_Toc18824"/>
      <w:bookmarkStart w:id="222" w:name="_Toc16373"/>
      <w:bookmarkStart w:id="223" w:name="_Toc17061"/>
      <w:bookmarkStart w:id="224" w:name="_Toc17261"/>
      <w:r>
        <w:rPr>
          <w:rFonts w:hint="eastAsia" w:ascii="宋体" w:hAnsi="宋体" w:eastAsia="宋体" w:cs="宋体"/>
          <w:b/>
          <w:bCs/>
          <w:color w:val="auto"/>
          <w:spacing w:val="-3"/>
          <w:sz w:val="24"/>
          <w:szCs w:val="24"/>
          <w:highlight w:val="none"/>
        </w:rPr>
        <w:t>4.4不加密的电子投标文件的递交</w:t>
      </w:r>
      <w:bookmarkEnd w:id="220"/>
      <w:bookmarkEnd w:id="221"/>
      <w:bookmarkEnd w:id="222"/>
      <w:bookmarkEnd w:id="223"/>
      <w:bookmarkEnd w:id="224"/>
    </w:p>
    <w:p w14:paraId="1C7266BC">
      <w:pPr>
        <w:spacing w:before="183" w:line="302" w:lineRule="auto"/>
        <w:ind w:right="70" w:firstLine="256" w:firstLineChars="10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4.4.1投标人应在第一章“招标公告”或“投标邀请书”</w:t>
      </w:r>
      <w:r>
        <w:rPr>
          <w:rFonts w:hint="eastAsia" w:ascii="宋体" w:hAnsi="宋体" w:eastAsia="宋体" w:cs="宋体"/>
          <w:color w:val="auto"/>
          <w:spacing w:val="7"/>
          <w:sz w:val="24"/>
          <w:szCs w:val="24"/>
          <w:highlight w:val="none"/>
        </w:rPr>
        <w:t>规定的投标截止时间前递交投标文</w:t>
      </w:r>
      <w:r>
        <w:rPr>
          <w:rFonts w:hint="eastAsia" w:ascii="宋体" w:hAnsi="宋体" w:eastAsia="宋体" w:cs="宋体"/>
          <w:color w:val="auto"/>
          <w:sz w:val="24"/>
          <w:szCs w:val="24"/>
          <w:highlight w:val="none"/>
        </w:rPr>
        <w:t>件。</w:t>
      </w:r>
    </w:p>
    <w:p w14:paraId="39A137C8">
      <w:pPr>
        <w:spacing w:before="161" w:line="226" w:lineRule="auto"/>
        <w:ind w:firstLine="228" w:firstLineChars="10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4.4.2投标人递交投标文件的地点：见第一章“招标公告”或“投标邀请书”。</w:t>
      </w:r>
    </w:p>
    <w:p w14:paraId="647FB965">
      <w:pPr>
        <w:spacing w:before="163" w:line="303" w:lineRule="auto"/>
        <w:ind w:right="105" w:firstLine="256" w:firstLineChars="10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4.4.3除投标人须知前附表另有规定外，投标人所递交的不加密的电子投标文件不予退还。</w:t>
      </w:r>
      <w:r>
        <w:rPr>
          <w:rFonts w:hint="eastAsia" w:ascii="宋体" w:hAnsi="宋体" w:eastAsia="宋体" w:cs="宋体"/>
          <w:color w:val="auto"/>
          <w:spacing w:val="9"/>
          <w:sz w:val="24"/>
          <w:szCs w:val="24"/>
          <w:highlight w:val="none"/>
        </w:rPr>
        <w:t>投标人少于3个的，不加密的电子投标文</w:t>
      </w:r>
      <w:r>
        <w:rPr>
          <w:rFonts w:hint="eastAsia" w:ascii="宋体" w:hAnsi="宋体" w:eastAsia="宋体" w:cs="宋体"/>
          <w:color w:val="auto"/>
          <w:spacing w:val="8"/>
          <w:sz w:val="24"/>
          <w:szCs w:val="24"/>
          <w:highlight w:val="none"/>
        </w:rPr>
        <w:t>件当场退还给投标人。</w:t>
      </w:r>
    </w:p>
    <w:p w14:paraId="722AE67D">
      <w:pPr>
        <w:spacing w:before="161" w:line="228" w:lineRule="auto"/>
        <w:ind w:firstLine="256" w:firstLineChars="10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4.4.4招标人收到投标文件后，向投标人出具签收凭证。</w:t>
      </w:r>
    </w:p>
    <w:p w14:paraId="770C6F7B">
      <w:pPr>
        <w:spacing w:before="161" w:line="228" w:lineRule="auto"/>
        <w:ind w:firstLine="258" w:firstLineChars="10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4.4.5逾期送达的或未送达指定地点的不加密的电子投标文</w:t>
      </w:r>
      <w:r>
        <w:rPr>
          <w:rFonts w:hint="eastAsia" w:ascii="宋体" w:hAnsi="宋体" w:eastAsia="宋体" w:cs="宋体"/>
          <w:color w:val="auto"/>
          <w:spacing w:val="8"/>
          <w:sz w:val="24"/>
          <w:szCs w:val="24"/>
          <w:highlight w:val="none"/>
        </w:rPr>
        <w:t>件，招标人将予以拒收。</w:t>
      </w:r>
    </w:p>
    <w:p w14:paraId="71B5E765">
      <w:pPr>
        <w:keepNext w:val="0"/>
        <w:keepLines w:val="0"/>
        <w:pageBreakBefore w:val="0"/>
        <w:widowControl/>
        <w:kinsoku w:val="0"/>
        <w:wordWrap/>
        <w:overflowPunct/>
        <w:topLinePunct w:val="0"/>
        <w:autoSpaceDE w:val="0"/>
        <w:autoSpaceDN w:val="0"/>
        <w:bidi w:val="0"/>
        <w:adjustRightInd w:val="0"/>
        <w:snapToGrid w:val="0"/>
        <w:spacing w:before="161" w:line="341" w:lineRule="auto"/>
        <w:ind w:firstLine="254" w:firstLineChars="1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4.4.6采用“现场递交”方式递交的不加密的电子投标文件为采用“网上递交”方式递交的</w:t>
      </w:r>
      <w:r>
        <w:rPr>
          <w:rFonts w:hint="eastAsia" w:ascii="宋体" w:hAnsi="宋体" w:eastAsia="宋体" w:cs="宋体"/>
          <w:color w:val="auto"/>
          <w:spacing w:val="10"/>
          <w:sz w:val="24"/>
          <w:szCs w:val="24"/>
          <w:highlight w:val="none"/>
        </w:rPr>
        <w:t>投标文件在加密电子投标文件上传失败、开标解密失败或解密后无法正</w:t>
      </w:r>
      <w:r>
        <w:rPr>
          <w:rFonts w:hint="eastAsia" w:ascii="宋体" w:hAnsi="宋体" w:eastAsia="宋体" w:cs="宋体"/>
          <w:color w:val="auto"/>
          <w:spacing w:val="9"/>
          <w:sz w:val="24"/>
          <w:szCs w:val="24"/>
          <w:highlight w:val="none"/>
        </w:rPr>
        <w:t>常读取或者导入电子开标评标系统时的补救方案；未采用“现场递交”方式递交不加密的电子投标文件的，视为放弃因电</w:t>
      </w:r>
      <w:r>
        <w:rPr>
          <w:rFonts w:hint="eastAsia" w:ascii="宋体" w:hAnsi="宋体" w:eastAsia="宋体" w:cs="宋体"/>
          <w:color w:val="auto"/>
          <w:spacing w:val="7"/>
          <w:sz w:val="20"/>
          <w:szCs w:val="20"/>
          <w:highlight w:val="none"/>
        </w:rPr>
        <w:t>子</w:t>
      </w:r>
      <w:r>
        <w:rPr>
          <w:rFonts w:hint="eastAsia" w:ascii="宋体" w:hAnsi="宋体" w:eastAsia="宋体" w:cs="宋体"/>
          <w:color w:val="auto"/>
          <w:spacing w:val="7"/>
          <w:sz w:val="24"/>
          <w:szCs w:val="24"/>
          <w:highlight w:val="none"/>
        </w:rPr>
        <w:t>投标文件上传、解密失败或解密后无法正常读取</w:t>
      </w:r>
      <w:r>
        <w:rPr>
          <w:rFonts w:hint="eastAsia" w:ascii="宋体" w:hAnsi="宋体" w:eastAsia="宋体" w:cs="宋体"/>
          <w:color w:val="auto"/>
          <w:spacing w:val="6"/>
          <w:sz w:val="24"/>
          <w:szCs w:val="24"/>
          <w:highlight w:val="none"/>
        </w:rPr>
        <w:t>或者导入电子开标评标系统时进行补救的权利。</w:t>
      </w:r>
    </w:p>
    <w:p w14:paraId="19CF10D0">
      <w:pPr>
        <w:pStyle w:val="4"/>
        <w:spacing w:before="78" w:line="222" w:lineRule="auto"/>
        <w:ind w:left="16"/>
        <w:outlineLvl w:val="2"/>
        <w:rPr>
          <w:rFonts w:hint="eastAsia" w:ascii="宋体" w:hAnsi="宋体" w:eastAsia="宋体" w:cs="宋体"/>
          <w:color w:val="auto"/>
          <w:sz w:val="24"/>
          <w:szCs w:val="24"/>
          <w:highlight w:val="none"/>
        </w:rPr>
      </w:pPr>
      <w:bookmarkStart w:id="225" w:name="_Toc896"/>
      <w:bookmarkStart w:id="226" w:name="_Toc25948"/>
      <w:bookmarkStart w:id="227" w:name="_Toc3816"/>
      <w:bookmarkStart w:id="228" w:name="_Toc15132"/>
      <w:bookmarkStart w:id="229" w:name="_Toc23120"/>
      <w:r>
        <w:rPr>
          <w:rFonts w:hint="eastAsia" w:ascii="宋体" w:hAnsi="宋体" w:eastAsia="宋体" w:cs="宋体"/>
          <w:b/>
          <w:bCs/>
          <w:color w:val="auto"/>
          <w:spacing w:val="-3"/>
          <w:sz w:val="24"/>
          <w:szCs w:val="24"/>
          <w:highlight w:val="none"/>
        </w:rPr>
        <w:t>4.5投标文件的修改与撤回</w:t>
      </w:r>
      <w:bookmarkEnd w:id="225"/>
      <w:bookmarkEnd w:id="226"/>
      <w:bookmarkEnd w:id="227"/>
      <w:bookmarkEnd w:id="228"/>
      <w:bookmarkEnd w:id="229"/>
    </w:p>
    <w:p w14:paraId="60CFE6B3">
      <w:pPr>
        <w:spacing w:before="183" w:line="302" w:lineRule="auto"/>
        <w:ind w:left="18" w:right="71" w:firstLine="420"/>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4.5.1在本章第4.4.1项规定的投标截止时间前，</w:t>
      </w:r>
      <w:r>
        <w:rPr>
          <w:rFonts w:hint="eastAsia" w:ascii="宋体" w:hAnsi="宋体" w:eastAsia="宋体" w:cs="宋体"/>
          <w:color w:val="auto"/>
          <w:spacing w:val="10"/>
          <w:sz w:val="24"/>
          <w:szCs w:val="24"/>
          <w:highlight w:val="none"/>
        </w:rPr>
        <w:t>投标人可以修改或撤回已递交的投标文</w:t>
      </w:r>
      <w:r>
        <w:rPr>
          <w:rFonts w:hint="eastAsia" w:ascii="宋体" w:hAnsi="宋体" w:eastAsia="宋体" w:cs="宋体"/>
          <w:color w:val="auto"/>
          <w:sz w:val="24"/>
          <w:szCs w:val="24"/>
          <w:highlight w:val="none"/>
        </w:rPr>
        <w:t>件。</w:t>
      </w:r>
    </w:p>
    <w:p w14:paraId="5B21551D">
      <w:pPr>
        <w:spacing w:before="163" w:line="302" w:lineRule="auto"/>
        <w:ind w:left="20" w:right="70" w:firstLine="418"/>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4.5.2投标人修改或撤回已递交投标文件的书面通知应按照</w:t>
      </w:r>
      <w:r>
        <w:rPr>
          <w:rFonts w:hint="eastAsia" w:ascii="宋体" w:hAnsi="宋体" w:eastAsia="宋体" w:cs="宋体"/>
          <w:color w:val="auto"/>
          <w:spacing w:val="10"/>
          <w:sz w:val="24"/>
          <w:szCs w:val="24"/>
          <w:highlight w:val="none"/>
        </w:rPr>
        <w:t>本章第3.7.3项的要求签字或</w:t>
      </w:r>
      <w:r>
        <w:rPr>
          <w:rFonts w:hint="eastAsia" w:ascii="宋体" w:hAnsi="宋体" w:eastAsia="宋体" w:cs="宋体"/>
          <w:color w:val="auto"/>
          <w:spacing w:val="9"/>
          <w:sz w:val="24"/>
          <w:szCs w:val="24"/>
          <w:highlight w:val="none"/>
        </w:rPr>
        <w:t>盖章。招标人收到书面通知后，向投标人出具签收凭证。</w:t>
      </w:r>
    </w:p>
    <w:p w14:paraId="2EE9F559">
      <w:pPr>
        <w:spacing w:before="163" w:line="302" w:lineRule="auto"/>
        <w:ind w:left="36" w:right="70" w:firstLine="402"/>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4.5.3投标人撤回投标文件的，招标人自</w:t>
      </w:r>
      <w:r>
        <w:rPr>
          <w:rFonts w:hint="eastAsia" w:ascii="宋体" w:hAnsi="宋体" w:eastAsia="宋体" w:cs="宋体"/>
          <w:color w:val="auto"/>
          <w:spacing w:val="5"/>
          <w:sz w:val="24"/>
          <w:szCs w:val="24"/>
          <w:highlight w:val="none"/>
        </w:rPr>
        <w:t>收到投标人书面撤回通知之日起5日内退还已收取</w:t>
      </w:r>
      <w:r>
        <w:rPr>
          <w:rFonts w:hint="eastAsia" w:ascii="宋体" w:hAnsi="宋体" w:eastAsia="宋体" w:cs="宋体"/>
          <w:color w:val="auto"/>
          <w:spacing w:val="4"/>
          <w:sz w:val="24"/>
          <w:szCs w:val="24"/>
          <w:highlight w:val="none"/>
        </w:rPr>
        <w:t>的投标保证金。</w:t>
      </w:r>
    </w:p>
    <w:p w14:paraId="3889CEBC">
      <w:pPr>
        <w:spacing w:before="162" w:line="327" w:lineRule="auto"/>
        <w:ind w:left="18" w:right="69" w:firstLine="420"/>
        <w:rPr>
          <w:rFonts w:hint="eastAsia" w:ascii="宋体" w:hAnsi="宋体" w:eastAsia="宋体" w:cs="宋体"/>
          <w:color w:val="auto"/>
          <w:sz w:val="24"/>
          <w:szCs w:val="24"/>
          <w:highlight w:val="none"/>
        </w:rPr>
      </w:pPr>
      <w:r>
        <w:rPr>
          <w:rFonts w:hint="eastAsia" w:ascii="宋体" w:hAnsi="宋体" w:eastAsia="宋体" w:cs="宋体"/>
          <w:color w:val="auto"/>
          <w:spacing w:val="14"/>
          <w:sz w:val="24"/>
          <w:szCs w:val="24"/>
          <w:highlight w:val="none"/>
        </w:rPr>
        <w:t>4.5.4修改的内容为投标文件的组成部分。修改的不加密的电子</w:t>
      </w:r>
      <w:r>
        <w:rPr>
          <w:rFonts w:hint="eastAsia" w:ascii="宋体" w:hAnsi="宋体" w:eastAsia="宋体" w:cs="宋体"/>
          <w:color w:val="auto"/>
          <w:spacing w:val="13"/>
          <w:sz w:val="24"/>
          <w:szCs w:val="24"/>
          <w:highlight w:val="none"/>
        </w:rPr>
        <w:t>投标文件应按照本章第3</w:t>
      </w:r>
      <w:r>
        <w:rPr>
          <w:rFonts w:hint="eastAsia" w:ascii="宋体" w:hAnsi="宋体" w:eastAsia="宋体" w:cs="宋体"/>
          <w:color w:val="auto"/>
          <w:spacing w:val="6"/>
          <w:sz w:val="24"/>
          <w:szCs w:val="24"/>
          <w:highlight w:val="none"/>
        </w:rPr>
        <w:t>条、第4条的规定进行编制、密封、标记和递交，并标明“修改”字样。对采用网上交的投标文</w:t>
      </w:r>
      <w:r>
        <w:rPr>
          <w:rFonts w:hint="eastAsia" w:ascii="宋体" w:hAnsi="宋体" w:eastAsia="宋体" w:cs="宋体"/>
          <w:color w:val="auto"/>
          <w:spacing w:val="7"/>
          <w:sz w:val="24"/>
          <w:szCs w:val="24"/>
          <w:highlight w:val="none"/>
        </w:rPr>
        <w:t>件，以投标截止时间前最后完成上传的文件为准。</w:t>
      </w:r>
    </w:p>
    <w:p w14:paraId="4848C715">
      <w:pPr>
        <w:pStyle w:val="4"/>
        <w:spacing w:before="298" w:line="225" w:lineRule="auto"/>
        <w:ind w:left="23"/>
        <w:outlineLvl w:val="1"/>
        <w:rPr>
          <w:rFonts w:hint="eastAsia" w:ascii="宋体" w:hAnsi="宋体" w:eastAsia="宋体" w:cs="宋体"/>
          <w:color w:val="auto"/>
          <w:sz w:val="28"/>
          <w:szCs w:val="28"/>
          <w:highlight w:val="none"/>
        </w:rPr>
      </w:pPr>
      <w:bookmarkStart w:id="230" w:name="_Toc6317"/>
      <w:bookmarkStart w:id="231" w:name="_Toc20557"/>
      <w:bookmarkStart w:id="232" w:name="_Toc24171"/>
      <w:bookmarkStart w:id="233" w:name="_Toc1100"/>
      <w:bookmarkStart w:id="234" w:name="_Toc5348"/>
      <w:r>
        <w:rPr>
          <w:rFonts w:hint="eastAsia" w:ascii="宋体" w:hAnsi="宋体" w:eastAsia="宋体" w:cs="宋体"/>
          <w:b/>
          <w:bCs/>
          <w:color w:val="auto"/>
          <w:spacing w:val="-6"/>
          <w:sz w:val="28"/>
          <w:szCs w:val="28"/>
          <w:highlight w:val="none"/>
        </w:rPr>
        <w:t>5.开标</w:t>
      </w:r>
      <w:bookmarkEnd w:id="230"/>
      <w:bookmarkEnd w:id="231"/>
      <w:bookmarkEnd w:id="232"/>
      <w:bookmarkEnd w:id="233"/>
      <w:bookmarkEnd w:id="234"/>
    </w:p>
    <w:p w14:paraId="06479B72">
      <w:pPr>
        <w:pStyle w:val="4"/>
        <w:spacing w:line="424" w:lineRule="auto"/>
        <w:rPr>
          <w:rFonts w:hint="eastAsia" w:ascii="宋体" w:hAnsi="宋体" w:eastAsia="宋体" w:cs="宋体"/>
          <w:color w:val="auto"/>
          <w:highlight w:val="none"/>
        </w:rPr>
      </w:pPr>
    </w:p>
    <w:p w14:paraId="65CA24EE">
      <w:pPr>
        <w:pStyle w:val="4"/>
        <w:spacing w:before="78" w:line="223" w:lineRule="auto"/>
        <w:ind w:left="22"/>
        <w:outlineLvl w:val="2"/>
        <w:rPr>
          <w:rFonts w:hint="eastAsia" w:ascii="宋体" w:hAnsi="宋体" w:eastAsia="宋体" w:cs="宋体"/>
          <w:color w:val="auto"/>
          <w:sz w:val="24"/>
          <w:szCs w:val="24"/>
          <w:highlight w:val="none"/>
        </w:rPr>
      </w:pPr>
      <w:bookmarkStart w:id="235" w:name="_Toc29138"/>
      <w:bookmarkStart w:id="236" w:name="_Toc22679"/>
      <w:bookmarkStart w:id="237" w:name="_Toc13477"/>
      <w:bookmarkStart w:id="238" w:name="_Toc5501"/>
      <w:bookmarkStart w:id="239" w:name="_Toc15152"/>
      <w:r>
        <w:rPr>
          <w:rFonts w:hint="eastAsia" w:ascii="宋体" w:hAnsi="宋体" w:eastAsia="宋体" w:cs="宋体"/>
          <w:b/>
          <w:bCs/>
          <w:color w:val="auto"/>
          <w:spacing w:val="-4"/>
          <w:sz w:val="24"/>
          <w:szCs w:val="24"/>
          <w:highlight w:val="none"/>
        </w:rPr>
        <w:t>5.1开标时间和地点</w:t>
      </w:r>
      <w:bookmarkEnd w:id="235"/>
      <w:bookmarkEnd w:id="236"/>
      <w:bookmarkEnd w:id="237"/>
      <w:bookmarkEnd w:id="238"/>
      <w:bookmarkEnd w:id="239"/>
    </w:p>
    <w:p w14:paraId="4D5FCF7A">
      <w:pPr>
        <w:spacing w:before="181" w:line="377" w:lineRule="auto"/>
        <w:ind w:left="18" w:right="70" w:firstLine="421"/>
        <w:jc w:val="both"/>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招标人在本章第4.2.1项规定的投标截止时</w:t>
      </w:r>
      <w:r>
        <w:rPr>
          <w:rFonts w:hint="eastAsia" w:ascii="宋体" w:hAnsi="宋体" w:eastAsia="宋体" w:cs="宋体"/>
          <w:color w:val="auto"/>
          <w:spacing w:val="6"/>
          <w:sz w:val="24"/>
          <w:szCs w:val="24"/>
          <w:highlight w:val="none"/>
        </w:rPr>
        <w:t>间（开标时间）和投标人须知前附表规定的地点</w:t>
      </w:r>
      <w:r>
        <w:rPr>
          <w:rFonts w:hint="eastAsia" w:ascii="宋体" w:hAnsi="宋体" w:eastAsia="宋体" w:cs="宋体"/>
          <w:color w:val="auto"/>
          <w:spacing w:val="10"/>
          <w:sz w:val="24"/>
          <w:szCs w:val="24"/>
          <w:highlight w:val="none"/>
        </w:rPr>
        <w:t>对收到的投标文件第一个信封（商务及技术文件）公开开标，并邀请所</w:t>
      </w:r>
      <w:r>
        <w:rPr>
          <w:rFonts w:hint="eastAsia" w:ascii="宋体" w:hAnsi="宋体" w:eastAsia="宋体" w:cs="宋体"/>
          <w:color w:val="auto"/>
          <w:spacing w:val="9"/>
          <w:sz w:val="24"/>
          <w:szCs w:val="24"/>
          <w:highlight w:val="none"/>
        </w:rPr>
        <w:t>有投标人的法定代表人或</w:t>
      </w:r>
      <w:r>
        <w:rPr>
          <w:rFonts w:hint="eastAsia" w:ascii="宋体" w:hAnsi="宋体" w:eastAsia="宋体" w:cs="宋体"/>
          <w:color w:val="auto"/>
          <w:spacing w:val="8"/>
          <w:sz w:val="24"/>
          <w:szCs w:val="24"/>
          <w:highlight w:val="none"/>
        </w:rPr>
        <w:t>其委托代理人准时参加。</w:t>
      </w:r>
    </w:p>
    <w:p w14:paraId="3C8BBD44">
      <w:pPr>
        <w:spacing w:before="1" w:line="378" w:lineRule="auto"/>
        <w:ind w:left="21" w:right="16" w:firstLine="419"/>
        <w:jc w:val="both"/>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招标人在投标人须知前附表规定的时间和地点对投标文件第二个信封（报价文件）公</w:t>
      </w:r>
      <w:r>
        <w:rPr>
          <w:rFonts w:hint="eastAsia" w:ascii="宋体" w:hAnsi="宋体" w:eastAsia="宋体" w:cs="宋体"/>
          <w:color w:val="auto"/>
          <w:spacing w:val="5"/>
          <w:sz w:val="24"/>
          <w:szCs w:val="24"/>
          <w:highlight w:val="none"/>
        </w:rPr>
        <w:t>开开标，</w:t>
      </w:r>
      <w:r>
        <w:rPr>
          <w:rFonts w:hint="eastAsia" w:ascii="宋体" w:hAnsi="宋体" w:eastAsia="宋体" w:cs="宋体"/>
          <w:color w:val="auto"/>
          <w:spacing w:val="10"/>
          <w:sz w:val="24"/>
          <w:szCs w:val="24"/>
          <w:highlight w:val="none"/>
        </w:rPr>
        <w:t>并邀请所有投标人的法定代表人或其委托代理人准时参加。投标</w:t>
      </w:r>
      <w:r>
        <w:rPr>
          <w:rFonts w:hint="eastAsia" w:ascii="宋体" w:hAnsi="宋体" w:eastAsia="宋体" w:cs="宋体"/>
          <w:color w:val="auto"/>
          <w:spacing w:val="9"/>
          <w:sz w:val="24"/>
          <w:szCs w:val="24"/>
          <w:highlight w:val="none"/>
        </w:rPr>
        <w:t>人若未派法定代表人或委托代理</w:t>
      </w:r>
      <w:r>
        <w:rPr>
          <w:rFonts w:hint="eastAsia" w:ascii="宋体" w:hAnsi="宋体" w:eastAsia="宋体" w:cs="宋体"/>
          <w:color w:val="auto"/>
          <w:spacing w:val="8"/>
          <w:sz w:val="24"/>
          <w:szCs w:val="24"/>
          <w:highlight w:val="none"/>
        </w:rPr>
        <w:t>人出席开标活动，视为该投标人默认开标结果。</w:t>
      </w:r>
    </w:p>
    <w:p w14:paraId="2E52DC28">
      <w:pPr>
        <w:pStyle w:val="4"/>
        <w:spacing w:before="240" w:line="222" w:lineRule="auto"/>
        <w:ind w:left="22"/>
        <w:outlineLvl w:val="2"/>
        <w:rPr>
          <w:rFonts w:hint="eastAsia" w:ascii="宋体" w:hAnsi="宋体" w:eastAsia="宋体" w:cs="宋体"/>
          <w:color w:val="auto"/>
          <w:sz w:val="24"/>
          <w:szCs w:val="24"/>
          <w:highlight w:val="none"/>
        </w:rPr>
      </w:pPr>
      <w:bookmarkStart w:id="240" w:name="_Toc27524"/>
      <w:bookmarkStart w:id="241" w:name="_Toc14519"/>
      <w:bookmarkStart w:id="242" w:name="_Toc7800"/>
      <w:bookmarkStart w:id="243" w:name="_Toc23958"/>
      <w:bookmarkStart w:id="244" w:name="_Toc32243"/>
      <w:r>
        <w:rPr>
          <w:rFonts w:hint="eastAsia" w:ascii="宋体" w:hAnsi="宋体" w:eastAsia="宋体" w:cs="宋体"/>
          <w:b/>
          <w:bCs/>
          <w:color w:val="auto"/>
          <w:spacing w:val="-5"/>
          <w:sz w:val="24"/>
          <w:szCs w:val="24"/>
          <w:highlight w:val="none"/>
        </w:rPr>
        <w:t>5.2开标程序</w:t>
      </w:r>
      <w:bookmarkEnd w:id="240"/>
      <w:bookmarkEnd w:id="241"/>
      <w:bookmarkEnd w:id="242"/>
      <w:bookmarkEnd w:id="243"/>
      <w:bookmarkEnd w:id="244"/>
    </w:p>
    <w:p w14:paraId="4CE80178">
      <w:pPr>
        <w:spacing w:before="182" w:line="228" w:lineRule="auto"/>
        <w:ind w:left="443"/>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5.2.1主持人按下列程序对投标文件第一个信封（商务及技术文件）进行开标：</w:t>
      </w:r>
    </w:p>
    <w:p w14:paraId="05428323">
      <w:pPr>
        <w:spacing w:before="162" w:line="227" w:lineRule="auto"/>
        <w:ind w:left="44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（1）宣布开标纪律；</w:t>
      </w:r>
    </w:p>
    <w:p w14:paraId="6E15B26A">
      <w:pPr>
        <w:spacing w:before="162" w:line="227" w:lineRule="auto"/>
        <w:ind w:left="44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（2）公布在投标截止时间前递交投标文件的投标人数量；</w:t>
      </w:r>
    </w:p>
    <w:p w14:paraId="56424BEF">
      <w:pPr>
        <w:spacing w:before="162" w:line="227" w:lineRule="auto"/>
        <w:ind w:left="44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（3）宣布开标人、唱标人、记录人等有关人员姓名；</w:t>
      </w:r>
    </w:p>
    <w:p w14:paraId="0969BDEB">
      <w:pPr>
        <w:spacing w:before="164" w:line="302" w:lineRule="auto"/>
        <w:ind w:left="21" w:right="70" w:firstLine="42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（4）如采用网上开标（不见面方式</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7"/>
          <w:sz w:val="24"/>
          <w:szCs w:val="24"/>
          <w:highlight w:val="none"/>
        </w:rPr>
        <w:t>投标人通过</w:t>
      </w:r>
      <w:r>
        <w:rPr>
          <w:rFonts w:hint="eastAsia" w:ascii="宋体" w:hAnsi="宋体" w:eastAsia="宋体" w:cs="宋体"/>
          <w:color w:val="auto"/>
          <w:sz w:val="24"/>
          <w:szCs w:val="24"/>
          <w:highlight w:val="none"/>
        </w:rPr>
        <w:t>CA</w:t>
      </w:r>
      <w:r>
        <w:rPr>
          <w:rFonts w:hint="eastAsia" w:ascii="宋体" w:hAnsi="宋体" w:eastAsia="宋体" w:cs="宋体"/>
          <w:color w:val="auto"/>
          <w:spacing w:val="7"/>
          <w:sz w:val="24"/>
          <w:szCs w:val="24"/>
          <w:highlight w:val="none"/>
        </w:rPr>
        <w:t>数字证书登录网上开标系统，插入个</w:t>
      </w:r>
      <w:r>
        <w:rPr>
          <w:rFonts w:hint="eastAsia" w:ascii="宋体" w:hAnsi="宋体" w:eastAsia="宋体" w:cs="宋体"/>
          <w:color w:val="auto"/>
          <w:spacing w:val="8"/>
          <w:sz w:val="24"/>
          <w:szCs w:val="24"/>
          <w:highlight w:val="none"/>
        </w:rPr>
        <w:t>人</w:t>
      </w:r>
      <w:r>
        <w:rPr>
          <w:rFonts w:hint="eastAsia" w:ascii="宋体" w:hAnsi="宋体" w:eastAsia="宋体" w:cs="宋体"/>
          <w:color w:val="auto"/>
          <w:sz w:val="24"/>
          <w:szCs w:val="24"/>
          <w:highlight w:val="none"/>
        </w:rPr>
        <w:t>CA</w:t>
      </w:r>
      <w:r>
        <w:rPr>
          <w:rFonts w:hint="eastAsia" w:ascii="宋体" w:hAnsi="宋体" w:eastAsia="宋体" w:cs="宋体"/>
          <w:color w:val="auto"/>
          <w:spacing w:val="8"/>
          <w:sz w:val="24"/>
          <w:szCs w:val="24"/>
          <w:highlight w:val="none"/>
        </w:rPr>
        <w:t>数字证书并输入手机号码进行签到；</w:t>
      </w:r>
    </w:p>
    <w:p w14:paraId="5718CAD0">
      <w:pPr>
        <w:spacing w:before="163" w:line="352" w:lineRule="auto"/>
        <w:ind w:left="18" w:right="70" w:firstLine="43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（5）投标人通过电子招标投标交易平台对已递交的电子投标文件进行解</w:t>
      </w:r>
      <w:r>
        <w:rPr>
          <w:rFonts w:hint="eastAsia" w:ascii="宋体" w:hAnsi="宋体" w:eastAsia="宋体" w:cs="宋体"/>
          <w:color w:val="auto"/>
          <w:spacing w:val="6"/>
          <w:sz w:val="24"/>
          <w:szCs w:val="24"/>
          <w:highlight w:val="none"/>
        </w:rPr>
        <w:t>密，公布招标项目名</w:t>
      </w:r>
      <w:r>
        <w:rPr>
          <w:rFonts w:hint="eastAsia" w:ascii="宋体" w:hAnsi="宋体" w:eastAsia="宋体" w:cs="宋体"/>
          <w:color w:val="auto"/>
          <w:spacing w:val="10"/>
          <w:sz w:val="24"/>
          <w:szCs w:val="24"/>
          <w:highlight w:val="none"/>
        </w:rPr>
        <w:t>称、投标人名称、投标保证金的递交情况、投标报价、交货期、交货地</w:t>
      </w:r>
      <w:r>
        <w:rPr>
          <w:rFonts w:hint="eastAsia" w:ascii="宋体" w:hAnsi="宋体" w:eastAsia="宋体" w:cs="宋体"/>
          <w:color w:val="auto"/>
          <w:spacing w:val="9"/>
          <w:sz w:val="24"/>
          <w:szCs w:val="24"/>
          <w:highlight w:val="none"/>
        </w:rPr>
        <w:t>点及其他内容，并记录在案；由投标人自行选择是否提交未加密的电子投标文件光盘，但不提交</w:t>
      </w:r>
      <w:r>
        <w:rPr>
          <w:rFonts w:hint="eastAsia" w:ascii="宋体" w:hAnsi="宋体" w:eastAsia="宋体" w:cs="宋体"/>
          <w:color w:val="auto"/>
          <w:spacing w:val="8"/>
          <w:sz w:val="24"/>
          <w:szCs w:val="24"/>
          <w:highlight w:val="none"/>
        </w:rPr>
        <w:t>未加密的电子投标文件光</w:t>
      </w:r>
      <w:r>
        <w:rPr>
          <w:rFonts w:hint="eastAsia" w:ascii="宋体" w:hAnsi="宋体" w:eastAsia="宋体" w:cs="宋体"/>
          <w:color w:val="auto"/>
          <w:spacing w:val="9"/>
          <w:sz w:val="24"/>
          <w:szCs w:val="24"/>
          <w:highlight w:val="none"/>
        </w:rPr>
        <w:t>盘的，不作为否决条件；如采用网上招标（不见面方式</w:t>
      </w:r>
      <w:r>
        <w:rPr>
          <w:rFonts w:hint="eastAsia" w:ascii="宋体" w:hAnsi="宋体" w:eastAsia="宋体" w:cs="宋体"/>
          <w:color w:val="auto"/>
          <w:spacing w:val="24"/>
          <w:sz w:val="24"/>
          <w:szCs w:val="24"/>
          <w:highlight w:val="none"/>
        </w:rPr>
        <w:t>），</w:t>
      </w:r>
      <w:r>
        <w:rPr>
          <w:rFonts w:hint="eastAsia" w:ascii="宋体" w:hAnsi="宋体" w:eastAsia="宋体" w:cs="宋体"/>
          <w:color w:val="auto"/>
          <w:spacing w:val="9"/>
          <w:sz w:val="24"/>
          <w:szCs w:val="24"/>
          <w:highlight w:val="none"/>
        </w:rPr>
        <w:t>不需要提供不加密的电子投标文件。</w:t>
      </w:r>
      <w:r>
        <w:rPr>
          <w:rFonts w:hint="eastAsia" w:ascii="宋体" w:hAnsi="宋体" w:eastAsia="宋体" w:cs="宋体"/>
          <w:color w:val="auto"/>
          <w:spacing w:val="7"/>
          <w:sz w:val="24"/>
          <w:szCs w:val="24"/>
          <w:highlight w:val="none"/>
        </w:rPr>
        <w:t>如出现招标文件投标须知正文5.3情形时，投标人未在投标截止时间前提交未加密</w:t>
      </w:r>
      <w:r>
        <w:rPr>
          <w:rFonts w:hint="eastAsia" w:ascii="宋体" w:hAnsi="宋体" w:eastAsia="宋体" w:cs="宋体"/>
          <w:color w:val="auto"/>
          <w:spacing w:val="6"/>
          <w:sz w:val="24"/>
          <w:szCs w:val="24"/>
          <w:highlight w:val="none"/>
        </w:rPr>
        <w:t>的电子投标文</w:t>
      </w:r>
      <w:r>
        <w:rPr>
          <w:rFonts w:hint="eastAsia" w:ascii="宋体" w:hAnsi="宋体" w:eastAsia="宋体" w:cs="宋体"/>
          <w:color w:val="auto"/>
          <w:spacing w:val="4"/>
          <w:sz w:val="24"/>
          <w:szCs w:val="24"/>
          <w:highlight w:val="none"/>
        </w:rPr>
        <w:t>件光盘的，自行承担后果；</w:t>
      </w:r>
    </w:p>
    <w:p w14:paraId="7955C708">
      <w:pPr>
        <w:spacing w:before="161" w:line="228" w:lineRule="auto"/>
        <w:ind w:left="44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（6）导入并读取所有解密成功的投标文件第一个信封（商务及技术文件）的内容；</w:t>
      </w:r>
    </w:p>
    <w:p w14:paraId="49967CDF">
      <w:pPr>
        <w:spacing w:before="161" w:line="227" w:lineRule="auto"/>
        <w:ind w:left="44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（7）按照投标人须知前附表的规定确定并宣布投标</w:t>
      </w:r>
      <w:r>
        <w:rPr>
          <w:rFonts w:hint="eastAsia" w:ascii="宋体" w:hAnsi="宋体" w:eastAsia="宋体" w:cs="宋体"/>
          <w:color w:val="auto"/>
          <w:spacing w:val="8"/>
          <w:sz w:val="24"/>
          <w:szCs w:val="24"/>
          <w:highlight w:val="none"/>
        </w:rPr>
        <w:t>文件开标顺序；</w:t>
      </w:r>
    </w:p>
    <w:p w14:paraId="31666BCF">
      <w:pPr>
        <w:spacing w:before="165" w:line="226" w:lineRule="auto"/>
        <w:ind w:left="44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（8）由招标人现场随机抽取的投标人代表抽取评标</w:t>
      </w:r>
      <w:r>
        <w:rPr>
          <w:rFonts w:hint="eastAsia" w:ascii="宋体" w:hAnsi="宋体" w:eastAsia="宋体" w:cs="宋体"/>
          <w:color w:val="auto"/>
          <w:spacing w:val="7"/>
          <w:sz w:val="24"/>
          <w:szCs w:val="24"/>
          <w:highlight w:val="none"/>
        </w:rPr>
        <w:t>基准价系数（如有</w:t>
      </w:r>
      <w:r>
        <w:rPr>
          <w:rFonts w:hint="eastAsia" w:ascii="宋体" w:hAnsi="宋体" w:eastAsia="宋体" w:cs="宋体"/>
          <w:color w:val="auto"/>
          <w:sz w:val="24"/>
          <w:szCs w:val="24"/>
          <w:highlight w:val="none"/>
        </w:rPr>
        <w:t>）；</w:t>
      </w:r>
    </w:p>
    <w:p w14:paraId="5CC78CB7">
      <w:pPr>
        <w:spacing w:before="163" w:line="302" w:lineRule="auto"/>
        <w:ind w:left="22" w:firstLine="427"/>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（9）按照宣布的开标顺序当众开标，公布标段</w:t>
      </w:r>
      <w:r>
        <w:rPr>
          <w:rFonts w:hint="eastAsia" w:ascii="宋体" w:hAnsi="宋体" w:eastAsia="宋体" w:cs="宋体"/>
          <w:color w:val="auto"/>
          <w:spacing w:val="8"/>
          <w:sz w:val="24"/>
          <w:szCs w:val="24"/>
          <w:highlight w:val="none"/>
        </w:rPr>
        <w:t>名称、投标人名称、投标保证金的递交情况、工期及其他内容，并记录在案；</w:t>
      </w:r>
    </w:p>
    <w:p w14:paraId="7C78980E">
      <w:pPr>
        <w:spacing w:before="163" w:line="327" w:lineRule="auto"/>
        <w:ind w:left="20" w:right="70" w:firstLine="42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（10）投标人代表、招标人代表、监标人、记录人等有关人员在开标记录上签字确认；如采用网上开标（不见面方式）有关人员使用个人</w:t>
      </w:r>
      <w:r>
        <w:rPr>
          <w:rFonts w:hint="eastAsia" w:ascii="宋体" w:hAnsi="宋体" w:eastAsia="宋体" w:cs="宋体"/>
          <w:color w:val="auto"/>
          <w:sz w:val="24"/>
          <w:szCs w:val="24"/>
          <w:highlight w:val="none"/>
        </w:rPr>
        <w:t>CA</w:t>
      </w:r>
      <w:r>
        <w:rPr>
          <w:rFonts w:hint="eastAsia" w:ascii="宋体" w:hAnsi="宋体" w:eastAsia="宋体" w:cs="宋体"/>
          <w:color w:val="auto"/>
          <w:spacing w:val="9"/>
          <w:sz w:val="24"/>
          <w:szCs w:val="24"/>
          <w:highlight w:val="none"/>
        </w:rPr>
        <w:t>数字证书在开标记录上签字确认，超过10分钟未提出异议或未进行电子印章确认的视为认可开标记录；</w:t>
      </w:r>
    </w:p>
    <w:p w14:paraId="7DFD43B5">
      <w:pPr>
        <w:spacing w:before="162" w:line="228" w:lineRule="auto"/>
        <w:ind w:left="449"/>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（11）开标结束。</w:t>
      </w:r>
    </w:p>
    <w:p w14:paraId="74A0F375">
      <w:pPr>
        <w:keepNext w:val="0"/>
        <w:keepLines w:val="0"/>
        <w:pageBreakBefore w:val="0"/>
        <w:widowControl/>
        <w:kinsoku w:val="0"/>
        <w:wordWrap/>
        <w:overflowPunct/>
        <w:topLinePunct w:val="0"/>
        <w:autoSpaceDE w:val="0"/>
        <w:autoSpaceDN w:val="0"/>
        <w:bidi w:val="0"/>
        <w:adjustRightInd w:val="0"/>
        <w:snapToGrid w:val="0"/>
        <w:spacing w:before="288" w:line="360" w:lineRule="auto"/>
        <w:ind w:left="23"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5.2.2在投标文件第一个信封（商务及技</w:t>
      </w:r>
      <w:r>
        <w:rPr>
          <w:rFonts w:hint="eastAsia" w:ascii="宋体" w:hAnsi="宋体" w:eastAsia="宋体" w:cs="宋体"/>
          <w:color w:val="auto"/>
          <w:spacing w:val="7"/>
          <w:sz w:val="24"/>
          <w:szCs w:val="24"/>
          <w:highlight w:val="none"/>
        </w:rPr>
        <w:t>术文件）完成评审前，“电子交易平台”的开标评</w:t>
      </w:r>
      <w:r>
        <w:rPr>
          <w:rFonts w:hint="eastAsia" w:ascii="宋体" w:hAnsi="宋体" w:eastAsia="宋体" w:cs="宋体"/>
          <w:color w:val="auto"/>
          <w:spacing w:val="9"/>
          <w:sz w:val="24"/>
          <w:szCs w:val="24"/>
          <w:highlight w:val="none"/>
        </w:rPr>
        <w:t>标系统将不读取电子投标文件第二个信封（报价文件</w:t>
      </w:r>
      <w:r>
        <w:rPr>
          <w:rFonts w:hint="eastAsia" w:ascii="宋体" w:hAnsi="宋体" w:eastAsia="宋体" w:cs="宋体"/>
          <w:color w:val="auto"/>
          <w:spacing w:val="23"/>
          <w:sz w:val="24"/>
          <w:szCs w:val="24"/>
          <w:highlight w:val="none"/>
        </w:rPr>
        <w:t>），</w:t>
      </w:r>
      <w:r>
        <w:rPr>
          <w:rFonts w:hint="eastAsia" w:ascii="宋体" w:hAnsi="宋体" w:eastAsia="宋体" w:cs="宋体"/>
          <w:color w:val="auto"/>
          <w:spacing w:val="9"/>
          <w:sz w:val="24"/>
          <w:szCs w:val="24"/>
          <w:highlight w:val="none"/>
        </w:rPr>
        <w:t>不加密的电子投标文件第二个信封（报</w:t>
      </w:r>
      <w:r>
        <w:rPr>
          <w:rFonts w:hint="eastAsia" w:ascii="宋体" w:hAnsi="宋体" w:eastAsia="宋体" w:cs="宋体"/>
          <w:color w:val="auto"/>
          <w:spacing w:val="8"/>
          <w:sz w:val="24"/>
          <w:szCs w:val="24"/>
          <w:highlight w:val="none"/>
        </w:rPr>
        <w:t>价文件）不予开封，由招标人密封保存。</w:t>
      </w:r>
    </w:p>
    <w:p w14:paraId="28F8C166">
      <w:pPr>
        <w:spacing w:before="162" w:line="378" w:lineRule="auto"/>
        <w:ind w:left="23" w:right="87" w:firstLine="42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5.2.3招标人将按照本章第5.1款规定的时间和地点对投标文件第二个信封（报价文件）进</w:t>
      </w:r>
      <w:r>
        <w:rPr>
          <w:rFonts w:hint="eastAsia" w:ascii="宋体" w:hAnsi="宋体" w:eastAsia="宋体" w:cs="宋体"/>
          <w:color w:val="auto"/>
          <w:spacing w:val="8"/>
          <w:sz w:val="24"/>
          <w:szCs w:val="24"/>
          <w:highlight w:val="none"/>
        </w:rPr>
        <w:t>行开标。主持人按下列程序进行开标：</w:t>
      </w:r>
    </w:p>
    <w:p w14:paraId="3DA94FAA">
      <w:pPr>
        <w:spacing w:line="226" w:lineRule="auto"/>
        <w:ind w:left="44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（1）宣布开标纪律；</w:t>
      </w:r>
    </w:p>
    <w:p w14:paraId="6198C685">
      <w:pPr>
        <w:spacing w:before="162" w:line="227" w:lineRule="auto"/>
        <w:ind w:left="44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（2）宣布通过投标文件第一个信封（商务及技术文件）评审的投标人</w:t>
      </w:r>
      <w:r>
        <w:rPr>
          <w:rFonts w:hint="eastAsia" w:ascii="宋体" w:hAnsi="宋体" w:eastAsia="宋体" w:cs="宋体"/>
          <w:color w:val="auto"/>
          <w:spacing w:val="8"/>
          <w:sz w:val="24"/>
          <w:szCs w:val="24"/>
          <w:highlight w:val="none"/>
        </w:rPr>
        <w:t>名单；</w:t>
      </w:r>
    </w:p>
    <w:p w14:paraId="4504F9B6">
      <w:pPr>
        <w:spacing w:before="162" w:line="227" w:lineRule="auto"/>
        <w:ind w:left="44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（3）宣布开标人、唱标人、记录人等有关人员姓名；</w:t>
      </w:r>
    </w:p>
    <w:p w14:paraId="56C610D4">
      <w:pPr>
        <w:spacing w:before="164" w:line="339" w:lineRule="auto"/>
        <w:ind w:left="20" w:firstLine="429"/>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（4）开标人将所有投标文件第二个信封（报价文件）的内容导入“电子交易平台”的开标评</w:t>
      </w:r>
      <w:r>
        <w:rPr>
          <w:rFonts w:hint="eastAsia" w:ascii="宋体" w:hAnsi="宋体" w:eastAsia="宋体" w:cs="宋体"/>
          <w:color w:val="auto"/>
          <w:spacing w:val="7"/>
          <w:sz w:val="24"/>
          <w:szCs w:val="24"/>
          <w:highlight w:val="none"/>
        </w:rPr>
        <w:t>标系统，未通过投标文件第一个信封（商务及技术文件）评审的投标人的第二个信封</w:t>
      </w:r>
      <w:r>
        <w:rPr>
          <w:rFonts w:hint="eastAsia" w:ascii="宋体" w:hAnsi="宋体" w:eastAsia="宋体" w:cs="宋体"/>
          <w:color w:val="auto"/>
          <w:spacing w:val="6"/>
          <w:sz w:val="24"/>
          <w:szCs w:val="24"/>
          <w:highlight w:val="none"/>
        </w:rPr>
        <w:t>（报价文件）</w:t>
      </w:r>
      <w:r>
        <w:rPr>
          <w:rFonts w:hint="eastAsia" w:ascii="宋体" w:hAnsi="宋体" w:eastAsia="宋体" w:cs="宋体"/>
          <w:color w:val="auto"/>
          <w:spacing w:val="10"/>
          <w:sz w:val="24"/>
          <w:szCs w:val="24"/>
          <w:highlight w:val="none"/>
        </w:rPr>
        <w:t>不予读取；采用不加密的电子投标文件开标的，仅对通过第一个信</w:t>
      </w:r>
      <w:r>
        <w:rPr>
          <w:rFonts w:hint="eastAsia" w:ascii="宋体" w:hAnsi="宋体" w:eastAsia="宋体" w:cs="宋体"/>
          <w:color w:val="auto"/>
          <w:spacing w:val="9"/>
          <w:sz w:val="24"/>
          <w:szCs w:val="24"/>
          <w:highlight w:val="none"/>
        </w:rPr>
        <w:t>封（商务及技术文件）评审的</w:t>
      </w:r>
      <w:r>
        <w:rPr>
          <w:rFonts w:hint="eastAsia" w:ascii="宋体" w:hAnsi="宋体" w:eastAsia="宋体" w:cs="宋体"/>
          <w:color w:val="auto"/>
          <w:spacing w:val="8"/>
          <w:sz w:val="24"/>
          <w:szCs w:val="24"/>
          <w:highlight w:val="none"/>
        </w:rPr>
        <w:t>投标文件第二个信封（报价文件）进行启封；</w:t>
      </w:r>
    </w:p>
    <w:p w14:paraId="1B93B41B">
      <w:pPr>
        <w:spacing w:before="166" w:line="226" w:lineRule="auto"/>
        <w:ind w:left="44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（5）公布标段名称、投标人名称、投标报价及其他内容，并</w:t>
      </w:r>
      <w:r>
        <w:rPr>
          <w:rFonts w:hint="eastAsia" w:ascii="宋体" w:hAnsi="宋体" w:eastAsia="宋体" w:cs="宋体"/>
          <w:color w:val="auto"/>
          <w:spacing w:val="8"/>
          <w:sz w:val="24"/>
          <w:szCs w:val="24"/>
          <w:highlight w:val="none"/>
        </w:rPr>
        <w:t>记录在案；</w:t>
      </w:r>
    </w:p>
    <w:p w14:paraId="06D5C9F0">
      <w:pPr>
        <w:spacing w:before="163" w:line="226" w:lineRule="auto"/>
        <w:ind w:left="449"/>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（6）计算并宣布评标基准价；</w:t>
      </w:r>
    </w:p>
    <w:p w14:paraId="07425E45">
      <w:pPr>
        <w:spacing w:before="164" w:line="301" w:lineRule="auto"/>
        <w:ind w:left="19" w:right="87" w:firstLine="43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（7）将未通过投标文件第一个信封（商务及技术文件）评审的不加密的</w:t>
      </w:r>
      <w:r>
        <w:rPr>
          <w:rFonts w:hint="eastAsia" w:ascii="宋体" w:hAnsi="宋体" w:eastAsia="宋体" w:cs="宋体"/>
          <w:color w:val="auto"/>
          <w:spacing w:val="6"/>
          <w:sz w:val="24"/>
          <w:szCs w:val="24"/>
          <w:highlight w:val="none"/>
        </w:rPr>
        <w:t>电子投标文件第二个</w:t>
      </w:r>
      <w:r>
        <w:rPr>
          <w:rFonts w:hint="eastAsia" w:ascii="宋体" w:hAnsi="宋体" w:eastAsia="宋体" w:cs="宋体"/>
          <w:color w:val="auto"/>
          <w:spacing w:val="8"/>
          <w:sz w:val="24"/>
          <w:szCs w:val="24"/>
          <w:highlight w:val="none"/>
        </w:rPr>
        <w:t>信封（报价文件）退还给投标人；</w:t>
      </w:r>
    </w:p>
    <w:p w14:paraId="12FC015F">
      <w:pPr>
        <w:spacing w:before="162" w:line="228" w:lineRule="auto"/>
        <w:ind w:left="44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（8）投标人代表、招标人代表、记录人等有关人员在开标记录上签字</w:t>
      </w:r>
      <w:r>
        <w:rPr>
          <w:rFonts w:hint="eastAsia" w:ascii="宋体" w:hAnsi="宋体" w:eastAsia="宋体" w:cs="宋体"/>
          <w:color w:val="auto"/>
          <w:spacing w:val="8"/>
          <w:sz w:val="24"/>
          <w:szCs w:val="24"/>
          <w:highlight w:val="none"/>
        </w:rPr>
        <w:t>确认；</w:t>
      </w:r>
    </w:p>
    <w:p w14:paraId="7AE2DCB0">
      <w:pPr>
        <w:spacing w:before="161" w:line="228" w:lineRule="auto"/>
        <w:ind w:left="449"/>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（9）开标结束。</w:t>
      </w:r>
    </w:p>
    <w:p w14:paraId="17CB07A8">
      <w:pPr>
        <w:spacing w:before="163" w:line="377" w:lineRule="auto"/>
        <w:ind w:left="20" w:right="87" w:firstLine="423"/>
        <w:jc w:val="both"/>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5.2.4若采用合理低价法或综合评分法，在投标文件第二个信封（报价文件）开标现</w:t>
      </w:r>
      <w:r>
        <w:rPr>
          <w:rFonts w:hint="eastAsia" w:ascii="宋体" w:hAnsi="宋体" w:eastAsia="宋体" w:cs="宋体"/>
          <w:color w:val="auto"/>
          <w:spacing w:val="8"/>
          <w:sz w:val="24"/>
          <w:szCs w:val="24"/>
          <w:highlight w:val="none"/>
        </w:rPr>
        <w:t>场，招</w:t>
      </w:r>
      <w:r>
        <w:rPr>
          <w:rFonts w:hint="eastAsia" w:ascii="宋体" w:hAnsi="宋体" w:eastAsia="宋体" w:cs="宋体"/>
          <w:color w:val="auto"/>
          <w:spacing w:val="9"/>
          <w:sz w:val="24"/>
          <w:szCs w:val="24"/>
          <w:highlight w:val="none"/>
        </w:rPr>
        <w:t>标人将按第三章“评标办法”规定的原则计算并宣布评标基准价。若招标人发现投标文件出现以下任一情况，其投标报价将不再参加评标基准价的计算：</w:t>
      </w:r>
    </w:p>
    <w:p w14:paraId="72A1B388">
      <w:pPr>
        <w:spacing w:line="226" w:lineRule="auto"/>
        <w:ind w:left="449"/>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（1）未在投标函上填写投标总价；</w:t>
      </w:r>
    </w:p>
    <w:p w14:paraId="66C3D797">
      <w:pPr>
        <w:spacing w:before="165" w:line="226" w:lineRule="auto"/>
        <w:ind w:left="44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（2）投标报价或调价函中的报价超出招标人公布的最高投标限价（如有</w:t>
      </w:r>
      <w:r>
        <w:rPr>
          <w:rFonts w:hint="eastAsia" w:ascii="宋体" w:hAnsi="宋体" w:eastAsia="宋体" w:cs="宋体"/>
          <w:color w:val="auto"/>
          <w:spacing w:val="2"/>
          <w:sz w:val="24"/>
          <w:szCs w:val="24"/>
          <w:highlight w:val="none"/>
        </w:rPr>
        <w:t>）；</w:t>
      </w:r>
    </w:p>
    <w:p w14:paraId="6B0D04AA">
      <w:pPr>
        <w:spacing w:before="164" w:line="226" w:lineRule="auto"/>
        <w:ind w:left="44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（3）投标报价或调价函中报价的大写金额</w:t>
      </w:r>
      <w:r>
        <w:rPr>
          <w:rFonts w:hint="eastAsia" w:ascii="宋体" w:hAnsi="宋体" w:eastAsia="宋体" w:cs="宋体"/>
          <w:color w:val="auto"/>
          <w:spacing w:val="8"/>
          <w:sz w:val="24"/>
          <w:szCs w:val="24"/>
          <w:highlight w:val="none"/>
        </w:rPr>
        <w:t>无法确定具体数值；</w:t>
      </w:r>
    </w:p>
    <w:p w14:paraId="61573655">
      <w:pPr>
        <w:spacing w:before="164" w:line="339" w:lineRule="auto"/>
        <w:ind w:left="19" w:right="32" w:firstLine="43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（4）投标函上填写的标段号与投标文件封套上标记的标段号不一致。如</w:t>
      </w:r>
      <w:r>
        <w:rPr>
          <w:rFonts w:hint="eastAsia" w:ascii="宋体" w:hAnsi="宋体" w:eastAsia="宋体" w:cs="宋体"/>
          <w:color w:val="auto"/>
          <w:spacing w:val="6"/>
          <w:sz w:val="24"/>
          <w:szCs w:val="24"/>
          <w:highlight w:val="none"/>
        </w:rPr>
        <w:t>果投标人认为某一标</w:t>
      </w:r>
      <w:r>
        <w:rPr>
          <w:rFonts w:hint="eastAsia" w:ascii="宋体" w:hAnsi="宋体" w:eastAsia="宋体" w:cs="宋体"/>
          <w:color w:val="auto"/>
          <w:spacing w:val="10"/>
          <w:sz w:val="24"/>
          <w:szCs w:val="24"/>
          <w:highlight w:val="none"/>
        </w:rPr>
        <w:t>段的评标基准价计算有误，有权在开标现场提出，经招标人当场核实</w:t>
      </w:r>
      <w:r>
        <w:rPr>
          <w:rFonts w:hint="eastAsia" w:ascii="宋体" w:hAnsi="宋体" w:eastAsia="宋体" w:cs="宋体"/>
          <w:color w:val="auto"/>
          <w:spacing w:val="9"/>
          <w:sz w:val="24"/>
          <w:szCs w:val="24"/>
          <w:highlight w:val="none"/>
        </w:rPr>
        <w:t>确认之后，可重新宣布评标</w:t>
      </w:r>
      <w:r>
        <w:rPr>
          <w:rFonts w:hint="eastAsia" w:ascii="宋体" w:hAnsi="宋体" w:eastAsia="宋体" w:cs="宋体"/>
          <w:color w:val="auto"/>
          <w:spacing w:val="6"/>
          <w:sz w:val="24"/>
          <w:szCs w:val="24"/>
          <w:highlight w:val="none"/>
        </w:rPr>
        <w:t>基准价。开标现场宣布的评标基准价除计算有误经评标委员会修正外，在整个评标期间保持不变，</w:t>
      </w:r>
      <w:r>
        <w:rPr>
          <w:rFonts w:hint="eastAsia" w:ascii="宋体" w:hAnsi="宋体" w:eastAsia="宋体" w:cs="宋体"/>
          <w:color w:val="auto"/>
          <w:spacing w:val="8"/>
          <w:sz w:val="24"/>
          <w:szCs w:val="24"/>
          <w:highlight w:val="none"/>
        </w:rPr>
        <w:t>不随任何因素发生变化。</w:t>
      </w:r>
    </w:p>
    <w:p w14:paraId="278BA996">
      <w:pPr>
        <w:spacing w:before="166" w:line="377" w:lineRule="auto"/>
        <w:ind w:left="20" w:right="87" w:firstLine="423"/>
        <w:jc w:val="both"/>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5.2.5在投标文件第一个信封（商务及技术文件）或第二个信封（报价文件）开标过</w:t>
      </w:r>
      <w:r>
        <w:rPr>
          <w:rFonts w:hint="eastAsia" w:ascii="宋体" w:hAnsi="宋体" w:eastAsia="宋体" w:cs="宋体"/>
          <w:color w:val="auto"/>
          <w:spacing w:val="8"/>
          <w:sz w:val="24"/>
          <w:szCs w:val="24"/>
          <w:highlight w:val="none"/>
        </w:rPr>
        <w:t>程中，</w:t>
      </w:r>
      <w:r>
        <w:rPr>
          <w:rFonts w:hint="eastAsia" w:ascii="宋体" w:hAnsi="宋体" w:eastAsia="宋体" w:cs="宋体"/>
          <w:color w:val="auto"/>
          <w:spacing w:val="10"/>
          <w:sz w:val="24"/>
          <w:szCs w:val="24"/>
          <w:highlight w:val="none"/>
        </w:rPr>
        <w:t>若招标人宣读的内容与投标文件不符，投标人有权在开标现场提出</w:t>
      </w:r>
      <w:r>
        <w:rPr>
          <w:rFonts w:hint="eastAsia" w:ascii="宋体" w:hAnsi="宋体" w:eastAsia="宋体" w:cs="宋体"/>
          <w:color w:val="auto"/>
          <w:spacing w:val="9"/>
          <w:sz w:val="24"/>
          <w:szCs w:val="24"/>
          <w:highlight w:val="none"/>
        </w:rPr>
        <w:t>疑问，经招标人当场核查确认</w:t>
      </w:r>
      <w:r>
        <w:rPr>
          <w:rFonts w:hint="eastAsia" w:ascii="宋体" w:hAnsi="宋体" w:eastAsia="宋体" w:cs="宋体"/>
          <w:color w:val="auto"/>
          <w:spacing w:val="10"/>
          <w:sz w:val="24"/>
          <w:szCs w:val="24"/>
          <w:highlight w:val="none"/>
        </w:rPr>
        <w:t>之后，可重新宣读其投标文件。若投标人现场未提出疑问，则认为</w:t>
      </w:r>
      <w:r>
        <w:rPr>
          <w:rFonts w:hint="eastAsia" w:ascii="宋体" w:hAnsi="宋体" w:eastAsia="宋体" w:cs="宋体"/>
          <w:color w:val="auto"/>
          <w:spacing w:val="9"/>
          <w:sz w:val="24"/>
          <w:szCs w:val="24"/>
          <w:highlight w:val="none"/>
        </w:rPr>
        <w:t>投标人已确认招标人宣读的内</w:t>
      </w:r>
      <w:r>
        <w:rPr>
          <w:rFonts w:hint="eastAsia" w:ascii="宋体" w:hAnsi="宋体" w:eastAsia="宋体" w:cs="宋体"/>
          <w:color w:val="auto"/>
          <w:sz w:val="24"/>
          <w:szCs w:val="24"/>
          <w:highlight w:val="none"/>
        </w:rPr>
        <w:t>容。</w:t>
      </w:r>
    </w:p>
    <w:p w14:paraId="7F0C3169">
      <w:pPr>
        <w:pStyle w:val="4"/>
        <w:spacing w:before="243" w:line="223" w:lineRule="auto"/>
        <w:ind w:left="22"/>
        <w:outlineLvl w:val="2"/>
        <w:rPr>
          <w:rFonts w:hint="eastAsia" w:ascii="宋体" w:hAnsi="宋体" w:eastAsia="宋体" w:cs="宋体"/>
          <w:color w:val="auto"/>
          <w:sz w:val="24"/>
          <w:szCs w:val="24"/>
          <w:highlight w:val="none"/>
        </w:rPr>
      </w:pPr>
      <w:bookmarkStart w:id="245" w:name="_Toc27026"/>
      <w:bookmarkStart w:id="246" w:name="_Toc23525"/>
      <w:bookmarkStart w:id="247" w:name="_Toc26088"/>
      <w:bookmarkStart w:id="248" w:name="_Toc18051"/>
      <w:bookmarkStart w:id="249" w:name="_Toc9524"/>
      <w:r>
        <w:rPr>
          <w:rFonts w:hint="eastAsia" w:ascii="宋体" w:hAnsi="宋体" w:eastAsia="宋体" w:cs="宋体"/>
          <w:b/>
          <w:bCs/>
          <w:color w:val="auto"/>
          <w:spacing w:val="-3"/>
          <w:sz w:val="24"/>
          <w:szCs w:val="24"/>
          <w:highlight w:val="none"/>
        </w:rPr>
        <w:t>5.3电子开标的应急措施</w:t>
      </w:r>
      <w:bookmarkEnd w:id="245"/>
      <w:bookmarkEnd w:id="246"/>
      <w:bookmarkEnd w:id="247"/>
      <w:bookmarkEnd w:id="248"/>
      <w:bookmarkEnd w:id="249"/>
    </w:p>
    <w:p w14:paraId="4D4C39C4">
      <w:pPr>
        <w:spacing w:before="180" w:line="378" w:lineRule="auto"/>
        <w:ind w:left="26" w:right="16" w:firstLine="417"/>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5.3.1电子开标如出现下列原因，导致系统无法正常运行，或者无法保证招投标过程的公平、</w:t>
      </w:r>
      <w:r>
        <w:rPr>
          <w:rFonts w:hint="eastAsia" w:ascii="宋体" w:hAnsi="宋体" w:eastAsia="宋体" w:cs="宋体"/>
          <w:color w:val="auto"/>
          <w:spacing w:val="9"/>
          <w:sz w:val="24"/>
          <w:szCs w:val="24"/>
          <w:highlight w:val="none"/>
        </w:rPr>
        <w:t>公正和信息安全时，招标监管部门和交易中心应采取应急措施。</w:t>
      </w:r>
    </w:p>
    <w:p w14:paraId="4D988E28">
      <w:pPr>
        <w:spacing w:before="287" w:line="228" w:lineRule="auto"/>
        <w:ind w:left="44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（1）系统服务器发生故障或停电等情况，无法访问或</w:t>
      </w:r>
      <w:r>
        <w:rPr>
          <w:rFonts w:hint="eastAsia" w:ascii="宋体" w:hAnsi="宋体" w:eastAsia="宋体" w:cs="宋体"/>
          <w:color w:val="auto"/>
          <w:spacing w:val="8"/>
          <w:sz w:val="24"/>
          <w:szCs w:val="24"/>
          <w:highlight w:val="none"/>
        </w:rPr>
        <w:t>无法使用系统；</w:t>
      </w:r>
    </w:p>
    <w:p w14:paraId="095FA0B0">
      <w:pPr>
        <w:spacing w:before="161" w:line="228" w:lineRule="auto"/>
        <w:ind w:left="44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（2）系统的软件或数据库出现错误，不能进行正常操作；</w:t>
      </w:r>
    </w:p>
    <w:p w14:paraId="524EEF9C">
      <w:pPr>
        <w:spacing w:before="164" w:line="228" w:lineRule="auto"/>
        <w:ind w:left="44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（3）系统发现有安全漏洞，有潜在的泄密危险；</w:t>
      </w:r>
    </w:p>
    <w:p w14:paraId="14CD77FE">
      <w:pPr>
        <w:spacing w:before="160" w:line="228" w:lineRule="auto"/>
        <w:ind w:left="449"/>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（4）病毒发作或受到外来的攻击；</w:t>
      </w:r>
    </w:p>
    <w:p w14:paraId="1604D77B">
      <w:pPr>
        <w:spacing w:before="160" w:line="228" w:lineRule="auto"/>
        <w:ind w:left="44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（5）其他无法保证招投标过程公平、公正</w:t>
      </w:r>
      <w:r>
        <w:rPr>
          <w:rFonts w:hint="eastAsia" w:ascii="宋体" w:hAnsi="宋体" w:eastAsia="宋体" w:cs="宋体"/>
          <w:color w:val="auto"/>
          <w:spacing w:val="8"/>
          <w:sz w:val="24"/>
          <w:szCs w:val="24"/>
          <w:highlight w:val="none"/>
        </w:rPr>
        <w:t>和信息安全的情形。</w:t>
      </w:r>
    </w:p>
    <w:p w14:paraId="09ADEBEE">
      <w:pPr>
        <w:spacing w:before="162" w:line="377" w:lineRule="auto"/>
        <w:ind w:left="19" w:right="54" w:firstLine="437"/>
        <w:jc w:val="both"/>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出现上述情况时，应对未开标的暂停开标。已在系统内开标的立即停止，经招标监督部门确</w:t>
      </w:r>
      <w:r>
        <w:rPr>
          <w:rFonts w:hint="eastAsia" w:ascii="宋体" w:hAnsi="宋体" w:eastAsia="宋体" w:cs="宋体"/>
          <w:color w:val="auto"/>
          <w:spacing w:val="10"/>
          <w:sz w:val="24"/>
          <w:szCs w:val="24"/>
          <w:highlight w:val="none"/>
        </w:rPr>
        <w:t>认后，可采用未加密的电子投标文件光盘和应急开标系统开标。若仍</w:t>
      </w:r>
      <w:r>
        <w:rPr>
          <w:rFonts w:hint="eastAsia" w:ascii="宋体" w:hAnsi="宋体" w:eastAsia="宋体" w:cs="宋体"/>
          <w:color w:val="auto"/>
          <w:spacing w:val="9"/>
          <w:sz w:val="24"/>
          <w:szCs w:val="24"/>
          <w:highlight w:val="none"/>
        </w:rPr>
        <w:t>无法正常开标，则对原有资料及信息作出保密处理，或等待系统恢复正常后再组织进行开标。</w:t>
      </w:r>
    </w:p>
    <w:p w14:paraId="727DB8DB">
      <w:pPr>
        <w:spacing w:before="1" w:line="352" w:lineRule="auto"/>
        <w:ind w:left="18" w:right="54" w:firstLine="425"/>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5.3.2投标人在个人解密开始后60分钟内</w:t>
      </w:r>
      <w:r>
        <w:rPr>
          <w:rFonts w:hint="eastAsia" w:ascii="宋体" w:hAnsi="宋体" w:eastAsia="宋体" w:cs="宋体"/>
          <w:color w:val="auto"/>
          <w:spacing w:val="8"/>
          <w:sz w:val="24"/>
          <w:szCs w:val="24"/>
          <w:highlight w:val="none"/>
        </w:rPr>
        <w:t>完成投标文件的解密工作（以广西壮族自治区公</w:t>
      </w:r>
      <w:r>
        <w:rPr>
          <w:rFonts w:hint="eastAsia" w:ascii="宋体" w:hAnsi="宋体" w:eastAsia="宋体" w:cs="宋体"/>
          <w:color w:val="auto"/>
          <w:spacing w:val="10"/>
          <w:sz w:val="24"/>
          <w:szCs w:val="24"/>
          <w:highlight w:val="none"/>
        </w:rPr>
        <w:t>共资源交易平台系统解密倒计时为准）。因投标人原因造成投标文件在</w:t>
      </w:r>
      <w:r>
        <w:rPr>
          <w:rFonts w:hint="eastAsia" w:ascii="宋体" w:hAnsi="宋体" w:eastAsia="宋体" w:cs="宋体"/>
          <w:color w:val="auto"/>
          <w:spacing w:val="9"/>
          <w:sz w:val="24"/>
          <w:szCs w:val="24"/>
          <w:highlight w:val="none"/>
        </w:rPr>
        <w:t>规定时间内未解密的，视</w:t>
      </w:r>
      <w:r>
        <w:rPr>
          <w:rFonts w:hint="eastAsia" w:ascii="宋体" w:hAnsi="宋体" w:eastAsia="宋体" w:cs="宋体"/>
          <w:color w:val="auto"/>
          <w:spacing w:val="10"/>
          <w:sz w:val="24"/>
          <w:szCs w:val="24"/>
          <w:highlight w:val="none"/>
        </w:rPr>
        <w:t>为投标人撤销其投标文件；因投标人之外的原因造成投标文件在规定时</w:t>
      </w:r>
      <w:r>
        <w:rPr>
          <w:rFonts w:hint="eastAsia" w:ascii="宋体" w:hAnsi="宋体" w:eastAsia="宋体" w:cs="宋体"/>
          <w:color w:val="auto"/>
          <w:spacing w:val="9"/>
          <w:sz w:val="24"/>
          <w:szCs w:val="24"/>
          <w:highlight w:val="none"/>
        </w:rPr>
        <w:t>间内未解密的，经招标监</w:t>
      </w:r>
      <w:r>
        <w:rPr>
          <w:rFonts w:hint="eastAsia" w:ascii="宋体" w:hAnsi="宋体" w:eastAsia="宋体" w:cs="宋体"/>
          <w:color w:val="auto"/>
          <w:spacing w:val="10"/>
          <w:sz w:val="24"/>
          <w:szCs w:val="24"/>
          <w:highlight w:val="none"/>
        </w:rPr>
        <w:t>督部门确认并经招标人同意后，招标人可在开标现场直接导入投标人在</w:t>
      </w:r>
      <w:r>
        <w:rPr>
          <w:rFonts w:hint="eastAsia" w:ascii="宋体" w:hAnsi="宋体" w:eastAsia="宋体" w:cs="宋体"/>
          <w:color w:val="auto"/>
          <w:spacing w:val="9"/>
          <w:sz w:val="24"/>
          <w:szCs w:val="24"/>
          <w:highlight w:val="none"/>
        </w:rPr>
        <w:t>投标截止时间前递交的未</w:t>
      </w:r>
      <w:r>
        <w:rPr>
          <w:rFonts w:hint="eastAsia" w:ascii="宋体" w:hAnsi="宋体" w:eastAsia="宋体" w:cs="宋体"/>
          <w:color w:val="auto"/>
          <w:spacing w:val="10"/>
          <w:sz w:val="24"/>
          <w:szCs w:val="24"/>
          <w:highlight w:val="none"/>
        </w:rPr>
        <w:t>加密的电子投标文件光盘进行开标；如投标人电子光盘未提供或无法导</w:t>
      </w:r>
      <w:r>
        <w:rPr>
          <w:rFonts w:hint="eastAsia" w:ascii="宋体" w:hAnsi="宋体" w:eastAsia="宋体" w:cs="宋体"/>
          <w:color w:val="auto"/>
          <w:spacing w:val="9"/>
          <w:sz w:val="24"/>
          <w:szCs w:val="24"/>
          <w:highlight w:val="none"/>
        </w:rPr>
        <w:t>入上传时，视为投标人撤</w:t>
      </w:r>
      <w:r>
        <w:rPr>
          <w:rFonts w:hint="eastAsia" w:ascii="宋体" w:hAnsi="宋体" w:eastAsia="宋体" w:cs="宋体"/>
          <w:color w:val="auto"/>
          <w:spacing w:val="7"/>
          <w:sz w:val="24"/>
          <w:szCs w:val="24"/>
          <w:highlight w:val="none"/>
        </w:rPr>
        <w:t>销其投标文件。</w:t>
      </w:r>
    </w:p>
    <w:p w14:paraId="1D4FBBFB">
      <w:pPr>
        <w:spacing w:before="162" w:line="302" w:lineRule="auto"/>
        <w:ind w:left="21" w:right="105" w:firstLine="422"/>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5.3.3因网络问题或者主体库系统问题导致电子评标系统无法正常</w:t>
      </w:r>
      <w:r>
        <w:rPr>
          <w:rFonts w:hint="eastAsia" w:ascii="宋体" w:hAnsi="宋体" w:eastAsia="宋体" w:cs="宋体"/>
          <w:color w:val="auto"/>
          <w:spacing w:val="7"/>
          <w:sz w:val="24"/>
          <w:szCs w:val="24"/>
          <w:highlight w:val="none"/>
        </w:rPr>
        <w:t>访问主体库进行评标时，</w:t>
      </w:r>
      <w:r>
        <w:rPr>
          <w:rFonts w:hint="eastAsia" w:ascii="宋体" w:hAnsi="宋体" w:eastAsia="宋体" w:cs="宋体"/>
          <w:color w:val="auto"/>
          <w:spacing w:val="9"/>
          <w:sz w:val="24"/>
          <w:szCs w:val="24"/>
          <w:highlight w:val="none"/>
        </w:rPr>
        <w:t>可暂停评标，等待网络或者主体库恢复访问后继续评标。</w:t>
      </w:r>
    </w:p>
    <w:p w14:paraId="6D2D3F37">
      <w:pPr>
        <w:spacing w:before="165" w:line="352" w:lineRule="auto"/>
        <w:ind w:left="20" w:firstLine="423"/>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5.3.4开标时显示保证金状态为未提交时，应通过当地交易中心、系统维护方以及银</w:t>
      </w:r>
      <w:r>
        <w:rPr>
          <w:rFonts w:hint="eastAsia" w:ascii="宋体" w:hAnsi="宋体" w:eastAsia="宋体" w:cs="宋体"/>
          <w:color w:val="auto"/>
          <w:spacing w:val="8"/>
          <w:sz w:val="24"/>
          <w:szCs w:val="24"/>
          <w:highlight w:val="none"/>
        </w:rPr>
        <w:t>行核实</w:t>
      </w:r>
      <w:r>
        <w:rPr>
          <w:rFonts w:hint="eastAsia" w:ascii="宋体" w:hAnsi="宋体" w:eastAsia="宋体" w:cs="宋体"/>
          <w:color w:val="auto"/>
          <w:spacing w:val="10"/>
          <w:sz w:val="24"/>
          <w:szCs w:val="24"/>
          <w:highlight w:val="none"/>
        </w:rPr>
        <w:t>原因。如果是因为投标人提交保证金的账号与主体信息管理子系统</w:t>
      </w:r>
      <w:r>
        <w:rPr>
          <w:rFonts w:hint="eastAsia" w:ascii="宋体" w:hAnsi="宋体" w:eastAsia="宋体" w:cs="宋体"/>
          <w:color w:val="auto"/>
          <w:spacing w:val="-6"/>
          <w:sz w:val="24"/>
          <w:szCs w:val="24"/>
          <w:highlight w:val="none"/>
        </w:rPr>
        <w:t>备案的企业基本户不一致的，或者投标人提交的保证金金额少于招标文件要求的，</w:t>
      </w:r>
      <w:r>
        <w:rPr>
          <w:rFonts w:hint="eastAsia" w:ascii="宋体" w:hAnsi="宋体" w:eastAsia="宋体" w:cs="宋体"/>
          <w:color w:val="auto"/>
          <w:spacing w:val="10"/>
          <w:sz w:val="24"/>
          <w:szCs w:val="24"/>
          <w:highlight w:val="none"/>
        </w:rPr>
        <w:t>经过招标监督部门确认并经招标人同意后，招标人在开标时当场拒收其投标，不得进入评标。如果是因为网络</w:t>
      </w:r>
      <w:r>
        <w:rPr>
          <w:rFonts w:hint="eastAsia" w:ascii="宋体" w:hAnsi="宋体" w:eastAsia="宋体" w:cs="宋体"/>
          <w:color w:val="auto"/>
          <w:spacing w:val="9"/>
          <w:sz w:val="24"/>
          <w:szCs w:val="24"/>
          <w:highlight w:val="none"/>
        </w:rPr>
        <w:t>原因或者广西壮族自治区公共</w:t>
      </w:r>
      <w:r>
        <w:rPr>
          <w:rFonts w:hint="eastAsia" w:ascii="宋体" w:hAnsi="宋体" w:eastAsia="宋体" w:cs="宋体"/>
          <w:color w:val="auto"/>
          <w:spacing w:val="6"/>
          <w:sz w:val="24"/>
          <w:szCs w:val="24"/>
          <w:highlight w:val="none"/>
        </w:rPr>
        <w:t>资源交易平台系统、银行系统原因导致的，并且银行最终确认投标人已按时足额提交了保证金的，</w:t>
      </w:r>
      <w:r>
        <w:rPr>
          <w:rFonts w:hint="eastAsia" w:ascii="宋体" w:hAnsi="宋体" w:eastAsia="宋体" w:cs="宋体"/>
          <w:color w:val="auto"/>
          <w:spacing w:val="7"/>
          <w:sz w:val="24"/>
          <w:szCs w:val="24"/>
          <w:highlight w:val="none"/>
        </w:rPr>
        <w:t>可以继续进行开标。</w:t>
      </w:r>
    </w:p>
    <w:p w14:paraId="01C8C8FC">
      <w:pPr>
        <w:pStyle w:val="4"/>
        <w:spacing w:before="79" w:line="223" w:lineRule="auto"/>
        <w:ind w:left="22"/>
        <w:outlineLvl w:val="2"/>
        <w:rPr>
          <w:rFonts w:hint="eastAsia" w:ascii="宋体" w:hAnsi="宋体" w:eastAsia="宋体" w:cs="宋体"/>
          <w:color w:val="auto"/>
          <w:sz w:val="24"/>
          <w:szCs w:val="24"/>
          <w:highlight w:val="none"/>
        </w:rPr>
      </w:pPr>
      <w:bookmarkStart w:id="250" w:name="_Toc22568"/>
      <w:bookmarkStart w:id="251" w:name="_Toc3792"/>
      <w:bookmarkStart w:id="252" w:name="_Toc29780"/>
      <w:bookmarkStart w:id="253" w:name="_Toc28791"/>
      <w:bookmarkStart w:id="254" w:name="_Toc19224"/>
      <w:r>
        <w:rPr>
          <w:rFonts w:hint="eastAsia" w:ascii="宋体" w:hAnsi="宋体" w:eastAsia="宋体" w:cs="宋体"/>
          <w:b/>
          <w:bCs/>
          <w:color w:val="auto"/>
          <w:spacing w:val="-5"/>
          <w:sz w:val="24"/>
          <w:szCs w:val="24"/>
          <w:highlight w:val="none"/>
        </w:rPr>
        <w:t>5.4不予开标</w:t>
      </w:r>
      <w:bookmarkEnd w:id="250"/>
      <w:bookmarkEnd w:id="251"/>
      <w:bookmarkEnd w:id="252"/>
      <w:bookmarkEnd w:id="253"/>
      <w:bookmarkEnd w:id="254"/>
    </w:p>
    <w:p w14:paraId="004EA6A5">
      <w:pPr>
        <w:spacing w:before="180" w:line="228" w:lineRule="auto"/>
        <w:ind w:left="21"/>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符合下列情况之一的投标，招标人拒绝受理其投标，不得进入评标：</w:t>
      </w:r>
    </w:p>
    <w:p w14:paraId="19F57492">
      <w:pPr>
        <w:spacing w:before="161" w:line="302" w:lineRule="auto"/>
        <w:ind w:left="19" w:right="54" w:firstLine="10"/>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（1）投标人法定代表人或被授权的委托代理人未按时出席开标会或开标要求的授</w:t>
      </w:r>
      <w:r>
        <w:rPr>
          <w:rFonts w:hint="eastAsia" w:ascii="宋体" w:hAnsi="宋体" w:eastAsia="宋体" w:cs="宋体"/>
          <w:color w:val="auto"/>
          <w:spacing w:val="11"/>
          <w:sz w:val="24"/>
          <w:szCs w:val="24"/>
          <w:highlight w:val="none"/>
        </w:rPr>
        <w:t>权委托书完整</w:t>
      </w:r>
      <w:r>
        <w:rPr>
          <w:rFonts w:hint="eastAsia" w:ascii="宋体" w:hAnsi="宋体" w:eastAsia="宋体" w:cs="宋体"/>
          <w:color w:val="auto"/>
          <w:spacing w:val="9"/>
          <w:sz w:val="24"/>
          <w:szCs w:val="24"/>
          <w:highlight w:val="none"/>
        </w:rPr>
        <w:t>材料和身份证未通过核验或验证的（或其中任何一人的身份证被锁定无效的）。</w:t>
      </w:r>
    </w:p>
    <w:p w14:paraId="22DB9523">
      <w:pPr>
        <w:spacing w:before="165" w:line="302" w:lineRule="auto"/>
        <w:ind w:left="18" w:right="54" w:firstLine="1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（2）现场持身份证的委托代理人与通过身份证验证、授权出席开标会、授权签署投标文件</w:t>
      </w:r>
      <w:r>
        <w:rPr>
          <w:rFonts w:hint="eastAsia" w:ascii="宋体" w:hAnsi="宋体" w:eastAsia="宋体" w:cs="宋体"/>
          <w:color w:val="auto"/>
          <w:spacing w:val="6"/>
          <w:sz w:val="24"/>
          <w:szCs w:val="24"/>
          <w:highlight w:val="none"/>
        </w:rPr>
        <w:t>的委托</w:t>
      </w:r>
      <w:r>
        <w:rPr>
          <w:rFonts w:hint="eastAsia" w:ascii="宋体" w:hAnsi="宋体" w:eastAsia="宋体" w:cs="宋体"/>
          <w:color w:val="auto"/>
          <w:spacing w:val="7"/>
          <w:sz w:val="24"/>
          <w:szCs w:val="24"/>
          <w:highlight w:val="none"/>
        </w:rPr>
        <w:t>代理人非同一人的。</w:t>
      </w:r>
    </w:p>
    <w:p w14:paraId="19C14ABD">
      <w:pPr>
        <w:pStyle w:val="4"/>
        <w:spacing w:before="78" w:line="222" w:lineRule="auto"/>
        <w:ind w:left="22"/>
        <w:outlineLvl w:val="2"/>
        <w:rPr>
          <w:rFonts w:hint="eastAsia" w:ascii="宋体" w:hAnsi="宋体" w:eastAsia="宋体" w:cs="宋体"/>
          <w:b/>
          <w:bCs/>
          <w:color w:val="auto"/>
          <w:spacing w:val="-5"/>
          <w:sz w:val="24"/>
          <w:szCs w:val="24"/>
          <w:highlight w:val="none"/>
        </w:rPr>
      </w:pPr>
      <w:bookmarkStart w:id="255" w:name="_Toc5010"/>
      <w:bookmarkStart w:id="256" w:name="_Toc14643"/>
      <w:bookmarkStart w:id="257" w:name="_Toc2657"/>
      <w:bookmarkStart w:id="258" w:name="_Toc18942"/>
      <w:bookmarkStart w:id="259" w:name="_Toc12571"/>
      <w:r>
        <w:rPr>
          <w:rFonts w:hint="eastAsia" w:ascii="宋体" w:hAnsi="宋体" w:eastAsia="宋体" w:cs="宋体"/>
          <w:b/>
          <w:bCs/>
          <w:color w:val="auto"/>
          <w:spacing w:val="-5"/>
          <w:sz w:val="24"/>
          <w:szCs w:val="24"/>
          <w:highlight w:val="none"/>
        </w:rPr>
        <w:t>5.4开标异议</w:t>
      </w:r>
      <w:bookmarkEnd w:id="255"/>
      <w:bookmarkEnd w:id="256"/>
      <w:bookmarkEnd w:id="257"/>
      <w:bookmarkEnd w:id="258"/>
      <w:bookmarkEnd w:id="259"/>
    </w:p>
    <w:p w14:paraId="7D547AFA">
      <w:pPr>
        <w:pStyle w:val="4"/>
        <w:keepNext w:val="0"/>
        <w:keepLines w:val="0"/>
        <w:pageBreakBefore w:val="0"/>
        <w:widowControl/>
        <w:kinsoku w:val="0"/>
        <w:wordWrap/>
        <w:overflowPunct/>
        <w:topLinePunct w:val="0"/>
        <w:autoSpaceDE w:val="0"/>
        <w:autoSpaceDN w:val="0"/>
        <w:bidi w:val="0"/>
        <w:adjustRightInd w:val="0"/>
        <w:snapToGrid w:val="0"/>
        <w:spacing w:before="78" w:line="360" w:lineRule="auto"/>
        <w:ind w:left="23" w:firstLine="258" w:firstLineChars="100"/>
        <w:textAlignment w:val="baseline"/>
        <w:outlineLvl w:val="2"/>
        <w:rPr>
          <w:rFonts w:hint="eastAsia" w:ascii="宋体" w:hAnsi="宋体" w:eastAsia="宋体" w:cs="宋体"/>
          <w:color w:val="auto"/>
          <w:sz w:val="24"/>
          <w:szCs w:val="24"/>
          <w:highlight w:val="none"/>
        </w:rPr>
      </w:pPr>
      <w:bookmarkStart w:id="260" w:name="_Toc28938"/>
      <w:bookmarkStart w:id="261" w:name="_Toc15148"/>
      <w:bookmarkStart w:id="262" w:name="_Toc26384"/>
      <w:bookmarkStart w:id="263" w:name="_Toc26646"/>
      <w:bookmarkStart w:id="264" w:name="_Toc18306"/>
      <w:r>
        <w:rPr>
          <w:rFonts w:hint="eastAsia" w:ascii="宋体" w:hAnsi="宋体" w:eastAsia="宋体" w:cs="宋体"/>
          <w:color w:val="auto"/>
          <w:spacing w:val="9"/>
          <w:sz w:val="24"/>
          <w:szCs w:val="24"/>
          <w:highlight w:val="none"/>
        </w:rPr>
        <w:t>投标人对开标有异议的，应当在开标现场提出，招标人应当场作出答复，并记录。</w:t>
      </w:r>
      <w:bookmarkEnd w:id="260"/>
      <w:bookmarkEnd w:id="261"/>
      <w:bookmarkEnd w:id="262"/>
      <w:bookmarkEnd w:id="263"/>
      <w:bookmarkEnd w:id="264"/>
    </w:p>
    <w:p w14:paraId="11F3C180">
      <w:pPr>
        <w:pStyle w:val="4"/>
        <w:spacing w:before="298" w:line="222" w:lineRule="auto"/>
        <w:ind w:left="23"/>
        <w:outlineLvl w:val="1"/>
        <w:rPr>
          <w:rFonts w:hint="eastAsia" w:ascii="宋体" w:hAnsi="宋体" w:eastAsia="宋体" w:cs="宋体"/>
          <w:color w:val="auto"/>
          <w:sz w:val="28"/>
          <w:szCs w:val="28"/>
          <w:highlight w:val="none"/>
        </w:rPr>
      </w:pPr>
      <w:bookmarkStart w:id="265" w:name="_Toc17944"/>
      <w:bookmarkStart w:id="266" w:name="_Toc19171"/>
      <w:bookmarkStart w:id="267" w:name="_Toc28249"/>
      <w:bookmarkStart w:id="268" w:name="_Toc29602"/>
      <w:bookmarkStart w:id="269" w:name="_Toc23779"/>
      <w:r>
        <w:rPr>
          <w:rFonts w:hint="eastAsia" w:ascii="宋体" w:hAnsi="宋体" w:eastAsia="宋体" w:cs="宋体"/>
          <w:b/>
          <w:bCs/>
          <w:color w:val="auto"/>
          <w:spacing w:val="-7"/>
          <w:sz w:val="28"/>
          <w:szCs w:val="28"/>
          <w:highlight w:val="none"/>
        </w:rPr>
        <w:t>6.评标</w:t>
      </w:r>
      <w:bookmarkEnd w:id="265"/>
      <w:bookmarkEnd w:id="266"/>
      <w:bookmarkEnd w:id="267"/>
      <w:bookmarkEnd w:id="268"/>
      <w:bookmarkEnd w:id="269"/>
    </w:p>
    <w:p w14:paraId="24409C34">
      <w:pPr>
        <w:pStyle w:val="4"/>
        <w:spacing w:before="78" w:line="221" w:lineRule="auto"/>
        <w:ind w:left="21"/>
        <w:outlineLvl w:val="2"/>
        <w:rPr>
          <w:rFonts w:hint="eastAsia" w:ascii="宋体" w:hAnsi="宋体" w:eastAsia="宋体" w:cs="宋体"/>
          <w:color w:val="auto"/>
          <w:sz w:val="24"/>
          <w:szCs w:val="24"/>
          <w:highlight w:val="none"/>
        </w:rPr>
      </w:pPr>
      <w:bookmarkStart w:id="270" w:name="_Toc21591"/>
      <w:bookmarkStart w:id="271" w:name="_Toc3175"/>
      <w:bookmarkStart w:id="272" w:name="_Toc7694"/>
      <w:bookmarkStart w:id="273" w:name="_Toc23598"/>
      <w:bookmarkStart w:id="274" w:name="_Toc7124"/>
      <w:r>
        <w:rPr>
          <w:rFonts w:hint="eastAsia" w:ascii="宋体" w:hAnsi="宋体" w:eastAsia="宋体" w:cs="宋体"/>
          <w:b/>
          <w:bCs/>
          <w:color w:val="auto"/>
          <w:spacing w:val="-4"/>
          <w:sz w:val="24"/>
          <w:szCs w:val="24"/>
          <w:highlight w:val="none"/>
        </w:rPr>
        <w:t>6.1评标委员会</w:t>
      </w:r>
      <w:bookmarkEnd w:id="270"/>
      <w:bookmarkEnd w:id="271"/>
      <w:bookmarkEnd w:id="272"/>
      <w:bookmarkEnd w:id="273"/>
      <w:bookmarkEnd w:id="274"/>
    </w:p>
    <w:p w14:paraId="32060999">
      <w:pPr>
        <w:spacing w:before="185" w:line="327" w:lineRule="auto"/>
        <w:ind w:left="18" w:right="1" w:firstLine="422"/>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6.1.1评标由招标人依法组建的评标委员会负责。评标委员会由招标人或其委</w:t>
      </w:r>
      <w:r>
        <w:rPr>
          <w:rFonts w:hint="eastAsia" w:ascii="宋体" w:hAnsi="宋体" w:eastAsia="宋体" w:cs="宋体"/>
          <w:color w:val="auto"/>
          <w:spacing w:val="-6"/>
          <w:sz w:val="24"/>
          <w:szCs w:val="24"/>
          <w:highlight w:val="none"/>
        </w:rPr>
        <w:t>托的招标代理机构熟悉相关业务的代表，以及有关技术、经济等方面的专家组成。</w:t>
      </w:r>
      <w:r>
        <w:rPr>
          <w:rFonts w:hint="eastAsia" w:ascii="宋体" w:hAnsi="宋体" w:eastAsia="宋体" w:cs="宋体"/>
          <w:color w:val="auto"/>
          <w:spacing w:val="9"/>
          <w:sz w:val="24"/>
          <w:szCs w:val="24"/>
          <w:highlight w:val="none"/>
        </w:rPr>
        <w:t>评标</w:t>
      </w:r>
      <w:r>
        <w:rPr>
          <w:rFonts w:hint="eastAsia" w:ascii="宋体" w:hAnsi="宋体" w:eastAsia="宋体" w:cs="宋体"/>
          <w:color w:val="auto"/>
          <w:spacing w:val="8"/>
          <w:sz w:val="24"/>
          <w:szCs w:val="24"/>
          <w:highlight w:val="none"/>
        </w:rPr>
        <w:t>委员会成员人数以及技</w:t>
      </w:r>
      <w:r>
        <w:rPr>
          <w:rFonts w:hint="eastAsia" w:ascii="宋体" w:hAnsi="宋体" w:eastAsia="宋体" w:cs="宋体"/>
          <w:color w:val="auto"/>
          <w:spacing w:val="9"/>
          <w:sz w:val="24"/>
          <w:szCs w:val="24"/>
          <w:highlight w:val="none"/>
        </w:rPr>
        <w:t>术、经济等方面专家的确定方式见投标人须知前附表。</w:t>
      </w:r>
    </w:p>
    <w:p w14:paraId="2040C851">
      <w:pPr>
        <w:spacing w:before="162" w:line="227" w:lineRule="auto"/>
        <w:ind w:left="441"/>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6.1.2评标委员会成员有下列情形之一的，应主动提出回避：</w:t>
      </w:r>
    </w:p>
    <w:p w14:paraId="01B046BB">
      <w:pPr>
        <w:spacing w:before="164" w:line="228" w:lineRule="auto"/>
        <w:ind w:left="44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（1）为负责招标项目监督管理的交通运输主</w:t>
      </w:r>
      <w:r>
        <w:rPr>
          <w:rFonts w:hint="eastAsia" w:ascii="宋体" w:hAnsi="宋体" w:eastAsia="宋体" w:cs="宋体"/>
          <w:color w:val="auto"/>
          <w:spacing w:val="8"/>
          <w:sz w:val="24"/>
          <w:szCs w:val="24"/>
          <w:highlight w:val="none"/>
        </w:rPr>
        <w:t>管部门的工作人员；</w:t>
      </w:r>
    </w:p>
    <w:p w14:paraId="7EF6DBCC">
      <w:pPr>
        <w:spacing w:before="160" w:line="228" w:lineRule="auto"/>
        <w:ind w:left="44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（2）与投标人法定代表人或其委托代理人有近亲属关系；</w:t>
      </w:r>
    </w:p>
    <w:p w14:paraId="6DFD1ACC">
      <w:pPr>
        <w:spacing w:before="161" w:line="228" w:lineRule="auto"/>
        <w:ind w:left="44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（3）为投标人的工作人员或退休人员；</w:t>
      </w:r>
    </w:p>
    <w:p w14:paraId="2073822D">
      <w:pPr>
        <w:spacing w:before="162" w:line="228" w:lineRule="auto"/>
        <w:ind w:left="44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（4）与投标人有其他利害关系，可能影响评标活动公正性；</w:t>
      </w:r>
    </w:p>
    <w:p w14:paraId="43041FE3">
      <w:pPr>
        <w:keepNext w:val="0"/>
        <w:keepLines w:val="0"/>
        <w:pageBreakBefore w:val="0"/>
        <w:widowControl/>
        <w:kinsoku w:val="0"/>
        <w:wordWrap/>
        <w:overflowPunct/>
        <w:topLinePunct w:val="0"/>
        <w:autoSpaceDE w:val="0"/>
        <w:autoSpaceDN w:val="0"/>
        <w:bidi w:val="0"/>
        <w:adjustRightInd w:val="0"/>
        <w:snapToGrid w:val="0"/>
        <w:spacing w:before="161" w:line="360" w:lineRule="auto"/>
        <w:ind w:left="44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（5）在与招标投标有关的活动中有过违法违规行为、曾受过行政</w:t>
      </w:r>
      <w:r>
        <w:rPr>
          <w:rFonts w:hint="eastAsia" w:ascii="宋体" w:hAnsi="宋体" w:eastAsia="宋体" w:cs="宋体"/>
          <w:color w:val="auto"/>
          <w:spacing w:val="7"/>
          <w:sz w:val="24"/>
          <w:szCs w:val="24"/>
          <w:highlight w:val="none"/>
        </w:rPr>
        <w:t>处罚或刑事处罚。</w:t>
      </w:r>
    </w:p>
    <w:p w14:paraId="2621F5DB">
      <w:pPr>
        <w:keepNext w:val="0"/>
        <w:keepLines w:val="0"/>
        <w:pageBreakBefore w:val="0"/>
        <w:widowControl/>
        <w:kinsoku w:val="0"/>
        <w:wordWrap/>
        <w:overflowPunct/>
        <w:topLinePunct w:val="0"/>
        <w:autoSpaceDE w:val="0"/>
        <w:autoSpaceDN w:val="0"/>
        <w:bidi w:val="0"/>
        <w:adjustRightInd w:val="0"/>
        <w:snapToGrid w:val="0"/>
        <w:spacing w:before="160" w:line="380" w:lineRule="auto"/>
        <w:ind w:right="0" w:firstLine="258" w:firstLineChars="1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6.1.3评标过程中，评标委员会成员有回避事由、擅离职守或因健康等原因不能继续评标的，招标人有权更换。被更换的评标委员会成员作出的评审结论无效，由更换</w:t>
      </w:r>
      <w:r>
        <w:rPr>
          <w:rFonts w:hint="eastAsia" w:ascii="宋体" w:hAnsi="宋体" w:eastAsia="宋体" w:cs="宋体"/>
          <w:color w:val="auto"/>
          <w:spacing w:val="8"/>
          <w:sz w:val="24"/>
          <w:szCs w:val="24"/>
          <w:highlight w:val="none"/>
        </w:rPr>
        <w:t>后的评标委员会成员重新</w:t>
      </w:r>
      <w:r>
        <w:rPr>
          <w:rFonts w:hint="eastAsia" w:ascii="宋体" w:hAnsi="宋体" w:eastAsia="宋体" w:cs="宋体"/>
          <w:color w:val="auto"/>
          <w:spacing w:val="6"/>
          <w:sz w:val="24"/>
          <w:szCs w:val="24"/>
          <w:highlight w:val="none"/>
        </w:rPr>
        <w:t>进行评审。</w:t>
      </w:r>
    </w:p>
    <w:p w14:paraId="617D5838">
      <w:pPr>
        <w:pStyle w:val="4"/>
        <w:spacing w:before="239" w:line="222" w:lineRule="auto"/>
        <w:ind w:left="21"/>
        <w:outlineLvl w:val="2"/>
        <w:rPr>
          <w:rFonts w:hint="eastAsia" w:ascii="宋体" w:hAnsi="宋体" w:eastAsia="宋体" w:cs="宋体"/>
          <w:color w:val="auto"/>
          <w:sz w:val="24"/>
          <w:szCs w:val="24"/>
          <w:highlight w:val="none"/>
        </w:rPr>
      </w:pPr>
      <w:bookmarkStart w:id="275" w:name="_Toc18536"/>
      <w:bookmarkStart w:id="276" w:name="_Toc16388"/>
      <w:bookmarkStart w:id="277" w:name="_Toc5552"/>
      <w:bookmarkStart w:id="278" w:name="_Toc3515"/>
      <w:bookmarkStart w:id="279" w:name="_Toc27918"/>
      <w:r>
        <w:rPr>
          <w:rFonts w:hint="eastAsia" w:ascii="宋体" w:hAnsi="宋体" w:eastAsia="宋体" w:cs="宋体"/>
          <w:b/>
          <w:bCs/>
          <w:color w:val="auto"/>
          <w:spacing w:val="-4"/>
          <w:sz w:val="24"/>
          <w:szCs w:val="24"/>
          <w:highlight w:val="none"/>
        </w:rPr>
        <w:t>6.2评标原则</w:t>
      </w:r>
      <w:bookmarkEnd w:id="275"/>
      <w:bookmarkEnd w:id="276"/>
      <w:bookmarkEnd w:id="277"/>
      <w:bookmarkEnd w:id="278"/>
      <w:bookmarkEnd w:id="279"/>
    </w:p>
    <w:p w14:paraId="31546ED0">
      <w:pPr>
        <w:spacing w:before="182" w:line="227" w:lineRule="auto"/>
        <w:ind w:left="438"/>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评标活动遵循公平、公正、科学和择优的原则。</w:t>
      </w:r>
    </w:p>
    <w:p w14:paraId="27C1863F">
      <w:pPr>
        <w:pStyle w:val="4"/>
        <w:spacing w:line="326" w:lineRule="auto"/>
        <w:rPr>
          <w:rFonts w:hint="eastAsia" w:ascii="宋体" w:hAnsi="宋体" w:eastAsia="宋体" w:cs="宋体"/>
          <w:color w:val="auto"/>
          <w:highlight w:val="none"/>
        </w:rPr>
      </w:pPr>
    </w:p>
    <w:p w14:paraId="0690627C">
      <w:pPr>
        <w:pStyle w:val="4"/>
        <w:spacing w:before="79" w:line="222" w:lineRule="auto"/>
        <w:ind w:left="21"/>
        <w:outlineLvl w:val="2"/>
        <w:rPr>
          <w:rFonts w:hint="eastAsia" w:ascii="宋体" w:hAnsi="宋体" w:eastAsia="宋体" w:cs="宋体"/>
          <w:color w:val="auto"/>
          <w:sz w:val="24"/>
          <w:szCs w:val="24"/>
          <w:highlight w:val="none"/>
        </w:rPr>
      </w:pPr>
      <w:bookmarkStart w:id="280" w:name="_Toc31705"/>
      <w:bookmarkStart w:id="281" w:name="_Toc21555"/>
      <w:bookmarkStart w:id="282" w:name="_Toc23667"/>
      <w:bookmarkStart w:id="283" w:name="_Toc13807"/>
      <w:bookmarkStart w:id="284" w:name="_Toc18752"/>
      <w:r>
        <w:rPr>
          <w:rFonts w:hint="eastAsia" w:ascii="宋体" w:hAnsi="宋体" w:eastAsia="宋体" w:cs="宋体"/>
          <w:b/>
          <w:bCs/>
          <w:color w:val="auto"/>
          <w:spacing w:val="-5"/>
          <w:sz w:val="24"/>
          <w:szCs w:val="24"/>
          <w:highlight w:val="none"/>
        </w:rPr>
        <w:t>6.3评标</w:t>
      </w:r>
      <w:bookmarkEnd w:id="280"/>
      <w:bookmarkEnd w:id="281"/>
      <w:bookmarkEnd w:id="282"/>
      <w:bookmarkEnd w:id="283"/>
      <w:bookmarkEnd w:id="284"/>
    </w:p>
    <w:p w14:paraId="1957F246">
      <w:pPr>
        <w:keepNext w:val="0"/>
        <w:keepLines w:val="0"/>
        <w:pageBreakBefore w:val="0"/>
        <w:widowControl/>
        <w:kinsoku w:val="0"/>
        <w:wordWrap/>
        <w:overflowPunct/>
        <w:topLinePunct w:val="0"/>
        <w:autoSpaceDE w:val="0"/>
        <w:autoSpaceDN w:val="0"/>
        <w:bidi w:val="0"/>
        <w:adjustRightInd w:val="0"/>
        <w:snapToGrid w:val="0"/>
        <w:spacing w:before="182" w:line="303" w:lineRule="auto"/>
        <w:ind w:right="0" w:firstLine="256" w:firstLineChars="1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6.3.1评标委员会按照第三章“评标办法”规定的方法、评审因素、标准和程序对投标文件</w:t>
      </w:r>
      <w:r>
        <w:rPr>
          <w:rFonts w:hint="eastAsia" w:ascii="宋体" w:hAnsi="宋体" w:eastAsia="宋体" w:cs="宋体"/>
          <w:color w:val="auto"/>
          <w:spacing w:val="9"/>
          <w:sz w:val="24"/>
          <w:szCs w:val="24"/>
          <w:highlight w:val="none"/>
        </w:rPr>
        <w:t>进行评审。第三章“评标办法”没有规定的方法、评审因素和</w:t>
      </w:r>
      <w:r>
        <w:rPr>
          <w:rFonts w:hint="eastAsia" w:ascii="宋体" w:hAnsi="宋体" w:eastAsia="宋体" w:cs="宋体"/>
          <w:color w:val="auto"/>
          <w:spacing w:val="8"/>
          <w:sz w:val="24"/>
          <w:szCs w:val="24"/>
          <w:highlight w:val="none"/>
        </w:rPr>
        <w:t>标准，不作为评标依据。</w:t>
      </w:r>
    </w:p>
    <w:p w14:paraId="01A4EF58">
      <w:pPr>
        <w:spacing w:before="162" w:line="302" w:lineRule="auto"/>
        <w:ind w:right="1" w:firstLine="516"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6.3.2评标完成后，评标委员会应向招标人提交书面评标报告和中标候选人名单。评标委员会推荐中标候选人的人数见投标人须知前附表。</w:t>
      </w:r>
    </w:p>
    <w:p w14:paraId="679AB3EC">
      <w:pPr>
        <w:spacing w:before="161" w:line="228" w:lineRule="auto"/>
        <w:ind w:left="441"/>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6.3.3评标补救措施</w:t>
      </w:r>
    </w:p>
    <w:p w14:paraId="02474E5F">
      <w:pPr>
        <w:spacing w:before="161" w:line="379" w:lineRule="auto"/>
        <w:ind w:left="21" w:right="1" w:firstLine="417"/>
        <w:jc w:val="both"/>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评标委员会按照本章第6.3.1项的规定在电子评</w:t>
      </w:r>
      <w:r>
        <w:rPr>
          <w:rFonts w:hint="eastAsia" w:ascii="宋体" w:hAnsi="宋体" w:eastAsia="宋体" w:cs="宋体"/>
          <w:color w:val="auto"/>
          <w:spacing w:val="6"/>
          <w:sz w:val="24"/>
          <w:szCs w:val="24"/>
          <w:highlight w:val="none"/>
        </w:rPr>
        <w:t>标系统上开展评审工作。如果评标过程中出</w:t>
      </w:r>
      <w:r>
        <w:rPr>
          <w:rFonts w:hint="eastAsia" w:ascii="宋体" w:hAnsi="宋体" w:eastAsia="宋体" w:cs="宋体"/>
          <w:color w:val="auto"/>
          <w:spacing w:val="10"/>
          <w:sz w:val="24"/>
          <w:szCs w:val="24"/>
          <w:highlight w:val="none"/>
        </w:rPr>
        <w:t>现异常情况，导致无法继续评审工作的，可暂停评标，对原有资</w:t>
      </w:r>
      <w:r>
        <w:rPr>
          <w:rFonts w:hint="eastAsia" w:ascii="宋体" w:hAnsi="宋体" w:eastAsia="宋体" w:cs="宋体"/>
          <w:color w:val="auto"/>
          <w:spacing w:val="9"/>
          <w:sz w:val="24"/>
          <w:szCs w:val="24"/>
          <w:highlight w:val="none"/>
        </w:rPr>
        <w:t>料及信息作出妥善保密处理，待</w:t>
      </w:r>
      <w:r>
        <w:rPr>
          <w:rFonts w:hint="eastAsia" w:ascii="宋体" w:hAnsi="宋体" w:eastAsia="宋体" w:cs="宋体"/>
          <w:color w:val="auto"/>
          <w:spacing w:val="8"/>
          <w:sz w:val="24"/>
          <w:szCs w:val="24"/>
          <w:highlight w:val="none"/>
        </w:rPr>
        <w:t>电子评标系统恢复正常之后，应重新组织评审。</w:t>
      </w:r>
    </w:p>
    <w:p w14:paraId="08987B36">
      <w:pPr>
        <w:pStyle w:val="4"/>
        <w:spacing w:before="286" w:line="223" w:lineRule="auto"/>
        <w:ind w:left="23"/>
        <w:outlineLvl w:val="1"/>
        <w:rPr>
          <w:rFonts w:hint="eastAsia" w:ascii="宋体" w:hAnsi="宋体" w:eastAsia="宋体" w:cs="宋体"/>
          <w:color w:val="auto"/>
          <w:sz w:val="28"/>
          <w:szCs w:val="28"/>
          <w:highlight w:val="none"/>
        </w:rPr>
      </w:pPr>
      <w:bookmarkStart w:id="285" w:name="_Toc12253"/>
      <w:bookmarkStart w:id="286" w:name="_Toc12667"/>
      <w:bookmarkStart w:id="287" w:name="_Toc16564"/>
      <w:bookmarkStart w:id="288" w:name="_Toc15204"/>
      <w:bookmarkStart w:id="289" w:name="_Toc12529"/>
      <w:r>
        <w:rPr>
          <w:rFonts w:hint="eastAsia" w:ascii="宋体" w:hAnsi="宋体" w:eastAsia="宋体" w:cs="宋体"/>
          <w:b/>
          <w:bCs/>
          <w:color w:val="auto"/>
          <w:spacing w:val="-6"/>
          <w:sz w:val="28"/>
          <w:szCs w:val="28"/>
          <w:highlight w:val="none"/>
        </w:rPr>
        <w:t>7.合同授予</w:t>
      </w:r>
      <w:bookmarkEnd w:id="285"/>
      <w:bookmarkEnd w:id="286"/>
      <w:bookmarkEnd w:id="287"/>
      <w:bookmarkEnd w:id="288"/>
      <w:bookmarkEnd w:id="289"/>
    </w:p>
    <w:p w14:paraId="291F919D">
      <w:pPr>
        <w:pStyle w:val="4"/>
        <w:spacing w:line="427" w:lineRule="auto"/>
        <w:rPr>
          <w:rFonts w:hint="eastAsia" w:ascii="宋体" w:hAnsi="宋体" w:eastAsia="宋体" w:cs="宋体"/>
          <w:color w:val="auto"/>
          <w:highlight w:val="none"/>
        </w:rPr>
      </w:pPr>
    </w:p>
    <w:p w14:paraId="68216C3D">
      <w:pPr>
        <w:pStyle w:val="4"/>
        <w:spacing w:before="78" w:line="222" w:lineRule="auto"/>
        <w:ind w:left="21"/>
        <w:outlineLvl w:val="2"/>
        <w:rPr>
          <w:rFonts w:hint="eastAsia" w:ascii="宋体" w:hAnsi="宋体" w:eastAsia="宋体" w:cs="宋体"/>
          <w:color w:val="auto"/>
          <w:sz w:val="24"/>
          <w:szCs w:val="24"/>
          <w:highlight w:val="none"/>
        </w:rPr>
      </w:pPr>
      <w:bookmarkStart w:id="290" w:name="_Toc17598"/>
      <w:bookmarkStart w:id="291" w:name="_Toc8048"/>
      <w:bookmarkStart w:id="292" w:name="_Toc9433"/>
      <w:bookmarkStart w:id="293" w:name="_Toc14397"/>
      <w:bookmarkStart w:id="294" w:name="_Toc336"/>
      <w:r>
        <w:rPr>
          <w:rFonts w:hint="eastAsia" w:ascii="宋体" w:hAnsi="宋体" w:eastAsia="宋体" w:cs="宋体"/>
          <w:b/>
          <w:bCs/>
          <w:color w:val="auto"/>
          <w:spacing w:val="-4"/>
          <w:sz w:val="24"/>
          <w:szCs w:val="24"/>
          <w:highlight w:val="none"/>
        </w:rPr>
        <w:t>7.1中标候选人公示</w:t>
      </w:r>
      <w:bookmarkEnd w:id="290"/>
      <w:bookmarkEnd w:id="291"/>
      <w:bookmarkEnd w:id="292"/>
      <w:bookmarkEnd w:id="293"/>
      <w:bookmarkEnd w:id="294"/>
    </w:p>
    <w:p w14:paraId="287DB9C6">
      <w:pPr>
        <w:spacing w:before="183" w:line="378" w:lineRule="auto"/>
        <w:ind w:right="1" w:firstLine="504" w:firstLineChars="200"/>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招标人在收到评标报告之日起3日内，按照投标人须知前附表规定的公示媒</w:t>
      </w:r>
      <w:r>
        <w:rPr>
          <w:rFonts w:hint="eastAsia" w:ascii="宋体" w:hAnsi="宋体" w:eastAsia="宋体" w:cs="宋体"/>
          <w:color w:val="auto"/>
          <w:spacing w:val="5"/>
          <w:sz w:val="24"/>
          <w:szCs w:val="24"/>
          <w:highlight w:val="none"/>
        </w:rPr>
        <w:t>介和期限公示中</w:t>
      </w:r>
      <w:r>
        <w:rPr>
          <w:rFonts w:hint="eastAsia" w:ascii="宋体" w:hAnsi="宋体" w:eastAsia="宋体" w:cs="宋体"/>
          <w:color w:val="auto"/>
          <w:spacing w:val="6"/>
          <w:sz w:val="24"/>
          <w:szCs w:val="24"/>
          <w:highlight w:val="none"/>
        </w:rPr>
        <w:t>标候选人，公示期不得少于3日，公示内容包括：</w:t>
      </w:r>
    </w:p>
    <w:p w14:paraId="50AD0273">
      <w:pPr>
        <w:spacing w:before="183" w:line="378" w:lineRule="auto"/>
        <w:ind w:left="20" w:right="1" w:firstLine="42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（1）中标候选人排序、名称、投标报价，对工程质量要求、安全目标和工期的响应情况；</w:t>
      </w:r>
    </w:p>
    <w:p w14:paraId="0B8EE4DE">
      <w:pPr>
        <w:spacing w:before="163" w:line="303" w:lineRule="auto"/>
        <w:ind w:left="21" w:right="70" w:firstLine="42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（2）中标候选人在投标文件中承诺的项目经理和项目总工姓名、个人业</w:t>
      </w:r>
      <w:r>
        <w:rPr>
          <w:rFonts w:hint="eastAsia" w:ascii="宋体" w:hAnsi="宋体" w:eastAsia="宋体" w:cs="宋体"/>
          <w:color w:val="auto"/>
          <w:spacing w:val="6"/>
          <w:sz w:val="24"/>
          <w:szCs w:val="24"/>
          <w:highlight w:val="none"/>
        </w:rPr>
        <w:t>绩、相关证书名称和</w:t>
      </w:r>
      <w:r>
        <w:rPr>
          <w:rFonts w:hint="eastAsia" w:ascii="宋体" w:hAnsi="宋体" w:eastAsia="宋体" w:cs="宋体"/>
          <w:color w:val="auto"/>
          <w:spacing w:val="2"/>
          <w:sz w:val="24"/>
          <w:szCs w:val="24"/>
          <w:highlight w:val="none"/>
        </w:rPr>
        <w:t>编号；</w:t>
      </w:r>
    </w:p>
    <w:p w14:paraId="749885AD">
      <w:pPr>
        <w:spacing w:before="161" w:line="228" w:lineRule="auto"/>
        <w:ind w:left="44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（3）中标候选人在投标文件中填报的项目业绩；</w:t>
      </w:r>
    </w:p>
    <w:p w14:paraId="6D99E502">
      <w:pPr>
        <w:spacing w:before="161" w:line="227" w:lineRule="auto"/>
        <w:ind w:left="44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（4）被否决投标的投标人名称、否决依据和原因；</w:t>
      </w:r>
    </w:p>
    <w:p w14:paraId="6B64AFA4">
      <w:pPr>
        <w:spacing w:before="161" w:line="228" w:lineRule="auto"/>
        <w:ind w:left="449"/>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（5）提出异议的渠道和方式；</w:t>
      </w:r>
    </w:p>
    <w:p w14:paraId="2EED484E">
      <w:pPr>
        <w:spacing w:before="163" w:line="227" w:lineRule="auto"/>
        <w:ind w:left="44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（6）投标人须知前附表规定公示的其他内容。</w:t>
      </w:r>
    </w:p>
    <w:p w14:paraId="6462A63D">
      <w:pPr>
        <w:pStyle w:val="4"/>
        <w:spacing w:line="326" w:lineRule="auto"/>
        <w:rPr>
          <w:rFonts w:hint="eastAsia" w:ascii="宋体" w:hAnsi="宋体" w:eastAsia="宋体" w:cs="宋体"/>
          <w:color w:val="auto"/>
          <w:highlight w:val="none"/>
        </w:rPr>
      </w:pPr>
    </w:p>
    <w:p w14:paraId="30E6DE8E">
      <w:pPr>
        <w:pStyle w:val="4"/>
        <w:spacing w:before="78" w:line="222" w:lineRule="auto"/>
        <w:ind w:left="21"/>
        <w:outlineLvl w:val="2"/>
        <w:rPr>
          <w:rFonts w:hint="eastAsia" w:ascii="宋体" w:hAnsi="宋体" w:eastAsia="宋体" w:cs="宋体"/>
          <w:color w:val="auto"/>
          <w:sz w:val="24"/>
          <w:szCs w:val="24"/>
          <w:highlight w:val="none"/>
        </w:rPr>
      </w:pPr>
      <w:bookmarkStart w:id="295" w:name="_Toc1014"/>
      <w:bookmarkStart w:id="296" w:name="_Toc13779"/>
      <w:bookmarkStart w:id="297" w:name="_Toc30768"/>
      <w:bookmarkStart w:id="298" w:name="_Toc24449"/>
      <w:bookmarkStart w:id="299" w:name="_Toc14161"/>
      <w:r>
        <w:rPr>
          <w:rFonts w:hint="eastAsia" w:ascii="宋体" w:hAnsi="宋体" w:eastAsia="宋体" w:cs="宋体"/>
          <w:b/>
          <w:bCs/>
          <w:color w:val="auto"/>
          <w:spacing w:val="-4"/>
          <w:sz w:val="24"/>
          <w:szCs w:val="24"/>
          <w:highlight w:val="none"/>
        </w:rPr>
        <w:t>7.2评标结果异议</w:t>
      </w:r>
      <w:bookmarkEnd w:id="295"/>
      <w:bookmarkEnd w:id="296"/>
      <w:bookmarkEnd w:id="297"/>
      <w:bookmarkEnd w:id="298"/>
      <w:bookmarkEnd w:id="299"/>
    </w:p>
    <w:p w14:paraId="6F4CC9B0">
      <w:pPr>
        <w:spacing w:before="184" w:line="377" w:lineRule="auto"/>
        <w:ind w:left="20" w:firstLine="421"/>
        <w:jc w:val="both"/>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投标人或其他利害关系人对依法必须进行招标的项目的评</w:t>
      </w:r>
      <w:r>
        <w:rPr>
          <w:rFonts w:hint="eastAsia" w:ascii="宋体" w:hAnsi="宋体" w:eastAsia="宋体" w:cs="宋体"/>
          <w:color w:val="auto"/>
          <w:spacing w:val="9"/>
          <w:sz w:val="24"/>
          <w:szCs w:val="24"/>
          <w:highlight w:val="none"/>
        </w:rPr>
        <w:t>标结果有异议的，应在中标候选人</w:t>
      </w:r>
      <w:r>
        <w:rPr>
          <w:rFonts w:hint="eastAsia" w:ascii="宋体" w:hAnsi="宋体" w:eastAsia="宋体" w:cs="宋体"/>
          <w:color w:val="auto"/>
          <w:spacing w:val="3"/>
          <w:sz w:val="24"/>
          <w:szCs w:val="24"/>
          <w:highlight w:val="none"/>
        </w:rPr>
        <w:t>公示期间提出。招标人将在收到异议之日起3日内作出答复；作出答复前，将暂停招标投标活</w:t>
      </w:r>
      <w:r>
        <w:rPr>
          <w:rFonts w:hint="eastAsia" w:ascii="宋体" w:hAnsi="宋体" w:eastAsia="宋体" w:cs="宋体"/>
          <w:color w:val="auto"/>
          <w:spacing w:val="2"/>
          <w:sz w:val="24"/>
          <w:szCs w:val="24"/>
          <w:highlight w:val="none"/>
        </w:rPr>
        <w:t>动。</w:t>
      </w:r>
      <w:r>
        <w:rPr>
          <w:rFonts w:hint="eastAsia" w:ascii="宋体" w:hAnsi="宋体" w:eastAsia="宋体" w:cs="宋体"/>
          <w:color w:val="auto"/>
          <w:spacing w:val="7"/>
          <w:sz w:val="24"/>
          <w:szCs w:val="24"/>
          <w:highlight w:val="none"/>
        </w:rPr>
        <w:t>提出异议与作出答复均应通过“电子交易平台”在“异议”菜单</w:t>
      </w:r>
      <w:r>
        <w:rPr>
          <w:rFonts w:hint="eastAsia" w:ascii="宋体" w:hAnsi="宋体" w:eastAsia="宋体" w:cs="宋体"/>
          <w:color w:val="auto"/>
          <w:spacing w:val="6"/>
          <w:sz w:val="24"/>
          <w:szCs w:val="24"/>
          <w:highlight w:val="none"/>
        </w:rPr>
        <w:t>以书面形式进行。</w:t>
      </w:r>
    </w:p>
    <w:p w14:paraId="5655F728">
      <w:pPr>
        <w:pStyle w:val="4"/>
        <w:spacing w:before="242" w:line="222" w:lineRule="auto"/>
        <w:ind w:left="21"/>
        <w:outlineLvl w:val="2"/>
        <w:rPr>
          <w:rFonts w:hint="eastAsia" w:ascii="宋体" w:hAnsi="宋体" w:eastAsia="宋体" w:cs="宋体"/>
          <w:color w:val="auto"/>
          <w:sz w:val="24"/>
          <w:szCs w:val="24"/>
          <w:highlight w:val="none"/>
        </w:rPr>
      </w:pPr>
      <w:bookmarkStart w:id="300" w:name="_Toc32367"/>
      <w:bookmarkStart w:id="301" w:name="_Toc2247"/>
      <w:bookmarkStart w:id="302" w:name="_Toc10147"/>
      <w:bookmarkStart w:id="303" w:name="_Toc23611"/>
      <w:bookmarkStart w:id="304" w:name="_Toc23435"/>
      <w:r>
        <w:rPr>
          <w:rFonts w:hint="eastAsia" w:ascii="宋体" w:hAnsi="宋体" w:eastAsia="宋体" w:cs="宋体"/>
          <w:b/>
          <w:bCs/>
          <w:color w:val="auto"/>
          <w:spacing w:val="-3"/>
          <w:sz w:val="24"/>
          <w:szCs w:val="24"/>
          <w:highlight w:val="none"/>
        </w:rPr>
        <w:t>7.3中标候选人履约能力审查</w:t>
      </w:r>
      <w:bookmarkEnd w:id="300"/>
      <w:bookmarkEnd w:id="301"/>
      <w:bookmarkEnd w:id="302"/>
      <w:bookmarkEnd w:id="303"/>
      <w:bookmarkEnd w:id="304"/>
    </w:p>
    <w:p w14:paraId="36DD3073">
      <w:pPr>
        <w:spacing w:before="181" w:line="378" w:lineRule="auto"/>
        <w:ind w:left="23" w:right="71" w:firstLine="436"/>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中标候选人的经营、财务状况发生较大变化或存在违法行为，招标人认为可能影响其履约能力的，将在发出中标通知书前提请原评标委员会按照招标文件规定的标准和方法进行审查确认。</w:t>
      </w:r>
    </w:p>
    <w:p w14:paraId="3A24233F">
      <w:pPr>
        <w:pStyle w:val="4"/>
        <w:spacing w:before="246" w:line="224" w:lineRule="auto"/>
        <w:ind w:left="21"/>
        <w:outlineLvl w:val="2"/>
        <w:rPr>
          <w:rFonts w:hint="eastAsia" w:ascii="宋体" w:hAnsi="宋体" w:eastAsia="宋体" w:cs="宋体"/>
          <w:color w:val="auto"/>
          <w:sz w:val="24"/>
          <w:szCs w:val="24"/>
          <w:highlight w:val="none"/>
        </w:rPr>
      </w:pPr>
      <w:bookmarkStart w:id="305" w:name="_Toc22891"/>
      <w:bookmarkStart w:id="306" w:name="_Toc20173"/>
      <w:bookmarkStart w:id="307" w:name="_Toc24158"/>
      <w:bookmarkStart w:id="308" w:name="_Toc18589"/>
      <w:bookmarkStart w:id="309" w:name="_Toc8622"/>
      <w:r>
        <w:rPr>
          <w:rFonts w:hint="eastAsia" w:ascii="宋体" w:hAnsi="宋体" w:eastAsia="宋体" w:cs="宋体"/>
          <w:b/>
          <w:bCs/>
          <w:color w:val="auto"/>
          <w:spacing w:val="-5"/>
          <w:sz w:val="24"/>
          <w:szCs w:val="24"/>
          <w:highlight w:val="none"/>
        </w:rPr>
        <w:t>7.4定标</w:t>
      </w:r>
      <w:bookmarkEnd w:id="305"/>
      <w:bookmarkEnd w:id="306"/>
      <w:bookmarkEnd w:id="307"/>
      <w:bookmarkEnd w:id="308"/>
      <w:bookmarkEnd w:id="309"/>
    </w:p>
    <w:p w14:paraId="4A62B0B6">
      <w:pPr>
        <w:keepNext w:val="0"/>
        <w:keepLines w:val="0"/>
        <w:pageBreakBefore w:val="0"/>
        <w:widowControl/>
        <w:kinsoku w:val="0"/>
        <w:wordWrap/>
        <w:overflowPunct/>
        <w:topLinePunct w:val="0"/>
        <w:autoSpaceDE w:val="0"/>
        <w:autoSpaceDN w:val="0"/>
        <w:bidi w:val="0"/>
        <w:adjustRightInd w:val="0"/>
        <w:snapToGrid w:val="0"/>
        <w:spacing w:before="178" w:line="360" w:lineRule="auto"/>
        <w:ind w:firstLine="258" w:firstLineChars="1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按照投标人须知前附表的规定，招标人或招标人授权的评标委员会依法确定中标人。</w:t>
      </w:r>
    </w:p>
    <w:p w14:paraId="7942F6B3">
      <w:pPr>
        <w:pStyle w:val="4"/>
        <w:spacing w:before="79" w:line="222" w:lineRule="auto"/>
        <w:ind w:left="21"/>
        <w:outlineLvl w:val="2"/>
        <w:rPr>
          <w:rFonts w:hint="eastAsia" w:ascii="宋体" w:hAnsi="宋体" w:eastAsia="宋体" w:cs="宋体"/>
          <w:color w:val="auto"/>
          <w:sz w:val="24"/>
          <w:szCs w:val="24"/>
          <w:highlight w:val="none"/>
        </w:rPr>
      </w:pPr>
      <w:bookmarkStart w:id="310" w:name="_Toc16418"/>
      <w:bookmarkStart w:id="311" w:name="_Toc21776"/>
      <w:bookmarkStart w:id="312" w:name="_Toc15333"/>
      <w:bookmarkStart w:id="313" w:name="_Toc3783"/>
      <w:bookmarkStart w:id="314" w:name="_Toc10102"/>
      <w:r>
        <w:rPr>
          <w:rFonts w:hint="eastAsia" w:ascii="宋体" w:hAnsi="宋体" w:eastAsia="宋体" w:cs="宋体"/>
          <w:b/>
          <w:bCs/>
          <w:color w:val="auto"/>
          <w:spacing w:val="-7"/>
          <w:sz w:val="24"/>
          <w:szCs w:val="24"/>
          <w:highlight w:val="none"/>
        </w:rPr>
        <w:t>7.5中标通知</w:t>
      </w:r>
      <w:bookmarkEnd w:id="310"/>
      <w:bookmarkEnd w:id="311"/>
      <w:bookmarkEnd w:id="312"/>
      <w:bookmarkEnd w:id="313"/>
      <w:bookmarkEnd w:id="314"/>
    </w:p>
    <w:p w14:paraId="4EA65546">
      <w:pPr>
        <w:spacing w:before="180" w:line="378" w:lineRule="auto"/>
        <w:ind w:left="39" w:right="70" w:firstLine="399"/>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在本章第3.3款规定的投标有效期内，招标人以投标人须知前附</w:t>
      </w:r>
      <w:r>
        <w:rPr>
          <w:rFonts w:hint="eastAsia" w:ascii="宋体" w:hAnsi="宋体" w:eastAsia="宋体" w:cs="宋体"/>
          <w:color w:val="auto"/>
          <w:spacing w:val="6"/>
          <w:sz w:val="24"/>
          <w:szCs w:val="24"/>
          <w:highlight w:val="none"/>
        </w:rPr>
        <w:t>表规定的形式向中标人发出</w:t>
      </w:r>
      <w:r>
        <w:rPr>
          <w:rFonts w:hint="eastAsia" w:ascii="宋体" w:hAnsi="宋体" w:eastAsia="宋体" w:cs="宋体"/>
          <w:color w:val="auto"/>
          <w:spacing w:val="8"/>
          <w:sz w:val="24"/>
          <w:szCs w:val="24"/>
          <w:highlight w:val="none"/>
        </w:rPr>
        <w:t>中标通知书，同时将中标结果通知未中标的投标人。</w:t>
      </w:r>
    </w:p>
    <w:p w14:paraId="407FEF54">
      <w:pPr>
        <w:pStyle w:val="4"/>
        <w:spacing w:before="242" w:line="224" w:lineRule="auto"/>
        <w:ind w:left="21"/>
        <w:outlineLvl w:val="2"/>
        <w:rPr>
          <w:rFonts w:hint="eastAsia" w:ascii="宋体" w:hAnsi="宋体" w:eastAsia="宋体" w:cs="宋体"/>
          <w:color w:val="auto"/>
          <w:sz w:val="24"/>
          <w:szCs w:val="24"/>
          <w:highlight w:val="none"/>
        </w:rPr>
      </w:pPr>
      <w:bookmarkStart w:id="315" w:name="_Toc32301"/>
      <w:bookmarkStart w:id="316" w:name="_Toc20996"/>
      <w:bookmarkStart w:id="317" w:name="_Toc26591"/>
      <w:bookmarkStart w:id="318" w:name="_Toc16743"/>
      <w:bookmarkStart w:id="319" w:name="_Toc18832"/>
      <w:r>
        <w:rPr>
          <w:rFonts w:hint="eastAsia" w:ascii="宋体" w:hAnsi="宋体" w:eastAsia="宋体" w:cs="宋体"/>
          <w:b/>
          <w:bCs/>
          <w:color w:val="auto"/>
          <w:spacing w:val="-4"/>
          <w:sz w:val="24"/>
          <w:szCs w:val="24"/>
          <w:highlight w:val="none"/>
        </w:rPr>
        <w:t>7.6中标结果公告</w:t>
      </w:r>
      <w:bookmarkEnd w:id="315"/>
      <w:bookmarkEnd w:id="316"/>
      <w:bookmarkEnd w:id="317"/>
      <w:bookmarkEnd w:id="318"/>
      <w:bookmarkEnd w:id="319"/>
    </w:p>
    <w:p w14:paraId="580BA1B2">
      <w:pPr>
        <w:spacing w:before="181" w:line="377" w:lineRule="auto"/>
        <w:ind w:left="24" w:right="70" w:firstLine="415"/>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招标人在确定中标人之日起3日内，按照投标人须知前附表规定的公</w:t>
      </w:r>
      <w:r>
        <w:rPr>
          <w:rFonts w:hint="eastAsia" w:ascii="宋体" w:hAnsi="宋体" w:eastAsia="宋体" w:cs="宋体"/>
          <w:color w:val="auto"/>
          <w:spacing w:val="5"/>
          <w:sz w:val="24"/>
          <w:szCs w:val="24"/>
          <w:highlight w:val="none"/>
        </w:rPr>
        <w:t>告媒介和期限公告中标</w:t>
      </w:r>
      <w:r>
        <w:rPr>
          <w:rFonts w:hint="eastAsia" w:ascii="宋体" w:hAnsi="宋体" w:eastAsia="宋体" w:cs="宋体"/>
          <w:color w:val="auto"/>
          <w:spacing w:val="7"/>
          <w:sz w:val="24"/>
          <w:szCs w:val="24"/>
          <w:highlight w:val="none"/>
        </w:rPr>
        <w:t>结果，公告期不得少于3日。公告内容包括中标人名称、中标价。</w:t>
      </w:r>
    </w:p>
    <w:p w14:paraId="56D424C0">
      <w:pPr>
        <w:pStyle w:val="4"/>
        <w:spacing w:before="245" w:line="222" w:lineRule="auto"/>
        <w:ind w:left="21"/>
        <w:outlineLvl w:val="2"/>
        <w:rPr>
          <w:rFonts w:hint="eastAsia" w:ascii="宋体" w:hAnsi="宋体" w:eastAsia="宋体" w:cs="宋体"/>
          <w:color w:val="auto"/>
          <w:sz w:val="24"/>
          <w:szCs w:val="24"/>
          <w:highlight w:val="none"/>
        </w:rPr>
      </w:pPr>
      <w:bookmarkStart w:id="320" w:name="_Toc6344"/>
      <w:bookmarkStart w:id="321" w:name="_Toc25330"/>
      <w:bookmarkStart w:id="322" w:name="_Toc10169"/>
      <w:bookmarkStart w:id="323" w:name="_Toc14581"/>
      <w:bookmarkStart w:id="324" w:name="_Toc6744"/>
      <w:r>
        <w:rPr>
          <w:rFonts w:hint="eastAsia" w:ascii="宋体" w:hAnsi="宋体" w:eastAsia="宋体" w:cs="宋体"/>
          <w:b/>
          <w:bCs/>
          <w:color w:val="auto"/>
          <w:spacing w:val="-4"/>
          <w:sz w:val="24"/>
          <w:szCs w:val="24"/>
          <w:highlight w:val="none"/>
        </w:rPr>
        <w:t>7.7履约保证金</w:t>
      </w:r>
      <w:bookmarkEnd w:id="320"/>
      <w:bookmarkEnd w:id="321"/>
      <w:bookmarkEnd w:id="322"/>
      <w:bookmarkEnd w:id="323"/>
      <w:bookmarkEnd w:id="324"/>
    </w:p>
    <w:p w14:paraId="6C02981F">
      <w:pPr>
        <w:spacing w:before="183" w:line="377" w:lineRule="auto"/>
        <w:ind w:left="32" w:right="70" w:firstLine="412"/>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7.7.1在签订合同前，中标人应按投标人须知前附表规定的形式、金额和招标文件第四章“合</w:t>
      </w:r>
      <w:r>
        <w:rPr>
          <w:rFonts w:hint="eastAsia" w:ascii="宋体" w:hAnsi="宋体" w:eastAsia="宋体" w:cs="宋体"/>
          <w:color w:val="auto"/>
          <w:spacing w:val="9"/>
          <w:sz w:val="24"/>
          <w:szCs w:val="24"/>
          <w:highlight w:val="none"/>
        </w:rPr>
        <w:t>同条款及格式”规定的或事先经过招标人书面认可的履约保证金格式</w:t>
      </w:r>
      <w:r>
        <w:rPr>
          <w:rFonts w:hint="eastAsia" w:ascii="宋体" w:hAnsi="宋体" w:eastAsia="宋体" w:cs="宋体"/>
          <w:color w:val="auto"/>
          <w:spacing w:val="8"/>
          <w:sz w:val="24"/>
          <w:szCs w:val="24"/>
          <w:highlight w:val="none"/>
        </w:rPr>
        <w:t>向招标人提交履约保证金。</w:t>
      </w:r>
      <w:r>
        <w:rPr>
          <w:rFonts w:hint="eastAsia" w:ascii="宋体" w:hAnsi="宋体" w:eastAsia="宋体" w:cs="宋体"/>
          <w:color w:val="auto"/>
          <w:spacing w:val="7"/>
          <w:sz w:val="24"/>
          <w:szCs w:val="24"/>
          <w:highlight w:val="none"/>
        </w:rPr>
        <w:t>除投标人须知前附表另有规定外，履约保证金为签约合同价的2%。联</w:t>
      </w:r>
      <w:r>
        <w:rPr>
          <w:rFonts w:hint="eastAsia" w:ascii="宋体" w:hAnsi="宋体" w:eastAsia="宋体" w:cs="宋体"/>
          <w:color w:val="auto"/>
          <w:spacing w:val="6"/>
          <w:sz w:val="24"/>
          <w:szCs w:val="24"/>
          <w:highlight w:val="none"/>
        </w:rPr>
        <w:t>合体中标的，其履约保证金</w:t>
      </w:r>
      <w:r>
        <w:rPr>
          <w:rFonts w:hint="eastAsia" w:ascii="宋体" w:hAnsi="宋体" w:eastAsia="宋体" w:cs="宋体"/>
          <w:color w:val="auto"/>
          <w:spacing w:val="8"/>
          <w:sz w:val="24"/>
          <w:szCs w:val="24"/>
          <w:highlight w:val="none"/>
        </w:rPr>
        <w:t>以联合体各方或联合体中牵头人的名义提交。</w:t>
      </w:r>
    </w:p>
    <w:p w14:paraId="103725BA">
      <w:pPr>
        <w:spacing w:before="1" w:line="376" w:lineRule="auto"/>
        <w:ind w:left="20" w:right="71" w:firstLine="418"/>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采用银行保函时，应由符合投标人须知前附表规定级别的银行开具</w:t>
      </w:r>
      <w:r>
        <w:rPr>
          <w:rFonts w:hint="eastAsia" w:ascii="宋体" w:hAnsi="宋体" w:eastAsia="宋体" w:cs="宋体"/>
          <w:color w:val="auto"/>
          <w:spacing w:val="9"/>
          <w:sz w:val="24"/>
          <w:szCs w:val="24"/>
          <w:highlight w:val="none"/>
        </w:rPr>
        <w:t>，所需的费用由中标人承</w:t>
      </w:r>
      <w:r>
        <w:rPr>
          <w:rFonts w:hint="eastAsia" w:ascii="宋体" w:hAnsi="宋体" w:eastAsia="宋体" w:cs="宋体"/>
          <w:color w:val="auto"/>
          <w:spacing w:val="8"/>
          <w:sz w:val="24"/>
          <w:szCs w:val="24"/>
          <w:highlight w:val="none"/>
        </w:rPr>
        <w:t>担，中标人应保证银行保函有效。</w:t>
      </w:r>
    </w:p>
    <w:p w14:paraId="5C5D0F6C">
      <w:pPr>
        <w:spacing w:before="287" w:line="228" w:lineRule="auto"/>
        <w:ind w:left="23"/>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7.7.2中标人不能按本章第7.7.1</w:t>
      </w:r>
      <w:r>
        <w:rPr>
          <w:rFonts w:hint="eastAsia" w:ascii="宋体" w:hAnsi="宋体" w:eastAsia="宋体" w:cs="宋体"/>
          <w:color w:val="auto"/>
          <w:spacing w:val="5"/>
          <w:sz w:val="24"/>
          <w:szCs w:val="24"/>
          <w:highlight w:val="none"/>
        </w:rPr>
        <w:t>项要求提交履约保证金的，视为放弃中标，其投标保证金</w:t>
      </w:r>
      <w:r>
        <w:rPr>
          <w:rFonts w:hint="eastAsia" w:ascii="宋体" w:hAnsi="宋体" w:eastAsia="宋体" w:cs="宋体"/>
          <w:color w:val="auto"/>
          <w:spacing w:val="9"/>
          <w:sz w:val="24"/>
          <w:szCs w:val="24"/>
          <w:highlight w:val="none"/>
        </w:rPr>
        <w:t>不予退还，给招标人造成的损失超过投标保证金数额的，中标人还应对超过部分予以赔偿。</w:t>
      </w:r>
    </w:p>
    <w:p w14:paraId="659C8725">
      <w:pPr>
        <w:pStyle w:val="4"/>
        <w:spacing w:line="325" w:lineRule="auto"/>
        <w:rPr>
          <w:rFonts w:hint="eastAsia" w:ascii="宋体" w:hAnsi="宋体" w:eastAsia="宋体" w:cs="宋体"/>
          <w:color w:val="auto"/>
          <w:highlight w:val="none"/>
        </w:rPr>
      </w:pPr>
    </w:p>
    <w:p w14:paraId="42CA4B8A">
      <w:pPr>
        <w:pStyle w:val="4"/>
        <w:spacing w:before="78" w:line="223" w:lineRule="auto"/>
        <w:ind w:left="21"/>
        <w:outlineLvl w:val="2"/>
        <w:rPr>
          <w:rFonts w:hint="eastAsia" w:ascii="宋体" w:hAnsi="宋体" w:eastAsia="宋体" w:cs="宋体"/>
          <w:color w:val="auto"/>
          <w:sz w:val="24"/>
          <w:szCs w:val="24"/>
          <w:highlight w:val="none"/>
        </w:rPr>
      </w:pPr>
      <w:bookmarkStart w:id="325" w:name="_Toc16778"/>
      <w:bookmarkStart w:id="326" w:name="_Toc7024"/>
      <w:bookmarkStart w:id="327" w:name="_Toc11962"/>
      <w:bookmarkStart w:id="328" w:name="_Toc8918"/>
      <w:bookmarkStart w:id="329" w:name="_Toc3251"/>
      <w:r>
        <w:rPr>
          <w:rFonts w:hint="eastAsia" w:ascii="宋体" w:hAnsi="宋体" w:eastAsia="宋体" w:cs="宋体"/>
          <w:b/>
          <w:bCs/>
          <w:color w:val="auto"/>
          <w:spacing w:val="-4"/>
          <w:sz w:val="24"/>
          <w:szCs w:val="24"/>
          <w:highlight w:val="none"/>
        </w:rPr>
        <w:t>7.8签订合同</w:t>
      </w:r>
      <w:bookmarkEnd w:id="325"/>
      <w:bookmarkEnd w:id="326"/>
      <w:bookmarkEnd w:id="327"/>
      <w:bookmarkEnd w:id="328"/>
      <w:bookmarkEnd w:id="329"/>
    </w:p>
    <w:p w14:paraId="30211B51">
      <w:pPr>
        <w:spacing w:before="180" w:line="340" w:lineRule="auto"/>
        <w:ind w:left="18" w:right="70" w:firstLine="425"/>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7.8.1招标人和中标人应在中标通知书发出之日</w:t>
      </w:r>
      <w:r>
        <w:rPr>
          <w:rFonts w:hint="eastAsia" w:ascii="宋体" w:hAnsi="宋体" w:eastAsia="宋体" w:cs="宋体"/>
          <w:color w:val="auto"/>
          <w:spacing w:val="7"/>
          <w:sz w:val="24"/>
          <w:szCs w:val="24"/>
          <w:highlight w:val="none"/>
        </w:rPr>
        <w:t>起30日内，根据招标文件和中标人的投标</w:t>
      </w:r>
      <w:r>
        <w:rPr>
          <w:rFonts w:hint="eastAsia" w:ascii="宋体" w:hAnsi="宋体" w:eastAsia="宋体" w:cs="宋体"/>
          <w:color w:val="auto"/>
          <w:spacing w:val="10"/>
          <w:sz w:val="24"/>
          <w:szCs w:val="24"/>
          <w:highlight w:val="none"/>
        </w:rPr>
        <w:t>文件订立书面合同。中标人无正当理由拒签合同，在签订合同时向招标</w:t>
      </w:r>
      <w:r>
        <w:rPr>
          <w:rFonts w:hint="eastAsia" w:ascii="宋体" w:hAnsi="宋体" w:eastAsia="宋体" w:cs="宋体"/>
          <w:color w:val="auto"/>
          <w:spacing w:val="9"/>
          <w:sz w:val="24"/>
          <w:szCs w:val="24"/>
          <w:highlight w:val="none"/>
        </w:rPr>
        <w:t>人提出附加条件，或不按</w:t>
      </w:r>
      <w:r>
        <w:rPr>
          <w:rFonts w:hint="eastAsia" w:ascii="宋体" w:hAnsi="宋体" w:eastAsia="宋体" w:cs="宋体"/>
          <w:color w:val="auto"/>
          <w:spacing w:val="10"/>
          <w:sz w:val="24"/>
          <w:szCs w:val="24"/>
          <w:highlight w:val="none"/>
        </w:rPr>
        <w:t>照招标文件要求提交履约保证金的，招标人取消其中标资格，其投标保</w:t>
      </w:r>
      <w:r>
        <w:rPr>
          <w:rFonts w:hint="eastAsia" w:ascii="宋体" w:hAnsi="宋体" w:eastAsia="宋体" w:cs="宋体"/>
          <w:color w:val="auto"/>
          <w:spacing w:val="9"/>
          <w:sz w:val="24"/>
          <w:szCs w:val="24"/>
          <w:highlight w:val="none"/>
        </w:rPr>
        <w:t>证金不予退还；给招标人造成的损失超过投标保证金数额的，中标人还应对超过部分予以赔偿。</w:t>
      </w:r>
    </w:p>
    <w:p w14:paraId="666F3C0B">
      <w:pPr>
        <w:spacing w:before="161" w:line="303" w:lineRule="auto"/>
        <w:ind w:left="21" w:right="71" w:firstLine="423"/>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7.8.2发出中标通知书后，招标人无正当理由拒签合同，或在签订合同时向中标人</w:t>
      </w:r>
      <w:r>
        <w:rPr>
          <w:rFonts w:hint="eastAsia" w:ascii="宋体" w:hAnsi="宋体" w:eastAsia="宋体" w:cs="宋体"/>
          <w:color w:val="auto"/>
          <w:spacing w:val="8"/>
          <w:sz w:val="24"/>
          <w:szCs w:val="24"/>
          <w:highlight w:val="none"/>
        </w:rPr>
        <w:t>提出附加</w:t>
      </w:r>
      <w:r>
        <w:rPr>
          <w:rFonts w:hint="eastAsia" w:ascii="宋体" w:hAnsi="宋体" w:eastAsia="宋体" w:cs="宋体"/>
          <w:color w:val="auto"/>
          <w:spacing w:val="9"/>
          <w:sz w:val="24"/>
          <w:szCs w:val="24"/>
          <w:highlight w:val="none"/>
        </w:rPr>
        <w:t>条件的，招标人向中标人退还投标保证金；给中标人造成损失的，还应赔偿损失。</w:t>
      </w:r>
    </w:p>
    <w:p w14:paraId="14ED1FD0">
      <w:pPr>
        <w:spacing w:before="162" w:line="226" w:lineRule="auto"/>
        <w:ind w:left="444"/>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7.8.3签约合同价的确定原则如下：</w:t>
      </w:r>
    </w:p>
    <w:p w14:paraId="3F46543F">
      <w:pPr>
        <w:spacing w:before="164" w:line="301" w:lineRule="auto"/>
        <w:ind w:left="33" w:right="70" w:firstLine="416"/>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（1）按照评标办法规定对投标报价进行修正后，若修正后的最终投标报</w:t>
      </w:r>
      <w:r>
        <w:rPr>
          <w:rFonts w:hint="eastAsia" w:ascii="宋体" w:hAnsi="宋体" w:eastAsia="宋体" w:cs="宋体"/>
          <w:color w:val="auto"/>
          <w:spacing w:val="6"/>
          <w:sz w:val="24"/>
          <w:szCs w:val="24"/>
          <w:highlight w:val="none"/>
        </w:rPr>
        <w:t>价小于开标时的投标</w:t>
      </w:r>
      <w:r>
        <w:rPr>
          <w:rFonts w:hint="eastAsia" w:ascii="宋体" w:hAnsi="宋体" w:eastAsia="宋体" w:cs="宋体"/>
          <w:color w:val="auto"/>
          <w:spacing w:val="9"/>
          <w:sz w:val="24"/>
          <w:szCs w:val="24"/>
          <w:highlight w:val="none"/>
        </w:rPr>
        <w:t>函大写金额报价，则签订合同时以修正后的最终</w:t>
      </w:r>
      <w:r>
        <w:rPr>
          <w:rFonts w:hint="eastAsia" w:ascii="宋体" w:hAnsi="宋体" w:eastAsia="宋体" w:cs="宋体"/>
          <w:color w:val="auto"/>
          <w:spacing w:val="8"/>
          <w:sz w:val="24"/>
          <w:szCs w:val="24"/>
          <w:highlight w:val="none"/>
        </w:rPr>
        <w:t>投标报价为准；</w:t>
      </w:r>
    </w:p>
    <w:p w14:paraId="5DC0FF38">
      <w:pPr>
        <w:spacing w:before="164" w:line="327" w:lineRule="auto"/>
        <w:ind w:left="33" w:right="70" w:firstLine="416"/>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（2）按照评标办法规定对投标报价进行修正后，若修正后的最终投标报</w:t>
      </w:r>
      <w:r>
        <w:rPr>
          <w:rFonts w:hint="eastAsia" w:ascii="宋体" w:hAnsi="宋体" w:eastAsia="宋体" w:cs="宋体"/>
          <w:color w:val="auto"/>
          <w:spacing w:val="6"/>
          <w:sz w:val="24"/>
          <w:szCs w:val="24"/>
          <w:highlight w:val="none"/>
        </w:rPr>
        <w:t>价大于开标时的投标</w:t>
      </w:r>
      <w:r>
        <w:rPr>
          <w:rFonts w:hint="eastAsia" w:ascii="宋体" w:hAnsi="宋体" w:eastAsia="宋体" w:cs="宋体"/>
          <w:color w:val="auto"/>
          <w:spacing w:val="9"/>
          <w:sz w:val="24"/>
          <w:szCs w:val="24"/>
          <w:highlight w:val="none"/>
        </w:rPr>
        <w:t>函大写金额报价，则签订合同时以开标时的投标函大写金额报价为准，同时按比例修正相应子目</w:t>
      </w:r>
      <w:r>
        <w:rPr>
          <w:rFonts w:hint="eastAsia" w:ascii="宋体" w:hAnsi="宋体" w:eastAsia="宋体" w:cs="宋体"/>
          <w:color w:val="auto"/>
          <w:spacing w:val="5"/>
          <w:sz w:val="24"/>
          <w:szCs w:val="24"/>
          <w:highlight w:val="none"/>
        </w:rPr>
        <w:t>的单价或合价。</w:t>
      </w:r>
    </w:p>
    <w:p w14:paraId="6DC8CD17">
      <w:pPr>
        <w:spacing w:before="163" w:line="302" w:lineRule="auto"/>
        <w:ind w:left="27" w:right="71" w:firstLine="417"/>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7.8.4联合体中标的，联合体各方应共同与招标人签订合同，就中标项目向招标人</w:t>
      </w:r>
      <w:r>
        <w:rPr>
          <w:rFonts w:hint="eastAsia" w:ascii="宋体" w:hAnsi="宋体" w:eastAsia="宋体" w:cs="宋体"/>
          <w:color w:val="auto"/>
          <w:spacing w:val="8"/>
          <w:sz w:val="24"/>
          <w:szCs w:val="24"/>
          <w:highlight w:val="none"/>
        </w:rPr>
        <w:t>承担连带</w:t>
      </w:r>
      <w:r>
        <w:rPr>
          <w:rFonts w:hint="eastAsia" w:ascii="宋体" w:hAnsi="宋体" w:eastAsia="宋体" w:cs="宋体"/>
          <w:color w:val="auto"/>
          <w:sz w:val="24"/>
          <w:szCs w:val="24"/>
          <w:highlight w:val="none"/>
        </w:rPr>
        <w:t>责任。</w:t>
      </w:r>
    </w:p>
    <w:p w14:paraId="71D7877A">
      <w:pPr>
        <w:spacing w:before="160" w:line="328" w:lineRule="auto"/>
        <w:ind w:left="18" w:right="71" w:firstLine="425"/>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7.8.5招标人和中标人在签订合同协议书的同时，须按照本招标文件规定的格式和</w:t>
      </w:r>
      <w:r>
        <w:rPr>
          <w:rFonts w:hint="eastAsia" w:ascii="宋体" w:hAnsi="宋体" w:eastAsia="宋体" w:cs="宋体"/>
          <w:color w:val="auto"/>
          <w:spacing w:val="8"/>
          <w:sz w:val="24"/>
          <w:szCs w:val="24"/>
          <w:highlight w:val="none"/>
        </w:rPr>
        <w:t>要求签订</w:t>
      </w:r>
      <w:r>
        <w:rPr>
          <w:rFonts w:hint="eastAsia" w:ascii="宋体" w:hAnsi="宋体" w:eastAsia="宋体" w:cs="宋体"/>
          <w:color w:val="auto"/>
          <w:spacing w:val="10"/>
          <w:sz w:val="24"/>
          <w:szCs w:val="24"/>
          <w:highlight w:val="none"/>
        </w:rPr>
        <w:t>廉政合同及安全生产合同，明确双方在廉政建设和安全生产方面的权利</w:t>
      </w:r>
      <w:r>
        <w:rPr>
          <w:rFonts w:hint="eastAsia" w:ascii="宋体" w:hAnsi="宋体" w:eastAsia="宋体" w:cs="宋体"/>
          <w:color w:val="auto"/>
          <w:spacing w:val="9"/>
          <w:sz w:val="24"/>
          <w:szCs w:val="24"/>
          <w:highlight w:val="none"/>
        </w:rPr>
        <w:t>和义务以及应承担的违约</w:t>
      </w:r>
      <w:r>
        <w:rPr>
          <w:rFonts w:hint="eastAsia" w:ascii="宋体" w:hAnsi="宋体" w:eastAsia="宋体" w:cs="宋体"/>
          <w:color w:val="auto"/>
          <w:spacing w:val="3"/>
          <w:sz w:val="24"/>
          <w:szCs w:val="24"/>
          <w:highlight w:val="none"/>
        </w:rPr>
        <w:t>责任。</w:t>
      </w:r>
    </w:p>
    <w:p w14:paraId="05AAF95A">
      <w:pPr>
        <w:pStyle w:val="4"/>
        <w:spacing w:line="358" w:lineRule="auto"/>
        <w:rPr>
          <w:rFonts w:hint="eastAsia" w:ascii="宋体" w:hAnsi="宋体" w:eastAsia="宋体" w:cs="宋体"/>
          <w:color w:val="auto"/>
          <w:highlight w:val="none"/>
        </w:rPr>
      </w:pPr>
    </w:p>
    <w:p w14:paraId="56309040">
      <w:pPr>
        <w:pStyle w:val="4"/>
        <w:spacing w:before="92" w:line="222" w:lineRule="auto"/>
        <w:ind w:left="23"/>
        <w:outlineLvl w:val="1"/>
        <w:rPr>
          <w:rFonts w:hint="eastAsia" w:ascii="宋体" w:hAnsi="宋体" w:eastAsia="宋体" w:cs="宋体"/>
          <w:color w:val="auto"/>
          <w:sz w:val="28"/>
          <w:szCs w:val="28"/>
          <w:highlight w:val="none"/>
        </w:rPr>
      </w:pPr>
      <w:bookmarkStart w:id="330" w:name="_Toc6481"/>
      <w:bookmarkStart w:id="331" w:name="_Toc7392"/>
      <w:bookmarkStart w:id="332" w:name="_Toc1964"/>
      <w:bookmarkStart w:id="333" w:name="_Toc24063"/>
      <w:bookmarkStart w:id="334" w:name="_Toc6670"/>
      <w:r>
        <w:rPr>
          <w:rFonts w:hint="eastAsia" w:ascii="宋体" w:hAnsi="宋体" w:eastAsia="宋体" w:cs="宋体"/>
          <w:b/>
          <w:bCs/>
          <w:color w:val="auto"/>
          <w:spacing w:val="-5"/>
          <w:sz w:val="28"/>
          <w:szCs w:val="28"/>
          <w:highlight w:val="none"/>
        </w:rPr>
        <w:t>8.纪律和监督</w:t>
      </w:r>
      <w:bookmarkEnd w:id="330"/>
      <w:bookmarkEnd w:id="331"/>
      <w:bookmarkEnd w:id="332"/>
      <w:bookmarkEnd w:id="333"/>
      <w:bookmarkEnd w:id="334"/>
    </w:p>
    <w:p w14:paraId="722EC444">
      <w:pPr>
        <w:pStyle w:val="4"/>
        <w:spacing w:line="430" w:lineRule="auto"/>
        <w:rPr>
          <w:rFonts w:hint="eastAsia" w:ascii="宋体" w:hAnsi="宋体" w:eastAsia="宋体" w:cs="宋体"/>
          <w:color w:val="auto"/>
          <w:highlight w:val="none"/>
        </w:rPr>
      </w:pPr>
    </w:p>
    <w:p w14:paraId="7C07D65D">
      <w:pPr>
        <w:pStyle w:val="4"/>
        <w:spacing w:before="78" w:line="222" w:lineRule="auto"/>
        <w:ind w:left="21"/>
        <w:outlineLvl w:val="2"/>
        <w:rPr>
          <w:rFonts w:hint="eastAsia" w:ascii="宋体" w:hAnsi="宋体" w:eastAsia="宋体" w:cs="宋体"/>
          <w:color w:val="auto"/>
          <w:sz w:val="24"/>
          <w:szCs w:val="24"/>
          <w:highlight w:val="none"/>
        </w:rPr>
      </w:pPr>
      <w:bookmarkStart w:id="335" w:name="_Toc3167"/>
      <w:bookmarkStart w:id="336" w:name="_Toc28816"/>
      <w:bookmarkStart w:id="337" w:name="_Toc4577"/>
      <w:bookmarkStart w:id="338" w:name="_Toc1046"/>
      <w:bookmarkStart w:id="339" w:name="_Toc22114"/>
      <w:r>
        <w:rPr>
          <w:rFonts w:hint="eastAsia" w:ascii="宋体" w:hAnsi="宋体" w:eastAsia="宋体" w:cs="宋体"/>
          <w:b/>
          <w:bCs/>
          <w:color w:val="auto"/>
          <w:spacing w:val="-3"/>
          <w:sz w:val="24"/>
          <w:szCs w:val="24"/>
          <w:highlight w:val="none"/>
        </w:rPr>
        <w:t>8.1对招标人的纪律要求</w:t>
      </w:r>
      <w:bookmarkEnd w:id="335"/>
      <w:bookmarkEnd w:id="336"/>
      <w:bookmarkEnd w:id="337"/>
      <w:bookmarkEnd w:id="338"/>
      <w:bookmarkEnd w:id="339"/>
    </w:p>
    <w:p w14:paraId="37E707D0">
      <w:pPr>
        <w:spacing w:before="181" w:line="378" w:lineRule="auto"/>
        <w:ind w:left="18" w:right="71" w:firstLine="421"/>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招标人不得泄露招标投标活动中应保密的情况和资料，不得与</w:t>
      </w:r>
      <w:r>
        <w:rPr>
          <w:rFonts w:hint="eastAsia" w:ascii="宋体" w:hAnsi="宋体" w:eastAsia="宋体" w:cs="宋体"/>
          <w:color w:val="auto"/>
          <w:spacing w:val="9"/>
          <w:sz w:val="24"/>
          <w:szCs w:val="24"/>
          <w:highlight w:val="none"/>
        </w:rPr>
        <w:t>投标人串通损害国家利益、社</w:t>
      </w:r>
      <w:r>
        <w:rPr>
          <w:rFonts w:hint="eastAsia" w:ascii="宋体" w:hAnsi="宋体" w:eastAsia="宋体" w:cs="宋体"/>
          <w:color w:val="auto"/>
          <w:spacing w:val="8"/>
          <w:sz w:val="24"/>
          <w:szCs w:val="24"/>
          <w:highlight w:val="none"/>
        </w:rPr>
        <w:t>会公共利益或他人合法权益。</w:t>
      </w:r>
    </w:p>
    <w:p w14:paraId="06C48968">
      <w:pPr>
        <w:pStyle w:val="4"/>
        <w:spacing w:before="242" w:line="222" w:lineRule="auto"/>
        <w:ind w:left="21"/>
        <w:outlineLvl w:val="2"/>
        <w:rPr>
          <w:rFonts w:hint="eastAsia" w:ascii="宋体" w:hAnsi="宋体" w:eastAsia="宋体" w:cs="宋体"/>
          <w:color w:val="auto"/>
          <w:sz w:val="24"/>
          <w:szCs w:val="24"/>
          <w:highlight w:val="none"/>
        </w:rPr>
      </w:pPr>
      <w:bookmarkStart w:id="340" w:name="_Toc7496"/>
      <w:bookmarkStart w:id="341" w:name="_Toc11755"/>
      <w:bookmarkStart w:id="342" w:name="_Toc1179"/>
      <w:bookmarkStart w:id="343" w:name="_Toc17866"/>
      <w:bookmarkStart w:id="344" w:name="_Toc2546"/>
      <w:r>
        <w:rPr>
          <w:rFonts w:hint="eastAsia" w:ascii="宋体" w:hAnsi="宋体" w:eastAsia="宋体" w:cs="宋体"/>
          <w:b/>
          <w:bCs/>
          <w:color w:val="auto"/>
          <w:spacing w:val="-3"/>
          <w:sz w:val="24"/>
          <w:szCs w:val="24"/>
          <w:highlight w:val="none"/>
        </w:rPr>
        <w:t>8.2对投标人的纪律要求</w:t>
      </w:r>
      <w:bookmarkEnd w:id="340"/>
      <w:bookmarkEnd w:id="341"/>
      <w:bookmarkEnd w:id="342"/>
      <w:bookmarkEnd w:id="343"/>
      <w:bookmarkEnd w:id="344"/>
    </w:p>
    <w:p w14:paraId="70D126C8">
      <w:pPr>
        <w:spacing w:before="182" w:line="379" w:lineRule="auto"/>
        <w:ind w:left="20" w:right="71" w:firstLine="421"/>
        <w:jc w:val="both"/>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投标人不得相互串通投标或与招标人串通投标，不得向招</w:t>
      </w:r>
      <w:r>
        <w:rPr>
          <w:rFonts w:hint="eastAsia" w:ascii="宋体" w:hAnsi="宋体" w:eastAsia="宋体" w:cs="宋体"/>
          <w:color w:val="auto"/>
          <w:spacing w:val="9"/>
          <w:sz w:val="24"/>
          <w:szCs w:val="24"/>
          <w:highlight w:val="none"/>
        </w:rPr>
        <w:t>标人或评标委员会成员行贿谋取中</w:t>
      </w:r>
      <w:r>
        <w:rPr>
          <w:rFonts w:hint="eastAsia" w:ascii="宋体" w:hAnsi="宋体" w:eastAsia="宋体" w:cs="宋体"/>
          <w:color w:val="auto"/>
          <w:spacing w:val="10"/>
          <w:sz w:val="24"/>
          <w:szCs w:val="24"/>
          <w:highlight w:val="none"/>
        </w:rPr>
        <w:t>标，不得以他人名义投标或以其他方式弄虚作假骗取中标；投标人</w:t>
      </w:r>
      <w:r>
        <w:rPr>
          <w:rFonts w:hint="eastAsia" w:ascii="宋体" w:hAnsi="宋体" w:eastAsia="宋体" w:cs="宋体"/>
          <w:color w:val="auto"/>
          <w:spacing w:val="9"/>
          <w:sz w:val="24"/>
          <w:szCs w:val="24"/>
          <w:highlight w:val="none"/>
        </w:rPr>
        <w:t>不得以任何方式干扰、影响评</w:t>
      </w:r>
      <w:r>
        <w:rPr>
          <w:rFonts w:hint="eastAsia" w:ascii="宋体" w:hAnsi="宋体" w:eastAsia="宋体" w:cs="宋体"/>
          <w:color w:val="auto"/>
          <w:spacing w:val="4"/>
          <w:sz w:val="24"/>
          <w:szCs w:val="24"/>
          <w:highlight w:val="none"/>
        </w:rPr>
        <w:t>标工作。</w:t>
      </w:r>
    </w:p>
    <w:p w14:paraId="4EB9F9BB">
      <w:pPr>
        <w:pStyle w:val="4"/>
        <w:spacing w:before="239" w:line="221" w:lineRule="auto"/>
        <w:ind w:left="21"/>
        <w:outlineLvl w:val="2"/>
        <w:rPr>
          <w:rFonts w:hint="eastAsia" w:ascii="宋体" w:hAnsi="宋体" w:eastAsia="宋体" w:cs="宋体"/>
          <w:color w:val="auto"/>
          <w:sz w:val="24"/>
          <w:szCs w:val="24"/>
          <w:highlight w:val="none"/>
        </w:rPr>
      </w:pPr>
      <w:bookmarkStart w:id="345" w:name="_Toc32595"/>
      <w:bookmarkStart w:id="346" w:name="_Toc29690"/>
      <w:bookmarkStart w:id="347" w:name="_Toc12352"/>
      <w:bookmarkStart w:id="348" w:name="_Toc6991"/>
      <w:bookmarkStart w:id="349" w:name="_Toc29896"/>
      <w:r>
        <w:rPr>
          <w:rFonts w:hint="eastAsia" w:ascii="宋体" w:hAnsi="宋体" w:eastAsia="宋体" w:cs="宋体"/>
          <w:b/>
          <w:bCs/>
          <w:color w:val="auto"/>
          <w:spacing w:val="-3"/>
          <w:sz w:val="24"/>
          <w:szCs w:val="24"/>
          <w:highlight w:val="none"/>
        </w:rPr>
        <w:t>8.3对评标委员会成员的纪律要求</w:t>
      </w:r>
      <w:bookmarkEnd w:id="345"/>
      <w:bookmarkEnd w:id="346"/>
      <w:bookmarkEnd w:id="347"/>
      <w:bookmarkEnd w:id="348"/>
      <w:bookmarkEnd w:id="349"/>
    </w:p>
    <w:p w14:paraId="5DAE9D60">
      <w:pPr>
        <w:spacing w:before="183" w:line="378" w:lineRule="auto"/>
        <w:ind w:firstLine="252" w:firstLineChars="100"/>
        <w:rPr>
          <w:rFonts w:hint="eastAsia" w:ascii="宋体" w:hAnsi="宋体" w:eastAsia="宋体" w:cs="宋体"/>
          <w:color w:val="auto"/>
          <w:spacing w:val="9"/>
          <w:sz w:val="24"/>
          <w:szCs w:val="24"/>
          <w:highlight w:val="none"/>
        </w:rPr>
      </w:pPr>
      <w:r>
        <w:rPr>
          <w:rFonts w:hint="eastAsia" w:ascii="宋体" w:hAnsi="宋体" w:eastAsia="宋体" w:cs="宋体"/>
          <w:color w:val="auto"/>
          <w:spacing w:val="6"/>
          <w:sz w:val="24"/>
          <w:szCs w:val="24"/>
          <w:highlight w:val="none"/>
        </w:rPr>
        <w:t>评标委员会成员不得收受他人的财物或其他好处，不得向他人透露对投标文件的评审和比较、</w:t>
      </w:r>
      <w:r>
        <w:rPr>
          <w:rFonts w:hint="eastAsia" w:ascii="宋体" w:hAnsi="宋体" w:eastAsia="宋体" w:cs="宋体"/>
          <w:color w:val="auto"/>
          <w:spacing w:val="9"/>
          <w:sz w:val="24"/>
          <w:szCs w:val="24"/>
          <w:highlight w:val="none"/>
        </w:rPr>
        <w:t>中标候选人的推荐情况以及评标有关的其他情况。在评标活动中，评标委员会成员应客观、公正地履行职责，遵守职业道德，不得擅离职守，影响评标程序正常进行，不得使用第三章“评标办法”没有规定的评审因素和标准进行评标。</w:t>
      </w:r>
    </w:p>
    <w:p w14:paraId="6D07B05E">
      <w:pPr>
        <w:pStyle w:val="4"/>
        <w:spacing w:before="243" w:line="221" w:lineRule="auto"/>
        <w:ind w:left="21"/>
        <w:outlineLvl w:val="2"/>
        <w:rPr>
          <w:rFonts w:hint="eastAsia" w:ascii="宋体" w:hAnsi="宋体" w:eastAsia="宋体" w:cs="宋体"/>
          <w:color w:val="auto"/>
          <w:sz w:val="24"/>
          <w:szCs w:val="24"/>
          <w:highlight w:val="none"/>
        </w:rPr>
      </w:pPr>
      <w:bookmarkStart w:id="350" w:name="_Toc18267"/>
      <w:bookmarkStart w:id="351" w:name="_Toc170"/>
      <w:bookmarkStart w:id="352" w:name="_Toc20946"/>
      <w:bookmarkStart w:id="353" w:name="_Toc7364"/>
      <w:bookmarkStart w:id="354" w:name="_Toc21767"/>
      <w:r>
        <w:rPr>
          <w:rFonts w:hint="eastAsia" w:ascii="宋体" w:hAnsi="宋体" w:eastAsia="宋体" w:cs="宋体"/>
          <w:b/>
          <w:bCs/>
          <w:color w:val="auto"/>
          <w:spacing w:val="-3"/>
          <w:sz w:val="24"/>
          <w:szCs w:val="24"/>
          <w:highlight w:val="none"/>
        </w:rPr>
        <w:t>8.4对与评标活动有关的工作人员的纪律要求</w:t>
      </w:r>
      <w:bookmarkEnd w:id="350"/>
      <w:bookmarkEnd w:id="351"/>
      <w:bookmarkEnd w:id="352"/>
      <w:bookmarkEnd w:id="353"/>
      <w:bookmarkEnd w:id="354"/>
    </w:p>
    <w:p w14:paraId="7EC4DA96">
      <w:pPr>
        <w:spacing w:before="182" w:line="378" w:lineRule="auto"/>
        <w:ind w:left="18" w:right="71" w:firstLine="425"/>
        <w:jc w:val="both"/>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与评标活动有关的工作人员不得收受他人的财物或其他</w:t>
      </w:r>
      <w:r>
        <w:rPr>
          <w:rFonts w:hint="eastAsia" w:ascii="宋体" w:hAnsi="宋体" w:eastAsia="宋体" w:cs="宋体"/>
          <w:color w:val="auto"/>
          <w:spacing w:val="9"/>
          <w:sz w:val="24"/>
          <w:szCs w:val="24"/>
          <w:highlight w:val="none"/>
        </w:rPr>
        <w:t>好处，不得向他人透露对投标文件的</w:t>
      </w:r>
      <w:r>
        <w:rPr>
          <w:rFonts w:hint="eastAsia" w:ascii="宋体" w:hAnsi="宋体" w:eastAsia="宋体" w:cs="宋体"/>
          <w:color w:val="auto"/>
          <w:spacing w:val="10"/>
          <w:sz w:val="24"/>
          <w:szCs w:val="24"/>
          <w:highlight w:val="none"/>
        </w:rPr>
        <w:t>评审和比较、中标候选人的推荐情况以及评标有关的其他情况。在评标</w:t>
      </w:r>
      <w:r>
        <w:rPr>
          <w:rFonts w:hint="eastAsia" w:ascii="宋体" w:hAnsi="宋体" w:eastAsia="宋体" w:cs="宋体"/>
          <w:color w:val="auto"/>
          <w:spacing w:val="9"/>
          <w:sz w:val="24"/>
          <w:szCs w:val="24"/>
          <w:highlight w:val="none"/>
        </w:rPr>
        <w:t>活动中，与评标活动有关的工作人员不得擅离职守，影响评标程序正常进行。</w:t>
      </w:r>
    </w:p>
    <w:p w14:paraId="39371165">
      <w:pPr>
        <w:pStyle w:val="4"/>
        <w:spacing w:before="241" w:line="220" w:lineRule="auto"/>
        <w:ind w:left="21"/>
        <w:outlineLvl w:val="2"/>
        <w:rPr>
          <w:rFonts w:hint="eastAsia" w:ascii="宋体" w:hAnsi="宋体" w:eastAsia="宋体" w:cs="宋体"/>
          <w:color w:val="auto"/>
          <w:sz w:val="24"/>
          <w:szCs w:val="24"/>
          <w:highlight w:val="none"/>
        </w:rPr>
      </w:pPr>
      <w:bookmarkStart w:id="355" w:name="_Toc2977"/>
      <w:bookmarkStart w:id="356" w:name="_Toc4465"/>
      <w:bookmarkStart w:id="357" w:name="_Toc5630"/>
      <w:bookmarkStart w:id="358" w:name="_Toc27396"/>
      <w:bookmarkStart w:id="359" w:name="_Toc29405"/>
      <w:r>
        <w:rPr>
          <w:rFonts w:hint="eastAsia" w:ascii="宋体" w:hAnsi="宋体" w:eastAsia="宋体" w:cs="宋体"/>
          <w:b/>
          <w:bCs/>
          <w:color w:val="auto"/>
          <w:spacing w:val="-5"/>
          <w:sz w:val="24"/>
          <w:szCs w:val="24"/>
          <w:highlight w:val="none"/>
        </w:rPr>
        <w:t>8.5投诉</w:t>
      </w:r>
      <w:bookmarkEnd w:id="355"/>
      <w:bookmarkEnd w:id="356"/>
      <w:bookmarkEnd w:id="357"/>
      <w:bookmarkEnd w:id="358"/>
      <w:bookmarkEnd w:id="359"/>
    </w:p>
    <w:p w14:paraId="6C81EBF3">
      <w:pPr>
        <w:spacing w:before="183" w:line="378" w:lineRule="auto"/>
        <w:ind w:left="18" w:firstLine="421"/>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8.5.1投标人或其他利害关系人认为招标投标活动不符合法律、行政法规规定的，可以自知</w:t>
      </w:r>
      <w:r>
        <w:rPr>
          <w:rFonts w:hint="eastAsia" w:ascii="宋体" w:hAnsi="宋体" w:eastAsia="宋体" w:cs="宋体"/>
          <w:color w:val="auto"/>
          <w:spacing w:val="5"/>
          <w:sz w:val="24"/>
          <w:szCs w:val="24"/>
          <w:highlight w:val="none"/>
        </w:rPr>
        <w:t>道或应当知道之日起10日内向有关行政监督部门投诉。投诉应有明</w:t>
      </w:r>
      <w:r>
        <w:rPr>
          <w:rFonts w:hint="eastAsia" w:ascii="宋体" w:hAnsi="宋体" w:eastAsia="宋体" w:cs="宋体"/>
          <w:color w:val="auto"/>
          <w:spacing w:val="4"/>
          <w:sz w:val="24"/>
          <w:szCs w:val="24"/>
          <w:highlight w:val="none"/>
        </w:rPr>
        <w:t>确的请求和必要的证明材料。</w:t>
      </w:r>
    </w:p>
    <w:p w14:paraId="3AE6C77E">
      <w:pPr>
        <w:spacing w:before="1" w:line="226" w:lineRule="auto"/>
        <w:ind w:left="44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监督部门的联系方式见投标人须知前附表。</w:t>
      </w:r>
    </w:p>
    <w:p w14:paraId="038D257C">
      <w:pPr>
        <w:spacing w:before="162" w:line="302" w:lineRule="auto"/>
        <w:ind w:left="20" w:right="69" w:firstLine="42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8.5.2投标人或其他利害关系人对招标文件、开标和评标结果提出投诉的，应按照本章第2.4</w:t>
      </w:r>
      <w:r>
        <w:rPr>
          <w:rFonts w:hint="eastAsia" w:ascii="宋体" w:hAnsi="宋体" w:eastAsia="宋体" w:cs="宋体"/>
          <w:color w:val="auto"/>
          <w:spacing w:val="9"/>
          <w:sz w:val="24"/>
          <w:szCs w:val="24"/>
          <w:highlight w:val="none"/>
        </w:rPr>
        <w:t>款、第5.3款和第7.2款的规</w:t>
      </w:r>
      <w:r>
        <w:rPr>
          <w:rFonts w:hint="eastAsia" w:ascii="宋体" w:hAnsi="宋体" w:eastAsia="宋体" w:cs="宋体"/>
          <w:color w:val="auto"/>
          <w:spacing w:val="8"/>
          <w:sz w:val="24"/>
          <w:szCs w:val="24"/>
          <w:highlight w:val="none"/>
        </w:rPr>
        <w:t>定先向招标人提出异议。异议答复期间不计算在第</w:t>
      </w:r>
    </w:p>
    <w:p w14:paraId="525C212C">
      <w:pPr>
        <w:spacing w:before="161" w:line="228" w:lineRule="auto"/>
        <w:ind w:left="44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8.5.1项规定的期限内。</w:t>
      </w:r>
    </w:p>
    <w:p w14:paraId="2D98D5EF">
      <w:pPr>
        <w:pStyle w:val="4"/>
        <w:spacing w:line="359" w:lineRule="auto"/>
        <w:rPr>
          <w:rFonts w:hint="eastAsia" w:ascii="宋体" w:hAnsi="宋体" w:eastAsia="宋体" w:cs="宋体"/>
          <w:color w:val="auto"/>
          <w:sz w:val="24"/>
          <w:szCs w:val="24"/>
          <w:highlight w:val="none"/>
        </w:rPr>
      </w:pPr>
    </w:p>
    <w:p w14:paraId="2972FDA0">
      <w:pPr>
        <w:pStyle w:val="4"/>
        <w:spacing w:before="92" w:line="223" w:lineRule="auto"/>
        <w:ind w:left="20"/>
        <w:outlineLvl w:val="1"/>
        <w:rPr>
          <w:rFonts w:hint="eastAsia" w:ascii="宋体" w:hAnsi="宋体" w:eastAsia="宋体" w:cs="宋体"/>
          <w:color w:val="auto"/>
          <w:sz w:val="24"/>
          <w:szCs w:val="24"/>
          <w:highlight w:val="none"/>
        </w:rPr>
      </w:pPr>
      <w:bookmarkStart w:id="360" w:name="_Toc4581"/>
      <w:bookmarkStart w:id="361" w:name="_Toc15185"/>
      <w:bookmarkStart w:id="362" w:name="_Toc31086"/>
      <w:bookmarkStart w:id="363" w:name="_Toc26256"/>
      <w:bookmarkStart w:id="364" w:name="_Toc17721"/>
      <w:r>
        <w:rPr>
          <w:rFonts w:hint="eastAsia" w:ascii="宋体" w:hAnsi="宋体" w:eastAsia="宋体" w:cs="宋体"/>
          <w:b/>
          <w:bCs/>
          <w:color w:val="auto"/>
          <w:spacing w:val="-4"/>
          <w:sz w:val="24"/>
          <w:szCs w:val="24"/>
          <w:highlight w:val="none"/>
        </w:rPr>
        <w:t>9.是否采用电子招标投标</w:t>
      </w:r>
      <w:bookmarkEnd w:id="360"/>
      <w:bookmarkEnd w:id="361"/>
      <w:bookmarkEnd w:id="362"/>
      <w:bookmarkEnd w:id="363"/>
      <w:bookmarkEnd w:id="364"/>
    </w:p>
    <w:p w14:paraId="3B2B18C1">
      <w:pPr>
        <w:pStyle w:val="4"/>
        <w:spacing w:line="435" w:lineRule="auto"/>
        <w:rPr>
          <w:rFonts w:hint="eastAsia" w:ascii="宋体" w:hAnsi="宋体" w:eastAsia="宋体" w:cs="宋体"/>
          <w:color w:val="auto"/>
          <w:sz w:val="24"/>
          <w:szCs w:val="24"/>
          <w:highlight w:val="none"/>
        </w:rPr>
      </w:pPr>
    </w:p>
    <w:p w14:paraId="506E3703">
      <w:pPr>
        <w:spacing w:before="65" w:line="227" w:lineRule="auto"/>
        <w:ind w:left="44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本招标项目是否采用电子招标投标方式，见投标人须知前附表。</w:t>
      </w:r>
    </w:p>
    <w:p w14:paraId="302CE803">
      <w:pPr>
        <w:spacing w:before="183" w:line="228" w:lineRule="auto"/>
        <w:ind w:left="32"/>
        <w:outlineLvl w:val="1"/>
        <w:rPr>
          <w:rFonts w:hint="eastAsia" w:ascii="宋体" w:hAnsi="宋体" w:eastAsia="宋体" w:cs="宋体"/>
          <w:color w:val="auto"/>
          <w:sz w:val="24"/>
          <w:szCs w:val="24"/>
          <w:highlight w:val="none"/>
        </w:rPr>
      </w:pPr>
      <w:bookmarkStart w:id="365" w:name="_Toc25498"/>
      <w:bookmarkStart w:id="366" w:name="_Toc6053"/>
      <w:bookmarkStart w:id="367" w:name="_Toc16510"/>
      <w:bookmarkStart w:id="368" w:name="_Toc6111"/>
      <w:bookmarkStart w:id="369" w:name="_Toc12850"/>
      <w:r>
        <w:rPr>
          <w:rFonts w:hint="eastAsia" w:ascii="宋体" w:hAnsi="宋体" w:eastAsia="宋体" w:cs="宋体"/>
          <w:b/>
          <w:bCs/>
          <w:color w:val="auto"/>
          <w:spacing w:val="4"/>
          <w:sz w:val="24"/>
          <w:szCs w:val="24"/>
          <w:highlight w:val="none"/>
        </w:rPr>
        <w:t>10.需要补充的其他内容</w:t>
      </w:r>
      <w:bookmarkEnd w:id="365"/>
      <w:bookmarkEnd w:id="366"/>
      <w:bookmarkEnd w:id="367"/>
      <w:bookmarkEnd w:id="368"/>
      <w:bookmarkEnd w:id="369"/>
    </w:p>
    <w:p w14:paraId="1B066884">
      <w:pPr>
        <w:spacing w:before="222" w:line="377" w:lineRule="auto"/>
        <w:ind w:left="21" w:right="70" w:firstLine="433"/>
        <w:jc w:val="both"/>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10.1自购买招标文件之日起，投标人应保证其提供的联系方式（电话、传真、电子邮件）一</w:t>
      </w:r>
      <w:r>
        <w:rPr>
          <w:rFonts w:hint="eastAsia" w:ascii="宋体" w:hAnsi="宋体" w:eastAsia="宋体" w:cs="宋体"/>
          <w:color w:val="auto"/>
          <w:spacing w:val="9"/>
          <w:sz w:val="24"/>
          <w:szCs w:val="24"/>
          <w:highlight w:val="none"/>
        </w:rPr>
        <w:t>直有效，以便及时收到招标人发出的函件(招标文</w:t>
      </w:r>
      <w:r>
        <w:rPr>
          <w:rFonts w:hint="eastAsia" w:ascii="宋体" w:hAnsi="宋体" w:eastAsia="宋体" w:cs="宋体"/>
          <w:color w:val="auto"/>
          <w:spacing w:val="8"/>
          <w:sz w:val="24"/>
          <w:szCs w:val="24"/>
          <w:highlight w:val="none"/>
        </w:rPr>
        <w:t>件的澄清、修改等)，并应及时向招标人反馈信息，否则招标人不承担由此引起的一切后果。</w:t>
      </w:r>
    </w:p>
    <w:p w14:paraId="13A53830">
      <w:pPr>
        <w:spacing w:before="1" w:line="226" w:lineRule="auto"/>
        <w:ind w:left="451"/>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需要补充的其他内容：见投标人须知前附表。</w:t>
      </w:r>
    </w:p>
    <w:p w14:paraId="74689A47">
      <w:pPr>
        <w:pStyle w:val="4"/>
        <w:spacing w:line="265" w:lineRule="auto"/>
        <w:rPr>
          <w:rFonts w:hint="eastAsia" w:ascii="宋体" w:hAnsi="宋体" w:eastAsia="宋体" w:cs="宋体"/>
          <w:color w:val="auto"/>
          <w:highlight w:val="none"/>
        </w:rPr>
      </w:pPr>
    </w:p>
    <w:p w14:paraId="79AA5878">
      <w:pPr>
        <w:pStyle w:val="4"/>
        <w:spacing w:line="266" w:lineRule="auto"/>
        <w:rPr>
          <w:rFonts w:hint="eastAsia" w:ascii="宋体" w:hAnsi="宋体" w:eastAsia="宋体" w:cs="宋体"/>
          <w:color w:val="auto"/>
          <w:highlight w:val="none"/>
        </w:rPr>
      </w:pPr>
    </w:p>
    <w:p w14:paraId="4F14CB49">
      <w:pPr>
        <w:pStyle w:val="4"/>
        <w:spacing w:line="266" w:lineRule="auto"/>
        <w:rPr>
          <w:rFonts w:hint="eastAsia" w:ascii="宋体" w:hAnsi="宋体" w:eastAsia="宋体" w:cs="宋体"/>
          <w:color w:val="auto"/>
          <w:highlight w:val="none"/>
        </w:rPr>
      </w:pPr>
    </w:p>
    <w:p w14:paraId="535E0769">
      <w:pPr>
        <w:pStyle w:val="4"/>
        <w:spacing w:line="266" w:lineRule="auto"/>
        <w:rPr>
          <w:rFonts w:hint="eastAsia" w:ascii="宋体" w:hAnsi="宋体" w:eastAsia="宋体" w:cs="宋体"/>
          <w:color w:val="auto"/>
          <w:highlight w:val="none"/>
        </w:rPr>
      </w:pPr>
    </w:p>
    <w:p w14:paraId="333F6974">
      <w:pPr>
        <w:pStyle w:val="4"/>
        <w:spacing w:line="266" w:lineRule="auto"/>
        <w:rPr>
          <w:rFonts w:hint="eastAsia" w:ascii="宋体" w:hAnsi="宋体" w:eastAsia="宋体" w:cs="宋体"/>
          <w:color w:val="auto"/>
          <w:highlight w:val="none"/>
        </w:rPr>
      </w:pPr>
    </w:p>
    <w:p w14:paraId="56B5CAC1">
      <w:pPr>
        <w:pStyle w:val="4"/>
        <w:spacing w:line="266" w:lineRule="auto"/>
        <w:rPr>
          <w:rFonts w:hint="eastAsia" w:ascii="宋体" w:hAnsi="宋体" w:eastAsia="宋体" w:cs="宋体"/>
          <w:color w:val="auto"/>
          <w:highlight w:val="none"/>
        </w:rPr>
      </w:pPr>
    </w:p>
    <w:p w14:paraId="65F1576C">
      <w:pPr>
        <w:pStyle w:val="4"/>
        <w:spacing w:line="266" w:lineRule="auto"/>
        <w:rPr>
          <w:rFonts w:hint="eastAsia" w:ascii="宋体" w:hAnsi="宋体" w:eastAsia="宋体" w:cs="宋体"/>
          <w:color w:val="auto"/>
          <w:highlight w:val="none"/>
        </w:rPr>
      </w:pPr>
    </w:p>
    <w:p w14:paraId="3A783EA2">
      <w:pPr>
        <w:pStyle w:val="4"/>
        <w:spacing w:line="266" w:lineRule="auto"/>
        <w:rPr>
          <w:rFonts w:hint="eastAsia" w:ascii="宋体" w:hAnsi="宋体" w:eastAsia="宋体" w:cs="宋体"/>
          <w:color w:val="auto"/>
          <w:highlight w:val="none"/>
        </w:rPr>
      </w:pPr>
    </w:p>
    <w:p w14:paraId="1BD313AD">
      <w:pPr>
        <w:pStyle w:val="4"/>
        <w:spacing w:line="266" w:lineRule="auto"/>
        <w:rPr>
          <w:rFonts w:hint="eastAsia" w:ascii="宋体" w:hAnsi="宋体" w:eastAsia="宋体" w:cs="宋体"/>
          <w:color w:val="auto"/>
          <w:highlight w:val="none"/>
        </w:rPr>
      </w:pPr>
    </w:p>
    <w:p w14:paraId="61F34A69">
      <w:pPr>
        <w:pStyle w:val="4"/>
        <w:spacing w:line="266" w:lineRule="auto"/>
        <w:rPr>
          <w:rFonts w:hint="eastAsia" w:ascii="宋体" w:hAnsi="宋体" w:eastAsia="宋体" w:cs="宋体"/>
          <w:color w:val="auto"/>
          <w:highlight w:val="none"/>
        </w:rPr>
      </w:pPr>
    </w:p>
    <w:p w14:paraId="589EBD5C">
      <w:pPr>
        <w:pStyle w:val="4"/>
        <w:spacing w:line="266" w:lineRule="auto"/>
        <w:rPr>
          <w:rFonts w:hint="eastAsia" w:ascii="宋体" w:hAnsi="宋体" w:eastAsia="宋体" w:cs="宋体"/>
          <w:color w:val="auto"/>
          <w:highlight w:val="none"/>
        </w:rPr>
      </w:pPr>
    </w:p>
    <w:p w14:paraId="1B5E0F25">
      <w:pPr>
        <w:pStyle w:val="4"/>
        <w:spacing w:line="266" w:lineRule="auto"/>
        <w:rPr>
          <w:rFonts w:hint="eastAsia" w:ascii="宋体" w:hAnsi="宋体" w:eastAsia="宋体" w:cs="宋体"/>
          <w:color w:val="auto"/>
          <w:highlight w:val="none"/>
        </w:rPr>
      </w:pPr>
    </w:p>
    <w:p w14:paraId="348F00D7">
      <w:pPr>
        <w:pStyle w:val="4"/>
        <w:spacing w:line="266" w:lineRule="auto"/>
        <w:rPr>
          <w:rFonts w:hint="eastAsia" w:ascii="宋体" w:hAnsi="宋体" w:eastAsia="宋体" w:cs="宋体"/>
          <w:color w:val="auto"/>
          <w:highlight w:val="none"/>
        </w:rPr>
      </w:pPr>
    </w:p>
    <w:p w14:paraId="00E11EAA">
      <w:pPr>
        <w:pStyle w:val="4"/>
        <w:spacing w:line="266" w:lineRule="auto"/>
        <w:rPr>
          <w:rFonts w:hint="eastAsia" w:ascii="宋体" w:hAnsi="宋体" w:eastAsia="宋体" w:cs="宋体"/>
          <w:color w:val="auto"/>
          <w:highlight w:val="none"/>
        </w:rPr>
      </w:pPr>
    </w:p>
    <w:p w14:paraId="51F5E300">
      <w:pPr>
        <w:pStyle w:val="4"/>
        <w:spacing w:line="266" w:lineRule="auto"/>
        <w:rPr>
          <w:rFonts w:hint="eastAsia" w:ascii="宋体" w:hAnsi="宋体" w:eastAsia="宋体" w:cs="宋体"/>
          <w:color w:val="auto"/>
          <w:highlight w:val="none"/>
        </w:rPr>
      </w:pPr>
    </w:p>
    <w:p w14:paraId="74E173EA">
      <w:pPr>
        <w:pStyle w:val="4"/>
        <w:spacing w:line="266" w:lineRule="auto"/>
        <w:rPr>
          <w:rFonts w:hint="eastAsia" w:ascii="宋体" w:hAnsi="宋体" w:eastAsia="宋体" w:cs="宋体"/>
          <w:color w:val="auto"/>
          <w:highlight w:val="none"/>
        </w:rPr>
      </w:pPr>
    </w:p>
    <w:p w14:paraId="420A76DF">
      <w:pPr>
        <w:pStyle w:val="4"/>
        <w:spacing w:line="266" w:lineRule="auto"/>
        <w:rPr>
          <w:rFonts w:hint="eastAsia" w:ascii="宋体" w:hAnsi="宋体" w:eastAsia="宋体" w:cs="宋体"/>
          <w:color w:val="auto"/>
          <w:highlight w:val="none"/>
        </w:rPr>
      </w:pPr>
    </w:p>
    <w:p w14:paraId="4B487AA9">
      <w:pPr>
        <w:pStyle w:val="4"/>
        <w:spacing w:line="266" w:lineRule="auto"/>
        <w:rPr>
          <w:rFonts w:hint="eastAsia" w:ascii="宋体" w:hAnsi="宋体" w:eastAsia="宋体" w:cs="宋体"/>
          <w:color w:val="auto"/>
          <w:highlight w:val="none"/>
        </w:rPr>
      </w:pPr>
    </w:p>
    <w:p w14:paraId="1CEBFCDE">
      <w:pPr>
        <w:pStyle w:val="4"/>
        <w:spacing w:line="266" w:lineRule="auto"/>
        <w:rPr>
          <w:rFonts w:hint="eastAsia" w:ascii="宋体" w:hAnsi="宋体" w:eastAsia="宋体" w:cs="宋体"/>
          <w:color w:val="auto"/>
          <w:highlight w:val="none"/>
        </w:rPr>
      </w:pPr>
    </w:p>
    <w:p w14:paraId="02795AEF">
      <w:pPr>
        <w:pStyle w:val="4"/>
        <w:spacing w:line="266" w:lineRule="auto"/>
        <w:rPr>
          <w:rFonts w:hint="eastAsia" w:ascii="宋体" w:hAnsi="宋体" w:eastAsia="宋体" w:cs="宋体"/>
          <w:color w:val="auto"/>
          <w:highlight w:val="none"/>
        </w:rPr>
      </w:pPr>
    </w:p>
    <w:p w14:paraId="23795F60">
      <w:pPr>
        <w:pStyle w:val="4"/>
        <w:spacing w:line="266" w:lineRule="auto"/>
        <w:rPr>
          <w:rFonts w:hint="eastAsia" w:ascii="宋体" w:hAnsi="宋体" w:eastAsia="宋体" w:cs="宋体"/>
          <w:color w:val="auto"/>
          <w:highlight w:val="none"/>
        </w:rPr>
      </w:pPr>
    </w:p>
    <w:p w14:paraId="0CDE272A">
      <w:pPr>
        <w:pStyle w:val="4"/>
        <w:spacing w:line="266" w:lineRule="auto"/>
        <w:rPr>
          <w:rFonts w:hint="eastAsia" w:ascii="宋体" w:hAnsi="宋体" w:eastAsia="宋体" w:cs="宋体"/>
          <w:color w:val="auto"/>
          <w:highlight w:val="none"/>
        </w:rPr>
      </w:pPr>
    </w:p>
    <w:p w14:paraId="35D896B7">
      <w:pPr>
        <w:pStyle w:val="4"/>
        <w:spacing w:line="266" w:lineRule="auto"/>
        <w:rPr>
          <w:rFonts w:hint="eastAsia" w:ascii="宋体" w:hAnsi="宋体" w:eastAsia="宋体" w:cs="宋体"/>
          <w:color w:val="auto"/>
          <w:highlight w:val="none"/>
        </w:rPr>
      </w:pPr>
    </w:p>
    <w:p w14:paraId="0ABBCA4C">
      <w:pPr>
        <w:pStyle w:val="4"/>
        <w:spacing w:line="266" w:lineRule="auto"/>
        <w:rPr>
          <w:rFonts w:hint="eastAsia" w:ascii="宋体" w:hAnsi="宋体" w:eastAsia="宋体" w:cs="宋体"/>
          <w:color w:val="auto"/>
          <w:highlight w:val="none"/>
        </w:rPr>
      </w:pPr>
    </w:p>
    <w:p w14:paraId="36D37858">
      <w:pPr>
        <w:pStyle w:val="4"/>
        <w:spacing w:line="266" w:lineRule="auto"/>
        <w:rPr>
          <w:rFonts w:hint="eastAsia" w:ascii="宋体" w:hAnsi="宋体" w:eastAsia="宋体" w:cs="宋体"/>
          <w:color w:val="auto"/>
          <w:highlight w:val="none"/>
        </w:rPr>
      </w:pPr>
    </w:p>
    <w:p w14:paraId="311A3709">
      <w:pPr>
        <w:pStyle w:val="4"/>
        <w:spacing w:line="266" w:lineRule="auto"/>
        <w:rPr>
          <w:rFonts w:hint="eastAsia" w:ascii="宋体" w:hAnsi="宋体" w:eastAsia="宋体" w:cs="宋体"/>
          <w:color w:val="auto"/>
          <w:highlight w:val="none"/>
        </w:rPr>
      </w:pPr>
    </w:p>
    <w:p w14:paraId="4E96DD55">
      <w:pPr>
        <w:pStyle w:val="4"/>
        <w:spacing w:line="266" w:lineRule="auto"/>
        <w:rPr>
          <w:rFonts w:hint="eastAsia" w:ascii="宋体" w:hAnsi="宋体" w:eastAsia="宋体" w:cs="宋体"/>
          <w:color w:val="auto"/>
          <w:highlight w:val="none"/>
        </w:rPr>
      </w:pPr>
    </w:p>
    <w:p w14:paraId="226CE457">
      <w:pPr>
        <w:pStyle w:val="4"/>
        <w:spacing w:line="266" w:lineRule="auto"/>
        <w:rPr>
          <w:rFonts w:hint="eastAsia" w:ascii="宋体" w:hAnsi="宋体" w:eastAsia="宋体" w:cs="宋体"/>
          <w:color w:val="auto"/>
          <w:highlight w:val="none"/>
        </w:rPr>
      </w:pPr>
    </w:p>
    <w:p w14:paraId="3769C4EA">
      <w:pPr>
        <w:pStyle w:val="4"/>
        <w:spacing w:line="266" w:lineRule="auto"/>
        <w:rPr>
          <w:rFonts w:hint="eastAsia" w:ascii="宋体" w:hAnsi="宋体" w:eastAsia="宋体" w:cs="宋体"/>
          <w:color w:val="auto"/>
          <w:highlight w:val="none"/>
        </w:rPr>
      </w:pPr>
    </w:p>
    <w:p w14:paraId="16B8E378">
      <w:pPr>
        <w:pStyle w:val="4"/>
        <w:spacing w:line="266" w:lineRule="auto"/>
        <w:rPr>
          <w:rFonts w:hint="eastAsia" w:ascii="宋体" w:hAnsi="宋体" w:eastAsia="宋体" w:cs="宋体"/>
          <w:color w:val="auto"/>
          <w:highlight w:val="none"/>
        </w:rPr>
      </w:pPr>
    </w:p>
    <w:p w14:paraId="333DFD3D">
      <w:pPr>
        <w:pStyle w:val="4"/>
        <w:spacing w:line="266" w:lineRule="auto"/>
        <w:rPr>
          <w:rFonts w:hint="eastAsia" w:ascii="宋体" w:hAnsi="宋体" w:eastAsia="宋体" w:cs="宋体"/>
          <w:color w:val="auto"/>
          <w:highlight w:val="none"/>
        </w:rPr>
      </w:pPr>
    </w:p>
    <w:p w14:paraId="62C03464">
      <w:pPr>
        <w:pStyle w:val="4"/>
        <w:spacing w:line="266" w:lineRule="auto"/>
        <w:rPr>
          <w:rFonts w:hint="eastAsia" w:ascii="宋体" w:hAnsi="宋体" w:eastAsia="宋体" w:cs="宋体"/>
          <w:color w:val="auto"/>
          <w:highlight w:val="none"/>
        </w:rPr>
      </w:pPr>
    </w:p>
    <w:p w14:paraId="49C8DC2D">
      <w:pPr>
        <w:pStyle w:val="4"/>
        <w:spacing w:line="266" w:lineRule="auto"/>
        <w:rPr>
          <w:rFonts w:hint="eastAsia" w:ascii="宋体" w:hAnsi="宋体" w:eastAsia="宋体" w:cs="宋体"/>
          <w:color w:val="auto"/>
          <w:highlight w:val="none"/>
        </w:rPr>
      </w:pPr>
    </w:p>
    <w:p w14:paraId="57A36936">
      <w:pPr>
        <w:pStyle w:val="4"/>
        <w:spacing w:line="266" w:lineRule="auto"/>
        <w:rPr>
          <w:rFonts w:hint="eastAsia" w:ascii="宋体" w:hAnsi="宋体" w:eastAsia="宋体" w:cs="宋体"/>
          <w:color w:val="auto"/>
          <w:highlight w:val="none"/>
        </w:rPr>
      </w:pPr>
    </w:p>
    <w:p w14:paraId="17D73B48">
      <w:pPr>
        <w:pStyle w:val="4"/>
        <w:spacing w:line="266" w:lineRule="auto"/>
        <w:rPr>
          <w:rFonts w:hint="eastAsia" w:ascii="宋体" w:hAnsi="宋体" w:eastAsia="宋体" w:cs="宋体"/>
          <w:color w:val="auto"/>
          <w:highlight w:val="none"/>
        </w:rPr>
      </w:pPr>
    </w:p>
    <w:p w14:paraId="31240CDB">
      <w:pPr>
        <w:pStyle w:val="4"/>
        <w:spacing w:line="266" w:lineRule="auto"/>
        <w:rPr>
          <w:rFonts w:hint="eastAsia" w:ascii="宋体" w:hAnsi="宋体" w:eastAsia="宋体" w:cs="宋体"/>
          <w:color w:val="auto"/>
          <w:highlight w:val="none"/>
        </w:rPr>
      </w:pPr>
    </w:p>
    <w:p w14:paraId="07AE2B80">
      <w:pPr>
        <w:pStyle w:val="4"/>
        <w:spacing w:line="266" w:lineRule="auto"/>
        <w:rPr>
          <w:rFonts w:hint="eastAsia" w:ascii="宋体" w:hAnsi="宋体" w:eastAsia="宋体" w:cs="宋体"/>
          <w:color w:val="auto"/>
          <w:highlight w:val="none"/>
        </w:rPr>
      </w:pPr>
    </w:p>
    <w:p w14:paraId="6B4E5373">
      <w:pPr>
        <w:pStyle w:val="4"/>
        <w:spacing w:line="266" w:lineRule="auto"/>
        <w:rPr>
          <w:rFonts w:hint="eastAsia" w:ascii="宋体" w:hAnsi="宋体" w:eastAsia="宋体" w:cs="宋体"/>
          <w:color w:val="auto"/>
          <w:highlight w:val="none"/>
        </w:rPr>
      </w:pPr>
    </w:p>
    <w:p w14:paraId="38A2D3A0">
      <w:pPr>
        <w:pStyle w:val="4"/>
        <w:spacing w:line="266" w:lineRule="auto"/>
        <w:rPr>
          <w:rFonts w:hint="eastAsia" w:ascii="宋体" w:hAnsi="宋体" w:eastAsia="宋体" w:cs="宋体"/>
          <w:color w:val="auto"/>
          <w:highlight w:val="none"/>
        </w:rPr>
      </w:pPr>
    </w:p>
    <w:p w14:paraId="7BECD654">
      <w:pPr>
        <w:pStyle w:val="4"/>
        <w:spacing w:line="266" w:lineRule="auto"/>
        <w:rPr>
          <w:rFonts w:hint="eastAsia" w:ascii="宋体" w:hAnsi="宋体" w:eastAsia="宋体" w:cs="宋体"/>
          <w:color w:val="auto"/>
          <w:highlight w:val="none"/>
        </w:rPr>
      </w:pPr>
    </w:p>
    <w:p w14:paraId="5BA0A177">
      <w:pPr>
        <w:pStyle w:val="4"/>
        <w:spacing w:line="266" w:lineRule="auto"/>
        <w:rPr>
          <w:rFonts w:hint="eastAsia" w:ascii="宋体" w:hAnsi="宋体" w:eastAsia="宋体" w:cs="宋体"/>
          <w:color w:val="auto"/>
          <w:highlight w:val="none"/>
        </w:rPr>
      </w:pPr>
    </w:p>
    <w:p w14:paraId="7DA7A431">
      <w:pPr>
        <w:pStyle w:val="4"/>
        <w:spacing w:line="266" w:lineRule="auto"/>
        <w:rPr>
          <w:rFonts w:hint="eastAsia" w:ascii="宋体" w:hAnsi="宋体" w:eastAsia="宋体" w:cs="宋体"/>
          <w:color w:val="auto"/>
          <w:highlight w:val="none"/>
        </w:rPr>
      </w:pPr>
    </w:p>
    <w:p w14:paraId="5863E7BD">
      <w:pPr>
        <w:pStyle w:val="4"/>
        <w:spacing w:line="266" w:lineRule="auto"/>
        <w:rPr>
          <w:rFonts w:hint="eastAsia" w:ascii="宋体" w:hAnsi="宋体" w:eastAsia="宋体" w:cs="宋体"/>
          <w:color w:val="auto"/>
          <w:highlight w:val="none"/>
        </w:rPr>
      </w:pPr>
      <w:r>
        <w:rPr>
          <w:rFonts w:hint="eastAsia" w:ascii="宋体" w:hAnsi="宋体" w:eastAsia="宋体" w:cs="宋体"/>
          <w:color w:val="auto"/>
          <w:highlight w:val="none"/>
        </w:rPr>
        <w:pict>
          <v:shape id="_x0000_s1031" o:spid="_x0000_s1031" style="position:absolute;left:0pt;margin-left:0.75pt;margin-top:6.3pt;height:0.5pt;width:162.75pt;z-index:251669504;mso-width-relative:page;mso-height-relative:page;" filled="f" stroked="t" coordsize="3255,10" path="m0,4l3255,4e">
            <v:fill on="f" focussize="0,0"/>
            <v:stroke weight="0.48pt" color="#000000" miterlimit="2" joinstyle="bevel"/>
            <v:imagedata o:title=""/>
            <o:lock v:ext="edit"/>
          </v:shape>
        </w:pict>
      </w:r>
    </w:p>
    <w:p w14:paraId="1965A49D">
      <w:pPr>
        <w:spacing w:before="65" w:line="377" w:lineRule="auto"/>
        <w:ind w:left="23" w:right="70"/>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5如投标人按照招标人提供的工程量固化清单电子文件填写工程量清单，无须按照第三章“评标</w:t>
      </w:r>
      <w:r>
        <w:rPr>
          <w:rFonts w:hint="eastAsia" w:ascii="宋体" w:hAnsi="宋体" w:eastAsia="宋体" w:cs="宋体"/>
          <w:color w:val="auto"/>
          <w:spacing w:val="8"/>
          <w:sz w:val="20"/>
          <w:szCs w:val="20"/>
          <w:highlight w:val="none"/>
        </w:rPr>
        <w:t>办法”的相关规定对投标报价进行修正，则</w:t>
      </w:r>
      <w:r>
        <w:rPr>
          <w:rFonts w:hint="eastAsia" w:ascii="宋体" w:hAnsi="宋体" w:eastAsia="宋体" w:cs="宋体"/>
          <w:color w:val="auto"/>
          <w:spacing w:val="7"/>
          <w:sz w:val="20"/>
          <w:szCs w:val="20"/>
          <w:highlight w:val="none"/>
        </w:rPr>
        <w:t>本项不适用。</w:t>
      </w:r>
    </w:p>
    <w:p w14:paraId="2A8042EF">
      <w:pPr>
        <w:spacing w:line="377" w:lineRule="auto"/>
        <w:rPr>
          <w:rFonts w:hint="eastAsia" w:ascii="宋体" w:hAnsi="宋体" w:eastAsia="宋体" w:cs="宋体"/>
          <w:color w:val="auto"/>
          <w:sz w:val="20"/>
          <w:szCs w:val="20"/>
          <w:highlight w:val="none"/>
        </w:rPr>
        <w:sectPr>
          <w:headerReference r:id="rId27" w:type="default"/>
          <w:footerReference r:id="rId28" w:type="default"/>
          <w:pgSz w:w="11907" w:h="16840"/>
          <w:pgMar w:top="1182" w:right="1220" w:bottom="1014" w:left="1786" w:header="849" w:footer="852" w:gutter="0"/>
          <w:pgNumType w:fmt="decimal"/>
          <w:cols w:space="720" w:num="1"/>
        </w:sectPr>
      </w:pPr>
    </w:p>
    <w:p w14:paraId="144ED430">
      <w:pPr>
        <w:spacing w:before="257" w:line="375" w:lineRule="exact"/>
        <w:ind w:left="135"/>
        <w:outlineLvl w:val="1"/>
        <w:rPr>
          <w:rFonts w:hint="eastAsia" w:ascii="宋体" w:hAnsi="宋体" w:eastAsia="宋体" w:cs="宋体"/>
          <w:color w:val="auto"/>
          <w:sz w:val="18"/>
          <w:szCs w:val="18"/>
          <w:highlight w:val="none"/>
        </w:rPr>
      </w:pPr>
      <w:bookmarkStart w:id="370" w:name="bookmark56"/>
      <w:bookmarkEnd w:id="370"/>
      <w:bookmarkStart w:id="371" w:name="_Toc8195"/>
      <w:bookmarkStart w:id="372" w:name="_Toc14001"/>
      <w:bookmarkStart w:id="373" w:name="_Toc11655"/>
      <w:bookmarkStart w:id="374" w:name="_Toc9992"/>
      <w:bookmarkStart w:id="375" w:name="_Toc5865"/>
      <w:r>
        <w:rPr>
          <w:rFonts w:hint="eastAsia" w:ascii="宋体" w:hAnsi="宋体" w:eastAsia="宋体" w:cs="宋体"/>
          <w:color w:val="auto"/>
          <w:spacing w:val="-3"/>
          <w:position w:val="2"/>
          <w:sz w:val="24"/>
          <w:szCs w:val="24"/>
          <w:highlight w:val="none"/>
        </w:rPr>
        <w:t>附件一开标记录表</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"bookmark57" </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3"/>
          <w:position w:val="11"/>
          <w:sz w:val="18"/>
          <w:szCs w:val="18"/>
          <w:highlight w:val="none"/>
        </w:rPr>
        <w:t>1</w:t>
      </w:r>
      <w:r>
        <w:rPr>
          <w:rFonts w:hint="eastAsia" w:ascii="宋体" w:hAnsi="宋体" w:eastAsia="宋体" w:cs="宋体"/>
          <w:color w:val="auto"/>
          <w:spacing w:val="-3"/>
          <w:position w:val="11"/>
          <w:sz w:val="18"/>
          <w:szCs w:val="18"/>
          <w:highlight w:val="none"/>
        </w:rPr>
        <w:fldChar w:fldCharType="end"/>
      </w:r>
      <w:bookmarkEnd w:id="371"/>
      <w:bookmarkEnd w:id="372"/>
      <w:bookmarkEnd w:id="373"/>
      <w:bookmarkEnd w:id="374"/>
      <w:bookmarkEnd w:id="375"/>
    </w:p>
    <w:p w14:paraId="6D2C2500">
      <w:pPr>
        <w:pStyle w:val="4"/>
        <w:spacing w:line="254" w:lineRule="auto"/>
        <w:rPr>
          <w:rFonts w:hint="eastAsia" w:ascii="宋体" w:hAnsi="宋体" w:eastAsia="宋体" w:cs="宋体"/>
          <w:color w:val="auto"/>
          <w:highlight w:val="none"/>
        </w:rPr>
      </w:pPr>
    </w:p>
    <w:p w14:paraId="08CE70E1">
      <w:pPr>
        <w:tabs>
          <w:tab w:val="left" w:pos="1371"/>
        </w:tabs>
        <w:spacing w:before="91" w:line="222" w:lineRule="auto"/>
        <w:ind w:left="391"/>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u w:val="single" w:color="auto"/>
        </w:rPr>
        <w:tab/>
      </w:r>
      <w:r>
        <w:rPr>
          <w:rFonts w:hint="eastAsia" w:ascii="宋体" w:hAnsi="宋体" w:eastAsia="宋体" w:cs="宋体"/>
          <w:color w:val="auto"/>
          <w:sz w:val="28"/>
          <w:szCs w:val="28"/>
          <w:highlight w:val="none"/>
        </w:rPr>
        <w:t>（项目名称）标段施工第一个信封（商务及</w:t>
      </w:r>
      <w:r>
        <w:rPr>
          <w:rFonts w:hint="eastAsia" w:ascii="宋体" w:hAnsi="宋体" w:eastAsia="宋体" w:cs="宋体"/>
          <w:color w:val="auto"/>
          <w:spacing w:val="-1"/>
          <w:sz w:val="28"/>
          <w:szCs w:val="28"/>
          <w:highlight w:val="none"/>
        </w:rPr>
        <w:t>技术文件）</w:t>
      </w:r>
    </w:p>
    <w:p w14:paraId="271DF397">
      <w:pPr>
        <w:spacing w:before="103" w:line="222" w:lineRule="auto"/>
        <w:ind w:left="3839"/>
        <w:rPr>
          <w:rFonts w:hint="eastAsia" w:ascii="宋体" w:hAnsi="宋体" w:eastAsia="宋体" w:cs="宋体"/>
          <w:color w:val="auto"/>
          <w:sz w:val="28"/>
          <w:szCs w:val="28"/>
          <w:highlight w:val="none"/>
        </w:rPr>
      </w:pPr>
      <w:r>
        <w:rPr>
          <w:rFonts w:hint="eastAsia" w:ascii="宋体" w:hAnsi="宋体" w:eastAsia="宋体" w:cs="宋体"/>
          <w:color w:val="auto"/>
          <w:spacing w:val="-3"/>
          <w:sz w:val="28"/>
          <w:szCs w:val="28"/>
          <w:highlight w:val="none"/>
        </w:rPr>
        <w:t>开标记录表</w:t>
      </w:r>
    </w:p>
    <w:p w14:paraId="4E1720B3">
      <w:pPr>
        <w:spacing w:before="137" w:line="219" w:lineRule="auto"/>
        <w:ind w:left="4743"/>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开标时间：年月日时分</w:t>
      </w:r>
    </w:p>
    <w:p w14:paraId="65DEE8A8">
      <w:pPr>
        <w:spacing w:line="106" w:lineRule="auto"/>
        <w:rPr>
          <w:rFonts w:hint="eastAsia" w:ascii="宋体" w:hAnsi="宋体" w:eastAsia="宋体" w:cs="宋体"/>
          <w:color w:val="auto"/>
          <w:sz w:val="2"/>
          <w:highlight w:val="none"/>
        </w:rPr>
      </w:pPr>
    </w:p>
    <w:tbl>
      <w:tblPr>
        <w:tblStyle w:val="24"/>
        <w:tblW w:w="895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0"/>
        <w:gridCol w:w="1595"/>
        <w:gridCol w:w="1274"/>
        <w:gridCol w:w="1559"/>
        <w:gridCol w:w="1133"/>
        <w:gridCol w:w="850"/>
        <w:gridCol w:w="1847"/>
      </w:tblGrid>
      <w:tr w14:paraId="3B62BC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9" w:hRule="atLeast"/>
        </w:trPr>
        <w:tc>
          <w:tcPr>
            <w:tcW w:w="700" w:type="dxa"/>
            <w:vAlign w:val="top"/>
          </w:tcPr>
          <w:p w14:paraId="532C042E">
            <w:pPr>
              <w:spacing w:line="407" w:lineRule="auto"/>
              <w:rPr>
                <w:rFonts w:hint="eastAsia" w:ascii="宋体" w:hAnsi="宋体" w:eastAsia="宋体" w:cs="宋体"/>
                <w:color w:val="auto"/>
                <w:sz w:val="21"/>
                <w:highlight w:val="none"/>
              </w:rPr>
            </w:pPr>
          </w:p>
          <w:p w14:paraId="32487F47">
            <w:pPr>
              <w:pStyle w:val="25"/>
              <w:spacing w:before="65" w:line="229" w:lineRule="auto"/>
              <w:ind w:left="144"/>
              <w:rPr>
                <w:rFonts w:hint="eastAsia" w:ascii="宋体" w:hAnsi="宋体" w:eastAsia="宋体" w:cs="宋体"/>
                <w:color w:val="auto"/>
                <w:highlight w:val="none"/>
              </w:rPr>
            </w:pPr>
            <w:r>
              <w:rPr>
                <w:rFonts w:hint="eastAsia" w:ascii="宋体" w:hAnsi="宋体" w:eastAsia="宋体" w:cs="宋体"/>
                <w:color w:val="auto"/>
                <w:spacing w:val="5"/>
                <w:highlight w:val="none"/>
              </w:rPr>
              <w:t>序号</w:t>
            </w:r>
          </w:p>
        </w:tc>
        <w:tc>
          <w:tcPr>
            <w:tcW w:w="1595" w:type="dxa"/>
            <w:vAlign w:val="top"/>
          </w:tcPr>
          <w:p w14:paraId="39BB9BA4">
            <w:pPr>
              <w:spacing w:line="407" w:lineRule="auto"/>
              <w:rPr>
                <w:rFonts w:hint="eastAsia" w:ascii="宋体" w:hAnsi="宋体" w:eastAsia="宋体" w:cs="宋体"/>
                <w:color w:val="auto"/>
                <w:sz w:val="21"/>
                <w:highlight w:val="none"/>
              </w:rPr>
            </w:pPr>
          </w:p>
          <w:p w14:paraId="3CD38D5A">
            <w:pPr>
              <w:pStyle w:val="25"/>
              <w:spacing w:before="65" w:line="228" w:lineRule="auto"/>
              <w:ind w:left="489"/>
              <w:rPr>
                <w:rFonts w:hint="eastAsia" w:ascii="宋体" w:hAnsi="宋体" w:eastAsia="宋体" w:cs="宋体"/>
                <w:color w:val="auto"/>
                <w:highlight w:val="none"/>
              </w:rPr>
            </w:pPr>
            <w:r>
              <w:rPr>
                <w:rFonts w:hint="eastAsia" w:ascii="宋体" w:hAnsi="宋体" w:eastAsia="宋体" w:cs="宋体"/>
                <w:color w:val="auto"/>
                <w:spacing w:val="6"/>
                <w:highlight w:val="none"/>
              </w:rPr>
              <w:t>投标人</w:t>
            </w:r>
          </w:p>
        </w:tc>
        <w:tc>
          <w:tcPr>
            <w:tcW w:w="1274" w:type="dxa"/>
            <w:vAlign w:val="top"/>
          </w:tcPr>
          <w:p w14:paraId="613A168A">
            <w:pPr>
              <w:spacing w:line="407" w:lineRule="auto"/>
              <w:rPr>
                <w:rFonts w:hint="eastAsia" w:ascii="宋体" w:hAnsi="宋体" w:eastAsia="宋体" w:cs="宋体"/>
                <w:color w:val="auto"/>
                <w:sz w:val="21"/>
                <w:highlight w:val="none"/>
              </w:rPr>
            </w:pPr>
          </w:p>
          <w:p w14:paraId="4C82A373">
            <w:pPr>
              <w:pStyle w:val="25"/>
              <w:spacing w:before="65" w:line="228" w:lineRule="auto"/>
              <w:ind w:left="222"/>
              <w:rPr>
                <w:rFonts w:hint="eastAsia" w:ascii="宋体" w:hAnsi="宋体" w:eastAsia="宋体" w:cs="宋体"/>
                <w:color w:val="auto"/>
                <w:highlight w:val="none"/>
              </w:rPr>
            </w:pPr>
            <w:r>
              <w:rPr>
                <w:rFonts w:hint="eastAsia" w:ascii="宋体" w:hAnsi="宋体" w:eastAsia="宋体" w:cs="宋体"/>
                <w:color w:val="auto"/>
                <w:spacing w:val="7"/>
                <w:highlight w:val="none"/>
              </w:rPr>
              <w:t>密封情况</w:t>
            </w:r>
          </w:p>
        </w:tc>
        <w:tc>
          <w:tcPr>
            <w:tcW w:w="1559" w:type="dxa"/>
            <w:vAlign w:val="top"/>
          </w:tcPr>
          <w:p w14:paraId="6CE4504A">
            <w:pPr>
              <w:pStyle w:val="25"/>
              <w:spacing w:before="225" w:line="357" w:lineRule="auto"/>
              <w:ind w:left="575" w:right="41" w:hanging="521"/>
              <w:rPr>
                <w:rFonts w:hint="eastAsia" w:ascii="宋体" w:hAnsi="宋体" w:eastAsia="宋体" w:cs="宋体"/>
                <w:color w:val="auto"/>
                <w:highlight w:val="none"/>
              </w:rPr>
            </w:pPr>
            <w:r>
              <w:rPr>
                <w:rFonts w:hint="eastAsia" w:ascii="宋体" w:hAnsi="宋体" w:eastAsia="宋体" w:cs="宋体"/>
                <w:color w:val="auto"/>
                <w:spacing w:val="8"/>
                <w:highlight w:val="none"/>
              </w:rPr>
              <w:t>投标保证金递交</w:t>
            </w:r>
            <w:r>
              <w:rPr>
                <w:rFonts w:hint="eastAsia" w:ascii="宋体" w:hAnsi="宋体" w:eastAsia="宋体" w:cs="宋体"/>
                <w:color w:val="auto"/>
                <w:spacing w:val="4"/>
                <w:highlight w:val="none"/>
              </w:rPr>
              <w:t>情况</w:t>
            </w:r>
          </w:p>
        </w:tc>
        <w:tc>
          <w:tcPr>
            <w:tcW w:w="1133" w:type="dxa"/>
            <w:vAlign w:val="top"/>
          </w:tcPr>
          <w:p w14:paraId="0F3B62E8">
            <w:pPr>
              <w:spacing w:line="407" w:lineRule="auto"/>
              <w:rPr>
                <w:rFonts w:hint="eastAsia" w:ascii="宋体" w:hAnsi="宋体" w:eastAsia="宋体" w:cs="宋体"/>
                <w:color w:val="auto"/>
                <w:sz w:val="21"/>
                <w:highlight w:val="none"/>
              </w:rPr>
            </w:pPr>
          </w:p>
          <w:p w14:paraId="422B7C26">
            <w:pPr>
              <w:pStyle w:val="25"/>
              <w:spacing w:before="65" w:line="228" w:lineRule="auto"/>
              <w:ind w:left="367"/>
              <w:rPr>
                <w:rFonts w:hint="eastAsia" w:ascii="宋体" w:hAnsi="宋体" w:eastAsia="宋体" w:cs="宋体"/>
                <w:color w:val="auto"/>
                <w:highlight w:val="none"/>
              </w:rPr>
            </w:pPr>
            <w:r>
              <w:rPr>
                <w:rFonts w:hint="eastAsia" w:ascii="宋体" w:hAnsi="宋体" w:eastAsia="宋体" w:cs="宋体"/>
                <w:color w:val="auto"/>
                <w:spacing w:val="3"/>
                <w:highlight w:val="none"/>
              </w:rPr>
              <w:t>工期</w:t>
            </w:r>
          </w:p>
        </w:tc>
        <w:tc>
          <w:tcPr>
            <w:tcW w:w="850" w:type="dxa"/>
            <w:vAlign w:val="top"/>
          </w:tcPr>
          <w:p w14:paraId="01666626">
            <w:pPr>
              <w:spacing w:line="407" w:lineRule="auto"/>
              <w:rPr>
                <w:rFonts w:hint="eastAsia" w:ascii="宋体" w:hAnsi="宋体" w:eastAsia="宋体" w:cs="宋体"/>
                <w:color w:val="auto"/>
                <w:sz w:val="21"/>
                <w:highlight w:val="none"/>
              </w:rPr>
            </w:pPr>
          </w:p>
          <w:p w14:paraId="7088D820">
            <w:pPr>
              <w:pStyle w:val="25"/>
              <w:spacing w:before="65" w:line="229" w:lineRule="auto"/>
              <w:ind w:left="225"/>
              <w:rPr>
                <w:rFonts w:hint="eastAsia" w:ascii="宋体" w:hAnsi="宋体" w:eastAsia="宋体" w:cs="宋体"/>
                <w:color w:val="auto"/>
                <w:highlight w:val="none"/>
              </w:rPr>
            </w:pPr>
            <w:r>
              <w:rPr>
                <w:rFonts w:hint="eastAsia" w:ascii="宋体" w:hAnsi="宋体" w:eastAsia="宋体" w:cs="宋体"/>
                <w:color w:val="auto"/>
                <w:spacing w:val="3"/>
                <w:highlight w:val="none"/>
              </w:rPr>
              <w:t>备注</w:t>
            </w:r>
          </w:p>
        </w:tc>
        <w:tc>
          <w:tcPr>
            <w:tcW w:w="1847" w:type="dxa"/>
            <w:vAlign w:val="top"/>
          </w:tcPr>
          <w:p w14:paraId="6BF5490F">
            <w:pPr>
              <w:spacing w:line="407" w:lineRule="auto"/>
              <w:rPr>
                <w:rFonts w:hint="eastAsia" w:ascii="宋体" w:hAnsi="宋体" w:eastAsia="宋体" w:cs="宋体"/>
                <w:color w:val="auto"/>
                <w:sz w:val="21"/>
                <w:highlight w:val="none"/>
              </w:rPr>
            </w:pPr>
          </w:p>
          <w:p w14:paraId="621CEE22">
            <w:pPr>
              <w:pStyle w:val="25"/>
              <w:spacing w:before="65" w:line="228" w:lineRule="auto"/>
              <w:ind w:left="196"/>
              <w:rPr>
                <w:rFonts w:hint="eastAsia" w:ascii="宋体" w:hAnsi="宋体" w:eastAsia="宋体" w:cs="宋体"/>
                <w:color w:val="auto"/>
                <w:highlight w:val="none"/>
              </w:rPr>
            </w:pPr>
            <w:r>
              <w:rPr>
                <w:rFonts w:hint="eastAsia" w:ascii="宋体" w:hAnsi="宋体" w:eastAsia="宋体" w:cs="宋体"/>
                <w:color w:val="auto"/>
                <w:spacing w:val="8"/>
                <w:highlight w:val="none"/>
              </w:rPr>
              <w:t>投标人代表签名</w:t>
            </w:r>
          </w:p>
        </w:tc>
      </w:tr>
      <w:tr w14:paraId="0C6174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700" w:type="dxa"/>
            <w:vAlign w:val="top"/>
          </w:tcPr>
          <w:p w14:paraId="1A4ECC57">
            <w:pPr>
              <w:rPr>
                <w:rFonts w:hint="eastAsia" w:ascii="宋体" w:hAnsi="宋体" w:eastAsia="宋体" w:cs="宋体"/>
                <w:color w:val="auto"/>
                <w:sz w:val="21"/>
                <w:highlight w:val="none"/>
              </w:rPr>
            </w:pPr>
          </w:p>
        </w:tc>
        <w:tc>
          <w:tcPr>
            <w:tcW w:w="1595" w:type="dxa"/>
            <w:vAlign w:val="top"/>
          </w:tcPr>
          <w:p w14:paraId="3BB130F4">
            <w:pPr>
              <w:rPr>
                <w:rFonts w:hint="eastAsia" w:ascii="宋体" w:hAnsi="宋体" w:eastAsia="宋体" w:cs="宋体"/>
                <w:color w:val="auto"/>
                <w:sz w:val="21"/>
                <w:highlight w:val="none"/>
              </w:rPr>
            </w:pPr>
          </w:p>
        </w:tc>
        <w:tc>
          <w:tcPr>
            <w:tcW w:w="1274" w:type="dxa"/>
            <w:vAlign w:val="top"/>
          </w:tcPr>
          <w:p w14:paraId="5D6100E7">
            <w:pPr>
              <w:rPr>
                <w:rFonts w:hint="eastAsia" w:ascii="宋体" w:hAnsi="宋体" w:eastAsia="宋体" w:cs="宋体"/>
                <w:color w:val="auto"/>
                <w:sz w:val="21"/>
                <w:highlight w:val="none"/>
              </w:rPr>
            </w:pPr>
          </w:p>
        </w:tc>
        <w:tc>
          <w:tcPr>
            <w:tcW w:w="1559" w:type="dxa"/>
            <w:vAlign w:val="top"/>
          </w:tcPr>
          <w:p w14:paraId="6C98060F">
            <w:pPr>
              <w:rPr>
                <w:rFonts w:hint="eastAsia" w:ascii="宋体" w:hAnsi="宋体" w:eastAsia="宋体" w:cs="宋体"/>
                <w:color w:val="auto"/>
                <w:sz w:val="21"/>
                <w:highlight w:val="none"/>
              </w:rPr>
            </w:pPr>
          </w:p>
        </w:tc>
        <w:tc>
          <w:tcPr>
            <w:tcW w:w="1133" w:type="dxa"/>
            <w:vAlign w:val="top"/>
          </w:tcPr>
          <w:p w14:paraId="002DCAA8">
            <w:pPr>
              <w:rPr>
                <w:rFonts w:hint="eastAsia" w:ascii="宋体" w:hAnsi="宋体" w:eastAsia="宋体" w:cs="宋体"/>
                <w:color w:val="auto"/>
                <w:sz w:val="21"/>
                <w:highlight w:val="none"/>
              </w:rPr>
            </w:pPr>
          </w:p>
        </w:tc>
        <w:tc>
          <w:tcPr>
            <w:tcW w:w="850" w:type="dxa"/>
            <w:vAlign w:val="top"/>
          </w:tcPr>
          <w:p w14:paraId="11DEBF2A">
            <w:pPr>
              <w:rPr>
                <w:rFonts w:hint="eastAsia" w:ascii="宋体" w:hAnsi="宋体" w:eastAsia="宋体" w:cs="宋体"/>
                <w:color w:val="auto"/>
                <w:sz w:val="21"/>
                <w:highlight w:val="none"/>
              </w:rPr>
            </w:pPr>
          </w:p>
        </w:tc>
        <w:tc>
          <w:tcPr>
            <w:tcW w:w="1847" w:type="dxa"/>
            <w:vAlign w:val="top"/>
          </w:tcPr>
          <w:p w14:paraId="3EECAA0E">
            <w:pPr>
              <w:rPr>
                <w:rFonts w:hint="eastAsia" w:ascii="宋体" w:hAnsi="宋体" w:eastAsia="宋体" w:cs="宋体"/>
                <w:color w:val="auto"/>
                <w:sz w:val="21"/>
                <w:highlight w:val="none"/>
              </w:rPr>
            </w:pPr>
          </w:p>
        </w:tc>
      </w:tr>
      <w:tr w14:paraId="5B41DF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700" w:type="dxa"/>
            <w:vAlign w:val="top"/>
          </w:tcPr>
          <w:p w14:paraId="511388AE">
            <w:pPr>
              <w:rPr>
                <w:rFonts w:hint="eastAsia" w:ascii="宋体" w:hAnsi="宋体" w:eastAsia="宋体" w:cs="宋体"/>
                <w:color w:val="auto"/>
                <w:sz w:val="21"/>
                <w:highlight w:val="none"/>
              </w:rPr>
            </w:pPr>
          </w:p>
        </w:tc>
        <w:tc>
          <w:tcPr>
            <w:tcW w:w="1595" w:type="dxa"/>
            <w:vAlign w:val="top"/>
          </w:tcPr>
          <w:p w14:paraId="3B959C60">
            <w:pPr>
              <w:rPr>
                <w:rFonts w:hint="eastAsia" w:ascii="宋体" w:hAnsi="宋体" w:eastAsia="宋体" w:cs="宋体"/>
                <w:color w:val="auto"/>
                <w:sz w:val="21"/>
                <w:highlight w:val="none"/>
              </w:rPr>
            </w:pPr>
          </w:p>
        </w:tc>
        <w:tc>
          <w:tcPr>
            <w:tcW w:w="1274" w:type="dxa"/>
            <w:vAlign w:val="top"/>
          </w:tcPr>
          <w:p w14:paraId="52659386">
            <w:pPr>
              <w:rPr>
                <w:rFonts w:hint="eastAsia" w:ascii="宋体" w:hAnsi="宋体" w:eastAsia="宋体" w:cs="宋体"/>
                <w:color w:val="auto"/>
                <w:sz w:val="21"/>
                <w:highlight w:val="none"/>
              </w:rPr>
            </w:pPr>
          </w:p>
        </w:tc>
        <w:tc>
          <w:tcPr>
            <w:tcW w:w="1559" w:type="dxa"/>
            <w:vAlign w:val="top"/>
          </w:tcPr>
          <w:p w14:paraId="40B4FB46">
            <w:pPr>
              <w:rPr>
                <w:rFonts w:hint="eastAsia" w:ascii="宋体" w:hAnsi="宋体" w:eastAsia="宋体" w:cs="宋体"/>
                <w:color w:val="auto"/>
                <w:sz w:val="21"/>
                <w:highlight w:val="none"/>
              </w:rPr>
            </w:pPr>
          </w:p>
        </w:tc>
        <w:tc>
          <w:tcPr>
            <w:tcW w:w="1133" w:type="dxa"/>
            <w:vAlign w:val="top"/>
          </w:tcPr>
          <w:p w14:paraId="59F0C91C">
            <w:pPr>
              <w:rPr>
                <w:rFonts w:hint="eastAsia" w:ascii="宋体" w:hAnsi="宋体" w:eastAsia="宋体" w:cs="宋体"/>
                <w:color w:val="auto"/>
                <w:sz w:val="21"/>
                <w:highlight w:val="none"/>
              </w:rPr>
            </w:pPr>
          </w:p>
        </w:tc>
        <w:tc>
          <w:tcPr>
            <w:tcW w:w="850" w:type="dxa"/>
            <w:vAlign w:val="top"/>
          </w:tcPr>
          <w:p w14:paraId="3EF4FA27">
            <w:pPr>
              <w:rPr>
                <w:rFonts w:hint="eastAsia" w:ascii="宋体" w:hAnsi="宋体" w:eastAsia="宋体" w:cs="宋体"/>
                <w:color w:val="auto"/>
                <w:sz w:val="21"/>
                <w:highlight w:val="none"/>
              </w:rPr>
            </w:pPr>
          </w:p>
        </w:tc>
        <w:tc>
          <w:tcPr>
            <w:tcW w:w="1847" w:type="dxa"/>
            <w:vAlign w:val="top"/>
          </w:tcPr>
          <w:p w14:paraId="29A63EAC">
            <w:pPr>
              <w:rPr>
                <w:rFonts w:hint="eastAsia" w:ascii="宋体" w:hAnsi="宋体" w:eastAsia="宋体" w:cs="宋体"/>
                <w:color w:val="auto"/>
                <w:sz w:val="21"/>
                <w:highlight w:val="none"/>
              </w:rPr>
            </w:pPr>
          </w:p>
        </w:tc>
      </w:tr>
      <w:tr w14:paraId="56D78B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700" w:type="dxa"/>
            <w:vAlign w:val="top"/>
          </w:tcPr>
          <w:p w14:paraId="31F70D2C">
            <w:pPr>
              <w:rPr>
                <w:rFonts w:hint="eastAsia" w:ascii="宋体" w:hAnsi="宋体" w:eastAsia="宋体" w:cs="宋体"/>
                <w:color w:val="auto"/>
                <w:sz w:val="21"/>
                <w:highlight w:val="none"/>
              </w:rPr>
            </w:pPr>
          </w:p>
        </w:tc>
        <w:tc>
          <w:tcPr>
            <w:tcW w:w="1595" w:type="dxa"/>
            <w:vAlign w:val="top"/>
          </w:tcPr>
          <w:p w14:paraId="1CA0789B">
            <w:pPr>
              <w:rPr>
                <w:rFonts w:hint="eastAsia" w:ascii="宋体" w:hAnsi="宋体" w:eastAsia="宋体" w:cs="宋体"/>
                <w:color w:val="auto"/>
                <w:sz w:val="21"/>
                <w:highlight w:val="none"/>
              </w:rPr>
            </w:pPr>
          </w:p>
        </w:tc>
        <w:tc>
          <w:tcPr>
            <w:tcW w:w="1274" w:type="dxa"/>
            <w:vAlign w:val="top"/>
          </w:tcPr>
          <w:p w14:paraId="62B267A2">
            <w:pPr>
              <w:rPr>
                <w:rFonts w:hint="eastAsia" w:ascii="宋体" w:hAnsi="宋体" w:eastAsia="宋体" w:cs="宋体"/>
                <w:color w:val="auto"/>
                <w:sz w:val="21"/>
                <w:highlight w:val="none"/>
              </w:rPr>
            </w:pPr>
          </w:p>
        </w:tc>
        <w:tc>
          <w:tcPr>
            <w:tcW w:w="1559" w:type="dxa"/>
            <w:vAlign w:val="top"/>
          </w:tcPr>
          <w:p w14:paraId="29D845C1">
            <w:pPr>
              <w:rPr>
                <w:rFonts w:hint="eastAsia" w:ascii="宋体" w:hAnsi="宋体" w:eastAsia="宋体" w:cs="宋体"/>
                <w:color w:val="auto"/>
                <w:sz w:val="21"/>
                <w:highlight w:val="none"/>
              </w:rPr>
            </w:pPr>
          </w:p>
        </w:tc>
        <w:tc>
          <w:tcPr>
            <w:tcW w:w="1133" w:type="dxa"/>
            <w:vAlign w:val="top"/>
          </w:tcPr>
          <w:p w14:paraId="39FAFD95">
            <w:pPr>
              <w:rPr>
                <w:rFonts w:hint="eastAsia" w:ascii="宋体" w:hAnsi="宋体" w:eastAsia="宋体" w:cs="宋体"/>
                <w:color w:val="auto"/>
                <w:sz w:val="21"/>
                <w:highlight w:val="none"/>
              </w:rPr>
            </w:pPr>
          </w:p>
        </w:tc>
        <w:tc>
          <w:tcPr>
            <w:tcW w:w="850" w:type="dxa"/>
            <w:vAlign w:val="top"/>
          </w:tcPr>
          <w:p w14:paraId="2FCB8BD6">
            <w:pPr>
              <w:rPr>
                <w:rFonts w:hint="eastAsia" w:ascii="宋体" w:hAnsi="宋体" w:eastAsia="宋体" w:cs="宋体"/>
                <w:color w:val="auto"/>
                <w:sz w:val="21"/>
                <w:highlight w:val="none"/>
              </w:rPr>
            </w:pPr>
          </w:p>
        </w:tc>
        <w:tc>
          <w:tcPr>
            <w:tcW w:w="1847" w:type="dxa"/>
            <w:vAlign w:val="top"/>
          </w:tcPr>
          <w:p w14:paraId="2E1A40F2">
            <w:pPr>
              <w:rPr>
                <w:rFonts w:hint="eastAsia" w:ascii="宋体" w:hAnsi="宋体" w:eastAsia="宋体" w:cs="宋体"/>
                <w:color w:val="auto"/>
                <w:sz w:val="21"/>
                <w:highlight w:val="none"/>
              </w:rPr>
            </w:pPr>
          </w:p>
        </w:tc>
      </w:tr>
      <w:tr w14:paraId="5E47C1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700" w:type="dxa"/>
            <w:vAlign w:val="top"/>
          </w:tcPr>
          <w:p w14:paraId="409E15A2">
            <w:pPr>
              <w:rPr>
                <w:rFonts w:hint="eastAsia" w:ascii="宋体" w:hAnsi="宋体" w:eastAsia="宋体" w:cs="宋体"/>
                <w:color w:val="auto"/>
                <w:sz w:val="21"/>
                <w:highlight w:val="none"/>
              </w:rPr>
            </w:pPr>
          </w:p>
        </w:tc>
        <w:tc>
          <w:tcPr>
            <w:tcW w:w="1595" w:type="dxa"/>
            <w:vAlign w:val="top"/>
          </w:tcPr>
          <w:p w14:paraId="74373AD2">
            <w:pPr>
              <w:rPr>
                <w:rFonts w:hint="eastAsia" w:ascii="宋体" w:hAnsi="宋体" w:eastAsia="宋体" w:cs="宋体"/>
                <w:color w:val="auto"/>
                <w:sz w:val="21"/>
                <w:highlight w:val="none"/>
              </w:rPr>
            </w:pPr>
          </w:p>
        </w:tc>
        <w:tc>
          <w:tcPr>
            <w:tcW w:w="1274" w:type="dxa"/>
            <w:vAlign w:val="top"/>
          </w:tcPr>
          <w:p w14:paraId="056289FB">
            <w:pPr>
              <w:rPr>
                <w:rFonts w:hint="eastAsia" w:ascii="宋体" w:hAnsi="宋体" w:eastAsia="宋体" w:cs="宋体"/>
                <w:color w:val="auto"/>
                <w:sz w:val="21"/>
                <w:highlight w:val="none"/>
              </w:rPr>
            </w:pPr>
          </w:p>
        </w:tc>
        <w:tc>
          <w:tcPr>
            <w:tcW w:w="1559" w:type="dxa"/>
            <w:vAlign w:val="top"/>
          </w:tcPr>
          <w:p w14:paraId="77B0811F">
            <w:pPr>
              <w:rPr>
                <w:rFonts w:hint="eastAsia" w:ascii="宋体" w:hAnsi="宋体" w:eastAsia="宋体" w:cs="宋体"/>
                <w:color w:val="auto"/>
                <w:sz w:val="21"/>
                <w:highlight w:val="none"/>
              </w:rPr>
            </w:pPr>
          </w:p>
        </w:tc>
        <w:tc>
          <w:tcPr>
            <w:tcW w:w="1133" w:type="dxa"/>
            <w:vAlign w:val="top"/>
          </w:tcPr>
          <w:p w14:paraId="05E2405A">
            <w:pPr>
              <w:rPr>
                <w:rFonts w:hint="eastAsia" w:ascii="宋体" w:hAnsi="宋体" w:eastAsia="宋体" w:cs="宋体"/>
                <w:color w:val="auto"/>
                <w:sz w:val="21"/>
                <w:highlight w:val="none"/>
              </w:rPr>
            </w:pPr>
          </w:p>
        </w:tc>
        <w:tc>
          <w:tcPr>
            <w:tcW w:w="850" w:type="dxa"/>
            <w:vAlign w:val="top"/>
          </w:tcPr>
          <w:p w14:paraId="123E9D9D">
            <w:pPr>
              <w:rPr>
                <w:rFonts w:hint="eastAsia" w:ascii="宋体" w:hAnsi="宋体" w:eastAsia="宋体" w:cs="宋体"/>
                <w:color w:val="auto"/>
                <w:sz w:val="21"/>
                <w:highlight w:val="none"/>
              </w:rPr>
            </w:pPr>
          </w:p>
        </w:tc>
        <w:tc>
          <w:tcPr>
            <w:tcW w:w="1847" w:type="dxa"/>
            <w:vAlign w:val="top"/>
          </w:tcPr>
          <w:p w14:paraId="4D1C2025">
            <w:pPr>
              <w:rPr>
                <w:rFonts w:hint="eastAsia" w:ascii="宋体" w:hAnsi="宋体" w:eastAsia="宋体" w:cs="宋体"/>
                <w:color w:val="auto"/>
                <w:sz w:val="21"/>
                <w:highlight w:val="none"/>
              </w:rPr>
            </w:pPr>
          </w:p>
        </w:tc>
      </w:tr>
      <w:tr w14:paraId="522AC6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700" w:type="dxa"/>
            <w:vAlign w:val="top"/>
          </w:tcPr>
          <w:p w14:paraId="5EA37D88">
            <w:pPr>
              <w:rPr>
                <w:rFonts w:hint="eastAsia" w:ascii="宋体" w:hAnsi="宋体" w:eastAsia="宋体" w:cs="宋体"/>
                <w:color w:val="auto"/>
                <w:sz w:val="21"/>
                <w:highlight w:val="none"/>
              </w:rPr>
            </w:pPr>
          </w:p>
        </w:tc>
        <w:tc>
          <w:tcPr>
            <w:tcW w:w="1595" w:type="dxa"/>
            <w:vAlign w:val="top"/>
          </w:tcPr>
          <w:p w14:paraId="4F1C02F1">
            <w:pPr>
              <w:rPr>
                <w:rFonts w:hint="eastAsia" w:ascii="宋体" w:hAnsi="宋体" w:eastAsia="宋体" w:cs="宋体"/>
                <w:color w:val="auto"/>
                <w:sz w:val="21"/>
                <w:highlight w:val="none"/>
              </w:rPr>
            </w:pPr>
          </w:p>
        </w:tc>
        <w:tc>
          <w:tcPr>
            <w:tcW w:w="1274" w:type="dxa"/>
            <w:vAlign w:val="top"/>
          </w:tcPr>
          <w:p w14:paraId="02790FB3">
            <w:pPr>
              <w:rPr>
                <w:rFonts w:hint="eastAsia" w:ascii="宋体" w:hAnsi="宋体" w:eastAsia="宋体" w:cs="宋体"/>
                <w:color w:val="auto"/>
                <w:sz w:val="21"/>
                <w:highlight w:val="none"/>
              </w:rPr>
            </w:pPr>
          </w:p>
        </w:tc>
        <w:tc>
          <w:tcPr>
            <w:tcW w:w="1559" w:type="dxa"/>
            <w:vAlign w:val="top"/>
          </w:tcPr>
          <w:p w14:paraId="7E802E4C">
            <w:pPr>
              <w:rPr>
                <w:rFonts w:hint="eastAsia" w:ascii="宋体" w:hAnsi="宋体" w:eastAsia="宋体" w:cs="宋体"/>
                <w:color w:val="auto"/>
                <w:sz w:val="21"/>
                <w:highlight w:val="none"/>
              </w:rPr>
            </w:pPr>
          </w:p>
        </w:tc>
        <w:tc>
          <w:tcPr>
            <w:tcW w:w="1133" w:type="dxa"/>
            <w:vAlign w:val="top"/>
          </w:tcPr>
          <w:p w14:paraId="715CB27A">
            <w:pPr>
              <w:rPr>
                <w:rFonts w:hint="eastAsia" w:ascii="宋体" w:hAnsi="宋体" w:eastAsia="宋体" w:cs="宋体"/>
                <w:color w:val="auto"/>
                <w:sz w:val="21"/>
                <w:highlight w:val="none"/>
              </w:rPr>
            </w:pPr>
          </w:p>
        </w:tc>
        <w:tc>
          <w:tcPr>
            <w:tcW w:w="850" w:type="dxa"/>
            <w:vAlign w:val="top"/>
          </w:tcPr>
          <w:p w14:paraId="7A13F834">
            <w:pPr>
              <w:rPr>
                <w:rFonts w:hint="eastAsia" w:ascii="宋体" w:hAnsi="宋体" w:eastAsia="宋体" w:cs="宋体"/>
                <w:color w:val="auto"/>
                <w:sz w:val="21"/>
                <w:highlight w:val="none"/>
              </w:rPr>
            </w:pPr>
          </w:p>
        </w:tc>
        <w:tc>
          <w:tcPr>
            <w:tcW w:w="1847" w:type="dxa"/>
            <w:vAlign w:val="top"/>
          </w:tcPr>
          <w:p w14:paraId="6802AF39">
            <w:pPr>
              <w:rPr>
                <w:rFonts w:hint="eastAsia" w:ascii="宋体" w:hAnsi="宋体" w:eastAsia="宋体" w:cs="宋体"/>
                <w:color w:val="auto"/>
                <w:sz w:val="21"/>
                <w:highlight w:val="none"/>
              </w:rPr>
            </w:pPr>
          </w:p>
        </w:tc>
      </w:tr>
      <w:tr w14:paraId="325CE4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700" w:type="dxa"/>
            <w:vAlign w:val="top"/>
          </w:tcPr>
          <w:p w14:paraId="2E2BF641">
            <w:pPr>
              <w:rPr>
                <w:rFonts w:hint="eastAsia" w:ascii="宋体" w:hAnsi="宋体" w:eastAsia="宋体" w:cs="宋体"/>
                <w:color w:val="auto"/>
                <w:sz w:val="21"/>
                <w:highlight w:val="none"/>
              </w:rPr>
            </w:pPr>
          </w:p>
        </w:tc>
        <w:tc>
          <w:tcPr>
            <w:tcW w:w="1595" w:type="dxa"/>
            <w:vAlign w:val="top"/>
          </w:tcPr>
          <w:p w14:paraId="28C50DEA">
            <w:pPr>
              <w:rPr>
                <w:rFonts w:hint="eastAsia" w:ascii="宋体" w:hAnsi="宋体" w:eastAsia="宋体" w:cs="宋体"/>
                <w:color w:val="auto"/>
                <w:sz w:val="21"/>
                <w:highlight w:val="none"/>
              </w:rPr>
            </w:pPr>
          </w:p>
        </w:tc>
        <w:tc>
          <w:tcPr>
            <w:tcW w:w="1274" w:type="dxa"/>
            <w:vAlign w:val="top"/>
          </w:tcPr>
          <w:p w14:paraId="7CF77508">
            <w:pPr>
              <w:rPr>
                <w:rFonts w:hint="eastAsia" w:ascii="宋体" w:hAnsi="宋体" w:eastAsia="宋体" w:cs="宋体"/>
                <w:color w:val="auto"/>
                <w:sz w:val="21"/>
                <w:highlight w:val="none"/>
              </w:rPr>
            </w:pPr>
          </w:p>
        </w:tc>
        <w:tc>
          <w:tcPr>
            <w:tcW w:w="1559" w:type="dxa"/>
            <w:vAlign w:val="top"/>
          </w:tcPr>
          <w:p w14:paraId="448B15E4">
            <w:pPr>
              <w:rPr>
                <w:rFonts w:hint="eastAsia" w:ascii="宋体" w:hAnsi="宋体" w:eastAsia="宋体" w:cs="宋体"/>
                <w:color w:val="auto"/>
                <w:sz w:val="21"/>
                <w:highlight w:val="none"/>
              </w:rPr>
            </w:pPr>
          </w:p>
        </w:tc>
        <w:tc>
          <w:tcPr>
            <w:tcW w:w="1133" w:type="dxa"/>
            <w:vAlign w:val="top"/>
          </w:tcPr>
          <w:p w14:paraId="4263D97E">
            <w:pPr>
              <w:rPr>
                <w:rFonts w:hint="eastAsia" w:ascii="宋体" w:hAnsi="宋体" w:eastAsia="宋体" w:cs="宋体"/>
                <w:color w:val="auto"/>
                <w:sz w:val="21"/>
                <w:highlight w:val="none"/>
              </w:rPr>
            </w:pPr>
          </w:p>
        </w:tc>
        <w:tc>
          <w:tcPr>
            <w:tcW w:w="850" w:type="dxa"/>
            <w:vAlign w:val="top"/>
          </w:tcPr>
          <w:p w14:paraId="64BD08DD">
            <w:pPr>
              <w:rPr>
                <w:rFonts w:hint="eastAsia" w:ascii="宋体" w:hAnsi="宋体" w:eastAsia="宋体" w:cs="宋体"/>
                <w:color w:val="auto"/>
                <w:sz w:val="21"/>
                <w:highlight w:val="none"/>
              </w:rPr>
            </w:pPr>
          </w:p>
        </w:tc>
        <w:tc>
          <w:tcPr>
            <w:tcW w:w="1847" w:type="dxa"/>
            <w:vAlign w:val="top"/>
          </w:tcPr>
          <w:p w14:paraId="7BB73FC9">
            <w:pPr>
              <w:rPr>
                <w:rFonts w:hint="eastAsia" w:ascii="宋体" w:hAnsi="宋体" w:eastAsia="宋体" w:cs="宋体"/>
                <w:color w:val="auto"/>
                <w:sz w:val="21"/>
                <w:highlight w:val="none"/>
              </w:rPr>
            </w:pPr>
          </w:p>
        </w:tc>
      </w:tr>
      <w:tr w14:paraId="4B39DF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700" w:type="dxa"/>
            <w:vAlign w:val="top"/>
          </w:tcPr>
          <w:p w14:paraId="74A8E131">
            <w:pPr>
              <w:rPr>
                <w:rFonts w:hint="eastAsia" w:ascii="宋体" w:hAnsi="宋体" w:eastAsia="宋体" w:cs="宋体"/>
                <w:color w:val="auto"/>
                <w:sz w:val="21"/>
                <w:highlight w:val="none"/>
              </w:rPr>
            </w:pPr>
          </w:p>
        </w:tc>
        <w:tc>
          <w:tcPr>
            <w:tcW w:w="1595" w:type="dxa"/>
            <w:vAlign w:val="top"/>
          </w:tcPr>
          <w:p w14:paraId="7FF52E3E">
            <w:pPr>
              <w:rPr>
                <w:rFonts w:hint="eastAsia" w:ascii="宋体" w:hAnsi="宋体" w:eastAsia="宋体" w:cs="宋体"/>
                <w:color w:val="auto"/>
                <w:sz w:val="21"/>
                <w:highlight w:val="none"/>
              </w:rPr>
            </w:pPr>
          </w:p>
        </w:tc>
        <w:tc>
          <w:tcPr>
            <w:tcW w:w="1274" w:type="dxa"/>
            <w:vAlign w:val="top"/>
          </w:tcPr>
          <w:p w14:paraId="43C8786B">
            <w:pPr>
              <w:rPr>
                <w:rFonts w:hint="eastAsia" w:ascii="宋体" w:hAnsi="宋体" w:eastAsia="宋体" w:cs="宋体"/>
                <w:color w:val="auto"/>
                <w:sz w:val="21"/>
                <w:highlight w:val="none"/>
              </w:rPr>
            </w:pPr>
          </w:p>
        </w:tc>
        <w:tc>
          <w:tcPr>
            <w:tcW w:w="1559" w:type="dxa"/>
            <w:vAlign w:val="top"/>
          </w:tcPr>
          <w:p w14:paraId="05D2A2CB">
            <w:pPr>
              <w:rPr>
                <w:rFonts w:hint="eastAsia" w:ascii="宋体" w:hAnsi="宋体" w:eastAsia="宋体" w:cs="宋体"/>
                <w:color w:val="auto"/>
                <w:sz w:val="21"/>
                <w:highlight w:val="none"/>
              </w:rPr>
            </w:pPr>
          </w:p>
        </w:tc>
        <w:tc>
          <w:tcPr>
            <w:tcW w:w="1133" w:type="dxa"/>
            <w:vAlign w:val="top"/>
          </w:tcPr>
          <w:p w14:paraId="479EB9F2">
            <w:pPr>
              <w:rPr>
                <w:rFonts w:hint="eastAsia" w:ascii="宋体" w:hAnsi="宋体" w:eastAsia="宋体" w:cs="宋体"/>
                <w:color w:val="auto"/>
                <w:sz w:val="21"/>
                <w:highlight w:val="none"/>
              </w:rPr>
            </w:pPr>
          </w:p>
        </w:tc>
        <w:tc>
          <w:tcPr>
            <w:tcW w:w="850" w:type="dxa"/>
            <w:vAlign w:val="top"/>
          </w:tcPr>
          <w:p w14:paraId="500CD6B9">
            <w:pPr>
              <w:rPr>
                <w:rFonts w:hint="eastAsia" w:ascii="宋体" w:hAnsi="宋体" w:eastAsia="宋体" w:cs="宋体"/>
                <w:color w:val="auto"/>
                <w:sz w:val="21"/>
                <w:highlight w:val="none"/>
              </w:rPr>
            </w:pPr>
          </w:p>
        </w:tc>
        <w:tc>
          <w:tcPr>
            <w:tcW w:w="1847" w:type="dxa"/>
            <w:vAlign w:val="top"/>
          </w:tcPr>
          <w:p w14:paraId="4B4918D0">
            <w:pPr>
              <w:rPr>
                <w:rFonts w:hint="eastAsia" w:ascii="宋体" w:hAnsi="宋体" w:eastAsia="宋体" w:cs="宋体"/>
                <w:color w:val="auto"/>
                <w:sz w:val="21"/>
                <w:highlight w:val="none"/>
              </w:rPr>
            </w:pPr>
          </w:p>
        </w:tc>
      </w:tr>
      <w:tr w14:paraId="132942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700" w:type="dxa"/>
            <w:vAlign w:val="top"/>
          </w:tcPr>
          <w:p w14:paraId="4529A1DB">
            <w:pPr>
              <w:rPr>
                <w:rFonts w:hint="eastAsia" w:ascii="宋体" w:hAnsi="宋体" w:eastAsia="宋体" w:cs="宋体"/>
                <w:color w:val="auto"/>
                <w:sz w:val="21"/>
                <w:highlight w:val="none"/>
              </w:rPr>
            </w:pPr>
          </w:p>
        </w:tc>
        <w:tc>
          <w:tcPr>
            <w:tcW w:w="1595" w:type="dxa"/>
            <w:vAlign w:val="top"/>
          </w:tcPr>
          <w:p w14:paraId="7BFDD647">
            <w:pPr>
              <w:rPr>
                <w:rFonts w:hint="eastAsia" w:ascii="宋体" w:hAnsi="宋体" w:eastAsia="宋体" w:cs="宋体"/>
                <w:color w:val="auto"/>
                <w:sz w:val="21"/>
                <w:highlight w:val="none"/>
              </w:rPr>
            </w:pPr>
          </w:p>
        </w:tc>
        <w:tc>
          <w:tcPr>
            <w:tcW w:w="1274" w:type="dxa"/>
            <w:vAlign w:val="top"/>
          </w:tcPr>
          <w:p w14:paraId="42D99AF7">
            <w:pPr>
              <w:rPr>
                <w:rFonts w:hint="eastAsia" w:ascii="宋体" w:hAnsi="宋体" w:eastAsia="宋体" w:cs="宋体"/>
                <w:color w:val="auto"/>
                <w:sz w:val="21"/>
                <w:highlight w:val="none"/>
              </w:rPr>
            </w:pPr>
          </w:p>
        </w:tc>
        <w:tc>
          <w:tcPr>
            <w:tcW w:w="1559" w:type="dxa"/>
            <w:vAlign w:val="top"/>
          </w:tcPr>
          <w:p w14:paraId="363F7FB6">
            <w:pPr>
              <w:rPr>
                <w:rFonts w:hint="eastAsia" w:ascii="宋体" w:hAnsi="宋体" w:eastAsia="宋体" w:cs="宋体"/>
                <w:color w:val="auto"/>
                <w:sz w:val="21"/>
                <w:highlight w:val="none"/>
              </w:rPr>
            </w:pPr>
          </w:p>
        </w:tc>
        <w:tc>
          <w:tcPr>
            <w:tcW w:w="1133" w:type="dxa"/>
            <w:vAlign w:val="top"/>
          </w:tcPr>
          <w:p w14:paraId="7A6B7C06">
            <w:pPr>
              <w:rPr>
                <w:rFonts w:hint="eastAsia" w:ascii="宋体" w:hAnsi="宋体" w:eastAsia="宋体" w:cs="宋体"/>
                <w:color w:val="auto"/>
                <w:sz w:val="21"/>
                <w:highlight w:val="none"/>
              </w:rPr>
            </w:pPr>
          </w:p>
        </w:tc>
        <w:tc>
          <w:tcPr>
            <w:tcW w:w="850" w:type="dxa"/>
            <w:vAlign w:val="top"/>
          </w:tcPr>
          <w:p w14:paraId="45F161D8">
            <w:pPr>
              <w:rPr>
                <w:rFonts w:hint="eastAsia" w:ascii="宋体" w:hAnsi="宋体" w:eastAsia="宋体" w:cs="宋体"/>
                <w:color w:val="auto"/>
                <w:sz w:val="21"/>
                <w:highlight w:val="none"/>
              </w:rPr>
            </w:pPr>
          </w:p>
        </w:tc>
        <w:tc>
          <w:tcPr>
            <w:tcW w:w="1847" w:type="dxa"/>
            <w:vAlign w:val="top"/>
          </w:tcPr>
          <w:p w14:paraId="771E99BE">
            <w:pPr>
              <w:rPr>
                <w:rFonts w:hint="eastAsia" w:ascii="宋体" w:hAnsi="宋体" w:eastAsia="宋体" w:cs="宋体"/>
                <w:color w:val="auto"/>
                <w:sz w:val="21"/>
                <w:highlight w:val="none"/>
              </w:rPr>
            </w:pPr>
          </w:p>
        </w:tc>
      </w:tr>
      <w:tr w14:paraId="30C07B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700" w:type="dxa"/>
            <w:vAlign w:val="top"/>
          </w:tcPr>
          <w:p w14:paraId="3E7A707A">
            <w:pPr>
              <w:rPr>
                <w:rFonts w:hint="eastAsia" w:ascii="宋体" w:hAnsi="宋体" w:eastAsia="宋体" w:cs="宋体"/>
                <w:color w:val="auto"/>
                <w:sz w:val="21"/>
                <w:highlight w:val="none"/>
              </w:rPr>
            </w:pPr>
          </w:p>
        </w:tc>
        <w:tc>
          <w:tcPr>
            <w:tcW w:w="1595" w:type="dxa"/>
            <w:vAlign w:val="top"/>
          </w:tcPr>
          <w:p w14:paraId="0A42611F">
            <w:pPr>
              <w:rPr>
                <w:rFonts w:hint="eastAsia" w:ascii="宋体" w:hAnsi="宋体" w:eastAsia="宋体" w:cs="宋体"/>
                <w:color w:val="auto"/>
                <w:sz w:val="21"/>
                <w:highlight w:val="none"/>
              </w:rPr>
            </w:pPr>
          </w:p>
        </w:tc>
        <w:tc>
          <w:tcPr>
            <w:tcW w:w="1274" w:type="dxa"/>
            <w:vAlign w:val="top"/>
          </w:tcPr>
          <w:p w14:paraId="338F179C">
            <w:pPr>
              <w:rPr>
                <w:rFonts w:hint="eastAsia" w:ascii="宋体" w:hAnsi="宋体" w:eastAsia="宋体" w:cs="宋体"/>
                <w:color w:val="auto"/>
                <w:sz w:val="21"/>
                <w:highlight w:val="none"/>
              </w:rPr>
            </w:pPr>
          </w:p>
        </w:tc>
        <w:tc>
          <w:tcPr>
            <w:tcW w:w="1559" w:type="dxa"/>
            <w:vAlign w:val="top"/>
          </w:tcPr>
          <w:p w14:paraId="529306FE">
            <w:pPr>
              <w:rPr>
                <w:rFonts w:hint="eastAsia" w:ascii="宋体" w:hAnsi="宋体" w:eastAsia="宋体" w:cs="宋体"/>
                <w:color w:val="auto"/>
                <w:sz w:val="21"/>
                <w:highlight w:val="none"/>
              </w:rPr>
            </w:pPr>
          </w:p>
        </w:tc>
        <w:tc>
          <w:tcPr>
            <w:tcW w:w="1133" w:type="dxa"/>
            <w:vAlign w:val="top"/>
          </w:tcPr>
          <w:p w14:paraId="7523A58C">
            <w:pPr>
              <w:rPr>
                <w:rFonts w:hint="eastAsia" w:ascii="宋体" w:hAnsi="宋体" w:eastAsia="宋体" w:cs="宋体"/>
                <w:color w:val="auto"/>
                <w:sz w:val="21"/>
                <w:highlight w:val="none"/>
              </w:rPr>
            </w:pPr>
          </w:p>
        </w:tc>
        <w:tc>
          <w:tcPr>
            <w:tcW w:w="850" w:type="dxa"/>
            <w:vAlign w:val="top"/>
          </w:tcPr>
          <w:p w14:paraId="5F4EE5FF">
            <w:pPr>
              <w:rPr>
                <w:rFonts w:hint="eastAsia" w:ascii="宋体" w:hAnsi="宋体" w:eastAsia="宋体" w:cs="宋体"/>
                <w:color w:val="auto"/>
                <w:sz w:val="21"/>
                <w:highlight w:val="none"/>
              </w:rPr>
            </w:pPr>
          </w:p>
        </w:tc>
        <w:tc>
          <w:tcPr>
            <w:tcW w:w="1847" w:type="dxa"/>
            <w:vAlign w:val="top"/>
          </w:tcPr>
          <w:p w14:paraId="0D7BDCC2">
            <w:pPr>
              <w:rPr>
                <w:rFonts w:hint="eastAsia" w:ascii="宋体" w:hAnsi="宋体" w:eastAsia="宋体" w:cs="宋体"/>
                <w:color w:val="auto"/>
                <w:sz w:val="21"/>
                <w:highlight w:val="none"/>
              </w:rPr>
            </w:pPr>
          </w:p>
        </w:tc>
      </w:tr>
      <w:tr w14:paraId="5E8712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700" w:type="dxa"/>
            <w:vAlign w:val="top"/>
          </w:tcPr>
          <w:p w14:paraId="59833C70">
            <w:pPr>
              <w:rPr>
                <w:rFonts w:hint="eastAsia" w:ascii="宋体" w:hAnsi="宋体" w:eastAsia="宋体" w:cs="宋体"/>
                <w:color w:val="auto"/>
                <w:sz w:val="21"/>
                <w:highlight w:val="none"/>
              </w:rPr>
            </w:pPr>
          </w:p>
        </w:tc>
        <w:tc>
          <w:tcPr>
            <w:tcW w:w="1595" w:type="dxa"/>
            <w:vAlign w:val="top"/>
          </w:tcPr>
          <w:p w14:paraId="24145EFB">
            <w:pPr>
              <w:rPr>
                <w:rFonts w:hint="eastAsia" w:ascii="宋体" w:hAnsi="宋体" w:eastAsia="宋体" w:cs="宋体"/>
                <w:color w:val="auto"/>
                <w:sz w:val="21"/>
                <w:highlight w:val="none"/>
              </w:rPr>
            </w:pPr>
          </w:p>
        </w:tc>
        <w:tc>
          <w:tcPr>
            <w:tcW w:w="1274" w:type="dxa"/>
            <w:vAlign w:val="top"/>
          </w:tcPr>
          <w:p w14:paraId="548C3317">
            <w:pPr>
              <w:rPr>
                <w:rFonts w:hint="eastAsia" w:ascii="宋体" w:hAnsi="宋体" w:eastAsia="宋体" w:cs="宋体"/>
                <w:color w:val="auto"/>
                <w:sz w:val="21"/>
                <w:highlight w:val="none"/>
              </w:rPr>
            </w:pPr>
          </w:p>
        </w:tc>
        <w:tc>
          <w:tcPr>
            <w:tcW w:w="1559" w:type="dxa"/>
            <w:vAlign w:val="top"/>
          </w:tcPr>
          <w:p w14:paraId="05F9F12A">
            <w:pPr>
              <w:rPr>
                <w:rFonts w:hint="eastAsia" w:ascii="宋体" w:hAnsi="宋体" w:eastAsia="宋体" w:cs="宋体"/>
                <w:color w:val="auto"/>
                <w:sz w:val="21"/>
                <w:highlight w:val="none"/>
              </w:rPr>
            </w:pPr>
          </w:p>
        </w:tc>
        <w:tc>
          <w:tcPr>
            <w:tcW w:w="1133" w:type="dxa"/>
            <w:vAlign w:val="top"/>
          </w:tcPr>
          <w:p w14:paraId="24E7259F">
            <w:pPr>
              <w:rPr>
                <w:rFonts w:hint="eastAsia" w:ascii="宋体" w:hAnsi="宋体" w:eastAsia="宋体" w:cs="宋体"/>
                <w:color w:val="auto"/>
                <w:sz w:val="21"/>
                <w:highlight w:val="none"/>
              </w:rPr>
            </w:pPr>
          </w:p>
        </w:tc>
        <w:tc>
          <w:tcPr>
            <w:tcW w:w="850" w:type="dxa"/>
            <w:vAlign w:val="top"/>
          </w:tcPr>
          <w:p w14:paraId="03F776B0">
            <w:pPr>
              <w:rPr>
                <w:rFonts w:hint="eastAsia" w:ascii="宋体" w:hAnsi="宋体" w:eastAsia="宋体" w:cs="宋体"/>
                <w:color w:val="auto"/>
                <w:sz w:val="21"/>
                <w:highlight w:val="none"/>
              </w:rPr>
            </w:pPr>
          </w:p>
        </w:tc>
        <w:tc>
          <w:tcPr>
            <w:tcW w:w="1847" w:type="dxa"/>
            <w:vAlign w:val="top"/>
          </w:tcPr>
          <w:p w14:paraId="716BC3D6">
            <w:pPr>
              <w:rPr>
                <w:rFonts w:hint="eastAsia" w:ascii="宋体" w:hAnsi="宋体" w:eastAsia="宋体" w:cs="宋体"/>
                <w:color w:val="auto"/>
                <w:sz w:val="21"/>
                <w:highlight w:val="none"/>
              </w:rPr>
            </w:pPr>
          </w:p>
        </w:tc>
      </w:tr>
      <w:tr w14:paraId="28BDDF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700" w:type="dxa"/>
            <w:vAlign w:val="top"/>
          </w:tcPr>
          <w:p w14:paraId="55B50C4E">
            <w:pPr>
              <w:rPr>
                <w:rFonts w:hint="eastAsia" w:ascii="宋体" w:hAnsi="宋体" w:eastAsia="宋体" w:cs="宋体"/>
                <w:color w:val="auto"/>
                <w:sz w:val="21"/>
                <w:highlight w:val="none"/>
              </w:rPr>
            </w:pPr>
          </w:p>
        </w:tc>
        <w:tc>
          <w:tcPr>
            <w:tcW w:w="1595" w:type="dxa"/>
            <w:vAlign w:val="top"/>
          </w:tcPr>
          <w:p w14:paraId="1B7FD904">
            <w:pPr>
              <w:rPr>
                <w:rFonts w:hint="eastAsia" w:ascii="宋体" w:hAnsi="宋体" w:eastAsia="宋体" w:cs="宋体"/>
                <w:color w:val="auto"/>
                <w:sz w:val="21"/>
                <w:highlight w:val="none"/>
              </w:rPr>
            </w:pPr>
          </w:p>
        </w:tc>
        <w:tc>
          <w:tcPr>
            <w:tcW w:w="1274" w:type="dxa"/>
            <w:vAlign w:val="top"/>
          </w:tcPr>
          <w:p w14:paraId="793B1D61">
            <w:pPr>
              <w:rPr>
                <w:rFonts w:hint="eastAsia" w:ascii="宋体" w:hAnsi="宋体" w:eastAsia="宋体" w:cs="宋体"/>
                <w:color w:val="auto"/>
                <w:sz w:val="21"/>
                <w:highlight w:val="none"/>
              </w:rPr>
            </w:pPr>
          </w:p>
        </w:tc>
        <w:tc>
          <w:tcPr>
            <w:tcW w:w="1559" w:type="dxa"/>
            <w:vAlign w:val="top"/>
          </w:tcPr>
          <w:p w14:paraId="682FBDFC">
            <w:pPr>
              <w:rPr>
                <w:rFonts w:hint="eastAsia" w:ascii="宋体" w:hAnsi="宋体" w:eastAsia="宋体" w:cs="宋体"/>
                <w:color w:val="auto"/>
                <w:sz w:val="21"/>
                <w:highlight w:val="none"/>
              </w:rPr>
            </w:pPr>
          </w:p>
        </w:tc>
        <w:tc>
          <w:tcPr>
            <w:tcW w:w="1133" w:type="dxa"/>
            <w:vAlign w:val="top"/>
          </w:tcPr>
          <w:p w14:paraId="3F8EA87E">
            <w:pPr>
              <w:rPr>
                <w:rFonts w:hint="eastAsia" w:ascii="宋体" w:hAnsi="宋体" w:eastAsia="宋体" w:cs="宋体"/>
                <w:color w:val="auto"/>
                <w:sz w:val="21"/>
                <w:highlight w:val="none"/>
              </w:rPr>
            </w:pPr>
          </w:p>
        </w:tc>
        <w:tc>
          <w:tcPr>
            <w:tcW w:w="850" w:type="dxa"/>
            <w:vAlign w:val="top"/>
          </w:tcPr>
          <w:p w14:paraId="2A788F90">
            <w:pPr>
              <w:rPr>
                <w:rFonts w:hint="eastAsia" w:ascii="宋体" w:hAnsi="宋体" w:eastAsia="宋体" w:cs="宋体"/>
                <w:color w:val="auto"/>
                <w:sz w:val="21"/>
                <w:highlight w:val="none"/>
              </w:rPr>
            </w:pPr>
          </w:p>
        </w:tc>
        <w:tc>
          <w:tcPr>
            <w:tcW w:w="1847" w:type="dxa"/>
            <w:vAlign w:val="top"/>
          </w:tcPr>
          <w:p w14:paraId="0BB59A91">
            <w:pPr>
              <w:rPr>
                <w:rFonts w:hint="eastAsia" w:ascii="宋体" w:hAnsi="宋体" w:eastAsia="宋体" w:cs="宋体"/>
                <w:color w:val="auto"/>
                <w:sz w:val="21"/>
                <w:highlight w:val="none"/>
              </w:rPr>
            </w:pPr>
          </w:p>
        </w:tc>
      </w:tr>
      <w:tr w14:paraId="7A70D3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700" w:type="dxa"/>
            <w:vAlign w:val="top"/>
          </w:tcPr>
          <w:p w14:paraId="5DB97906">
            <w:pPr>
              <w:rPr>
                <w:rFonts w:hint="eastAsia" w:ascii="宋体" w:hAnsi="宋体" w:eastAsia="宋体" w:cs="宋体"/>
                <w:color w:val="auto"/>
                <w:sz w:val="21"/>
                <w:highlight w:val="none"/>
              </w:rPr>
            </w:pPr>
          </w:p>
        </w:tc>
        <w:tc>
          <w:tcPr>
            <w:tcW w:w="1595" w:type="dxa"/>
            <w:vAlign w:val="top"/>
          </w:tcPr>
          <w:p w14:paraId="41A9335C">
            <w:pPr>
              <w:rPr>
                <w:rFonts w:hint="eastAsia" w:ascii="宋体" w:hAnsi="宋体" w:eastAsia="宋体" w:cs="宋体"/>
                <w:color w:val="auto"/>
                <w:sz w:val="21"/>
                <w:highlight w:val="none"/>
              </w:rPr>
            </w:pPr>
          </w:p>
        </w:tc>
        <w:tc>
          <w:tcPr>
            <w:tcW w:w="1274" w:type="dxa"/>
            <w:vAlign w:val="top"/>
          </w:tcPr>
          <w:p w14:paraId="20F20CE7">
            <w:pPr>
              <w:rPr>
                <w:rFonts w:hint="eastAsia" w:ascii="宋体" w:hAnsi="宋体" w:eastAsia="宋体" w:cs="宋体"/>
                <w:color w:val="auto"/>
                <w:sz w:val="21"/>
                <w:highlight w:val="none"/>
              </w:rPr>
            </w:pPr>
          </w:p>
        </w:tc>
        <w:tc>
          <w:tcPr>
            <w:tcW w:w="1559" w:type="dxa"/>
            <w:vAlign w:val="top"/>
          </w:tcPr>
          <w:p w14:paraId="3F22C4FA">
            <w:pPr>
              <w:rPr>
                <w:rFonts w:hint="eastAsia" w:ascii="宋体" w:hAnsi="宋体" w:eastAsia="宋体" w:cs="宋体"/>
                <w:color w:val="auto"/>
                <w:sz w:val="21"/>
                <w:highlight w:val="none"/>
              </w:rPr>
            </w:pPr>
          </w:p>
        </w:tc>
        <w:tc>
          <w:tcPr>
            <w:tcW w:w="1133" w:type="dxa"/>
            <w:vAlign w:val="top"/>
          </w:tcPr>
          <w:p w14:paraId="71667EAF">
            <w:pPr>
              <w:rPr>
                <w:rFonts w:hint="eastAsia" w:ascii="宋体" w:hAnsi="宋体" w:eastAsia="宋体" w:cs="宋体"/>
                <w:color w:val="auto"/>
                <w:sz w:val="21"/>
                <w:highlight w:val="none"/>
              </w:rPr>
            </w:pPr>
          </w:p>
        </w:tc>
        <w:tc>
          <w:tcPr>
            <w:tcW w:w="850" w:type="dxa"/>
            <w:vAlign w:val="top"/>
          </w:tcPr>
          <w:p w14:paraId="43346C12">
            <w:pPr>
              <w:rPr>
                <w:rFonts w:hint="eastAsia" w:ascii="宋体" w:hAnsi="宋体" w:eastAsia="宋体" w:cs="宋体"/>
                <w:color w:val="auto"/>
                <w:sz w:val="21"/>
                <w:highlight w:val="none"/>
              </w:rPr>
            </w:pPr>
          </w:p>
        </w:tc>
        <w:tc>
          <w:tcPr>
            <w:tcW w:w="1847" w:type="dxa"/>
            <w:vAlign w:val="top"/>
          </w:tcPr>
          <w:p w14:paraId="5F3DF8A4">
            <w:pPr>
              <w:rPr>
                <w:rFonts w:hint="eastAsia" w:ascii="宋体" w:hAnsi="宋体" w:eastAsia="宋体" w:cs="宋体"/>
                <w:color w:val="auto"/>
                <w:sz w:val="21"/>
                <w:highlight w:val="none"/>
              </w:rPr>
            </w:pPr>
          </w:p>
        </w:tc>
      </w:tr>
      <w:tr w14:paraId="635564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700" w:type="dxa"/>
            <w:vAlign w:val="top"/>
          </w:tcPr>
          <w:p w14:paraId="0BB57775">
            <w:pPr>
              <w:rPr>
                <w:rFonts w:hint="eastAsia" w:ascii="宋体" w:hAnsi="宋体" w:eastAsia="宋体" w:cs="宋体"/>
                <w:color w:val="auto"/>
                <w:sz w:val="21"/>
                <w:highlight w:val="none"/>
              </w:rPr>
            </w:pPr>
          </w:p>
        </w:tc>
        <w:tc>
          <w:tcPr>
            <w:tcW w:w="1595" w:type="dxa"/>
            <w:vAlign w:val="top"/>
          </w:tcPr>
          <w:p w14:paraId="637A014A">
            <w:pPr>
              <w:rPr>
                <w:rFonts w:hint="eastAsia" w:ascii="宋体" w:hAnsi="宋体" w:eastAsia="宋体" w:cs="宋体"/>
                <w:color w:val="auto"/>
                <w:sz w:val="21"/>
                <w:highlight w:val="none"/>
              </w:rPr>
            </w:pPr>
          </w:p>
        </w:tc>
        <w:tc>
          <w:tcPr>
            <w:tcW w:w="1274" w:type="dxa"/>
            <w:vAlign w:val="top"/>
          </w:tcPr>
          <w:p w14:paraId="7C769935">
            <w:pPr>
              <w:rPr>
                <w:rFonts w:hint="eastAsia" w:ascii="宋体" w:hAnsi="宋体" w:eastAsia="宋体" w:cs="宋体"/>
                <w:color w:val="auto"/>
                <w:sz w:val="21"/>
                <w:highlight w:val="none"/>
              </w:rPr>
            </w:pPr>
          </w:p>
        </w:tc>
        <w:tc>
          <w:tcPr>
            <w:tcW w:w="1559" w:type="dxa"/>
            <w:vAlign w:val="top"/>
          </w:tcPr>
          <w:p w14:paraId="6EE308FE">
            <w:pPr>
              <w:rPr>
                <w:rFonts w:hint="eastAsia" w:ascii="宋体" w:hAnsi="宋体" w:eastAsia="宋体" w:cs="宋体"/>
                <w:color w:val="auto"/>
                <w:sz w:val="21"/>
                <w:highlight w:val="none"/>
              </w:rPr>
            </w:pPr>
          </w:p>
        </w:tc>
        <w:tc>
          <w:tcPr>
            <w:tcW w:w="1133" w:type="dxa"/>
            <w:vAlign w:val="top"/>
          </w:tcPr>
          <w:p w14:paraId="6B4852E1">
            <w:pPr>
              <w:rPr>
                <w:rFonts w:hint="eastAsia" w:ascii="宋体" w:hAnsi="宋体" w:eastAsia="宋体" w:cs="宋体"/>
                <w:color w:val="auto"/>
                <w:sz w:val="21"/>
                <w:highlight w:val="none"/>
              </w:rPr>
            </w:pPr>
          </w:p>
        </w:tc>
        <w:tc>
          <w:tcPr>
            <w:tcW w:w="850" w:type="dxa"/>
            <w:vAlign w:val="top"/>
          </w:tcPr>
          <w:p w14:paraId="0DFBC8BB">
            <w:pPr>
              <w:rPr>
                <w:rFonts w:hint="eastAsia" w:ascii="宋体" w:hAnsi="宋体" w:eastAsia="宋体" w:cs="宋体"/>
                <w:color w:val="auto"/>
                <w:sz w:val="21"/>
                <w:highlight w:val="none"/>
              </w:rPr>
            </w:pPr>
          </w:p>
        </w:tc>
        <w:tc>
          <w:tcPr>
            <w:tcW w:w="1847" w:type="dxa"/>
            <w:vAlign w:val="top"/>
          </w:tcPr>
          <w:p w14:paraId="7961F164">
            <w:pPr>
              <w:rPr>
                <w:rFonts w:hint="eastAsia" w:ascii="宋体" w:hAnsi="宋体" w:eastAsia="宋体" w:cs="宋体"/>
                <w:color w:val="auto"/>
                <w:sz w:val="21"/>
                <w:highlight w:val="none"/>
              </w:rPr>
            </w:pPr>
          </w:p>
        </w:tc>
      </w:tr>
      <w:tr w14:paraId="697AB5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700" w:type="dxa"/>
            <w:vAlign w:val="top"/>
          </w:tcPr>
          <w:p w14:paraId="15553D26">
            <w:pPr>
              <w:rPr>
                <w:rFonts w:hint="eastAsia" w:ascii="宋体" w:hAnsi="宋体" w:eastAsia="宋体" w:cs="宋体"/>
                <w:color w:val="auto"/>
                <w:sz w:val="21"/>
                <w:highlight w:val="none"/>
              </w:rPr>
            </w:pPr>
          </w:p>
        </w:tc>
        <w:tc>
          <w:tcPr>
            <w:tcW w:w="1595" w:type="dxa"/>
            <w:vAlign w:val="top"/>
          </w:tcPr>
          <w:p w14:paraId="149CDD6B">
            <w:pPr>
              <w:rPr>
                <w:rFonts w:hint="eastAsia" w:ascii="宋体" w:hAnsi="宋体" w:eastAsia="宋体" w:cs="宋体"/>
                <w:color w:val="auto"/>
                <w:sz w:val="21"/>
                <w:highlight w:val="none"/>
              </w:rPr>
            </w:pPr>
          </w:p>
        </w:tc>
        <w:tc>
          <w:tcPr>
            <w:tcW w:w="1274" w:type="dxa"/>
            <w:vAlign w:val="top"/>
          </w:tcPr>
          <w:p w14:paraId="2647904C">
            <w:pPr>
              <w:rPr>
                <w:rFonts w:hint="eastAsia" w:ascii="宋体" w:hAnsi="宋体" w:eastAsia="宋体" w:cs="宋体"/>
                <w:color w:val="auto"/>
                <w:sz w:val="21"/>
                <w:highlight w:val="none"/>
              </w:rPr>
            </w:pPr>
          </w:p>
        </w:tc>
        <w:tc>
          <w:tcPr>
            <w:tcW w:w="1559" w:type="dxa"/>
            <w:vAlign w:val="top"/>
          </w:tcPr>
          <w:p w14:paraId="4A694D2C">
            <w:pPr>
              <w:rPr>
                <w:rFonts w:hint="eastAsia" w:ascii="宋体" w:hAnsi="宋体" w:eastAsia="宋体" w:cs="宋体"/>
                <w:color w:val="auto"/>
                <w:sz w:val="21"/>
                <w:highlight w:val="none"/>
              </w:rPr>
            </w:pPr>
          </w:p>
        </w:tc>
        <w:tc>
          <w:tcPr>
            <w:tcW w:w="1133" w:type="dxa"/>
            <w:vAlign w:val="top"/>
          </w:tcPr>
          <w:p w14:paraId="06542B39">
            <w:pPr>
              <w:rPr>
                <w:rFonts w:hint="eastAsia" w:ascii="宋体" w:hAnsi="宋体" w:eastAsia="宋体" w:cs="宋体"/>
                <w:color w:val="auto"/>
                <w:sz w:val="21"/>
                <w:highlight w:val="none"/>
              </w:rPr>
            </w:pPr>
          </w:p>
        </w:tc>
        <w:tc>
          <w:tcPr>
            <w:tcW w:w="850" w:type="dxa"/>
            <w:vAlign w:val="top"/>
          </w:tcPr>
          <w:p w14:paraId="56533025">
            <w:pPr>
              <w:rPr>
                <w:rFonts w:hint="eastAsia" w:ascii="宋体" w:hAnsi="宋体" w:eastAsia="宋体" w:cs="宋体"/>
                <w:color w:val="auto"/>
                <w:sz w:val="21"/>
                <w:highlight w:val="none"/>
              </w:rPr>
            </w:pPr>
          </w:p>
        </w:tc>
        <w:tc>
          <w:tcPr>
            <w:tcW w:w="1847" w:type="dxa"/>
            <w:vAlign w:val="top"/>
          </w:tcPr>
          <w:p w14:paraId="42E2D5C7">
            <w:pPr>
              <w:rPr>
                <w:rFonts w:hint="eastAsia" w:ascii="宋体" w:hAnsi="宋体" w:eastAsia="宋体" w:cs="宋体"/>
                <w:color w:val="auto"/>
                <w:sz w:val="21"/>
                <w:highlight w:val="none"/>
              </w:rPr>
            </w:pPr>
          </w:p>
        </w:tc>
      </w:tr>
    </w:tbl>
    <w:p w14:paraId="560D56BB">
      <w:pPr>
        <w:pStyle w:val="4"/>
        <w:spacing w:line="343" w:lineRule="auto"/>
        <w:rPr>
          <w:rFonts w:hint="eastAsia" w:ascii="宋体" w:hAnsi="宋体" w:eastAsia="宋体" w:cs="宋体"/>
          <w:color w:val="auto"/>
          <w:highlight w:val="none"/>
        </w:rPr>
      </w:pPr>
    </w:p>
    <w:p w14:paraId="32333E23">
      <w:pPr>
        <w:pStyle w:val="4"/>
        <w:spacing w:line="343" w:lineRule="auto"/>
        <w:rPr>
          <w:rFonts w:hint="eastAsia" w:ascii="宋体" w:hAnsi="宋体" w:eastAsia="宋体" w:cs="宋体"/>
          <w:color w:val="auto"/>
          <w:highlight w:val="none"/>
        </w:rPr>
      </w:pPr>
    </w:p>
    <w:p w14:paraId="715A6077">
      <w:pPr>
        <w:spacing w:before="65" w:line="228" w:lineRule="auto"/>
        <w:ind w:left="122"/>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4"/>
          <w:sz w:val="20"/>
          <w:szCs w:val="20"/>
          <w:highlight w:val="none"/>
        </w:rPr>
        <w:t>招标人代表：记录人：</w:t>
      </w:r>
    </w:p>
    <w:p w14:paraId="02F4A761">
      <w:pPr>
        <w:pStyle w:val="4"/>
        <w:spacing w:line="266" w:lineRule="auto"/>
        <w:rPr>
          <w:rFonts w:hint="eastAsia" w:ascii="宋体" w:hAnsi="宋体" w:eastAsia="宋体" w:cs="宋体"/>
          <w:color w:val="auto"/>
          <w:highlight w:val="none"/>
        </w:rPr>
      </w:pPr>
    </w:p>
    <w:p w14:paraId="1866937C">
      <w:pPr>
        <w:tabs>
          <w:tab w:val="left" w:pos="7252"/>
        </w:tabs>
        <w:spacing w:before="79" w:line="219" w:lineRule="auto"/>
        <w:ind w:left="6292"/>
        <w:rPr>
          <w:rFonts w:hint="eastAsia" w:ascii="宋体" w:hAnsi="宋体" w:eastAsia="宋体" w:cs="宋体"/>
          <w:color w:val="auto"/>
          <w:sz w:val="24"/>
          <w:szCs w:val="24"/>
          <w:highlight w:val="none"/>
        </w:rPr>
      </w:pPr>
      <w:bookmarkStart w:id="376" w:name="bookmark57"/>
      <w:bookmarkEnd w:id="376"/>
      <w:r>
        <w:rPr>
          <w:rFonts w:hint="eastAsia" w:ascii="宋体" w:hAnsi="宋体" w:eastAsia="宋体" w:cs="宋体"/>
          <w:color w:val="auto"/>
          <w:sz w:val="24"/>
          <w:szCs w:val="24"/>
          <w:highlight w:val="none"/>
          <w:u w:val="single" w:color="auto"/>
        </w:rPr>
        <w:tab/>
      </w:r>
      <w:r>
        <w:rPr>
          <w:rFonts w:hint="eastAsia" w:ascii="宋体" w:hAnsi="宋体" w:eastAsia="宋体" w:cs="宋体"/>
          <w:color w:val="auto"/>
          <w:spacing w:val="-9"/>
          <w:sz w:val="24"/>
          <w:szCs w:val="24"/>
          <w:highlight w:val="none"/>
        </w:rPr>
        <w:t>年月日</w:t>
      </w:r>
    </w:p>
    <w:p w14:paraId="0C6DC653">
      <w:pPr>
        <w:pStyle w:val="4"/>
        <w:spacing w:line="280" w:lineRule="auto"/>
        <w:rPr>
          <w:rFonts w:hint="eastAsia" w:ascii="宋体" w:hAnsi="宋体" w:eastAsia="宋体" w:cs="宋体"/>
          <w:color w:val="auto"/>
          <w:highlight w:val="none"/>
        </w:rPr>
      </w:pPr>
    </w:p>
    <w:p w14:paraId="689F7C0A">
      <w:pPr>
        <w:pStyle w:val="4"/>
        <w:spacing w:line="281" w:lineRule="auto"/>
        <w:rPr>
          <w:rFonts w:hint="eastAsia" w:ascii="宋体" w:hAnsi="宋体" w:eastAsia="宋体" w:cs="宋体"/>
          <w:color w:val="auto"/>
          <w:highlight w:val="none"/>
        </w:rPr>
      </w:pPr>
    </w:p>
    <w:p w14:paraId="7AA4FED7">
      <w:pPr>
        <w:pStyle w:val="4"/>
        <w:spacing w:line="281" w:lineRule="auto"/>
        <w:rPr>
          <w:rFonts w:hint="eastAsia" w:ascii="宋体" w:hAnsi="宋体" w:eastAsia="宋体" w:cs="宋体"/>
          <w:color w:val="auto"/>
          <w:highlight w:val="none"/>
        </w:rPr>
      </w:pPr>
    </w:p>
    <w:p w14:paraId="55162C70">
      <w:pPr>
        <w:pStyle w:val="4"/>
        <w:spacing w:line="281" w:lineRule="auto"/>
        <w:rPr>
          <w:rFonts w:hint="eastAsia" w:ascii="宋体" w:hAnsi="宋体" w:eastAsia="宋体" w:cs="宋体"/>
          <w:color w:val="auto"/>
          <w:highlight w:val="none"/>
        </w:rPr>
      </w:pPr>
      <w:r>
        <w:rPr>
          <w:rFonts w:hint="eastAsia" w:ascii="宋体" w:hAnsi="宋体" w:eastAsia="宋体" w:cs="宋体"/>
          <w:color w:val="auto"/>
          <w:highlight w:val="none"/>
        </w:rPr>
        <w:pict>
          <v:shape id="_x0000_s1032" o:spid="_x0000_s1032" style="position:absolute;left:0pt;margin-left:5.6pt;margin-top:5.25pt;height:0pt;width:144pt;z-index:251670528;mso-width-relative:page;mso-height-relative:page;" filled="f" stroked="t" coordsize="2880,0" path="m0,0l2880,0e">
            <v:fill on="f" focussize="0,0"/>
            <v:stroke weight="0pt" color="#000000" miterlimit="0" joinstyle="bevel" endcap="square"/>
            <v:imagedata o:title=""/>
            <o:lock v:ext="edit"/>
          </v:shape>
        </w:pict>
      </w:r>
    </w:p>
    <w:p w14:paraId="1F9EA2EA">
      <w:pPr>
        <w:spacing w:before="59" w:line="219" w:lineRule="auto"/>
        <w:jc w:val="right"/>
        <w:rPr>
          <w:rFonts w:hint="eastAsia" w:ascii="宋体" w:hAnsi="宋体" w:eastAsia="宋体" w:cs="宋体"/>
          <w:color w:val="auto"/>
          <w:sz w:val="18"/>
          <w:szCs w:val="18"/>
          <w:highlight w:val="none"/>
        </w:rPr>
      </w:pPr>
      <w:r>
        <w:rPr>
          <w:rFonts w:hint="eastAsia" w:ascii="宋体" w:hAnsi="宋体" w:eastAsia="宋体" w:cs="宋体"/>
          <w:color w:val="auto"/>
          <w:spacing w:val="-2"/>
          <w:position w:val="6"/>
          <w:sz w:val="11"/>
          <w:szCs w:val="11"/>
          <w:highlight w:val="none"/>
        </w:rPr>
        <w:t>1</w:t>
      </w:r>
      <w:r>
        <w:rPr>
          <w:rFonts w:hint="eastAsia" w:ascii="宋体" w:hAnsi="宋体" w:eastAsia="宋体" w:cs="宋体"/>
          <w:color w:val="auto"/>
          <w:spacing w:val="-2"/>
          <w:sz w:val="18"/>
          <w:szCs w:val="18"/>
          <w:highlight w:val="none"/>
        </w:rPr>
        <w:t>本附件适用于采用双信封形式的投标文件。投标文件采用单信封形式密封的，招标人可根据实际需要进行修改。</w:t>
      </w:r>
    </w:p>
    <w:p w14:paraId="62D90310">
      <w:pPr>
        <w:spacing w:line="219" w:lineRule="auto"/>
        <w:rPr>
          <w:rFonts w:hint="eastAsia" w:ascii="宋体" w:hAnsi="宋体" w:eastAsia="宋体" w:cs="宋体"/>
          <w:color w:val="auto"/>
          <w:sz w:val="18"/>
          <w:szCs w:val="18"/>
          <w:highlight w:val="none"/>
        </w:rPr>
        <w:sectPr>
          <w:headerReference r:id="rId29" w:type="default"/>
          <w:footerReference r:id="rId30" w:type="default"/>
          <w:pgSz w:w="11907" w:h="16840"/>
          <w:pgMar w:top="1182" w:right="1231" w:bottom="1014" w:left="1684" w:header="849" w:footer="852" w:gutter="0"/>
          <w:pgNumType w:fmt="decimal"/>
          <w:cols w:space="720" w:num="1"/>
        </w:sectPr>
      </w:pPr>
    </w:p>
    <w:p w14:paraId="1A9FC95F">
      <w:pPr>
        <w:pStyle w:val="4"/>
        <w:spacing w:line="277" w:lineRule="auto"/>
        <w:rPr>
          <w:rFonts w:hint="eastAsia" w:ascii="宋体" w:hAnsi="宋体" w:eastAsia="宋体" w:cs="宋体"/>
          <w:color w:val="auto"/>
          <w:highlight w:val="none"/>
        </w:rPr>
      </w:pPr>
    </w:p>
    <w:p w14:paraId="795DCF87">
      <w:pPr>
        <w:tabs>
          <w:tab w:val="left" w:pos="1090"/>
        </w:tabs>
        <w:spacing w:before="91" w:line="222" w:lineRule="auto"/>
        <w:ind w:left="112"/>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u w:val="single" w:color="auto"/>
        </w:rPr>
        <w:tab/>
      </w:r>
      <w:r>
        <w:rPr>
          <w:rFonts w:hint="eastAsia" w:ascii="宋体" w:hAnsi="宋体" w:eastAsia="宋体" w:cs="宋体"/>
          <w:color w:val="auto"/>
          <w:sz w:val="28"/>
          <w:szCs w:val="28"/>
          <w:highlight w:val="none"/>
        </w:rPr>
        <w:t>（项目名称）标段施工第二个信封（</w:t>
      </w:r>
      <w:r>
        <w:rPr>
          <w:rFonts w:hint="eastAsia" w:ascii="宋体" w:hAnsi="宋体" w:eastAsia="宋体" w:cs="宋体"/>
          <w:color w:val="auto"/>
          <w:spacing w:val="-1"/>
          <w:sz w:val="28"/>
          <w:szCs w:val="28"/>
          <w:highlight w:val="none"/>
        </w:rPr>
        <w:t>报价文件）</w:t>
      </w:r>
    </w:p>
    <w:p w14:paraId="7717C958">
      <w:pPr>
        <w:spacing w:before="102" w:line="222" w:lineRule="auto"/>
        <w:ind w:left="3839"/>
        <w:rPr>
          <w:rFonts w:hint="eastAsia" w:ascii="宋体" w:hAnsi="宋体" w:eastAsia="宋体" w:cs="宋体"/>
          <w:color w:val="auto"/>
          <w:sz w:val="28"/>
          <w:szCs w:val="28"/>
          <w:highlight w:val="none"/>
        </w:rPr>
      </w:pPr>
      <w:r>
        <w:rPr>
          <w:rFonts w:hint="eastAsia" w:ascii="宋体" w:hAnsi="宋体" w:eastAsia="宋体" w:cs="宋体"/>
          <w:color w:val="auto"/>
          <w:spacing w:val="-3"/>
          <w:sz w:val="28"/>
          <w:szCs w:val="28"/>
          <w:highlight w:val="none"/>
        </w:rPr>
        <w:t>开标记录表</w:t>
      </w:r>
    </w:p>
    <w:p w14:paraId="18E7371C">
      <w:pPr>
        <w:spacing w:before="137" w:line="219" w:lineRule="auto"/>
        <w:ind w:left="4743"/>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开标时间：年月日时分</w:t>
      </w:r>
    </w:p>
    <w:p w14:paraId="1C5FDC03">
      <w:pPr>
        <w:spacing w:line="94" w:lineRule="auto"/>
        <w:rPr>
          <w:rFonts w:hint="eastAsia" w:ascii="宋体" w:hAnsi="宋体" w:eastAsia="宋体" w:cs="宋体"/>
          <w:color w:val="auto"/>
          <w:sz w:val="2"/>
          <w:highlight w:val="none"/>
        </w:rPr>
      </w:pPr>
    </w:p>
    <w:tbl>
      <w:tblPr>
        <w:tblStyle w:val="24"/>
        <w:tblW w:w="900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3"/>
        <w:gridCol w:w="1438"/>
        <w:gridCol w:w="1361"/>
        <w:gridCol w:w="1559"/>
        <w:gridCol w:w="1180"/>
        <w:gridCol w:w="1010"/>
        <w:gridCol w:w="1740"/>
      </w:tblGrid>
      <w:tr w14:paraId="5EF6DE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9" w:hRule="atLeast"/>
        </w:trPr>
        <w:tc>
          <w:tcPr>
            <w:tcW w:w="713" w:type="dxa"/>
            <w:vAlign w:val="top"/>
          </w:tcPr>
          <w:p w14:paraId="0C15BE18">
            <w:pPr>
              <w:spacing w:line="409" w:lineRule="auto"/>
              <w:rPr>
                <w:rFonts w:hint="eastAsia" w:ascii="宋体" w:hAnsi="宋体" w:eastAsia="宋体" w:cs="宋体"/>
                <w:color w:val="auto"/>
                <w:sz w:val="21"/>
                <w:highlight w:val="none"/>
              </w:rPr>
            </w:pPr>
          </w:p>
          <w:p w14:paraId="7D3D0F26">
            <w:pPr>
              <w:pStyle w:val="25"/>
              <w:spacing w:before="65" w:line="229" w:lineRule="auto"/>
              <w:ind w:left="151"/>
              <w:rPr>
                <w:rFonts w:hint="eastAsia" w:ascii="宋体" w:hAnsi="宋体" w:eastAsia="宋体" w:cs="宋体"/>
                <w:color w:val="auto"/>
                <w:highlight w:val="none"/>
              </w:rPr>
            </w:pPr>
            <w:r>
              <w:rPr>
                <w:rFonts w:hint="eastAsia" w:ascii="宋体" w:hAnsi="宋体" w:eastAsia="宋体" w:cs="宋体"/>
                <w:color w:val="auto"/>
                <w:spacing w:val="5"/>
                <w:highlight w:val="none"/>
              </w:rPr>
              <w:t>序号</w:t>
            </w:r>
          </w:p>
        </w:tc>
        <w:tc>
          <w:tcPr>
            <w:tcW w:w="1438" w:type="dxa"/>
            <w:vAlign w:val="top"/>
          </w:tcPr>
          <w:p w14:paraId="19ADFB2A">
            <w:pPr>
              <w:spacing w:line="409" w:lineRule="auto"/>
              <w:rPr>
                <w:rFonts w:hint="eastAsia" w:ascii="宋体" w:hAnsi="宋体" w:eastAsia="宋体" w:cs="宋体"/>
                <w:color w:val="auto"/>
                <w:sz w:val="21"/>
                <w:highlight w:val="none"/>
              </w:rPr>
            </w:pPr>
          </w:p>
          <w:p w14:paraId="2FA17C28">
            <w:pPr>
              <w:pStyle w:val="25"/>
              <w:spacing w:before="65" w:line="228" w:lineRule="auto"/>
              <w:ind w:left="409"/>
              <w:rPr>
                <w:rFonts w:hint="eastAsia" w:ascii="宋体" w:hAnsi="宋体" w:eastAsia="宋体" w:cs="宋体"/>
                <w:color w:val="auto"/>
                <w:highlight w:val="none"/>
              </w:rPr>
            </w:pPr>
            <w:r>
              <w:rPr>
                <w:rFonts w:hint="eastAsia" w:ascii="宋体" w:hAnsi="宋体" w:eastAsia="宋体" w:cs="宋体"/>
                <w:color w:val="auto"/>
                <w:spacing w:val="6"/>
                <w:highlight w:val="none"/>
              </w:rPr>
              <w:t>投标人</w:t>
            </w:r>
          </w:p>
        </w:tc>
        <w:tc>
          <w:tcPr>
            <w:tcW w:w="1361" w:type="dxa"/>
            <w:vAlign w:val="top"/>
          </w:tcPr>
          <w:p w14:paraId="4534D58B">
            <w:pPr>
              <w:spacing w:line="409" w:lineRule="auto"/>
              <w:rPr>
                <w:rFonts w:hint="eastAsia" w:ascii="宋体" w:hAnsi="宋体" w:eastAsia="宋体" w:cs="宋体"/>
                <w:color w:val="auto"/>
                <w:sz w:val="21"/>
                <w:highlight w:val="none"/>
              </w:rPr>
            </w:pPr>
          </w:p>
          <w:p w14:paraId="1B9E2128">
            <w:pPr>
              <w:pStyle w:val="25"/>
              <w:spacing w:before="65" w:line="228" w:lineRule="auto"/>
              <w:ind w:left="265"/>
              <w:rPr>
                <w:rFonts w:hint="eastAsia" w:ascii="宋体" w:hAnsi="宋体" w:eastAsia="宋体" w:cs="宋体"/>
                <w:color w:val="auto"/>
                <w:highlight w:val="none"/>
              </w:rPr>
            </w:pPr>
            <w:r>
              <w:rPr>
                <w:rFonts w:hint="eastAsia" w:ascii="宋体" w:hAnsi="宋体" w:eastAsia="宋体" w:cs="宋体"/>
                <w:color w:val="auto"/>
                <w:spacing w:val="7"/>
                <w:highlight w:val="none"/>
              </w:rPr>
              <w:t>密封情况</w:t>
            </w:r>
          </w:p>
        </w:tc>
        <w:tc>
          <w:tcPr>
            <w:tcW w:w="1559" w:type="dxa"/>
            <w:vAlign w:val="top"/>
          </w:tcPr>
          <w:p w14:paraId="65E87FC6">
            <w:pPr>
              <w:spacing w:line="409" w:lineRule="auto"/>
              <w:rPr>
                <w:rFonts w:hint="eastAsia" w:ascii="宋体" w:hAnsi="宋体" w:eastAsia="宋体" w:cs="宋体"/>
                <w:color w:val="auto"/>
                <w:sz w:val="21"/>
                <w:highlight w:val="none"/>
              </w:rPr>
            </w:pPr>
          </w:p>
          <w:p w14:paraId="6A1A84AF">
            <w:pPr>
              <w:pStyle w:val="25"/>
              <w:spacing w:before="65" w:line="226" w:lineRule="auto"/>
              <w:ind w:left="53"/>
              <w:rPr>
                <w:rFonts w:hint="eastAsia" w:ascii="宋体" w:hAnsi="宋体" w:eastAsia="宋体" w:cs="宋体"/>
                <w:color w:val="auto"/>
                <w:highlight w:val="none"/>
              </w:rPr>
            </w:pPr>
            <w:r>
              <w:rPr>
                <w:rFonts w:hint="eastAsia" w:ascii="宋体" w:hAnsi="宋体" w:eastAsia="宋体" w:cs="宋体"/>
                <w:color w:val="auto"/>
                <w:spacing w:val="6"/>
                <w:highlight w:val="none"/>
              </w:rPr>
              <w:t>投标报价（元）</w:t>
            </w:r>
          </w:p>
        </w:tc>
        <w:tc>
          <w:tcPr>
            <w:tcW w:w="1180" w:type="dxa"/>
            <w:vAlign w:val="top"/>
          </w:tcPr>
          <w:p w14:paraId="61851433">
            <w:pPr>
              <w:pStyle w:val="25"/>
              <w:spacing w:before="224" w:line="228" w:lineRule="auto"/>
              <w:ind w:left="74"/>
              <w:rPr>
                <w:rFonts w:hint="eastAsia" w:ascii="宋体" w:hAnsi="宋体" w:eastAsia="宋体" w:cs="宋体"/>
                <w:color w:val="auto"/>
                <w:highlight w:val="none"/>
              </w:rPr>
            </w:pPr>
            <w:r>
              <w:rPr>
                <w:rFonts w:hint="eastAsia" w:ascii="宋体" w:hAnsi="宋体" w:eastAsia="宋体" w:cs="宋体"/>
                <w:color w:val="auto"/>
                <w:spacing w:val="7"/>
                <w:highlight w:val="none"/>
              </w:rPr>
              <w:t>是否超过最</w:t>
            </w:r>
          </w:p>
          <w:p w14:paraId="44BEC428">
            <w:pPr>
              <w:pStyle w:val="25"/>
              <w:spacing w:before="255" w:line="226" w:lineRule="auto"/>
              <w:ind w:left="76"/>
              <w:rPr>
                <w:rFonts w:hint="eastAsia" w:ascii="宋体" w:hAnsi="宋体" w:eastAsia="宋体" w:cs="宋体"/>
                <w:color w:val="auto"/>
                <w:highlight w:val="none"/>
              </w:rPr>
            </w:pPr>
            <w:r>
              <w:rPr>
                <w:rFonts w:hint="eastAsia" w:ascii="宋体" w:hAnsi="宋体" w:eastAsia="宋体" w:cs="宋体"/>
                <w:color w:val="auto"/>
                <w:spacing w:val="7"/>
                <w:highlight w:val="none"/>
              </w:rPr>
              <w:t>高投标限价</w:t>
            </w:r>
          </w:p>
        </w:tc>
        <w:tc>
          <w:tcPr>
            <w:tcW w:w="1010" w:type="dxa"/>
            <w:vAlign w:val="top"/>
          </w:tcPr>
          <w:p w14:paraId="47ADA617">
            <w:pPr>
              <w:spacing w:line="409" w:lineRule="auto"/>
              <w:rPr>
                <w:rFonts w:hint="eastAsia" w:ascii="宋体" w:hAnsi="宋体" w:eastAsia="宋体" w:cs="宋体"/>
                <w:color w:val="auto"/>
                <w:sz w:val="21"/>
                <w:highlight w:val="none"/>
              </w:rPr>
            </w:pPr>
          </w:p>
          <w:p w14:paraId="42ADCBEE">
            <w:pPr>
              <w:pStyle w:val="25"/>
              <w:spacing w:before="65" w:line="229" w:lineRule="auto"/>
              <w:ind w:left="304"/>
              <w:rPr>
                <w:rFonts w:hint="eastAsia" w:ascii="宋体" w:hAnsi="宋体" w:eastAsia="宋体" w:cs="宋体"/>
                <w:color w:val="auto"/>
                <w:highlight w:val="none"/>
              </w:rPr>
            </w:pPr>
            <w:r>
              <w:rPr>
                <w:rFonts w:hint="eastAsia" w:ascii="宋体" w:hAnsi="宋体" w:eastAsia="宋体" w:cs="宋体"/>
                <w:color w:val="auto"/>
                <w:spacing w:val="3"/>
                <w:highlight w:val="none"/>
              </w:rPr>
              <w:t>备注</w:t>
            </w:r>
          </w:p>
        </w:tc>
        <w:tc>
          <w:tcPr>
            <w:tcW w:w="1740" w:type="dxa"/>
            <w:vAlign w:val="top"/>
          </w:tcPr>
          <w:p w14:paraId="7C318283">
            <w:pPr>
              <w:spacing w:line="408" w:lineRule="auto"/>
              <w:rPr>
                <w:rFonts w:hint="eastAsia" w:ascii="宋体" w:hAnsi="宋体" w:eastAsia="宋体" w:cs="宋体"/>
                <w:color w:val="auto"/>
                <w:sz w:val="21"/>
                <w:highlight w:val="none"/>
              </w:rPr>
            </w:pPr>
          </w:p>
          <w:p w14:paraId="2A1B7A57">
            <w:pPr>
              <w:pStyle w:val="25"/>
              <w:spacing w:before="65" w:line="228" w:lineRule="auto"/>
              <w:ind w:left="144"/>
              <w:rPr>
                <w:rFonts w:hint="eastAsia" w:ascii="宋体" w:hAnsi="宋体" w:eastAsia="宋体" w:cs="宋体"/>
                <w:color w:val="auto"/>
                <w:highlight w:val="none"/>
              </w:rPr>
            </w:pPr>
            <w:r>
              <w:rPr>
                <w:rFonts w:hint="eastAsia" w:ascii="宋体" w:hAnsi="宋体" w:eastAsia="宋体" w:cs="宋体"/>
                <w:color w:val="auto"/>
                <w:spacing w:val="8"/>
                <w:highlight w:val="none"/>
              </w:rPr>
              <w:t>投标人代表签名</w:t>
            </w:r>
          </w:p>
        </w:tc>
      </w:tr>
      <w:tr w14:paraId="412C36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713" w:type="dxa"/>
            <w:vAlign w:val="top"/>
          </w:tcPr>
          <w:p w14:paraId="0004F583">
            <w:pPr>
              <w:rPr>
                <w:rFonts w:hint="eastAsia" w:ascii="宋体" w:hAnsi="宋体" w:eastAsia="宋体" w:cs="宋体"/>
                <w:color w:val="auto"/>
                <w:sz w:val="21"/>
                <w:highlight w:val="none"/>
              </w:rPr>
            </w:pPr>
          </w:p>
        </w:tc>
        <w:tc>
          <w:tcPr>
            <w:tcW w:w="1438" w:type="dxa"/>
            <w:vAlign w:val="top"/>
          </w:tcPr>
          <w:p w14:paraId="44D38396">
            <w:pPr>
              <w:rPr>
                <w:rFonts w:hint="eastAsia" w:ascii="宋体" w:hAnsi="宋体" w:eastAsia="宋体" w:cs="宋体"/>
                <w:color w:val="auto"/>
                <w:sz w:val="21"/>
                <w:highlight w:val="none"/>
              </w:rPr>
            </w:pPr>
          </w:p>
        </w:tc>
        <w:tc>
          <w:tcPr>
            <w:tcW w:w="1361" w:type="dxa"/>
            <w:vAlign w:val="top"/>
          </w:tcPr>
          <w:p w14:paraId="3E721C75">
            <w:pPr>
              <w:rPr>
                <w:rFonts w:hint="eastAsia" w:ascii="宋体" w:hAnsi="宋体" w:eastAsia="宋体" w:cs="宋体"/>
                <w:color w:val="auto"/>
                <w:sz w:val="21"/>
                <w:highlight w:val="none"/>
              </w:rPr>
            </w:pPr>
          </w:p>
        </w:tc>
        <w:tc>
          <w:tcPr>
            <w:tcW w:w="1559" w:type="dxa"/>
            <w:vAlign w:val="top"/>
          </w:tcPr>
          <w:p w14:paraId="46E5FE44">
            <w:pPr>
              <w:rPr>
                <w:rFonts w:hint="eastAsia" w:ascii="宋体" w:hAnsi="宋体" w:eastAsia="宋体" w:cs="宋体"/>
                <w:color w:val="auto"/>
                <w:sz w:val="21"/>
                <w:highlight w:val="none"/>
              </w:rPr>
            </w:pPr>
          </w:p>
        </w:tc>
        <w:tc>
          <w:tcPr>
            <w:tcW w:w="1180" w:type="dxa"/>
            <w:vAlign w:val="top"/>
          </w:tcPr>
          <w:p w14:paraId="1DEE5574">
            <w:pPr>
              <w:rPr>
                <w:rFonts w:hint="eastAsia" w:ascii="宋体" w:hAnsi="宋体" w:eastAsia="宋体" w:cs="宋体"/>
                <w:color w:val="auto"/>
                <w:sz w:val="21"/>
                <w:highlight w:val="none"/>
              </w:rPr>
            </w:pPr>
          </w:p>
        </w:tc>
        <w:tc>
          <w:tcPr>
            <w:tcW w:w="1010" w:type="dxa"/>
            <w:vAlign w:val="top"/>
          </w:tcPr>
          <w:p w14:paraId="0D6BC825">
            <w:pPr>
              <w:rPr>
                <w:rFonts w:hint="eastAsia" w:ascii="宋体" w:hAnsi="宋体" w:eastAsia="宋体" w:cs="宋体"/>
                <w:color w:val="auto"/>
                <w:sz w:val="21"/>
                <w:highlight w:val="none"/>
              </w:rPr>
            </w:pPr>
          </w:p>
        </w:tc>
        <w:tc>
          <w:tcPr>
            <w:tcW w:w="1740" w:type="dxa"/>
            <w:vAlign w:val="top"/>
          </w:tcPr>
          <w:p w14:paraId="146EFDA0">
            <w:pPr>
              <w:rPr>
                <w:rFonts w:hint="eastAsia" w:ascii="宋体" w:hAnsi="宋体" w:eastAsia="宋体" w:cs="宋体"/>
                <w:color w:val="auto"/>
                <w:sz w:val="21"/>
                <w:highlight w:val="none"/>
              </w:rPr>
            </w:pPr>
          </w:p>
        </w:tc>
      </w:tr>
      <w:tr w14:paraId="7C543D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713" w:type="dxa"/>
            <w:vAlign w:val="top"/>
          </w:tcPr>
          <w:p w14:paraId="29375E57">
            <w:pPr>
              <w:rPr>
                <w:rFonts w:hint="eastAsia" w:ascii="宋体" w:hAnsi="宋体" w:eastAsia="宋体" w:cs="宋体"/>
                <w:color w:val="auto"/>
                <w:sz w:val="21"/>
                <w:highlight w:val="none"/>
              </w:rPr>
            </w:pPr>
          </w:p>
        </w:tc>
        <w:tc>
          <w:tcPr>
            <w:tcW w:w="1438" w:type="dxa"/>
            <w:vAlign w:val="top"/>
          </w:tcPr>
          <w:p w14:paraId="6CCFC2A7">
            <w:pPr>
              <w:rPr>
                <w:rFonts w:hint="eastAsia" w:ascii="宋体" w:hAnsi="宋体" w:eastAsia="宋体" w:cs="宋体"/>
                <w:color w:val="auto"/>
                <w:sz w:val="21"/>
                <w:highlight w:val="none"/>
              </w:rPr>
            </w:pPr>
          </w:p>
        </w:tc>
        <w:tc>
          <w:tcPr>
            <w:tcW w:w="1361" w:type="dxa"/>
            <w:vAlign w:val="top"/>
          </w:tcPr>
          <w:p w14:paraId="46BCEAE2">
            <w:pPr>
              <w:rPr>
                <w:rFonts w:hint="eastAsia" w:ascii="宋体" w:hAnsi="宋体" w:eastAsia="宋体" w:cs="宋体"/>
                <w:color w:val="auto"/>
                <w:sz w:val="21"/>
                <w:highlight w:val="none"/>
              </w:rPr>
            </w:pPr>
          </w:p>
        </w:tc>
        <w:tc>
          <w:tcPr>
            <w:tcW w:w="1559" w:type="dxa"/>
            <w:vAlign w:val="top"/>
          </w:tcPr>
          <w:p w14:paraId="6EDDB1E5">
            <w:pPr>
              <w:rPr>
                <w:rFonts w:hint="eastAsia" w:ascii="宋体" w:hAnsi="宋体" w:eastAsia="宋体" w:cs="宋体"/>
                <w:color w:val="auto"/>
                <w:sz w:val="21"/>
                <w:highlight w:val="none"/>
              </w:rPr>
            </w:pPr>
          </w:p>
        </w:tc>
        <w:tc>
          <w:tcPr>
            <w:tcW w:w="1180" w:type="dxa"/>
            <w:vAlign w:val="top"/>
          </w:tcPr>
          <w:p w14:paraId="47E64E09">
            <w:pPr>
              <w:rPr>
                <w:rFonts w:hint="eastAsia" w:ascii="宋体" w:hAnsi="宋体" w:eastAsia="宋体" w:cs="宋体"/>
                <w:color w:val="auto"/>
                <w:sz w:val="21"/>
                <w:highlight w:val="none"/>
              </w:rPr>
            </w:pPr>
          </w:p>
        </w:tc>
        <w:tc>
          <w:tcPr>
            <w:tcW w:w="1010" w:type="dxa"/>
            <w:vAlign w:val="top"/>
          </w:tcPr>
          <w:p w14:paraId="5B084F65">
            <w:pPr>
              <w:rPr>
                <w:rFonts w:hint="eastAsia" w:ascii="宋体" w:hAnsi="宋体" w:eastAsia="宋体" w:cs="宋体"/>
                <w:color w:val="auto"/>
                <w:sz w:val="21"/>
                <w:highlight w:val="none"/>
              </w:rPr>
            </w:pPr>
          </w:p>
        </w:tc>
        <w:tc>
          <w:tcPr>
            <w:tcW w:w="1740" w:type="dxa"/>
            <w:vAlign w:val="top"/>
          </w:tcPr>
          <w:p w14:paraId="1AA39180">
            <w:pPr>
              <w:rPr>
                <w:rFonts w:hint="eastAsia" w:ascii="宋体" w:hAnsi="宋体" w:eastAsia="宋体" w:cs="宋体"/>
                <w:color w:val="auto"/>
                <w:sz w:val="21"/>
                <w:highlight w:val="none"/>
              </w:rPr>
            </w:pPr>
          </w:p>
        </w:tc>
      </w:tr>
      <w:tr w14:paraId="7290E0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713" w:type="dxa"/>
            <w:vAlign w:val="top"/>
          </w:tcPr>
          <w:p w14:paraId="627E911F">
            <w:pPr>
              <w:rPr>
                <w:rFonts w:hint="eastAsia" w:ascii="宋体" w:hAnsi="宋体" w:eastAsia="宋体" w:cs="宋体"/>
                <w:color w:val="auto"/>
                <w:sz w:val="21"/>
                <w:highlight w:val="none"/>
              </w:rPr>
            </w:pPr>
          </w:p>
        </w:tc>
        <w:tc>
          <w:tcPr>
            <w:tcW w:w="1438" w:type="dxa"/>
            <w:vAlign w:val="top"/>
          </w:tcPr>
          <w:p w14:paraId="0554EC2D">
            <w:pPr>
              <w:rPr>
                <w:rFonts w:hint="eastAsia" w:ascii="宋体" w:hAnsi="宋体" w:eastAsia="宋体" w:cs="宋体"/>
                <w:color w:val="auto"/>
                <w:sz w:val="21"/>
                <w:highlight w:val="none"/>
              </w:rPr>
            </w:pPr>
          </w:p>
        </w:tc>
        <w:tc>
          <w:tcPr>
            <w:tcW w:w="1361" w:type="dxa"/>
            <w:vAlign w:val="top"/>
          </w:tcPr>
          <w:p w14:paraId="5A6C8BCE">
            <w:pPr>
              <w:rPr>
                <w:rFonts w:hint="eastAsia" w:ascii="宋体" w:hAnsi="宋体" w:eastAsia="宋体" w:cs="宋体"/>
                <w:color w:val="auto"/>
                <w:sz w:val="21"/>
                <w:highlight w:val="none"/>
              </w:rPr>
            </w:pPr>
          </w:p>
        </w:tc>
        <w:tc>
          <w:tcPr>
            <w:tcW w:w="1559" w:type="dxa"/>
            <w:vAlign w:val="top"/>
          </w:tcPr>
          <w:p w14:paraId="2A78F4DD">
            <w:pPr>
              <w:rPr>
                <w:rFonts w:hint="eastAsia" w:ascii="宋体" w:hAnsi="宋体" w:eastAsia="宋体" w:cs="宋体"/>
                <w:color w:val="auto"/>
                <w:sz w:val="21"/>
                <w:highlight w:val="none"/>
              </w:rPr>
            </w:pPr>
          </w:p>
        </w:tc>
        <w:tc>
          <w:tcPr>
            <w:tcW w:w="1180" w:type="dxa"/>
            <w:vAlign w:val="top"/>
          </w:tcPr>
          <w:p w14:paraId="5035D32C">
            <w:pPr>
              <w:rPr>
                <w:rFonts w:hint="eastAsia" w:ascii="宋体" w:hAnsi="宋体" w:eastAsia="宋体" w:cs="宋体"/>
                <w:color w:val="auto"/>
                <w:sz w:val="21"/>
                <w:highlight w:val="none"/>
              </w:rPr>
            </w:pPr>
          </w:p>
        </w:tc>
        <w:tc>
          <w:tcPr>
            <w:tcW w:w="1010" w:type="dxa"/>
            <w:vAlign w:val="top"/>
          </w:tcPr>
          <w:p w14:paraId="4BECBED8">
            <w:pPr>
              <w:rPr>
                <w:rFonts w:hint="eastAsia" w:ascii="宋体" w:hAnsi="宋体" w:eastAsia="宋体" w:cs="宋体"/>
                <w:color w:val="auto"/>
                <w:sz w:val="21"/>
                <w:highlight w:val="none"/>
              </w:rPr>
            </w:pPr>
          </w:p>
        </w:tc>
        <w:tc>
          <w:tcPr>
            <w:tcW w:w="1740" w:type="dxa"/>
            <w:vAlign w:val="top"/>
          </w:tcPr>
          <w:p w14:paraId="5825696A">
            <w:pPr>
              <w:rPr>
                <w:rFonts w:hint="eastAsia" w:ascii="宋体" w:hAnsi="宋体" w:eastAsia="宋体" w:cs="宋体"/>
                <w:color w:val="auto"/>
                <w:sz w:val="21"/>
                <w:highlight w:val="none"/>
              </w:rPr>
            </w:pPr>
          </w:p>
        </w:tc>
      </w:tr>
      <w:tr w14:paraId="3B15F2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713" w:type="dxa"/>
            <w:vAlign w:val="top"/>
          </w:tcPr>
          <w:p w14:paraId="03F26332">
            <w:pPr>
              <w:rPr>
                <w:rFonts w:hint="eastAsia" w:ascii="宋体" w:hAnsi="宋体" w:eastAsia="宋体" w:cs="宋体"/>
                <w:color w:val="auto"/>
                <w:sz w:val="21"/>
                <w:highlight w:val="none"/>
              </w:rPr>
            </w:pPr>
          </w:p>
        </w:tc>
        <w:tc>
          <w:tcPr>
            <w:tcW w:w="1438" w:type="dxa"/>
            <w:vAlign w:val="top"/>
          </w:tcPr>
          <w:p w14:paraId="3BC42341">
            <w:pPr>
              <w:rPr>
                <w:rFonts w:hint="eastAsia" w:ascii="宋体" w:hAnsi="宋体" w:eastAsia="宋体" w:cs="宋体"/>
                <w:color w:val="auto"/>
                <w:sz w:val="21"/>
                <w:highlight w:val="none"/>
              </w:rPr>
            </w:pPr>
          </w:p>
        </w:tc>
        <w:tc>
          <w:tcPr>
            <w:tcW w:w="1361" w:type="dxa"/>
            <w:vAlign w:val="top"/>
          </w:tcPr>
          <w:p w14:paraId="7515D487">
            <w:pPr>
              <w:rPr>
                <w:rFonts w:hint="eastAsia" w:ascii="宋体" w:hAnsi="宋体" w:eastAsia="宋体" w:cs="宋体"/>
                <w:color w:val="auto"/>
                <w:sz w:val="21"/>
                <w:highlight w:val="none"/>
              </w:rPr>
            </w:pPr>
          </w:p>
        </w:tc>
        <w:tc>
          <w:tcPr>
            <w:tcW w:w="1559" w:type="dxa"/>
            <w:vAlign w:val="top"/>
          </w:tcPr>
          <w:p w14:paraId="721C5574">
            <w:pPr>
              <w:rPr>
                <w:rFonts w:hint="eastAsia" w:ascii="宋体" w:hAnsi="宋体" w:eastAsia="宋体" w:cs="宋体"/>
                <w:color w:val="auto"/>
                <w:sz w:val="21"/>
                <w:highlight w:val="none"/>
              </w:rPr>
            </w:pPr>
          </w:p>
        </w:tc>
        <w:tc>
          <w:tcPr>
            <w:tcW w:w="1180" w:type="dxa"/>
            <w:vAlign w:val="top"/>
          </w:tcPr>
          <w:p w14:paraId="438C1DEC">
            <w:pPr>
              <w:rPr>
                <w:rFonts w:hint="eastAsia" w:ascii="宋体" w:hAnsi="宋体" w:eastAsia="宋体" w:cs="宋体"/>
                <w:color w:val="auto"/>
                <w:sz w:val="21"/>
                <w:highlight w:val="none"/>
              </w:rPr>
            </w:pPr>
          </w:p>
        </w:tc>
        <w:tc>
          <w:tcPr>
            <w:tcW w:w="1010" w:type="dxa"/>
            <w:vAlign w:val="top"/>
          </w:tcPr>
          <w:p w14:paraId="349E982F">
            <w:pPr>
              <w:rPr>
                <w:rFonts w:hint="eastAsia" w:ascii="宋体" w:hAnsi="宋体" w:eastAsia="宋体" w:cs="宋体"/>
                <w:color w:val="auto"/>
                <w:sz w:val="21"/>
                <w:highlight w:val="none"/>
              </w:rPr>
            </w:pPr>
          </w:p>
        </w:tc>
        <w:tc>
          <w:tcPr>
            <w:tcW w:w="1740" w:type="dxa"/>
            <w:vAlign w:val="top"/>
          </w:tcPr>
          <w:p w14:paraId="0E8A18D3">
            <w:pPr>
              <w:rPr>
                <w:rFonts w:hint="eastAsia" w:ascii="宋体" w:hAnsi="宋体" w:eastAsia="宋体" w:cs="宋体"/>
                <w:color w:val="auto"/>
                <w:sz w:val="21"/>
                <w:highlight w:val="none"/>
              </w:rPr>
            </w:pPr>
          </w:p>
        </w:tc>
      </w:tr>
      <w:tr w14:paraId="2B60DB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713" w:type="dxa"/>
            <w:vAlign w:val="top"/>
          </w:tcPr>
          <w:p w14:paraId="079117DB">
            <w:pPr>
              <w:rPr>
                <w:rFonts w:hint="eastAsia" w:ascii="宋体" w:hAnsi="宋体" w:eastAsia="宋体" w:cs="宋体"/>
                <w:color w:val="auto"/>
                <w:sz w:val="21"/>
                <w:highlight w:val="none"/>
              </w:rPr>
            </w:pPr>
          </w:p>
        </w:tc>
        <w:tc>
          <w:tcPr>
            <w:tcW w:w="1438" w:type="dxa"/>
            <w:vAlign w:val="top"/>
          </w:tcPr>
          <w:p w14:paraId="7D5138AC">
            <w:pPr>
              <w:rPr>
                <w:rFonts w:hint="eastAsia" w:ascii="宋体" w:hAnsi="宋体" w:eastAsia="宋体" w:cs="宋体"/>
                <w:color w:val="auto"/>
                <w:sz w:val="21"/>
                <w:highlight w:val="none"/>
              </w:rPr>
            </w:pPr>
          </w:p>
        </w:tc>
        <w:tc>
          <w:tcPr>
            <w:tcW w:w="1361" w:type="dxa"/>
            <w:vAlign w:val="top"/>
          </w:tcPr>
          <w:p w14:paraId="3411FF32">
            <w:pPr>
              <w:rPr>
                <w:rFonts w:hint="eastAsia" w:ascii="宋体" w:hAnsi="宋体" w:eastAsia="宋体" w:cs="宋体"/>
                <w:color w:val="auto"/>
                <w:sz w:val="21"/>
                <w:highlight w:val="none"/>
              </w:rPr>
            </w:pPr>
          </w:p>
        </w:tc>
        <w:tc>
          <w:tcPr>
            <w:tcW w:w="1559" w:type="dxa"/>
            <w:vAlign w:val="top"/>
          </w:tcPr>
          <w:p w14:paraId="23951473">
            <w:pPr>
              <w:rPr>
                <w:rFonts w:hint="eastAsia" w:ascii="宋体" w:hAnsi="宋体" w:eastAsia="宋体" w:cs="宋体"/>
                <w:color w:val="auto"/>
                <w:sz w:val="21"/>
                <w:highlight w:val="none"/>
              </w:rPr>
            </w:pPr>
          </w:p>
        </w:tc>
        <w:tc>
          <w:tcPr>
            <w:tcW w:w="1180" w:type="dxa"/>
            <w:vAlign w:val="top"/>
          </w:tcPr>
          <w:p w14:paraId="6429A3CD">
            <w:pPr>
              <w:rPr>
                <w:rFonts w:hint="eastAsia" w:ascii="宋体" w:hAnsi="宋体" w:eastAsia="宋体" w:cs="宋体"/>
                <w:color w:val="auto"/>
                <w:sz w:val="21"/>
                <w:highlight w:val="none"/>
              </w:rPr>
            </w:pPr>
          </w:p>
        </w:tc>
        <w:tc>
          <w:tcPr>
            <w:tcW w:w="1010" w:type="dxa"/>
            <w:vAlign w:val="top"/>
          </w:tcPr>
          <w:p w14:paraId="4A43C838">
            <w:pPr>
              <w:rPr>
                <w:rFonts w:hint="eastAsia" w:ascii="宋体" w:hAnsi="宋体" w:eastAsia="宋体" w:cs="宋体"/>
                <w:color w:val="auto"/>
                <w:sz w:val="21"/>
                <w:highlight w:val="none"/>
              </w:rPr>
            </w:pPr>
          </w:p>
        </w:tc>
        <w:tc>
          <w:tcPr>
            <w:tcW w:w="1740" w:type="dxa"/>
            <w:vAlign w:val="top"/>
          </w:tcPr>
          <w:p w14:paraId="0E12FC94">
            <w:pPr>
              <w:rPr>
                <w:rFonts w:hint="eastAsia" w:ascii="宋体" w:hAnsi="宋体" w:eastAsia="宋体" w:cs="宋体"/>
                <w:color w:val="auto"/>
                <w:sz w:val="21"/>
                <w:highlight w:val="none"/>
              </w:rPr>
            </w:pPr>
          </w:p>
        </w:tc>
      </w:tr>
      <w:tr w14:paraId="68FF59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713" w:type="dxa"/>
            <w:vAlign w:val="top"/>
          </w:tcPr>
          <w:p w14:paraId="63F73199">
            <w:pPr>
              <w:rPr>
                <w:rFonts w:hint="eastAsia" w:ascii="宋体" w:hAnsi="宋体" w:eastAsia="宋体" w:cs="宋体"/>
                <w:color w:val="auto"/>
                <w:sz w:val="21"/>
                <w:highlight w:val="none"/>
              </w:rPr>
            </w:pPr>
          </w:p>
        </w:tc>
        <w:tc>
          <w:tcPr>
            <w:tcW w:w="1438" w:type="dxa"/>
            <w:vAlign w:val="top"/>
          </w:tcPr>
          <w:p w14:paraId="3B95DD93">
            <w:pPr>
              <w:rPr>
                <w:rFonts w:hint="eastAsia" w:ascii="宋体" w:hAnsi="宋体" w:eastAsia="宋体" w:cs="宋体"/>
                <w:color w:val="auto"/>
                <w:sz w:val="21"/>
                <w:highlight w:val="none"/>
              </w:rPr>
            </w:pPr>
          </w:p>
        </w:tc>
        <w:tc>
          <w:tcPr>
            <w:tcW w:w="1361" w:type="dxa"/>
            <w:vAlign w:val="top"/>
          </w:tcPr>
          <w:p w14:paraId="4E163A4C">
            <w:pPr>
              <w:rPr>
                <w:rFonts w:hint="eastAsia" w:ascii="宋体" w:hAnsi="宋体" w:eastAsia="宋体" w:cs="宋体"/>
                <w:color w:val="auto"/>
                <w:sz w:val="21"/>
                <w:highlight w:val="none"/>
              </w:rPr>
            </w:pPr>
          </w:p>
        </w:tc>
        <w:tc>
          <w:tcPr>
            <w:tcW w:w="1559" w:type="dxa"/>
            <w:vAlign w:val="top"/>
          </w:tcPr>
          <w:p w14:paraId="381CC8CB">
            <w:pPr>
              <w:rPr>
                <w:rFonts w:hint="eastAsia" w:ascii="宋体" w:hAnsi="宋体" w:eastAsia="宋体" w:cs="宋体"/>
                <w:color w:val="auto"/>
                <w:sz w:val="21"/>
                <w:highlight w:val="none"/>
              </w:rPr>
            </w:pPr>
          </w:p>
        </w:tc>
        <w:tc>
          <w:tcPr>
            <w:tcW w:w="1180" w:type="dxa"/>
            <w:vAlign w:val="top"/>
          </w:tcPr>
          <w:p w14:paraId="5A87D02D">
            <w:pPr>
              <w:rPr>
                <w:rFonts w:hint="eastAsia" w:ascii="宋体" w:hAnsi="宋体" w:eastAsia="宋体" w:cs="宋体"/>
                <w:color w:val="auto"/>
                <w:sz w:val="21"/>
                <w:highlight w:val="none"/>
              </w:rPr>
            </w:pPr>
          </w:p>
        </w:tc>
        <w:tc>
          <w:tcPr>
            <w:tcW w:w="1010" w:type="dxa"/>
            <w:vAlign w:val="top"/>
          </w:tcPr>
          <w:p w14:paraId="14768B3A">
            <w:pPr>
              <w:rPr>
                <w:rFonts w:hint="eastAsia" w:ascii="宋体" w:hAnsi="宋体" w:eastAsia="宋体" w:cs="宋体"/>
                <w:color w:val="auto"/>
                <w:sz w:val="21"/>
                <w:highlight w:val="none"/>
              </w:rPr>
            </w:pPr>
          </w:p>
        </w:tc>
        <w:tc>
          <w:tcPr>
            <w:tcW w:w="1740" w:type="dxa"/>
            <w:vAlign w:val="top"/>
          </w:tcPr>
          <w:p w14:paraId="5530475F">
            <w:pPr>
              <w:rPr>
                <w:rFonts w:hint="eastAsia" w:ascii="宋体" w:hAnsi="宋体" w:eastAsia="宋体" w:cs="宋体"/>
                <w:color w:val="auto"/>
                <w:sz w:val="21"/>
                <w:highlight w:val="none"/>
              </w:rPr>
            </w:pPr>
          </w:p>
        </w:tc>
      </w:tr>
      <w:tr w14:paraId="15964B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713" w:type="dxa"/>
            <w:vAlign w:val="top"/>
          </w:tcPr>
          <w:p w14:paraId="0C864E6F">
            <w:pPr>
              <w:rPr>
                <w:rFonts w:hint="eastAsia" w:ascii="宋体" w:hAnsi="宋体" w:eastAsia="宋体" w:cs="宋体"/>
                <w:color w:val="auto"/>
                <w:sz w:val="21"/>
                <w:highlight w:val="none"/>
              </w:rPr>
            </w:pPr>
          </w:p>
        </w:tc>
        <w:tc>
          <w:tcPr>
            <w:tcW w:w="1438" w:type="dxa"/>
            <w:vAlign w:val="top"/>
          </w:tcPr>
          <w:p w14:paraId="093D3A47">
            <w:pPr>
              <w:rPr>
                <w:rFonts w:hint="eastAsia" w:ascii="宋体" w:hAnsi="宋体" w:eastAsia="宋体" w:cs="宋体"/>
                <w:color w:val="auto"/>
                <w:sz w:val="21"/>
                <w:highlight w:val="none"/>
              </w:rPr>
            </w:pPr>
          </w:p>
        </w:tc>
        <w:tc>
          <w:tcPr>
            <w:tcW w:w="1361" w:type="dxa"/>
            <w:vAlign w:val="top"/>
          </w:tcPr>
          <w:p w14:paraId="3FC02789">
            <w:pPr>
              <w:rPr>
                <w:rFonts w:hint="eastAsia" w:ascii="宋体" w:hAnsi="宋体" w:eastAsia="宋体" w:cs="宋体"/>
                <w:color w:val="auto"/>
                <w:sz w:val="21"/>
                <w:highlight w:val="none"/>
              </w:rPr>
            </w:pPr>
          </w:p>
        </w:tc>
        <w:tc>
          <w:tcPr>
            <w:tcW w:w="1559" w:type="dxa"/>
            <w:vAlign w:val="top"/>
          </w:tcPr>
          <w:p w14:paraId="4FCAF0AD">
            <w:pPr>
              <w:rPr>
                <w:rFonts w:hint="eastAsia" w:ascii="宋体" w:hAnsi="宋体" w:eastAsia="宋体" w:cs="宋体"/>
                <w:color w:val="auto"/>
                <w:sz w:val="21"/>
                <w:highlight w:val="none"/>
              </w:rPr>
            </w:pPr>
          </w:p>
        </w:tc>
        <w:tc>
          <w:tcPr>
            <w:tcW w:w="1180" w:type="dxa"/>
            <w:vAlign w:val="top"/>
          </w:tcPr>
          <w:p w14:paraId="2255FBE9">
            <w:pPr>
              <w:rPr>
                <w:rFonts w:hint="eastAsia" w:ascii="宋体" w:hAnsi="宋体" w:eastAsia="宋体" w:cs="宋体"/>
                <w:color w:val="auto"/>
                <w:sz w:val="21"/>
                <w:highlight w:val="none"/>
              </w:rPr>
            </w:pPr>
          </w:p>
        </w:tc>
        <w:tc>
          <w:tcPr>
            <w:tcW w:w="1010" w:type="dxa"/>
            <w:vAlign w:val="top"/>
          </w:tcPr>
          <w:p w14:paraId="03A0E903">
            <w:pPr>
              <w:rPr>
                <w:rFonts w:hint="eastAsia" w:ascii="宋体" w:hAnsi="宋体" w:eastAsia="宋体" w:cs="宋体"/>
                <w:color w:val="auto"/>
                <w:sz w:val="21"/>
                <w:highlight w:val="none"/>
              </w:rPr>
            </w:pPr>
          </w:p>
        </w:tc>
        <w:tc>
          <w:tcPr>
            <w:tcW w:w="1740" w:type="dxa"/>
            <w:vAlign w:val="top"/>
          </w:tcPr>
          <w:p w14:paraId="36C7A209">
            <w:pPr>
              <w:rPr>
                <w:rFonts w:hint="eastAsia" w:ascii="宋体" w:hAnsi="宋体" w:eastAsia="宋体" w:cs="宋体"/>
                <w:color w:val="auto"/>
                <w:sz w:val="21"/>
                <w:highlight w:val="none"/>
              </w:rPr>
            </w:pPr>
          </w:p>
        </w:tc>
      </w:tr>
      <w:tr w14:paraId="747FB8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713" w:type="dxa"/>
            <w:vAlign w:val="top"/>
          </w:tcPr>
          <w:p w14:paraId="4F346503">
            <w:pPr>
              <w:rPr>
                <w:rFonts w:hint="eastAsia" w:ascii="宋体" w:hAnsi="宋体" w:eastAsia="宋体" w:cs="宋体"/>
                <w:color w:val="auto"/>
                <w:sz w:val="21"/>
                <w:highlight w:val="none"/>
              </w:rPr>
            </w:pPr>
          </w:p>
        </w:tc>
        <w:tc>
          <w:tcPr>
            <w:tcW w:w="1438" w:type="dxa"/>
            <w:vAlign w:val="top"/>
          </w:tcPr>
          <w:p w14:paraId="008AA129">
            <w:pPr>
              <w:rPr>
                <w:rFonts w:hint="eastAsia" w:ascii="宋体" w:hAnsi="宋体" w:eastAsia="宋体" w:cs="宋体"/>
                <w:color w:val="auto"/>
                <w:sz w:val="21"/>
                <w:highlight w:val="none"/>
              </w:rPr>
            </w:pPr>
          </w:p>
        </w:tc>
        <w:tc>
          <w:tcPr>
            <w:tcW w:w="1361" w:type="dxa"/>
            <w:vAlign w:val="top"/>
          </w:tcPr>
          <w:p w14:paraId="60ED3D8A">
            <w:pPr>
              <w:rPr>
                <w:rFonts w:hint="eastAsia" w:ascii="宋体" w:hAnsi="宋体" w:eastAsia="宋体" w:cs="宋体"/>
                <w:color w:val="auto"/>
                <w:sz w:val="21"/>
                <w:highlight w:val="none"/>
              </w:rPr>
            </w:pPr>
          </w:p>
        </w:tc>
        <w:tc>
          <w:tcPr>
            <w:tcW w:w="1559" w:type="dxa"/>
            <w:vAlign w:val="top"/>
          </w:tcPr>
          <w:p w14:paraId="5F0A7092">
            <w:pPr>
              <w:rPr>
                <w:rFonts w:hint="eastAsia" w:ascii="宋体" w:hAnsi="宋体" w:eastAsia="宋体" w:cs="宋体"/>
                <w:color w:val="auto"/>
                <w:sz w:val="21"/>
                <w:highlight w:val="none"/>
              </w:rPr>
            </w:pPr>
          </w:p>
        </w:tc>
        <w:tc>
          <w:tcPr>
            <w:tcW w:w="1180" w:type="dxa"/>
            <w:vAlign w:val="top"/>
          </w:tcPr>
          <w:p w14:paraId="2D9D314F">
            <w:pPr>
              <w:rPr>
                <w:rFonts w:hint="eastAsia" w:ascii="宋体" w:hAnsi="宋体" w:eastAsia="宋体" w:cs="宋体"/>
                <w:color w:val="auto"/>
                <w:sz w:val="21"/>
                <w:highlight w:val="none"/>
              </w:rPr>
            </w:pPr>
          </w:p>
        </w:tc>
        <w:tc>
          <w:tcPr>
            <w:tcW w:w="1010" w:type="dxa"/>
            <w:vAlign w:val="top"/>
          </w:tcPr>
          <w:p w14:paraId="27D22B71">
            <w:pPr>
              <w:rPr>
                <w:rFonts w:hint="eastAsia" w:ascii="宋体" w:hAnsi="宋体" w:eastAsia="宋体" w:cs="宋体"/>
                <w:color w:val="auto"/>
                <w:sz w:val="21"/>
                <w:highlight w:val="none"/>
              </w:rPr>
            </w:pPr>
          </w:p>
        </w:tc>
        <w:tc>
          <w:tcPr>
            <w:tcW w:w="1740" w:type="dxa"/>
            <w:vAlign w:val="top"/>
          </w:tcPr>
          <w:p w14:paraId="01FD7DCC">
            <w:pPr>
              <w:rPr>
                <w:rFonts w:hint="eastAsia" w:ascii="宋体" w:hAnsi="宋体" w:eastAsia="宋体" w:cs="宋体"/>
                <w:color w:val="auto"/>
                <w:sz w:val="21"/>
                <w:highlight w:val="none"/>
              </w:rPr>
            </w:pPr>
          </w:p>
        </w:tc>
      </w:tr>
      <w:tr w14:paraId="12A55F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713" w:type="dxa"/>
            <w:vAlign w:val="top"/>
          </w:tcPr>
          <w:p w14:paraId="545404F8">
            <w:pPr>
              <w:rPr>
                <w:rFonts w:hint="eastAsia" w:ascii="宋体" w:hAnsi="宋体" w:eastAsia="宋体" w:cs="宋体"/>
                <w:color w:val="auto"/>
                <w:sz w:val="21"/>
                <w:highlight w:val="none"/>
              </w:rPr>
            </w:pPr>
          </w:p>
        </w:tc>
        <w:tc>
          <w:tcPr>
            <w:tcW w:w="1438" w:type="dxa"/>
            <w:vAlign w:val="top"/>
          </w:tcPr>
          <w:p w14:paraId="63B8DB78">
            <w:pPr>
              <w:rPr>
                <w:rFonts w:hint="eastAsia" w:ascii="宋体" w:hAnsi="宋体" w:eastAsia="宋体" w:cs="宋体"/>
                <w:color w:val="auto"/>
                <w:sz w:val="21"/>
                <w:highlight w:val="none"/>
              </w:rPr>
            </w:pPr>
          </w:p>
        </w:tc>
        <w:tc>
          <w:tcPr>
            <w:tcW w:w="1361" w:type="dxa"/>
            <w:vAlign w:val="top"/>
          </w:tcPr>
          <w:p w14:paraId="6042973A">
            <w:pPr>
              <w:rPr>
                <w:rFonts w:hint="eastAsia" w:ascii="宋体" w:hAnsi="宋体" w:eastAsia="宋体" w:cs="宋体"/>
                <w:color w:val="auto"/>
                <w:sz w:val="21"/>
                <w:highlight w:val="none"/>
              </w:rPr>
            </w:pPr>
          </w:p>
        </w:tc>
        <w:tc>
          <w:tcPr>
            <w:tcW w:w="1559" w:type="dxa"/>
            <w:vAlign w:val="top"/>
          </w:tcPr>
          <w:p w14:paraId="5C92F6D7">
            <w:pPr>
              <w:rPr>
                <w:rFonts w:hint="eastAsia" w:ascii="宋体" w:hAnsi="宋体" w:eastAsia="宋体" w:cs="宋体"/>
                <w:color w:val="auto"/>
                <w:sz w:val="21"/>
                <w:highlight w:val="none"/>
              </w:rPr>
            </w:pPr>
          </w:p>
        </w:tc>
        <w:tc>
          <w:tcPr>
            <w:tcW w:w="1180" w:type="dxa"/>
            <w:vAlign w:val="top"/>
          </w:tcPr>
          <w:p w14:paraId="2047CB88">
            <w:pPr>
              <w:rPr>
                <w:rFonts w:hint="eastAsia" w:ascii="宋体" w:hAnsi="宋体" w:eastAsia="宋体" w:cs="宋体"/>
                <w:color w:val="auto"/>
                <w:sz w:val="21"/>
                <w:highlight w:val="none"/>
              </w:rPr>
            </w:pPr>
          </w:p>
        </w:tc>
        <w:tc>
          <w:tcPr>
            <w:tcW w:w="1010" w:type="dxa"/>
            <w:vAlign w:val="top"/>
          </w:tcPr>
          <w:p w14:paraId="4CB4613A">
            <w:pPr>
              <w:rPr>
                <w:rFonts w:hint="eastAsia" w:ascii="宋体" w:hAnsi="宋体" w:eastAsia="宋体" w:cs="宋体"/>
                <w:color w:val="auto"/>
                <w:sz w:val="21"/>
                <w:highlight w:val="none"/>
              </w:rPr>
            </w:pPr>
          </w:p>
        </w:tc>
        <w:tc>
          <w:tcPr>
            <w:tcW w:w="1740" w:type="dxa"/>
            <w:vAlign w:val="top"/>
          </w:tcPr>
          <w:p w14:paraId="572DE073">
            <w:pPr>
              <w:rPr>
                <w:rFonts w:hint="eastAsia" w:ascii="宋体" w:hAnsi="宋体" w:eastAsia="宋体" w:cs="宋体"/>
                <w:color w:val="auto"/>
                <w:sz w:val="21"/>
                <w:highlight w:val="none"/>
              </w:rPr>
            </w:pPr>
          </w:p>
        </w:tc>
      </w:tr>
      <w:tr w14:paraId="625537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713" w:type="dxa"/>
            <w:vAlign w:val="top"/>
          </w:tcPr>
          <w:p w14:paraId="084CA570">
            <w:pPr>
              <w:rPr>
                <w:rFonts w:hint="eastAsia" w:ascii="宋体" w:hAnsi="宋体" w:eastAsia="宋体" w:cs="宋体"/>
                <w:color w:val="auto"/>
                <w:sz w:val="21"/>
                <w:highlight w:val="none"/>
              </w:rPr>
            </w:pPr>
          </w:p>
        </w:tc>
        <w:tc>
          <w:tcPr>
            <w:tcW w:w="1438" w:type="dxa"/>
            <w:vAlign w:val="top"/>
          </w:tcPr>
          <w:p w14:paraId="73BD3DA2">
            <w:pPr>
              <w:rPr>
                <w:rFonts w:hint="eastAsia" w:ascii="宋体" w:hAnsi="宋体" w:eastAsia="宋体" w:cs="宋体"/>
                <w:color w:val="auto"/>
                <w:sz w:val="21"/>
                <w:highlight w:val="none"/>
              </w:rPr>
            </w:pPr>
          </w:p>
        </w:tc>
        <w:tc>
          <w:tcPr>
            <w:tcW w:w="1361" w:type="dxa"/>
            <w:vAlign w:val="top"/>
          </w:tcPr>
          <w:p w14:paraId="6E767481">
            <w:pPr>
              <w:rPr>
                <w:rFonts w:hint="eastAsia" w:ascii="宋体" w:hAnsi="宋体" w:eastAsia="宋体" w:cs="宋体"/>
                <w:color w:val="auto"/>
                <w:sz w:val="21"/>
                <w:highlight w:val="none"/>
              </w:rPr>
            </w:pPr>
          </w:p>
        </w:tc>
        <w:tc>
          <w:tcPr>
            <w:tcW w:w="1559" w:type="dxa"/>
            <w:vAlign w:val="top"/>
          </w:tcPr>
          <w:p w14:paraId="265688A1">
            <w:pPr>
              <w:rPr>
                <w:rFonts w:hint="eastAsia" w:ascii="宋体" w:hAnsi="宋体" w:eastAsia="宋体" w:cs="宋体"/>
                <w:color w:val="auto"/>
                <w:sz w:val="21"/>
                <w:highlight w:val="none"/>
              </w:rPr>
            </w:pPr>
          </w:p>
        </w:tc>
        <w:tc>
          <w:tcPr>
            <w:tcW w:w="1180" w:type="dxa"/>
            <w:vAlign w:val="top"/>
          </w:tcPr>
          <w:p w14:paraId="23F3A03D">
            <w:pPr>
              <w:rPr>
                <w:rFonts w:hint="eastAsia" w:ascii="宋体" w:hAnsi="宋体" w:eastAsia="宋体" w:cs="宋体"/>
                <w:color w:val="auto"/>
                <w:sz w:val="21"/>
                <w:highlight w:val="none"/>
              </w:rPr>
            </w:pPr>
          </w:p>
        </w:tc>
        <w:tc>
          <w:tcPr>
            <w:tcW w:w="1010" w:type="dxa"/>
            <w:vAlign w:val="top"/>
          </w:tcPr>
          <w:p w14:paraId="6D91F9A1">
            <w:pPr>
              <w:rPr>
                <w:rFonts w:hint="eastAsia" w:ascii="宋体" w:hAnsi="宋体" w:eastAsia="宋体" w:cs="宋体"/>
                <w:color w:val="auto"/>
                <w:sz w:val="21"/>
                <w:highlight w:val="none"/>
              </w:rPr>
            </w:pPr>
          </w:p>
        </w:tc>
        <w:tc>
          <w:tcPr>
            <w:tcW w:w="1740" w:type="dxa"/>
            <w:vAlign w:val="top"/>
          </w:tcPr>
          <w:p w14:paraId="24736C8D">
            <w:pPr>
              <w:rPr>
                <w:rFonts w:hint="eastAsia" w:ascii="宋体" w:hAnsi="宋体" w:eastAsia="宋体" w:cs="宋体"/>
                <w:color w:val="auto"/>
                <w:sz w:val="21"/>
                <w:highlight w:val="none"/>
              </w:rPr>
            </w:pPr>
          </w:p>
        </w:tc>
      </w:tr>
      <w:tr w14:paraId="1E38F8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713" w:type="dxa"/>
            <w:vAlign w:val="top"/>
          </w:tcPr>
          <w:p w14:paraId="1AF4463E">
            <w:pPr>
              <w:rPr>
                <w:rFonts w:hint="eastAsia" w:ascii="宋体" w:hAnsi="宋体" w:eastAsia="宋体" w:cs="宋体"/>
                <w:color w:val="auto"/>
                <w:sz w:val="21"/>
                <w:highlight w:val="none"/>
              </w:rPr>
            </w:pPr>
          </w:p>
        </w:tc>
        <w:tc>
          <w:tcPr>
            <w:tcW w:w="1438" w:type="dxa"/>
            <w:vAlign w:val="top"/>
          </w:tcPr>
          <w:p w14:paraId="42E0BF17">
            <w:pPr>
              <w:rPr>
                <w:rFonts w:hint="eastAsia" w:ascii="宋体" w:hAnsi="宋体" w:eastAsia="宋体" w:cs="宋体"/>
                <w:color w:val="auto"/>
                <w:sz w:val="21"/>
                <w:highlight w:val="none"/>
              </w:rPr>
            </w:pPr>
          </w:p>
        </w:tc>
        <w:tc>
          <w:tcPr>
            <w:tcW w:w="1361" w:type="dxa"/>
            <w:vAlign w:val="top"/>
          </w:tcPr>
          <w:p w14:paraId="0499B75A">
            <w:pPr>
              <w:rPr>
                <w:rFonts w:hint="eastAsia" w:ascii="宋体" w:hAnsi="宋体" w:eastAsia="宋体" w:cs="宋体"/>
                <w:color w:val="auto"/>
                <w:sz w:val="21"/>
                <w:highlight w:val="none"/>
              </w:rPr>
            </w:pPr>
          </w:p>
        </w:tc>
        <w:tc>
          <w:tcPr>
            <w:tcW w:w="1559" w:type="dxa"/>
            <w:vAlign w:val="top"/>
          </w:tcPr>
          <w:p w14:paraId="23B6DF33">
            <w:pPr>
              <w:rPr>
                <w:rFonts w:hint="eastAsia" w:ascii="宋体" w:hAnsi="宋体" w:eastAsia="宋体" w:cs="宋体"/>
                <w:color w:val="auto"/>
                <w:sz w:val="21"/>
                <w:highlight w:val="none"/>
              </w:rPr>
            </w:pPr>
          </w:p>
        </w:tc>
        <w:tc>
          <w:tcPr>
            <w:tcW w:w="1180" w:type="dxa"/>
            <w:vAlign w:val="top"/>
          </w:tcPr>
          <w:p w14:paraId="17AC732E">
            <w:pPr>
              <w:rPr>
                <w:rFonts w:hint="eastAsia" w:ascii="宋体" w:hAnsi="宋体" w:eastAsia="宋体" w:cs="宋体"/>
                <w:color w:val="auto"/>
                <w:sz w:val="21"/>
                <w:highlight w:val="none"/>
              </w:rPr>
            </w:pPr>
          </w:p>
        </w:tc>
        <w:tc>
          <w:tcPr>
            <w:tcW w:w="1010" w:type="dxa"/>
            <w:vAlign w:val="top"/>
          </w:tcPr>
          <w:p w14:paraId="67B756C7">
            <w:pPr>
              <w:rPr>
                <w:rFonts w:hint="eastAsia" w:ascii="宋体" w:hAnsi="宋体" w:eastAsia="宋体" w:cs="宋体"/>
                <w:color w:val="auto"/>
                <w:sz w:val="21"/>
                <w:highlight w:val="none"/>
              </w:rPr>
            </w:pPr>
          </w:p>
        </w:tc>
        <w:tc>
          <w:tcPr>
            <w:tcW w:w="1740" w:type="dxa"/>
            <w:vAlign w:val="top"/>
          </w:tcPr>
          <w:p w14:paraId="67D6FDC3">
            <w:pPr>
              <w:rPr>
                <w:rFonts w:hint="eastAsia" w:ascii="宋体" w:hAnsi="宋体" w:eastAsia="宋体" w:cs="宋体"/>
                <w:color w:val="auto"/>
                <w:sz w:val="21"/>
                <w:highlight w:val="none"/>
              </w:rPr>
            </w:pPr>
          </w:p>
        </w:tc>
      </w:tr>
      <w:tr w14:paraId="618945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713" w:type="dxa"/>
            <w:vAlign w:val="top"/>
          </w:tcPr>
          <w:p w14:paraId="20D2F935">
            <w:pPr>
              <w:rPr>
                <w:rFonts w:hint="eastAsia" w:ascii="宋体" w:hAnsi="宋体" w:eastAsia="宋体" w:cs="宋体"/>
                <w:color w:val="auto"/>
                <w:sz w:val="21"/>
                <w:highlight w:val="none"/>
              </w:rPr>
            </w:pPr>
          </w:p>
        </w:tc>
        <w:tc>
          <w:tcPr>
            <w:tcW w:w="1438" w:type="dxa"/>
            <w:vAlign w:val="top"/>
          </w:tcPr>
          <w:p w14:paraId="74EFC7A1">
            <w:pPr>
              <w:rPr>
                <w:rFonts w:hint="eastAsia" w:ascii="宋体" w:hAnsi="宋体" w:eastAsia="宋体" w:cs="宋体"/>
                <w:color w:val="auto"/>
                <w:sz w:val="21"/>
                <w:highlight w:val="none"/>
              </w:rPr>
            </w:pPr>
          </w:p>
        </w:tc>
        <w:tc>
          <w:tcPr>
            <w:tcW w:w="1361" w:type="dxa"/>
            <w:vAlign w:val="top"/>
          </w:tcPr>
          <w:p w14:paraId="41FA4E52">
            <w:pPr>
              <w:rPr>
                <w:rFonts w:hint="eastAsia" w:ascii="宋体" w:hAnsi="宋体" w:eastAsia="宋体" w:cs="宋体"/>
                <w:color w:val="auto"/>
                <w:sz w:val="21"/>
                <w:highlight w:val="none"/>
              </w:rPr>
            </w:pPr>
          </w:p>
        </w:tc>
        <w:tc>
          <w:tcPr>
            <w:tcW w:w="1559" w:type="dxa"/>
            <w:vAlign w:val="top"/>
          </w:tcPr>
          <w:p w14:paraId="36D9408A">
            <w:pPr>
              <w:rPr>
                <w:rFonts w:hint="eastAsia" w:ascii="宋体" w:hAnsi="宋体" w:eastAsia="宋体" w:cs="宋体"/>
                <w:color w:val="auto"/>
                <w:sz w:val="21"/>
                <w:highlight w:val="none"/>
              </w:rPr>
            </w:pPr>
          </w:p>
        </w:tc>
        <w:tc>
          <w:tcPr>
            <w:tcW w:w="1180" w:type="dxa"/>
            <w:vAlign w:val="top"/>
          </w:tcPr>
          <w:p w14:paraId="7BA78419">
            <w:pPr>
              <w:rPr>
                <w:rFonts w:hint="eastAsia" w:ascii="宋体" w:hAnsi="宋体" w:eastAsia="宋体" w:cs="宋体"/>
                <w:color w:val="auto"/>
                <w:sz w:val="21"/>
                <w:highlight w:val="none"/>
              </w:rPr>
            </w:pPr>
          </w:p>
        </w:tc>
        <w:tc>
          <w:tcPr>
            <w:tcW w:w="1010" w:type="dxa"/>
            <w:vAlign w:val="top"/>
          </w:tcPr>
          <w:p w14:paraId="0F8E5811">
            <w:pPr>
              <w:rPr>
                <w:rFonts w:hint="eastAsia" w:ascii="宋体" w:hAnsi="宋体" w:eastAsia="宋体" w:cs="宋体"/>
                <w:color w:val="auto"/>
                <w:sz w:val="21"/>
                <w:highlight w:val="none"/>
              </w:rPr>
            </w:pPr>
          </w:p>
        </w:tc>
        <w:tc>
          <w:tcPr>
            <w:tcW w:w="1740" w:type="dxa"/>
            <w:vAlign w:val="top"/>
          </w:tcPr>
          <w:p w14:paraId="79B7765B">
            <w:pPr>
              <w:rPr>
                <w:rFonts w:hint="eastAsia" w:ascii="宋体" w:hAnsi="宋体" w:eastAsia="宋体" w:cs="宋体"/>
                <w:color w:val="auto"/>
                <w:sz w:val="21"/>
                <w:highlight w:val="none"/>
              </w:rPr>
            </w:pPr>
          </w:p>
        </w:tc>
      </w:tr>
      <w:tr w14:paraId="450436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9" w:hRule="atLeast"/>
        </w:trPr>
        <w:tc>
          <w:tcPr>
            <w:tcW w:w="3512" w:type="dxa"/>
            <w:gridSpan w:val="3"/>
            <w:vAlign w:val="top"/>
          </w:tcPr>
          <w:p w14:paraId="41D36BCB">
            <w:pPr>
              <w:pStyle w:val="25"/>
              <w:spacing w:before="297" w:line="324" w:lineRule="auto"/>
              <w:ind w:left="117" w:right="525"/>
              <w:rPr>
                <w:rFonts w:hint="eastAsia" w:ascii="宋体" w:hAnsi="宋体" w:eastAsia="宋体" w:cs="宋体"/>
                <w:color w:val="auto"/>
                <w:highlight w:val="none"/>
              </w:rPr>
            </w:pPr>
            <w:r>
              <w:rPr>
                <w:rFonts w:hint="eastAsia" w:ascii="宋体" w:hAnsi="宋体" w:eastAsia="宋体" w:cs="宋体"/>
                <w:color w:val="auto"/>
                <w:spacing w:val="4"/>
                <w:highlight w:val="none"/>
              </w:rPr>
              <w:t>招标人编制的最高投标限价（如</w:t>
            </w:r>
            <w:r>
              <w:rPr>
                <w:rFonts w:hint="eastAsia" w:ascii="宋体" w:hAnsi="宋体" w:eastAsia="宋体" w:cs="宋体"/>
                <w:color w:val="auto"/>
                <w:highlight w:val="none"/>
              </w:rPr>
              <w:t>有）</w:t>
            </w:r>
          </w:p>
        </w:tc>
        <w:tc>
          <w:tcPr>
            <w:tcW w:w="5489" w:type="dxa"/>
            <w:gridSpan w:val="4"/>
            <w:vAlign w:val="top"/>
          </w:tcPr>
          <w:p w14:paraId="51D171FF">
            <w:pPr>
              <w:rPr>
                <w:rFonts w:hint="eastAsia" w:ascii="宋体" w:hAnsi="宋体" w:eastAsia="宋体" w:cs="宋体"/>
                <w:color w:val="auto"/>
                <w:sz w:val="21"/>
                <w:highlight w:val="none"/>
              </w:rPr>
            </w:pPr>
          </w:p>
        </w:tc>
      </w:tr>
    </w:tbl>
    <w:p w14:paraId="213930B0">
      <w:pPr>
        <w:pStyle w:val="4"/>
        <w:spacing w:line="343" w:lineRule="auto"/>
        <w:rPr>
          <w:rFonts w:hint="eastAsia" w:ascii="宋体" w:hAnsi="宋体" w:eastAsia="宋体" w:cs="宋体"/>
          <w:color w:val="auto"/>
          <w:highlight w:val="none"/>
        </w:rPr>
      </w:pPr>
    </w:p>
    <w:p w14:paraId="2FA3B10C">
      <w:pPr>
        <w:pStyle w:val="4"/>
        <w:spacing w:line="343" w:lineRule="auto"/>
        <w:rPr>
          <w:rFonts w:hint="eastAsia" w:ascii="宋体" w:hAnsi="宋体" w:eastAsia="宋体" w:cs="宋体"/>
          <w:color w:val="auto"/>
          <w:highlight w:val="none"/>
        </w:rPr>
      </w:pPr>
    </w:p>
    <w:p w14:paraId="605B73F4">
      <w:pPr>
        <w:spacing w:before="65" w:line="228" w:lineRule="auto"/>
        <w:ind w:left="122"/>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4"/>
          <w:sz w:val="20"/>
          <w:szCs w:val="20"/>
          <w:highlight w:val="none"/>
        </w:rPr>
        <w:t>招标人代表：记录人：</w:t>
      </w:r>
    </w:p>
    <w:p w14:paraId="63028CAD">
      <w:pPr>
        <w:pStyle w:val="4"/>
        <w:spacing w:line="269" w:lineRule="auto"/>
        <w:rPr>
          <w:rFonts w:hint="eastAsia" w:ascii="宋体" w:hAnsi="宋体" w:eastAsia="宋体" w:cs="宋体"/>
          <w:color w:val="auto"/>
          <w:highlight w:val="none"/>
        </w:rPr>
      </w:pPr>
    </w:p>
    <w:p w14:paraId="639F534A">
      <w:pPr>
        <w:tabs>
          <w:tab w:val="left" w:pos="7252"/>
        </w:tabs>
        <w:spacing w:before="78" w:line="219" w:lineRule="auto"/>
        <w:ind w:left="62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auto"/>
        </w:rPr>
        <w:tab/>
      </w:r>
      <w:r>
        <w:rPr>
          <w:rFonts w:hint="eastAsia" w:ascii="宋体" w:hAnsi="宋体" w:eastAsia="宋体" w:cs="宋体"/>
          <w:color w:val="auto"/>
          <w:spacing w:val="-9"/>
          <w:sz w:val="24"/>
          <w:szCs w:val="24"/>
          <w:highlight w:val="none"/>
        </w:rPr>
        <w:t>年月日</w:t>
      </w:r>
    </w:p>
    <w:p w14:paraId="01814F97">
      <w:pPr>
        <w:spacing w:line="219" w:lineRule="auto"/>
        <w:rPr>
          <w:rFonts w:hint="eastAsia" w:ascii="宋体" w:hAnsi="宋体" w:eastAsia="宋体" w:cs="宋体"/>
          <w:color w:val="auto"/>
          <w:sz w:val="24"/>
          <w:szCs w:val="24"/>
          <w:highlight w:val="none"/>
        </w:rPr>
        <w:sectPr>
          <w:headerReference r:id="rId31" w:type="default"/>
          <w:footerReference r:id="rId32" w:type="default"/>
          <w:pgSz w:w="11907" w:h="16840"/>
          <w:pgMar w:top="1182" w:right="1216" w:bottom="1014" w:left="1684" w:header="849" w:footer="852" w:gutter="0"/>
          <w:pgNumType w:fmt="decimal"/>
          <w:cols w:space="720" w:num="1"/>
        </w:sectPr>
      </w:pPr>
    </w:p>
    <w:p w14:paraId="2E8F8018">
      <w:pPr>
        <w:pStyle w:val="4"/>
        <w:spacing w:line="277" w:lineRule="auto"/>
        <w:rPr>
          <w:rFonts w:hint="eastAsia" w:ascii="宋体" w:hAnsi="宋体" w:eastAsia="宋体" w:cs="宋体"/>
          <w:color w:val="auto"/>
          <w:highlight w:val="none"/>
        </w:rPr>
      </w:pPr>
    </w:p>
    <w:p w14:paraId="42787E6F">
      <w:pPr>
        <w:pStyle w:val="4"/>
        <w:spacing w:line="277" w:lineRule="auto"/>
        <w:rPr>
          <w:rFonts w:hint="eastAsia" w:ascii="宋体" w:hAnsi="宋体" w:eastAsia="宋体" w:cs="宋体"/>
          <w:color w:val="auto"/>
          <w:highlight w:val="none"/>
        </w:rPr>
      </w:pPr>
    </w:p>
    <w:p w14:paraId="670BF273">
      <w:pPr>
        <w:pStyle w:val="4"/>
        <w:spacing w:line="277" w:lineRule="auto"/>
        <w:rPr>
          <w:rFonts w:hint="eastAsia" w:ascii="宋体" w:hAnsi="宋体" w:eastAsia="宋体" w:cs="宋体"/>
          <w:color w:val="auto"/>
          <w:highlight w:val="none"/>
        </w:rPr>
      </w:pPr>
    </w:p>
    <w:p w14:paraId="60E34F9D">
      <w:pPr>
        <w:spacing w:before="78" w:line="222" w:lineRule="auto"/>
        <w:ind w:left="34"/>
        <w:outlineLvl w:val="1"/>
        <w:rPr>
          <w:rFonts w:hint="eastAsia" w:ascii="宋体" w:hAnsi="宋体" w:eastAsia="宋体" w:cs="宋体"/>
          <w:color w:val="auto"/>
          <w:sz w:val="24"/>
          <w:szCs w:val="24"/>
          <w:highlight w:val="none"/>
        </w:rPr>
      </w:pPr>
      <w:bookmarkStart w:id="377" w:name="bookmark58"/>
      <w:bookmarkEnd w:id="377"/>
      <w:bookmarkStart w:id="378" w:name="_Toc283"/>
      <w:bookmarkStart w:id="379" w:name="_Toc8260"/>
      <w:bookmarkStart w:id="380" w:name="_Toc30063"/>
      <w:bookmarkStart w:id="381" w:name="_Toc18750"/>
      <w:bookmarkStart w:id="382" w:name="_Toc29836"/>
      <w:r>
        <w:rPr>
          <w:rFonts w:hint="eastAsia" w:ascii="宋体" w:hAnsi="宋体" w:eastAsia="宋体" w:cs="宋体"/>
          <w:color w:val="auto"/>
          <w:spacing w:val="-6"/>
          <w:sz w:val="24"/>
          <w:szCs w:val="24"/>
          <w:highlight w:val="none"/>
        </w:rPr>
        <w:t>附件二问题澄清通知</w:t>
      </w:r>
      <w:bookmarkEnd w:id="378"/>
      <w:bookmarkEnd w:id="379"/>
      <w:bookmarkEnd w:id="380"/>
      <w:bookmarkEnd w:id="381"/>
      <w:bookmarkEnd w:id="382"/>
    </w:p>
    <w:p w14:paraId="014B4637">
      <w:pPr>
        <w:pStyle w:val="4"/>
        <w:spacing w:line="443" w:lineRule="auto"/>
        <w:rPr>
          <w:rFonts w:hint="eastAsia" w:ascii="宋体" w:hAnsi="宋体" w:eastAsia="宋体" w:cs="宋体"/>
          <w:color w:val="auto"/>
          <w:highlight w:val="none"/>
        </w:rPr>
      </w:pPr>
    </w:p>
    <w:p w14:paraId="25727F43">
      <w:pPr>
        <w:spacing w:before="91" w:line="223" w:lineRule="auto"/>
        <w:ind w:left="3606"/>
        <w:rPr>
          <w:rFonts w:hint="eastAsia" w:ascii="宋体" w:hAnsi="宋体" w:eastAsia="宋体" w:cs="宋体"/>
          <w:color w:val="auto"/>
          <w:sz w:val="28"/>
          <w:szCs w:val="28"/>
          <w:highlight w:val="none"/>
        </w:rPr>
      </w:pPr>
      <w:r>
        <w:rPr>
          <w:rFonts w:hint="eastAsia" w:ascii="宋体" w:hAnsi="宋体" w:eastAsia="宋体" w:cs="宋体"/>
          <w:color w:val="auto"/>
          <w:spacing w:val="-5"/>
          <w:sz w:val="28"/>
          <w:szCs w:val="28"/>
          <w:highlight w:val="none"/>
        </w:rPr>
        <w:t>问题澄清通知</w:t>
      </w:r>
    </w:p>
    <w:p w14:paraId="033812B4">
      <w:pPr>
        <w:spacing w:before="162" w:line="228" w:lineRule="auto"/>
        <w:ind w:left="2864"/>
        <w:rPr>
          <w:rFonts w:hint="eastAsia" w:ascii="宋体" w:hAnsi="宋体" w:eastAsia="宋体" w:cs="宋体"/>
          <w:color w:val="auto"/>
          <w:sz w:val="20"/>
          <w:szCs w:val="20"/>
          <w:highlight w:val="none"/>
        </w:rPr>
      </w:pPr>
      <w:r>
        <w:rPr>
          <w:rFonts w:hint="eastAsia" w:ascii="宋体" w:hAnsi="宋体" w:eastAsia="宋体" w:cs="宋体"/>
          <w:color w:val="auto"/>
          <w:spacing w:val="3"/>
          <w:sz w:val="20"/>
          <w:szCs w:val="20"/>
          <w:highlight w:val="none"/>
        </w:rPr>
        <w:t>（编号</w:t>
      </w:r>
      <w:r>
        <w:rPr>
          <w:rFonts w:hint="eastAsia" w:ascii="宋体" w:hAnsi="宋体" w:eastAsia="宋体" w:cs="宋体"/>
          <w:color w:val="auto"/>
          <w:spacing w:val="5"/>
          <w:sz w:val="20"/>
          <w:szCs w:val="20"/>
          <w:highlight w:val="none"/>
        </w:rPr>
        <w:t>：）</w:t>
      </w:r>
    </w:p>
    <w:p w14:paraId="5E1630B7">
      <w:pPr>
        <w:pStyle w:val="4"/>
        <w:spacing w:line="263" w:lineRule="auto"/>
        <w:rPr>
          <w:rFonts w:hint="eastAsia" w:ascii="宋体" w:hAnsi="宋体" w:eastAsia="宋体" w:cs="宋体"/>
          <w:color w:val="auto"/>
          <w:highlight w:val="none"/>
        </w:rPr>
      </w:pPr>
    </w:p>
    <w:p w14:paraId="1AF8FEAF">
      <w:pPr>
        <w:pStyle w:val="4"/>
        <w:spacing w:line="263" w:lineRule="auto"/>
        <w:rPr>
          <w:rFonts w:hint="eastAsia" w:ascii="宋体" w:hAnsi="宋体" w:eastAsia="宋体" w:cs="宋体"/>
          <w:color w:val="auto"/>
          <w:highlight w:val="none"/>
        </w:rPr>
      </w:pPr>
    </w:p>
    <w:p w14:paraId="0F5EC4C7">
      <w:pPr>
        <w:tabs>
          <w:tab w:val="left" w:pos="1810"/>
        </w:tabs>
        <w:spacing w:before="78" w:line="220" w:lineRule="auto"/>
        <w:ind w:left="1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auto"/>
        </w:rPr>
        <w:tab/>
      </w:r>
      <w:r>
        <w:rPr>
          <w:rFonts w:hint="eastAsia" w:ascii="宋体" w:hAnsi="宋体" w:eastAsia="宋体" w:cs="宋体"/>
          <w:color w:val="auto"/>
          <w:sz w:val="24"/>
          <w:szCs w:val="24"/>
          <w:highlight w:val="none"/>
        </w:rPr>
        <w:t>（投标人名称）：</w:t>
      </w:r>
    </w:p>
    <w:p w14:paraId="20F01AFE">
      <w:pPr>
        <w:pStyle w:val="4"/>
        <w:spacing w:line="256" w:lineRule="auto"/>
        <w:rPr>
          <w:rFonts w:hint="eastAsia" w:ascii="宋体" w:hAnsi="宋体" w:eastAsia="宋体" w:cs="宋体"/>
          <w:color w:val="auto"/>
          <w:highlight w:val="none"/>
        </w:rPr>
      </w:pPr>
    </w:p>
    <w:p w14:paraId="5F018EC5">
      <w:pPr>
        <w:pStyle w:val="4"/>
        <w:spacing w:line="256" w:lineRule="auto"/>
        <w:rPr>
          <w:rFonts w:hint="eastAsia" w:ascii="宋体" w:hAnsi="宋体" w:eastAsia="宋体" w:cs="宋体"/>
          <w:color w:val="auto"/>
          <w:highlight w:val="none"/>
        </w:rPr>
      </w:pPr>
    </w:p>
    <w:p w14:paraId="005DB65A">
      <w:pPr>
        <w:tabs>
          <w:tab w:val="left" w:pos="2050"/>
        </w:tabs>
        <w:spacing w:before="78" w:line="340" w:lineRule="auto"/>
        <w:ind w:left="21" w:firstLine="46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auto"/>
        </w:rPr>
        <w:tab/>
      </w:r>
      <w:r>
        <w:rPr>
          <w:rFonts w:hint="eastAsia" w:ascii="宋体" w:hAnsi="宋体" w:eastAsia="宋体" w:cs="宋体"/>
          <w:color w:val="auto"/>
          <w:spacing w:val="-2"/>
          <w:sz w:val="24"/>
          <w:szCs w:val="24"/>
          <w:highlight w:val="none"/>
        </w:rPr>
        <w:t>（项目名称）标段施工招标的评标委</w:t>
      </w:r>
      <w:r>
        <w:rPr>
          <w:rFonts w:hint="eastAsia" w:ascii="宋体" w:hAnsi="宋体" w:eastAsia="宋体" w:cs="宋体"/>
          <w:color w:val="auto"/>
          <w:spacing w:val="-3"/>
          <w:sz w:val="24"/>
          <w:szCs w:val="24"/>
          <w:highlight w:val="none"/>
        </w:rPr>
        <w:t>员会，对你方的投</w:t>
      </w:r>
      <w:r>
        <w:rPr>
          <w:rFonts w:hint="eastAsia" w:ascii="宋体" w:hAnsi="宋体" w:eastAsia="宋体" w:cs="宋体"/>
          <w:color w:val="auto"/>
          <w:sz w:val="24"/>
          <w:szCs w:val="24"/>
          <w:highlight w:val="none"/>
        </w:rPr>
        <w:t>标文件进行了仔细的审查，现需你方对下列问题以</w:t>
      </w:r>
      <w:r>
        <w:rPr>
          <w:rFonts w:hint="eastAsia" w:ascii="宋体" w:hAnsi="宋体" w:eastAsia="宋体" w:cs="宋体"/>
          <w:color w:val="auto"/>
          <w:spacing w:val="-1"/>
          <w:sz w:val="24"/>
          <w:szCs w:val="24"/>
          <w:highlight w:val="none"/>
        </w:rPr>
        <w:t>书面形式予以澄清或说明：</w:t>
      </w:r>
    </w:p>
    <w:p w14:paraId="34081203">
      <w:pPr>
        <w:pStyle w:val="4"/>
        <w:spacing w:line="405" w:lineRule="auto"/>
        <w:rPr>
          <w:rFonts w:hint="eastAsia" w:ascii="宋体" w:hAnsi="宋体" w:eastAsia="宋体" w:cs="宋体"/>
          <w:color w:val="auto"/>
          <w:highlight w:val="none"/>
        </w:rPr>
      </w:pPr>
    </w:p>
    <w:p w14:paraId="4D1819C4">
      <w:pPr>
        <w:spacing w:before="69" w:line="188" w:lineRule="auto"/>
        <w:ind w:left="519"/>
        <w:rPr>
          <w:rFonts w:hint="eastAsia" w:ascii="宋体" w:hAnsi="宋体" w:eastAsia="宋体" w:cs="宋体"/>
          <w:color w:val="auto"/>
          <w:sz w:val="24"/>
          <w:szCs w:val="24"/>
          <w:highlight w:val="none"/>
        </w:rPr>
      </w:pPr>
      <w:r>
        <w:rPr>
          <w:rFonts w:hint="eastAsia" w:ascii="宋体" w:hAnsi="宋体" w:eastAsia="宋体" w:cs="宋体"/>
          <w:color w:val="auto"/>
          <w:spacing w:val="-15"/>
          <w:sz w:val="24"/>
          <w:szCs w:val="24"/>
          <w:highlight w:val="none"/>
        </w:rPr>
        <w:t>1.</w:t>
      </w:r>
    </w:p>
    <w:p w14:paraId="3442DF2C">
      <w:pPr>
        <w:spacing w:before="223" w:line="188" w:lineRule="auto"/>
        <w:ind w:left="496"/>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2.</w:t>
      </w:r>
    </w:p>
    <w:p w14:paraId="37CE590C">
      <w:pPr>
        <w:pStyle w:val="4"/>
        <w:spacing w:line="295" w:lineRule="auto"/>
        <w:rPr>
          <w:rFonts w:hint="eastAsia" w:ascii="宋体" w:hAnsi="宋体" w:eastAsia="宋体" w:cs="宋体"/>
          <w:color w:val="auto"/>
          <w:highlight w:val="none"/>
        </w:rPr>
      </w:pPr>
    </w:p>
    <w:p w14:paraId="51460193">
      <w:pPr>
        <w:spacing w:before="70" w:line="75" w:lineRule="exact"/>
        <w:ind w:left="628"/>
        <w:rPr>
          <w:rFonts w:hint="eastAsia" w:ascii="宋体" w:hAnsi="宋体" w:eastAsia="宋体" w:cs="宋体"/>
          <w:color w:val="auto"/>
          <w:sz w:val="24"/>
          <w:szCs w:val="24"/>
          <w:highlight w:val="none"/>
        </w:rPr>
      </w:pPr>
      <w:r>
        <w:rPr>
          <w:rFonts w:hint="eastAsia" w:ascii="宋体" w:hAnsi="宋体" w:eastAsia="宋体" w:cs="宋体"/>
          <w:color w:val="auto"/>
          <w:position w:val="1"/>
          <w:sz w:val="24"/>
          <w:szCs w:val="24"/>
          <w:highlight w:val="none"/>
        </w:rPr>
        <w:t>......</w:t>
      </w:r>
    </w:p>
    <w:p w14:paraId="72BF38CB">
      <w:pPr>
        <w:pStyle w:val="4"/>
        <w:spacing w:line="269" w:lineRule="auto"/>
        <w:rPr>
          <w:rFonts w:hint="eastAsia" w:ascii="宋体" w:hAnsi="宋体" w:eastAsia="宋体" w:cs="宋体"/>
          <w:color w:val="auto"/>
          <w:highlight w:val="none"/>
        </w:rPr>
      </w:pPr>
    </w:p>
    <w:p w14:paraId="5B06AC16">
      <w:pPr>
        <w:pStyle w:val="4"/>
        <w:spacing w:line="269" w:lineRule="auto"/>
        <w:rPr>
          <w:rFonts w:hint="eastAsia" w:ascii="宋体" w:hAnsi="宋体" w:eastAsia="宋体" w:cs="宋体"/>
          <w:color w:val="auto"/>
          <w:highlight w:val="none"/>
        </w:rPr>
      </w:pPr>
    </w:p>
    <w:p w14:paraId="70E3CC08">
      <w:pPr>
        <w:spacing w:before="79" w:line="340" w:lineRule="auto"/>
        <w:ind w:left="22" w:firstLine="476"/>
        <w:jc w:val="both"/>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请将上述问题的澄清或说明于年月日时分前递交</w:t>
      </w:r>
      <w:r>
        <w:rPr>
          <w:rFonts w:hint="eastAsia" w:ascii="宋体" w:hAnsi="宋体" w:eastAsia="宋体" w:cs="宋体"/>
          <w:color w:val="auto"/>
          <w:spacing w:val="1"/>
          <w:sz w:val="24"/>
          <w:szCs w:val="24"/>
          <w:highlight w:val="none"/>
        </w:rPr>
        <w:t>至（详细地址）或传真至（传真号码）或通过下载招标文件的</w:t>
      </w:r>
      <w:r>
        <w:rPr>
          <w:rFonts w:hint="eastAsia" w:ascii="宋体" w:hAnsi="宋体" w:eastAsia="宋体" w:cs="宋体"/>
          <w:color w:val="auto"/>
          <w:spacing w:val="-1"/>
          <w:sz w:val="24"/>
          <w:szCs w:val="24"/>
          <w:highlight w:val="none"/>
        </w:rPr>
        <w:t>电子招标交易平台上传。采用传真方式的，应</w:t>
      </w:r>
      <w:r>
        <w:rPr>
          <w:rFonts w:hint="eastAsia" w:ascii="宋体" w:hAnsi="宋体" w:eastAsia="宋体" w:cs="宋体"/>
          <w:color w:val="auto"/>
          <w:spacing w:val="-2"/>
          <w:sz w:val="24"/>
          <w:szCs w:val="24"/>
          <w:highlight w:val="none"/>
        </w:rPr>
        <w:t>在年月日时</w:t>
      </w:r>
      <w:r>
        <w:rPr>
          <w:rFonts w:hint="eastAsia" w:ascii="宋体" w:hAnsi="宋体" w:eastAsia="宋体" w:cs="宋体"/>
          <w:color w:val="auto"/>
          <w:spacing w:val="-1"/>
          <w:sz w:val="24"/>
          <w:szCs w:val="24"/>
          <w:highlight w:val="none"/>
        </w:rPr>
        <w:t>分前将原件递交至（详细地址）。</w:t>
      </w:r>
    </w:p>
    <w:p w14:paraId="7E959038">
      <w:pPr>
        <w:pStyle w:val="4"/>
        <w:spacing w:line="263" w:lineRule="auto"/>
        <w:rPr>
          <w:rFonts w:hint="eastAsia" w:ascii="宋体" w:hAnsi="宋体" w:eastAsia="宋体" w:cs="宋体"/>
          <w:color w:val="auto"/>
          <w:highlight w:val="none"/>
        </w:rPr>
      </w:pPr>
    </w:p>
    <w:p w14:paraId="2386097A">
      <w:pPr>
        <w:pStyle w:val="4"/>
        <w:spacing w:line="264" w:lineRule="auto"/>
        <w:rPr>
          <w:rFonts w:hint="eastAsia" w:ascii="宋体" w:hAnsi="宋体" w:eastAsia="宋体" w:cs="宋体"/>
          <w:color w:val="auto"/>
          <w:highlight w:val="none"/>
        </w:rPr>
      </w:pPr>
    </w:p>
    <w:p w14:paraId="14301ED8">
      <w:pPr>
        <w:pStyle w:val="4"/>
        <w:spacing w:line="264" w:lineRule="auto"/>
        <w:rPr>
          <w:rFonts w:hint="eastAsia" w:ascii="宋体" w:hAnsi="宋体" w:eastAsia="宋体" w:cs="宋体"/>
          <w:color w:val="auto"/>
          <w:highlight w:val="none"/>
        </w:rPr>
      </w:pPr>
    </w:p>
    <w:p w14:paraId="6B8D6D0C">
      <w:pPr>
        <w:spacing w:before="78"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评标委员会授权的招标人或招标代理机构</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1"/>
          <w:sz w:val="24"/>
          <w:szCs w:val="24"/>
          <w:highlight w:val="none"/>
        </w:rPr>
        <w:t>签字或盖单位章）</w:t>
      </w:r>
    </w:p>
    <w:p w14:paraId="56752DCB">
      <w:pPr>
        <w:pStyle w:val="4"/>
        <w:spacing w:line="257" w:lineRule="auto"/>
        <w:rPr>
          <w:rFonts w:hint="eastAsia" w:ascii="宋体" w:hAnsi="宋体" w:eastAsia="宋体" w:cs="宋体"/>
          <w:color w:val="auto"/>
          <w:highlight w:val="none"/>
        </w:rPr>
      </w:pPr>
    </w:p>
    <w:p w14:paraId="7E1A9F7F">
      <w:pPr>
        <w:pStyle w:val="4"/>
        <w:spacing w:line="258" w:lineRule="auto"/>
        <w:rPr>
          <w:rFonts w:hint="eastAsia" w:ascii="宋体" w:hAnsi="宋体" w:eastAsia="宋体" w:cs="宋体"/>
          <w:color w:val="auto"/>
          <w:highlight w:val="none"/>
        </w:rPr>
      </w:pPr>
    </w:p>
    <w:p w14:paraId="6F4B583E">
      <w:pPr>
        <w:tabs>
          <w:tab w:val="left" w:pos="6099"/>
        </w:tabs>
        <w:spacing w:before="79" w:line="219" w:lineRule="auto"/>
        <w:ind w:left="4539"/>
        <w:outlineLvl w:val="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auto"/>
        </w:rPr>
        <w:tab/>
      </w:r>
      <w:bookmarkStart w:id="383" w:name="_Toc11846"/>
      <w:bookmarkStart w:id="384" w:name="_Toc8338"/>
      <w:bookmarkStart w:id="385" w:name="_Toc13317"/>
      <w:bookmarkStart w:id="386" w:name="_Toc6956"/>
      <w:bookmarkStart w:id="387" w:name="_Toc20644"/>
      <w:r>
        <w:rPr>
          <w:rFonts w:hint="eastAsia" w:ascii="宋体" w:hAnsi="宋体" w:eastAsia="宋体" w:cs="宋体"/>
          <w:color w:val="auto"/>
          <w:spacing w:val="-9"/>
          <w:sz w:val="24"/>
          <w:szCs w:val="24"/>
          <w:highlight w:val="none"/>
        </w:rPr>
        <w:t>年</w:t>
      </w:r>
      <w:r>
        <w:rPr>
          <w:rFonts w:hint="eastAsia" w:ascii="宋体" w:hAnsi="宋体" w:eastAsia="宋体" w:cs="宋体"/>
          <w:color w:val="auto"/>
          <w:spacing w:val="-9"/>
          <w:sz w:val="24"/>
          <w:szCs w:val="24"/>
          <w:highlight w:val="none"/>
          <w:lang w:val="en-US" w:eastAsia="zh-CN"/>
        </w:rPr>
        <w:t xml:space="preserve">  </w:t>
      </w:r>
      <w:r>
        <w:rPr>
          <w:rFonts w:hint="eastAsia" w:ascii="宋体" w:hAnsi="宋体" w:eastAsia="宋体" w:cs="宋体"/>
          <w:color w:val="auto"/>
          <w:spacing w:val="-9"/>
          <w:sz w:val="24"/>
          <w:szCs w:val="24"/>
          <w:highlight w:val="none"/>
        </w:rPr>
        <w:t>月</w:t>
      </w:r>
      <w:r>
        <w:rPr>
          <w:rFonts w:hint="eastAsia" w:ascii="宋体" w:hAnsi="宋体" w:eastAsia="宋体" w:cs="宋体"/>
          <w:color w:val="auto"/>
          <w:spacing w:val="-9"/>
          <w:sz w:val="24"/>
          <w:szCs w:val="24"/>
          <w:highlight w:val="none"/>
          <w:lang w:val="en-US" w:eastAsia="zh-CN"/>
        </w:rPr>
        <w:t xml:space="preserve">  </w:t>
      </w:r>
      <w:r>
        <w:rPr>
          <w:rFonts w:hint="eastAsia" w:ascii="宋体" w:hAnsi="宋体" w:eastAsia="宋体" w:cs="宋体"/>
          <w:color w:val="auto"/>
          <w:spacing w:val="-9"/>
          <w:sz w:val="24"/>
          <w:szCs w:val="24"/>
          <w:highlight w:val="none"/>
        </w:rPr>
        <w:t>日</w:t>
      </w:r>
      <w:bookmarkEnd w:id="383"/>
      <w:bookmarkEnd w:id="384"/>
      <w:bookmarkEnd w:id="385"/>
      <w:bookmarkEnd w:id="386"/>
      <w:bookmarkEnd w:id="387"/>
    </w:p>
    <w:p w14:paraId="4EAA2F62">
      <w:pPr>
        <w:spacing w:line="219" w:lineRule="auto"/>
        <w:rPr>
          <w:rFonts w:hint="eastAsia" w:ascii="宋体" w:hAnsi="宋体" w:eastAsia="宋体" w:cs="宋体"/>
          <w:color w:val="auto"/>
          <w:sz w:val="24"/>
          <w:szCs w:val="24"/>
          <w:highlight w:val="none"/>
        </w:rPr>
        <w:sectPr>
          <w:headerReference r:id="rId33" w:type="default"/>
          <w:footerReference r:id="rId34" w:type="default"/>
          <w:pgSz w:w="11907" w:h="16840"/>
          <w:pgMar w:top="1182" w:right="1289" w:bottom="1014" w:left="1786" w:header="849" w:footer="852" w:gutter="0"/>
          <w:pgNumType w:fmt="decimal"/>
          <w:cols w:space="720" w:num="1"/>
        </w:sectPr>
      </w:pPr>
    </w:p>
    <w:p w14:paraId="371374D6">
      <w:pPr>
        <w:spacing w:before="293" w:line="222" w:lineRule="auto"/>
        <w:ind w:left="34"/>
        <w:outlineLvl w:val="1"/>
        <w:rPr>
          <w:rFonts w:hint="eastAsia" w:ascii="宋体" w:hAnsi="宋体" w:eastAsia="宋体" w:cs="宋体"/>
          <w:color w:val="auto"/>
          <w:sz w:val="24"/>
          <w:szCs w:val="24"/>
          <w:highlight w:val="none"/>
        </w:rPr>
      </w:pPr>
      <w:bookmarkStart w:id="388" w:name="bookmark59"/>
      <w:bookmarkEnd w:id="388"/>
      <w:bookmarkStart w:id="389" w:name="_Toc9584"/>
      <w:bookmarkStart w:id="390" w:name="_Toc32292"/>
      <w:bookmarkStart w:id="391" w:name="_Toc7484"/>
      <w:bookmarkStart w:id="392" w:name="_Toc9795"/>
      <w:bookmarkStart w:id="393" w:name="_Toc3472"/>
      <w:r>
        <w:rPr>
          <w:rFonts w:hint="eastAsia" w:ascii="宋体" w:hAnsi="宋体" w:eastAsia="宋体" w:cs="宋体"/>
          <w:color w:val="auto"/>
          <w:spacing w:val="-6"/>
          <w:sz w:val="24"/>
          <w:szCs w:val="24"/>
          <w:highlight w:val="none"/>
        </w:rPr>
        <w:t>附件三问题的澄清</w:t>
      </w:r>
      <w:bookmarkEnd w:id="389"/>
      <w:bookmarkEnd w:id="390"/>
      <w:bookmarkEnd w:id="391"/>
      <w:bookmarkEnd w:id="392"/>
      <w:bookmarkEnd w:id="393"/>
    </w:p>
    <w:p w14:paraId="7D3DF3A8">
      <w:pPr>
        <w:spacing w:before="98" w:line="223" w:lineRule="auto"/>
        <w:ind w:left="3748"/>
        <w:rPr>
          <w:rFonts w:hint="eastAsia" w:ascii="宋体" w:hAnsi="宋体" w:eastAsia="宋体" w:cs="宋体"/>
          <w:color w:val="auto"/>
          <w:sz w:val="28"/>
          <w:szCs w:val="28"/>
          <w:highlight w:val="none"/>
        </w:rPr>
      </w:pPr>
      <w:r>
        <w:rPr>
          <w:rFonts w:hint="eastAsia" w:ascii="宋体" w:hAnsi="宋体" w:eastAsia="宋体" w:cs="宋体"/>
          <w:color w:val="auto"/>
          <w:spacing w:val="-5"/>
          <w:sz w:val="28"/>
          <w:szCs w:val="28"/>
          <w:highlight w:val="none"/>
        </w:rPr>
        <w:t>问题的澄清</w:t>
      </w:r>
    </w:p>
    <w:p w14:paraId="020AAD7F">
      <w:pPr>
        <w:spacing w:before="162" w:line="228" w:lineRule="auto"/>
        <w:ind w:left="3145"/>
        <w:rPr>
          <w:rFonts w:hint="eastAsia" w:ascii="宋体" w:hAnsi="宋体" w:eastAsia="宋体" w:cs="宋体"/>
          <w:color w:val="auto"/>
          <w:sz w:val="20"/>
          <w:szCs w:val="20"/>
          <w:highlight w:val="none"/>
        </w:rPr>
      </w:pPr>
      <w:r>
        <w:rPr>
          <w:rFonts w:hint="eastAsia" w:ascii="宋体" w:hAnsi="宋体" w:eastAsia="宋体" w:cs="宋体"/>
          <w:color w:val="auto"/>
          <w:spacing w:val="3"/>
          <w:sz w:val="20"/>
          <w:szCs w:val="20"/>
          <w:highlight w:val="none"/>
        </w:rPr>
        <w:t>（编号</w:t>
      </w:r>
      <w:r>
        <w:rPr>
          <w:rFonts w:hint="eastAsia" w:ascii="宋体" w:hAnsi="宋体" w:eastAsia="宋体" w:cs="宋体"/>
          <w:color w:val="auto"/>
          <w:spacing w:val="5"/>
          <w:sz w:val="20"/>
          <w:szCs w:val="20"/>
          <w:highlight w:val="none"/>
        </w:rPr>
        <w:t>：）</w:t>
      </w:r>
    </w:p>
    <w:p w14:paraId="1B40AA08">
      <w:pPr>
        <w:pStyle w:val="4"/>
        <w:spacing w:line="262" w:lineRule="auto"/>
        <w:rPr>
          <w:rFonts w:hint="eastAsia" w:ascii="宋体" w:hAnsi="宋体" w:eastAsia="宋体" w:cs="宋体"/>
          <w:color w:val="auto"/>
          <w:highlight w:val="none"/>
        </w:rPr>
      </w:pPr>
    </w:p>
    <w:p w14:paraId="4B0C1096">
      <w:pPr>
        <w:pStyle w:val="4"/>
        <w:spacing w:line="263" w:lineRule="auto"/>
        <w:rPr>
          <w:rFonts w:hint="eastAsia" w:ascii="宋体" w:hAnsi="宋体" w:eastAsia="宋体" w:cs="宋体"/>
          <w:color w:val="auto"/>
          <w:highlight w:val="none"/>
        </w:rPr>
      </w:pPr>
    </w:p>
    <w:p w14:paraId="494C5E39">
      <w:pPr>
        <w:tabs>
          <w:tab w:val="left" w:pos="2306"/>
        </w:tabs>
        <w:spacing w:before="78" w:line="219" w:lineRule="auto"/>
        <w:ind w:left="1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auto"/>
        </w:rPr>
        <w:tab/>
      </w:r>
      <w:r>
        <w:rPr>
          <w:rFonts w:hint="eastAsia" w:ascii="宋体" w:hAnsi="宋体" w:eastAsia="宋体" w:cs="宋体"/>
          <w:color w:val="auto"/>
          <w:spacing w:val="-9"/>
          <w:sz w:val="24"/>
          <w:szCs w:val="24"/>
          <w:highlight w:val="none"/>
          <w:u w:val="single" w:color="auto"/>
        </w:rPr>
        <w:t>（</w:t>
      </w:r>
      <w:r>
        <w:rPr>
          <w:rFonts w:hint="eastAsia" w:ascii="宋体" w:hAnsi="宋体" w:eastAsia="宋体" w:cs="宋体"/>
          <w:color w:val="auto"/>
          <w:spacing w:val="-9"/>
          <w:sz w:val="24"/>
          <w:szCs w:val="24"/>
          <w:highlight w:val="none"/>
        </w:rPr>
        <w:t>项目名称）标段施工招标评标委员会：</w:t>
      </w:r>
    </w:p>
    <w:p w14:paraId="5D5054E5">
      <w:pPr>
        <w:pStyle w:val="4"/>
        <w:spacing w:line="317" w:lineRule="auto"/>
        <w:rPr>
          <w:rFonts w:hint="eastAsia" w:ascii="宋体" w:hAnsi="宋体" w:eastAsia="宋体" w:cs="宋体"/>
          <w:color w:val="auto"/>
          <w:highlight w:val="none"/>
        </w:rPr>
      </w:pPr>
    </w:p>
    <w:p w14:paraId="3A5321CE">
      <w:pPr>
        <w:pStyle w:val="4"/>
        <w:spacing w:line="317" w:lineRule="auto"/>
        <w:rPr>
          <w:rFonts w:hint="eastAsia" w:ascii="宋体" w:hAnsi="宋体" w:eastAsia="宋体" w:cs="宋体"/>
          <w:color w:val="auto"/>
          <w:highlight w:val="none"/>
        </w:rPr>
      </w:pPr>
    </w:p>
    <w:p w14:paraId="6D328A38">
      <w:pPr>
        <w:pStyle w:val="4"/>
        <w:spacing w:line="318" w:lineRule="auto"/>
        <w:rPr>
          <w:rFonts w:hint="eastAsia" w:ascii="宋体" w:hAnsi="宋体" w:eastAsia="宋体" w:cs="宋体"/>
          <w:color w:val="auto"/>
          <w:highlight w:val="none"/>
        </w:rPr>
      </w:pPr>
    </w:p>
    <w:p w14:paraId="38DBB97D">
      <w:pPr>
        <w:spacing w:before="78" w:line="219" w:lineRule="auto"/>
        <w:ind w:left="528"/>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问题澄清通知（编号</w:t>
      </w:r>
      <w:r>
        <w:rPr>
          <w:rFonts w:hint="eastAsia" w:ascii="宋体" w:hAnsi="宋体" w:eastAsia="宋体" w:cs="宋体"/>
          <w:color w:val="auto"/>
          <w:spacing w:val="7"/>
          <w:sz w:val="24"/>
          <w:szCs w:val="24"/>
          <w:highlight w:val="none"/>
        </w:rPr>
        <w:t>：）</w:t>
      </w:r>
      <w:r>
        <w:rPr>
          <w:rFonts w:hint="eastAsia" w:ascii="宋体" w:hAnsi="宋体" w:eastAsia="宋体" w:cs="宋体"/>
          <w:color w:val="auto"/>
          <w:spacing w:val="-4"/>
          <w:sz w:val="24"/>
          <w:szCs w:val="24"/>
          <w:highlight w:val="none"/>
        </w:rPr>
        <w:t>已收悉，现澄清、说明如下：</w:t>
      </w:r>
    </w:p>
    <w:p w14:paraId="490DEA68">
      <w:pPr>
        <w:spacing w:before="195" w:line="188" w:lineRule="auto"/>
        <w:ind w:left="879"/>
        <w:rPr>
          <w:rFonts w:hint="eastAsia" w:ascii="宋体" w:hAnsi="宋体" w:eastAsia="宋体" w:cs="宋体"/>
          <w:color w:val="auto"/>
          <w:sz w:val="24"/>
          <w:szCs w:val="24"/>
          <w:highlight w:val="none"/>
        </w:rPr>
      </w:pPr>
      <w:r>
        <w:rPr>
          <w:rFonts w:hint="eastAsia" w:ascii="宋体" w:hAnsi="宋体" w:eastAsia="宋体" w:cs="宋体"/>
          <w:color w:val="auto"/>
          <w:spacing w:val="-15"/>
          <w:sz w:val="24"/>
          <w:szCs w:val="24"/>
          <w:highlight w:val="none"/>
        </w:rPr>
        <w:t>1.</w:t>
      </w:r>
    </w:p>
    <w:p w14:paraId="3977AF6D">
      <w:pPr>
        <w:spacing w:before="223" w:line="188" w:lineRule="auto"/>
        <w:ind w:left="856"/>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2.</w:t>
      </w:r>
    </w:p>
    <w:p w14:paraId="52D90722">
      <w:pPr>
        <w:pStyle w:val="4"/>
        <w:spacing w:line="244" w:lineRule="auto"/>
        <w:rPr>
          <w:rFonts w:hint="eastAsia" w:ascii="宋体" w:hAnsi="宋体" w:eastAsia="宋体" w:cs="宋体"/>
          <w:color w:val="auto"/>
          <w:highlight w:val="none"/>
        </w:rPr>
      </w:pPr>
    </w:p>
    <w:p w14:paraId="555815C1">
      <w:pPr>
        <w:pStyle w:val="4"/>
        <w:spacing w:line="244" w:lineRule="auto"/>
        <w:rPr>
          <w:rFonts w:hint="eastAsia" w:ascii="宋体" w:hAnsi="宋体" w:eastAsia="宋体" w:cs="宋体"/>
          <w:color w:val="auto"/>
          <w:highlight w:val="none"/>
        </w:rPr>
      </w:pPr>
    </w:p>
    <w:p w14:paraId="366777C1">
      <w:pPr>
        <w:pStyle w:val="4"/>
        <w:spacing w:line="244" w:lineRule="auto"/>
        <w:rPr>
          <w:rFonts w:hint="eastAsia" w:ascii="宋体" w:hAnsi="宋体" w:eastAsia="宋体" w:cs="宋体"/>
          <w:color w:val="auto"/>
          <w:highlight w:val="none"/>
        </w:rPr>
      </w:pPr>
    </w:p>
    <w:p w14:paraId="3542B2E8">
      <w:pPr>
        <w:spacing w:before="70" w:line="75" w:lineRule="exact"/>
        <w:ind w:left="748"/>
        <w:rPr>
          <w:rFonts w:hint="eastAsia" w:ascii="宋体" w:hAnsi="宋体" w:eastAsia="宋体" w:cs="宋体"/>
          <w:color w:val="auto"/>
          <w:sz w:val="24"/>
          <w:szCs w:val="24"/>
          <w:highlight w:val="none"/>
        </w:rPr>
      </w:pPr>
      <w:r>
        <w:rPr>
          <w:rFonts w:hint="eastAsia" w:ascii="宋体" w:hAnsi="宋体" w:eastAsia="宋体" w:cs="宋体"/>
          <w:color w:val="auto"/>
          <w:position w:val="1"/>
          <w:sz w:val="24"/>
          <w:szCs w:val="24"/>
          <w:highlight w:val="none"/>
        </w:rPr>
        <w:t>.....</w:t>
      </w:r>
    </w:p>
    <w:p w14:paraId="59A9FB66">
      <w:pPr>
        <w:pStyle w:val="4"/>
        <w:spacing w:line="283" w:lineRule="auto"/>
        <w:rPr>
          <w:rFonts w:hint="eastAsia" w:ascii="宋体" w:hAnsi="宋体" w:eastAsia="宋体" w:cs="宋体"/>
          <w:color w:val="auto"/>
          <w:highlight w:val="none"/>
        </w:rPr>
      </w:pPr>
    </w:p>
    <w:p w14:paraId="405BB766">
      <w:pPr>
        <w:pStyle w:val="4"/>
        <w:spacing w:line="283" w:lineRule="auto"/>
        <w:rPr>
          <w:rFonts w:hint="eastAsia" w:ascii="宋体" w:hAnsi="宋体" w:eastAsia="宋体" w:cs="宋体"/>
          <w:color w:val="auto"/>
          <w:highlight w:val="none"/>
        </w:rPr>
      </w:pPr>
    </w:p>
    <w:p w14:paraId="06E19D9D">
      <w:pPr>
        <w:pStyle w:val="4"/>
        <w:spacing w:line="283" w:lineRule="auto"/>
        <w:rPr>
          <w:rFonts w:hint="eastAsia" w:ascii="宋体" w:hAnsi="宋体" w:eastAsia="宋体" w:cs="宋体"/>
          <w:color w:val="auto"/>
          <w:highlight w:val="none"/>
        </w:rPr>
      </w:pPr>
    </w:p>
    <w:p w14:paraId="778190E2">
      <w:pPr>
        <w:pStyle w:val="4"/>
        <w:spacing w:line="283" w:lineRule="auto"/>
        <w:rPr>
          <w:rFonts w:hint="eastAsia" w:ascii="宋体" w:hAnsi="宋体" w:eastAsia="宋体" w:cs="宋体"/>
          <w:color w:val="auto"/>
          <w:highlight w:val="none"/>
        </w:rPr>
      </w:pPr>
    </w:p>
    <w:p w14:paraId="6B388FBC">
      <w:pPr>
        <w:pStyle w:val="4"/>
        <w:spacing w:line="284" w:lineRule="auto"/>
        <w:rPr>
          <w:rFonts w:hint="eastAsia" w:ascii="宋体" w:hAnsi="宋体" w:eastAsia="宋体" w:cs="宋体"/>
          <w:color w:val="auto"/>
          <w:highlight w:val="none"/>
        </w:rPr>
      </w:pPr>
    </w:p>
    <w:p w14:paraId="126F383F">
      <w:pPr>
        <w:spacing w:before="78" w:line="340" w:lineRule="auto"/>
        <w:ind w:left="23" w:firstLine="47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上述问题澄清或说明，不改变我方投标文件的实质性内容，构成我方投标</w:t>
      </w:r>
      <w:r>
        <w:rPr>
          <w:rFonts w:hint="eastAsia" w:ascii="宋体" w:hAnsi="宋体" w:eastAsia="宋体" w:cs="宋体"/>
          <w:color w:val="auto"/>
          <w:spacing w:val="-3"/>
          <w:sz w:val="24"/>
          <w:szCs w:val="24"/>
          <w:highlight w:val="none"/>
        </w:rPr>
        <w:t>文件的组成部分。</w:t>
      </w:r>
    </w:p>
    <w:p w14:paraId="1159EEF4">
      <w:pPr>
        <w:pStyle w:val="4"/>
        <w:spacing w:line="323" w:lineRule="auto"/>
        <w:rPr>
          <w:rFonts w:hint="eastAsia" w:ascii="宋体" w:hAnsi="宋体" w:eastAsia="宋体" w:cs="宋体"/>
          <w:color w:val="auto"/>
          <w:highlight w:val="none"/>
        </w:rPr>
      </w:pPr>
    </w:p>
    <w:p w14:paraId="064FF306">
      <w:pPr>
        <w:pStyle w:val="4"/>
        <w:spacing w:line="323" w:lineRule="auto"/>
        <w:rPr>
          <w:rFonts w:hint="eastAsia" w:ascii="宋体" w:hAnsi="宋体" w:eastAsia="宋体" w:cs="宋体"/>
          <w:color w:val="auto"/>
          <w:highlight w:val="none"/>
        </w:rPr>
      </w:pPr>
    </w:p>
    <w:p w14:paraId="02BA8620">
      <w:pPr>
        <w:spacing w:before="79" w:line="373" w:lineRule="auto"/>
        <w:ind w:left="4343"/>
        <w:rPr>
          <w:rFonts w:hint="eastAsia" w:ascii="宋体" w:hAnsi="宋体" w:eastAsia="宋体" w:cs="宋体"/>
          <w:color w:val="auto"/>
          <w:sz w:val="15"/>
          <w:szCs w:val="15"/>
          <w:highlight w:val="none"/>
        </w:rPr>
      </w:pPr>
      <w:r>
        <w:rPr>
          <w:rFonts w:hint="eastAsia" w:ascii="宋体" w:hAnsi="宋体" w:eastAsia="宋体" w:cs="宋体"/>
          <w:color w:val="auto"/>
          <w:spacing w:val="2"/>
          <w:sz w:val="24"/>
          <w:szCs w:val="24"/>
          <w:highlight w:val="none"/>
        </w:rPr>
        <w:t>投标人</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2"/>
          <w:sz w:val="24"/>
          <w:szCs w:val="24"/>
          <w:highlight w:val="none"/>
        </w:rPr>
        <w:t>盖单位章）</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"bookmark60" </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2"/>
          <w:position w:val="7"/>
          <w:sz w:val="15"/>
          <w:szCs w:val="15"/>
          <w:highlight w:val="none"/>
        </w:rPr>
        <w:t>2</w:t>
      </w:r>
      <w:r>
        <w:rPr>
          <w:rFonts w:hint="eastAsia" w:ascii="宋体" w:hAnsi="宋体" w:eastAsia="宋体" w:cs="宋体"/>
          <w:color w:val="auto"/>
          <w:spacing w:val="2"/>
          <w:position w:val="7"/>
          <w:sz w:val="15"/>
          <w:szCs w:val="15"/>
          <w:highlight w:val="none"/>
        </w:rPr>
        <w:fldChar w:fldCharType="end"/>
      </w:r>
    </w:p>
    <w:p w14:paraId="22DAB57C">
      <w:pPr>
        <w:spacing w:before="104"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签字）</w:t>
      </w:r>
    </w:p>
    <w:p w14:paraId="4A7216C1">
      <w:pPr>
        <w:pStyle w:val="4"/>
        <w:spacing w:line="256" w:lineRule="auto"/>
        <w:rPr>
          <w:rFonts w:hint="eastAsia" w:ascii="宋体" w:hAnsi="宋体" w:eastAsia="宋体" w:cs="宋体"/>
          <w:color w:val="auto"/>
          <w:highlight w:val="none"/>
        </w:rPr>
      </w:pPr>
    </w:p>
    <w:p w14:paraId="05E63810">
      <w:pPr>
        <w:pStyle w:val="4"/>
        <w:spacing w:line="256" w:lineRule="auto"/>
        <w:rPr>
          <w:rFonts w:hint="eastAsia" w:ascii="宋体" w:hAnsi="宋体" w:eastAsia="宋体" w:cs="宋体"/>
          <w:color w:val="auto"/>
          <w:highlight w:val="none"/>
        </w:rPr>
      </w:pPr>
    </w:p>
    <w:p w14:paraId="49C769A8">
      <w:pPr>
        <w:tabs>
          <w:tab w:val="left" w:pos="6192"/>
        </w:tabs>
        <w:spacing w:before="78" w:line="219" w:lineRule="auto"/>
        <w:ind w:left="4873"/>
        <w:outlineLvl w:val="1"/>
        <w:rPr>
          <w:rFonts w:hint="eastAsia" w:ascii="宋体" w:hAnsi="宋体" w:eastAsia="宋体" w:cs="宋体"/>
          <w:color w:val="auto"/>
          <w:sz w:val="24"/>
          <w:szCs w:val="24"/>
          <w:highlight w:val="none"/>
        </w:rPr>
      </w:pPr>
      <w:bookmarkStart w:id="394" w:name="bookmark60"/>
      <w:bookmarkEnd w:id="394"/>
      <w:r>
        <w:rPr>
          <w:rFonts w:hint="eastAsia" w:ascii="宋体" w:hAnsi="宋体" w:eastAsia="宋体" w:cs="宋体"/>
          <w:color w:val="auto"/>
          <w:sz w:val="24"/>
          <w:szCs w:val="24"/>
          <w:highlight w:val="none"/>
          <w:u w:val="single" w:color="auto"/>
        </w:rPr>
        <w:tab/>
      </w:r>
      <w:bookmarkStart w:id="395" w:name="_Toc23809"/>
      <w:bookmarkStart w:id="396" w:name="_Toc13892"/>
      <w:bookmarkStart w:id="397" w:name="_Toc13084"/>
      <w:bookmarkStart w:id="398" w:name="_Toc10812"/>
      <w:bookmarkStart w:id="399" w:name="_Toc25833"/>
      <w:r>
        <w:rPr>
          <w:rFonts w:hint="eastAsia" w:ascii="宋体" w:hAnsi="宋体" w:eastAsia="宋体" w:cs="宋体"/>
          <w:color w:val="auto"/>
          <w:spacing w:val="-9"/>
          <w:sz w:val="24"/>
          <w:szCs w:val="24"/>
          <w:highlight w:val="none"/>
        </w:rPr>
        <w:t>年月日</w:t>
      </w:r>
      <w:bookmarkEnd w:id="395"/>
      <w:bookmarkEnd w:id="396"/>
      <w:bookmarkEnd w:id="397"/>
      <w:bookmarkEnd w:id="398"/>
      <w:bookmarkEnd w:id="399"/>
    </w:p>
    <w:p w14:paraId="3B75B098">
      <w:pPr>
        <w:pStyle w:val="4"/>
        <w:spacing w:line="246" w:lineRule="auto"/>
        <w:rPr>
          <w:rFonts w:hint="eastAsia" w:ascii="宋体" w:hAnsi="宋体" w:eastAsia="宋体" w:cs="宋体"/>
          <w:color w:val="auto"/>
          <w:highlight w:val="none"/>
        </w:rPr>
      </w:pPr>
    </w:p>
    <w:p w14:paraId="76646AFC">
      <w:pPr>
        <w:pStyle w:val="4"/>
        <w:spacing w:line="246" w:lineRule="auto"/>
        <w:rPr>
          <w:rFonts w:hint="eastAsia" w:ascii="宋体" w:hAnsi="宋体" w:eastAsia="宋体" w:cs="宋体"/>
          <w:color w:val="auto"/>
          <w:highlight w:val="none"/>
        </w:rPr>
      </w:pPr>
    </w:p>
    <w:p w14:paraId="4DDBAED1">
      <w:pPr>
        <w:pStyle w:val="4"/>
        <w:spacing w:line="246" w:lineRule="auto"/>
        <w:rPr>
          <w:rFonts w:hint="eastAsia" w:ascii="宋体" w:hAnsi="宋体" w:eastAsia="宋体" w:cs="宋体"/>
          <w:color w:val="auto"/>
          <w:highlight w:val="none"/>
        </w:rPr>
      </w:pPr>
    </w:p>
    <w:p w14:paraId="4224ABFB">
      <w:pPr>
        <w:pStyle w:val="4"/>
        <w:spacing w:line="246" w:lineRule="auto"/>
        <w:rPr>
          <w:rFonts w:hint="eastAsia" w:ascii="宋体" w:hAnsi="宋体" w:eastAsia="宋体" w:cs="宋体"/>
          <w:color w:val="auto"/>
          <w:highlight w:val="none"/>
        </w:rPr>
      </w:pPr>
    </w:p>
    <w:p w14:paraId="3E1CB7FD">
      <w:pPr>
        <w:pStyle w:val="4"/>
        <w:spacing w:line="246" w:lineRule="auto"/>
        <w:rPr>
          <w:rFonts w:hint="eastAsia" w:ascii="宋体" w:hAnsi="宋体" w:eastAsia="宋体" w:cs="宋体"/>
          <w:color w:val="auto"/>
          <w:highlight w:val="none"/>
        </w:rPr>
      </w:pPr>
    </w:p>
    <w:p w14:paraId="73BEF489">
      <w:pPr>
        <w:pStyle w:val="4"/>
        <w:spacing w:line="246" w:lineRule="auto"/>
        <w:rPr>
          <w:rFonts w:hint="eastAsia" w:ascii="宋体" w:hAnsi="宋体" w:eastAsia="宋体" w:cs="宋体"/>
          <w:color w:val="auto"/>
          <w:highlight w:val="none"/>
        </w:rPr>
      </w:pPr>
    </w:p>
    <w:p w14:paraId="1DDA3861">
      <w:pPr>
        <w:pStyle w:val="4"/>
        <w:spacing w:line="246" w:lineRule="auto"/>
        <w:rPr>
          <w:rFonts w:hint="eastAsia" w:ascii="宋体" w:hAnsi="宋体" w:eastAsia="宋体" w:cs="宋体"/>
          <w:color w:val="auto"/>
          <w:highlight w:val="none"/>
        </w:rPr>
      </w:pPr>
    </w:p>
    <w:p w14:paraId="06EB34AB">
      <w:pPr>
        <w:pStyle w:val="4"/>
        <w:spacing w:line="246" w:lineRule="auto"/>
        <w:rPr>
          <w:rFonts w:hint="eastAsia" w:ascii="宋体" w:hAnsi="宋体" w:eastAsia="宋体" w:cs="宋体"/>
          <w:color w:val="auto"/>
          <w:highlight w:val="none"/>
        </w:rPr>
      </w:pPr>
    </w:p>
    <w:p w14:paraId="6B1BAFD9">
      <w:pPr>
        <w:pStyle w:val="4"/>
        <w:spacing w:line="246" w:lineRule="auto"/>
        <w:rPr>
          <w:rFonts w:hint="eastAsia" w:ascii="宋体" w:hAnsi="宋体" w:eastAsia="宋体" w:cs="宋体"/>
          <w:color w:val="auto"/>
          <w:highlight w:val="none"/>
        </w:rPr>
      </w:pPr>
    </w:p>
    <w:p w14:paraId="3CFAEDDB">
      <w:pPr>
        <w:pStyle w:val="4"/>
        <w:spacing w:line="246" w:lineRule="auto"/>
        <w:rPr>
          <w:rFonts w:hint="eastAsia" w:ascii="宋体" w:hAnsi="宋体" w:eastAsia="宋体" w:cs="宋体"/>
          <w:color w:val="auto"/>
          <w:highlight w:val="none"/>
        </w:rPr>
      </w:pPr>
    </w:p>
    <w:p w14:paraId="7793C343">
      <w:pPr>
        <w:pStyle w:val="4"/>
        <w:spacing w:line="246" w:lineRule="auto"/>
        <w:rPr>
          <w:rFonts w:hint="eastAsia" w:ascii="宋体" w:hAnsi="宋体" w:eastAsia="宋体" w:cs="宋体"/>
          <w:color w:val="auto"/>
          <w:highlight w:val="none"/>
        </w:rPr>
      </w:pPr>
    </w:p>
    <w:p w14:paraId="64AD86C9">
      <w:pPr>
        <w:pStyle w:val="4"/>
        <w:spacing w:line="246" w:lineRule="auto"/>
        <w:rPr>
          <w:rFonts w:hint="eastAsia" w:ascii="宋体" w:hAnsi="宋体" w:eastAsia="宋体" w:cs="宋体"/>
          <w:color w:val="auto"/>
          <w:highlight w:val="none"/>
        </w:rPr>
      </w:pPr>
    </w:p>
    <w:p w14:paraId="4B4E6398">
      <w:pPr>
        <w:pStyle w:val="4"/>
        <w:spacing w:line="246" w:lineRule="auto"/>
        <w:rPr>
          <w:rFonts w:hint="eastAsia" w:ascii="宋体" w:hAnsi="宋体" w:eastAsia="宋体" w:cs="宋体"/>
          <w:color w:val="auto"/>
          <w:highlight w:val="none"/>
        </w:rPr>
      </w:pPr>
    </w:p>
    <w:p w14:paraId="2EEC7D6F">
      <w:pPr>
        <w:pStyle w:val="4"/>
        <w:spacing w:line="246" w:lineRule="auto"/>
        <w:rPr>
          <w:rFonts w:hint="eastAsia" w:ascii="宋体" w:hAnsi="宋体" w:eastAsia="宋体" w:cs="宋体"/>
          <w:color w:val="auto"/>
          <w:highlight w:val="none"/>
        </w:rPr>
      </w:pPr>
    </w:p>
    <w:p w14:paraId="2909CD9D">
      <w:pPr>
        <w:pStyle w:val="4"/>
        <w:spacing w:line="246" w:lineRule="auto"/>
        <w:rPr>
          <w:rFonts w:hint="eastAsia" w:ascii="宋体" w:hAnsi="宋体" w:eastAsia="宋体" w:cs="宋体"/>
          <w:color w:val="auto"/>
          <w:highlight w:val="none"/>
        </w:rPr>
      </w:pPr>
      <w:r>
        <w:rPr>
          <w:rFonts w:hint="eastAsia" w:ascii="宋体" w:hAnsi="宋体" w:eastAsia="宋体" w:cs="宋体"/>
          <w:color w:val="auto"/>
          <w:highlight w:val="none"/>
        </w:rPr>
        <w:pict>
          <v:shape id="_x0000_s1033" o:spid="_x0000_s1033" style="position:absolute;left:0pt;margin-left:0.5pt;margin-top:4.5pt;height:0pt;width:144pt;z-index:251671552;mso-width-relative:page;mso-height-relative:page;" filled="f" stroked="t" coordsize="2880,0" path="m0,0l2880,0e">
            <v:fill on="f" focussize="0,0"/>
            <v:stroke weight="0pt" color="#000000" miterlimit="0" joinstyle="bevel" endcap="square"/>
            <v:imagedata o:title=""/>
            <o:lock v:ext="edit"/>
          </v:shape>
        </w:pict>
      </w:r>
    </w:p>
    <w:p w14:paraId="6594CFBD">
      <w:pPr>
        <w:spacing w:before="59" w:line="219" w:lineRule="auto"/>
        <w:ind w:left="13"/>
        <w:rPr>
          <w:rFonts w:hint="eastAsia" w:ascii="宋体" w:hAnsi="宋体" w:eastAsia="宋体" w:cs="宋体"/>
          <w:color w:val="auto"/>
          <w:sz w:val="18"/>
          <w:szCs w:val="18"/>
          <w:highlight w:val="none"/>
        </w:rPr>
      </w:pPr>
      <w:r>
        <w:rPr>
          <w:rFonts w:hint="eastAsia" w:ascii="宋体" w:hAnsi="宋体" w:eastAsia="宋体" w:cs="宋体"/>
          <w:color w:val="auto"/>
          <w:position w:val="6"/>
          <w:sz w:val="11"/>
          <w:szCs w:val="11"/>
          <w:highlight w:val="none"/>
        </w:rPr>
        <w:t>2</w:t>
      </w:r>
      <w:r>
        <w:rPr>
          <w:rFonts w:hint="eastAsia" w:ascii="宋体" w:hAnsi="宋体" w:eastAsia="宋体" w:cs="宋体"/>
          <w:color w:val="auto"/>
          <w:sz w:val="18"/>
          <w:szCs w:val="18"/>
          <w:highlight w:val="none"/>
        </w:rPr>
        <w:t>投标人仅须在投标文件的澄清或说明上加盖单位章，或由法定代表人或其委托代理人签字。</w:t>
      </w:r>
    </w:p>
    <w:p w14:paraId="1570CE00">
      <w:pPr>
        <w:spacing w:line="219" w:lineRule="auto"/>
        <w:rPr>
          <w:rFonts w:hint="eastAsia" w:ascii="宋体" w:hAnsi="宋体" w:eastAsia="宋体" w:cs="宋体"/>
          <w:color w:val="auto"/>
          <w:sz w:val="18"/>
          <w:szCs w:val="18"/>
          <w:highlight w:val="none"/>
        </w:rPr>
        <w:sectPr>
          <w:headerReference r:id="rId35" w:type="default"/>
          <w:footerReference r:id="rId36" w:type="default"/>
          <w:pgSz w:w="11907" w:h="16840"/>
          <w:pgMar w:top="1182" w:right="1289" w:bottom="1014" w:left="1786" w:header="849" w:footer="852" w:gutter="0"/>
          <w:pgNumType w:fmt="decimal"/>
          <w:cols w:space="720" w:num="1"/>
        </w:sectPr>
      </w:pPr>
    </w:p>
    <w:p w14:paraId="6BE0351E">
      <w:pPr>
        <w:spacing w:before="293" w:line="222" w:lineRule="auto"/>
        <w:ind w:left="34"/>
        <w:outlineLvl w:val="1"/>
        <w:rPr>
          <w:rFonts w:hint="eastAsia" w:ascii="宋体" w:hAnsi="宋体" w:eastAsia="宋体" w:cs="宋体"/>
          <w:color w:val="auto"/>
          <w:sz w:val="24"/>
          <w:szCs w:val="24"/>
          <w:highlight w:val="none"/>
        </w:rPr>
      </w:pPr>
      <w:bookmarkStart w:id="400" w:name="bookmark61"/>
      <w:bookmarkEnd w:id="400"/>
      <w:bookmarkStart w:id="401" w:name="_Toc7385"/>
      <w:bookmarkStart w:id="402" w:name="_Toc2508"/>
      <w:bookmarkStart w:id="403" w:name="_Toc25506"/>
      <w:bookmarkStart w:id="404" w:name="_Toc14996"/>
      <w:bookmarkStart w:id="405" w:name="_Toc9384"/>
      <w:r>
        <w:rPr>
          <w:rFonts w:hint="eastAsia" w:ascii="宋体" w:hAnsi="宋体" w:eastAsia="宋体" w:cs="宋体"/>
          <w:color w:val="auto"/>
          <w:spacing w:val="-7"/>
          <w:sz w:val="24"/>
          <w:szCs w:val="24"/>
          <w:highlight w:val="none"/>
        </w:rPr>
        <w:t>附件四中标通知书</w:t>
      </w:r>
      <w:bookmarkEnd w:id="401"/>
      <w:bookmarkEnd w:id="402"/>
      <w:bookmarkEnd w:id="403"/>
      <w:bookmarkEnd w:id="404"/>
      <w:bookmarkEnd w:id="405"/>
    </w:p>
    <w:p w14:paraId="19D558BD">
      <w:pPr>
        <w:pStyle w:val="4"/>
        <w:spacing w:line="445" w:lineRule="auto"/>
        <w:rPr>
          <w:rFonts w:hint="eastAsia" w:ascii="宋体" w:hAnsi="宋体" w:eastAsia="宋体" w:cs="宋体"/>
          <w:color w:val="auto"/>
          <w:highlight w:val="none"/>
        </w:rPr>
      </w:pPr>
    </w:p>
    <w:p w14:paraId="7C4A30B7">
      <w:pPr>
        <w:spacing w:before="91" w:line="223" w:lineRule="auto"/>
        <w:ind w:left="3682"/>
        <w:rPr>
          <w:rFonts w:hint="eastAsia" w:ascii="宋体" w:hAnsi="宋体" w:eastAsia="宋体" w:cs="宋体"/>
          <w:color w:val="auto"/>
          <w:sz w:val="28"/>
          <w:szCs w:val="28"/>
          <w:highlight w:val="none"/>
        </w:rPr>
      </w:pPr>
      <w:r>
        <w:rPr>
          <w:rFonts w:hint="eastAsia" w:ascii="宋体" w:hAnsi="宋体" w:eastAsia="宋体" w:cs="宋体"/>
          <w:color w:val="auto"/>
          <w:spacing w:val="-7"/>
          <w:sz w:val="28"/>
          <w:szCs w:val="28"/>
          <w:highlight w:val="none"/>
        </w:rPr>
        <w:t>中标通知书</w:t>
      </w:r>
    </w:p>
    <w:p w14:paraId="42CA7F32">
      <w:pPr>
        <w:pStyle w:val="4"/>
        <w:spacing w:line="247" w:lineRule="auto"/>
        <w:rPr>
          <w:rFonts w:hint="eastAsia" w:ascii="宋体" w:hAnsi="宋体" w:eastAsia="宋体" w:cs="宋体"/>
          <w:color w:val="auto"/>
          <w:highlight w:val="none"/>
        </w:rPr>
      </w:pPr>
    </w:p>
    <w:p w14:paraId="02F99E38">
      <w:pPr>
        <w:pStyle w:val="4"/>
        <w:spacing w:line="247" w:lineRule="auto"/>
        <w:rPr>
          <w:rFonts w:hint="eastAsia" w:ascii="宋体" w:hAnsi="宋体" w:eastAsia="宋体" w:cs="宋体"/>
          <w:color w:val="auto"/>
          <w:highlight w:val="none"/>
        </w:rPr>
      </w:pPr>
    </w:p>
    <w:p w14:paraId="7A815246">
      <w:pPr>
        <w:tabs>
          <w:tab w:val="left" w:pos="2410"/>
        </w:tabs>
        <w:spacing w:before="78"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auto"/>
        </w:rPr>
        <w:tab/>
      </w:r>
      <w:r>
        <w:rPr>
          <w:rFonts w:hint="eastAsia" w:ascii="宋体" w:hAnsi="宋体" w:eastAsia="宋体" w:cs="宋体"/>
          <w:color w:val="auto"/>
          <w:sz w:val="24"/>
          <w:szCs w:val="24"/>
          <w:highlight w:val="none"/>
        </w:rPr>
        <w:t>（中标人名称）：</w:t>
      </w:r>
    </w:p>
    <w:p w14:paraId="502FD3E0">
      <w:pPr>
        <w:pStyle w:val="4"/>
        <w:spacing w:line="256" w:lineRule="auto"/>
        <w:rPr>
          <w:rFonts w:hint="eastAsia" w:ascii="宋体" w:hAnsi="宋体" w:eastAsia="宋体" w:cs="宋体"/>
          <w:color w:val="auto"/>
          <w:highlight w:val="none"/>
        </w:rPr>
      </w:pPr>
    </w:p>
    <w:p w14:paraId="00A1FFBC">
      <w:pPr>
        <w:pStyle w:val="4"/>
        <w:spacing w:line="256" w:lineRule="auto"/>
        <w:rPr>
          <w:rFonts w:hint="eastAsia" w:ascii="宋体" w:hAnsi="宋体" w:eastAsia="宋体" w:cs="宋体"/>
          <w:color w:val="auto"/>
          <w:highlight w:val="none"/>
        </w:rPr>
      </w:pPr>
    </w:p>
    <w:p w14:paraId="1D4E2904">
      <w:pPr>
        <w:spacing w:before="78" w:line="339" w:lineRule="auto"/>
        <w:ind w:left="21" w:right="20" w:firstLine="501"/>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你方于（投标日期）所递交的（项目名称）</w:t>
      </w:r>
      <w:r>
        <w:rPr>
          <w:rFonts w:hint="eastAsia" w:ascii="宋体" w:hAnsi="宋体" w:eastAsia="宋体" w:cs="宋体"/>
          <w:color w:val="auto"/>
          <w:position w:val="-3"/>
          <w:sz w:val="24"/>
          <w:szCs w:val="24"/>
          <w:highlight w:val="none"/>
        </w:rPr>
        <w:drawing>
          <wp:inline distT="0" distB="0" distL="0" distR="0">
            <wp:extent cx="635" cy="7620"/>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313"/>
                    <a:stretch>
                      <a:fillRect/>
                    </a:stretch>
                  </pic:blipFill>
                  <pic:spPr>
                    <a:xfrm>
                      <a:off x="0" y="0"/>
                      <a:ext cx="1269" cy="7620"/>
                    </a:xfrm>
                    <a:prstGeom prst="rect">
                      <a:avLst/>
                    </a:prstGeom>
                  </pic:spPr>
                </pic:pic>
              </a:graphicData>
            </a:graphic>
          </wp:inline>
        </w:drawing>
      </w:r>
      <w:r>
        <w:rPr>
          <w:rFonts w:hint="eastAsia" w:ascii="宋体" w:hAnsi="宋体" w:eastAsia="宋体" w:cs="宋体"/>
          <w:color w:val="auto"/>
          <w:spacing w:val="-1"/>
          <w:sz w:val="24"/>
          <w:szCs w:val="24"/>
          <w:highlight w:val="none"/>
        </w:rPr>
        <w:t>标段施工投标文件已被我方接受，被确定为中标人。</w:t>
      </w:r>
    </w:p>
    <w:p w14:paraId="7446B4CF">
      <w:pPr>
        <w:spacing w:before="1" w:line="217" w:lineRule="auto"/>
        <w:ind w:left="523"/>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中标价：元。</w:t>
      </w:r>
    </w:p>
    <w:p w14:paraId="2FC459E1">
      <w:pPr>
        <w:spacing w:before="157" w:line="219" w:lineRule="auto"/>
        <w:ind w:left="503"/>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工期：个月或日历天。</w:t>
      </w:r>
    </w:p>
    <w:p w14:paraId="1E11829A">
      <w:pPr>
        <w:spacing w:before="154" w:line="219" w:lineRule="auto"/>
        <w:ind w:left="50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工程质量：符合标准。</w:t>
      </w:r>
    </w:p>
    <w:p w14:paraId="73DDFC49">
      <w:pPr>
        <w:spacing w:before="157" w:line="220" w:lineRule="auto"/>
        <w:ind w:left="50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工程安全目标：</w:t>
      </w:r>
      <w:r>
        <w:rPr>
          <w:rFonts w:hint="eastAsia" w:ascii="宋体" w:hAnsi="宋体" w:eastAsia="宋体" w:cs="宋体"/>
          <w:color w:val="auto"/>
          <w:spacing w:val="-1"/>
          <w:sz w:val="24"/>
          <w:szCs w:val="24"/>
          <w:highlight w:val="none"/>
        </w:rPr>
        <w:t>。</w:t>
      </w:r>
    </w:p>
    <w:p w14:paraId="1F4E5A7A">
      <w:pPr>
        <w:spacing w:before="153" w:line="219" w:lineRule="auto"/>
        <w:ind w:left="533"/>
        <w:rPr>
          <w:rFonts w:hint="eastAsia" w:ascii="宋体" w:hAnsi="宋体" w:eastAsia="宋体" w:cs="宋体"/>
          <w:color w:val="auto"/>
          <w:sz w:val="24"/>
          <w:szCs w:val="24"/>
          <w:highlight w:val="none"/>
          <w:lang w:val="en-US" w:eastAsia="zh-CN"/>
        </w:rPr>
      </w:pPr>
      <w:r>
        <w:rPr>
          <w:rFonts w:hint="eastAsia" w:ascii="宋体" w:hAnsi="宋体" w:eastAsia="宋体" w:cs="宋体"/>
          <w:color w:val="auto"/>
          <w:spacing w:val="2"/>
          <w:sz w:val="24"/>
          <w:szCs w:val="24"/>
          <w:highlight w:val="none"/>
        </w:rPr>
        <w:t>项目经理</w:t>
      </w:r>
      <w:r>
        <w:rPr>
          <w:rFonts w:hint="eastAsia" w:ascii="宋体" w:hAnsi="宋体" w:eastAsia="宋体" w:cs="宋体"/>
          <w:color w:val="auto"/>
          <w:spacing w:val="-16"/>
          <w:sz w:val="24"/>
          <w:szCs w:val="24"/>
          <w:highlight w:val="none"/>
        </w:rPr>
        <w:t>：（</w:t>
      </w:r>
      <w:r>
        <w:rPr>
          <w:rFonts w:hint="eastAsia" w:ascii="宋体" w:hAnsi="宋体" w:eastAsia="宋体" w:cs="宋体"/>
          <w:color w:val="auto"/>
          <w:spacing w:val="2"/>
          <w:sz w:val="24"/>
          <w:szCs w:val="24"/>
          <w:highlight w:val="none"/>
        </w:rPr>
        <w:t>姓名）。</w:t>
      </w:r>
      <w:r>
        <w:rPr>
          <w:rFonts w:hint="eastAsia" w:ascii="宋体" w:hAnsi="宋体" w:eastAsia="宋体" w:cs="宋体"/>
          <w:color w:val="auto"/>
          <w:spacing w:val="2"/>
          <w:sz w:val="24"/>
          <w:szCs w:val="24"/>
          <w:highlight w:val="none"/>
          <w:lang w:val="en-US" w:eastAsia="zh-CN"/>
        </w:rPr>
        <w:t>注册编号：</w:t>
      </w:r>
    </w:p>
    <w:p w14:paraId="716DABB7">
      <w:pPr>
        <w:spacing w:before="155" w:line="219" w:lineRule="auto"/>
        <w:ind w:left="533"/>
        <w:rPr>
          <w:rFonts w:hint="eastAsia" w:ascii="宋体" w:hAnsi="宋体" w:eastAsia="宋体" w:cs="宋体"/>
          <w:color w:val="auto"/>
          <w:sz w:val="24"/>
          <w:szCs w:val="24"/>
          <w:highlight w:val="none"/>
          <w:lang w:val="en-US" w:eastAsia="zh-CN"/>
        </w:rPr>
      </w:pPr>
      <w:r>
        <w:rPr>
          <w:rFonts w:hint="eastAsia" w:ascii="宋体" w:hAnsi="宋体" w:eastAsia="宋体" w:cs="宋体"/>
          <w:color w:val="auto"/>
          <w:spacing w:val="2"/>
          <w:sz w:val="24"/>
          <w:szCs w:val="24"/>
          <w:highlight w:val="none"/>
        </w:rPr>
        <w:t>项目总工</w:t>
      </w:r>
      <w:r>
        <w:rPr>
          <w:rFonts w:hint="eastAsia" w:ascii="宋体" w:hAnsi="宋体" w:eastAsia="宋体" w:cs="宋体"/>
          <w:color w:val="auto"/>
          <w:spacing w:val="-16"/>
          <w:sz w:val="24"/>
          <w:szCs w:val="24"/>
          <w:highlight w:val="none"/>
        </w:rPr>
        <w:t>：（</w:t>
      </w:r>
      <w:r>
        <w:rPr>
          <w:rFonts w:hint="eastAsia" w:ascii="宋体" w:hAnsi="宋体" w:eastAsia="宋体" w:cs="宋体"/>
          <w:color w:val="auto"/>
          <w:spacing w:val="2"/>
          <w:sz w:val="24"/>
          <w:szCs w:val="24"/>
          <w:highlight w:val="none"/>
        </w:rPr>
        <w:t>姓名）。</w:t>
      </w:r>
      <w:r>
        <w:rPr>
          <w:rFonts w:hint="eastAsia" w:ascii="宋体" w:hAnsi="宋体" w:eastAsia="宋体" w:cs="宋体"/>
          <w:color w:val="auto"/>
          <w:spacing w:val="2"/>
          <w:sz w:val="24"/>
          <w:szCs w:val="24"/>
          <w:highlight w:val="none"/>
          <w:lang w:val="en-US" w:eastAsia="zh-CN"/>
        </w:rPr>
        <w:t>证书编号：</w:t>
      </w:r>
    </w:p>
    <w:p w14:paraId="3EAE8B03">
      <w:pPr>
        <w:spacing w:before="158" w:line="338" w:lineRule="auto"/>
        <w:ind w:left="20" w:right="19" w:firstLine="478"/>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请你方在接到本通知书后的</w:t>
      </w:r>
      <w:r>
        <w:rPr>
          <w:rFonts w:hint="eastAsia" w:ascii="宋体" w:hAnsi="宋体" w:eastAsia="宋体" w:cs="宋体"/>
          <w:color w:val="auto"/>
          <w:spacing w:val="-3"/>
          <w:sz w:val="24"/>
          <w:szCs w:val="24"/>
          <w:highlight w:val="none"/>
          <w:lang w:val="en-US" w:eastAsia="zh-CN"/>
        </w:rPr>
        <w:t xml:space="preserve"> </w:t>
      </w:r>
      <w:r>
        <w:rPr>
          <w:rFonts w:hint="eastAsia" w:ascii="宋体" w:hAnsi="宋体" w:eastAsia="宋体" w:cs="宋体"/>
          <w:color w:val="auto"/>
          <w:spacing w:val="-3"/>
          <w:sz w:val="24"/>
          <w:szCs w:val="24"/>
          <w:highlight w:val="none"/>
        </w:rPr>
        <w:t>日内到（指定地点）与我方</w:t>
      </w:r>
      <w:r>
        <w:rPr>
          <w:rFonts w:hint="eastAsia" w:ascii="宋体" w:hAnsi="宋体" w:eastAsia="宋体" w:cs="宋体"/>
          <w:color w:val="auto"/>
          <w:sz w:val="24"/>
          <w:szCs w:val="24"/>
          <w:highlight w:val="none"/>
        </w:rPr>
        <w:t>签订施工承包合同，并按招标文件第二章“投标人须知”第7.7款规定向我方提交履约</w:t>
      </w:r>
      <w:r>
        <w:rPr>
          <w:rFonts w:hint="eastAsia" w:ascii="宋体" w:hAnsi="宋体" w:eastAsia="宋体" w:cs="宋体"/>
          <w:color w:val="auto"/>
          <w:spacing w:val="-3"/>
          <w:sz w:val="24"/>
          <w:szCs w:val="24"/>
          <w:highlight w:val="none"/>
        </w:rPr>
        <w:t>保证金。</w:t>
      </w:r>
    </w:p>
    <w:p w14:paraId="241697F4">
      <w:pPr>
        <w:spacing w:line="219" w:lineRule="auto"/>
        <w:ind w:left="5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特此通知。</w:t>
      </w:r>
    </w:p>
    <w:p w14:paraId="2CC60063">
      <w:pPr>
        <w:pStyle w:val="4"/>
        <w:spacing w:line="269" w:lineRule="auto"/>
        <w:rPr>
          <w:rFonts w:hint="eastAsia" w:ascii="宋体" w:hAnsi="宋体" w:eastAsia="宋体" w:cs="宋体"/>
          <w:color w:val="auto"/>
          <w:highlight w:val="none"/>
        </w:rPr>
      </w:pPr>
    </w:p>
    <w:p w14:paraId="49D0C5F9">
      <w:pPr>
        <w:pStyle w:val="4"/>
        <w:spacing w:line="269" w:lineRule="auto"/>
        <w:rPr>
          <w:rFonts w:hint="eastAsia" w:ascii="宋体" w:hAnsi="宋体" w:eastAsia="宋体" w:cs="宋体"/>
          <w:color w:val="auto"/>
          <w:highlight w:val="none"/>
        </w:rPr>
      </w:pPr>
    </w:p>
    <w:p w14:paraId="287B144F">
      <w:pPr>
        <w:pStyle w:val="4"/>
        <w:spacing w:line="269" w:lineRule="auto"/>
        <w:rPr>
          <w:rFonts w:hint="eastAsia" w:ascii="宋体" w:hAnsi="宋体" w:eastAsia="宋体" w:cs="宋体"/>
          <w:color w:val="auto"/>
          <w:highlight w:val="none"/>
        </w:rPr>
      </w:pPr>
    </w:p>
    <w:p w14:paraId="524FB726">
      <w:pPr>
        <w:pStyle w:val="4"/>
        <w:spacing w:line="269" w:lineRule="auto"/>
        <w:rPr>
          <w:rFonts w:hint="eastAsia" w:ascii="宋体" w:hAnsi="宋体" w:eastAsia="宋体" w:cs="宋体"/>
          <w:color w:val="auto"/>
          <w:highlight w:val="none"/>
        </w:rPr>
      </w:pPr>
    </w:p>
    <w:p w14:paraId="7C807715">
      <w:pPr>
        <w:spacing w:before="79" w:line="219" w:lineRule="auto"/>
        <w:ind w:left="388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招标人</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3"/>
          <w:sz w:val="24"/>
          <w:szCs w:val="24"/>
          <w:highlight w:val="none"/>
        </w:rPr>
        <w:t>盖单位章）</w:t>
      </w:r>
    </w:p>
    <w:p w14:paraId="515C5C9D">
      <w:pPr>
        <w:spacing w:before="316" w:line="219"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招标代理机构</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盖单位章）</w:t>
      </w:r>
    </w:p>
    <w:p w14:paraId="1B005E0F">
      <w:pPr>
        <w:tabs>
          <w:tab w:val="left" w:pos="5745"/>
        </w:tabs>
        <w:spacing w:before="316" w:line="219" w:lineRule="auto"/>
        <w:ind w:left="478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auto"/>
        </w:rPr>
        <w:tab/>
      </w:r>
      <w:r>
        <w:rPr>
          <w:rFonts w:hint="eastAsia" w:ascii="宋体" w:hAnsi="宋体" w:eastAsia="宋体" w:cs="宋体"/>
          <w:color w:val="auto"/>
          <w:spacing w:val="-9"/>
          <w:sz w:val="24"/>
          <w:szCs w:val="24"/>
          <w:highlight w:val="none"/>
        </w:rPr>
        <w:t>年月日</w:t>
      </w:r>
    </w:p>
    <w:p w14:paraId="40564E64">
      <w:pPr>
        <w:spacing w:line="219" w:lineRule="auto"/>
        <w:rPr>
          <w:rFonts w:hint="eastAsia" w:ascii="宋体" w:hAnsi="宋体" w:eastAsia="宋体" w:cs="宋体"/>
          <w:color w:val="auto"/>
          <w:sz w:val="24"/>
          <w:szCs w:val="24"/>
          <w:highlight w:val="none"/>
        </w:rPr>
        <w:sectPr>
          <w:headerReference r:id="rId37" w:type="default"/>
          <w:footerReference r:id="rId38" w:type="default"/>
          <w:pgSz w:w="11907" w:h="16840"/>
          <w:pgMar w:top="1182" w:right="1269" w:bottom="1014" w:left="1786" w:header="849" w:footer="852" w:gutter="0"/>
          <w:pgNumType w:fmt="decimal"/>
          <w:cols w:space="720" w:num="1"/>
        </w:sectPr>
      </w:pPr>
    </w:p>
    <w:p w14:paraId="5D123D96">
      <w:pPr>
        <w:pStyle w:val="4"/>
        <w:spacing w:line="326" w:lineRule="auto"/>
        <w:rPr>
          <w:rFonts w:hint="eastAsia" w:ascii="宋体" w:hAnsi="宋体" w:eastAsia="宋体" w:cs="宋体"/>
          <w:color w:val="auto"/>
          <w:highlight w:val="none"/>
        </w:rPr>
      </w:pPr>
    </w:p>
    <w:p w14:paraId="10101E2A">
      <w:pPr>
        <w:pStyle w:val="4"/>
        <w:spacing w:line="326" w:lineRule="auto"/>
        <w:rPr>
          <w:rFonts w:hint="eastAsia" w:ascii="宋体" w:hAnsi="宋体" w:eastAsia="宋体" w:cs="宋体"/>
          <w:color w:val="auto"/>
          <w:highlight w:val="none"/>
        </w:rPr>
      </w:pPr>
    </w:p>
    <w:p w14:paraId="336B3B1F">
      <w:pPr>
        <w:spacing w:before="78" w:line="222" w:lineRule="auto"/>
        <w:ind w:left="34"/>
        <w:outlineLvl w:val="1"/>
        <w:rPr>
          <w:rFonts w:hint="eastAsia" w:ascii="宋体" w:hAnsi="宋体" w:eastAsia="宋体" w:cs="宋体"/>
          <w:color w:val="auto"/>
          <w:sz w:val="24"/>
          <w:szCs w:val="24"/>
          <w:highlight w:val="none"/>
        </w:rPr>
      </w:pPr>
      <w:bookmarkStart w:id="406" w:name="bookmark62"/>
      <w:bookmarkEnd w:id="406"/>
      <w:bookmarkStart w:id="407" w:name="_Toc20362"/>
      <w:bookmarkStart w:id="408" w:name="_Toc8728"/>
      <w:bookmarkStart w:id="409" w:name="_Toc27731"/>
      <w:bookmarkStart w:id="410" w:name="_Toc7948"/>
      <w:bookmarkStart w:id="411" w:name="_Toc1196"/>
      <w:r>
        <w:rPr>
          <w:rFonts w:hint="eastAsia" w:ascii="宋体" w:hAnsi="宋体" w:eastAsia="宋体" w:cs="宋体"/>
          <w:color w:val="auto"/>
          <w:spacing w:val="-6"/>
          <w:sz w:val="24"/>
          <w:szCs w:val="24"/>
          <w:highlight w:val="none"/>
        </w:rPr>
        <w:t>附件五中标结果通知书</w:t>
      </w:r>
      <w:bookmarkEnd w:id="407"/>
      <w:bookmarkEnd w:id="408"/>
      <w:bookmarkEnd w:id="409"/>
      <w:bookmarkEnd w:id="410"/>
      <w:bookmarkEnd w:id="411"/>
    </w:p>
    <w:p w14:paraId="5939E9AA">
      <w:pPr>
        <w:spacing w:before="98" w:line="223" w:lineRule="auto"/>
        <w:ind w:left="3474"/>
        <w:rPr>
          <w:rFonts w:hint="eastAsia" w:ascii="宋体" w:hAnsi="宋体" w:eastAsia="宋体" w:cs="宋体"/>
          <w:color w:val="auto"/>
          <w:sz w:val="28"/>
          <w:szCs w:val="28"/>
          <w:highlight w:val="none"/>
        </w:rPr>
      </w:pPr>
      <w:r>
        <w:rPr>
          <w:rFonts w:hint="eastAsia" w:ascii="宋体" w:hAnsi="宋体" w:eastAsia="宋体" w:cs="宋体"/>
          <w:color w:val="auto"/>
          <w:spacing w:val="-5"/>
          <w:sz w:val="28"/>
          <w:szCs w:val="28"/>
          <w:highlight w:val="none"/>
        </w:rPr>
        <w:t>中标结果通知书</w:t>
      </w:r>
    </w:p>
    <w:p w14:paraId="198F63B8">
      <w:pPr>
        <w:pStyle w:val="4"/>
        <w:spacing w:line="247" w:lineRule="auto"/>
        <w:rPr>
          <w:rFonts w:hint="eastAsia" w:ascii="宋体" w:hAnsi="宋体" w:eastAsia="宋体" w:cs="宋体"/>
          <w:color w:val="auto"/>
          <w:highlight w:val="none"/>
        </w:rPr>
      </w:pPr>
    </w:p>
    <w:p w14:paraId="6CECD64A">
      <w:pPr>
        <w:pStyle w:val="4"/>
        <w:spacing w:line="247" w:lineRule="auto"/>
        <w:rPr>
          <w:rFonts w:hint="eastAsia" w:ascii="宋体" w:hAnsi="宋体" w:eastAsia="宋体" w:cs="宋体"/>
          <w:color w:val="auto"/>
          <w:highlight w:val="none"/>
        </w:rPr>
      </w:pPr>
    </w:p>
    <w:p w14:paraId="6855BFBB">
      <w:pPr>
        <w:tabs>
          <w:tab w:val="left" w:pos="2290"/>
        </w:tabs>
        <w:spacing w:before="78"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auto"/>
        </w:rPr>
        <w:tab/>
      </w:r>
      <w:r>
        <w:rPr>
          <w:rFonts w:hint="eastAsia" w:ascii="宋体" w:hAnsi="宋体" w:eastAsia="宋体" w:cs="宋体"/>
          <w:color w:val="auto"/>
          <w:sz w:val="24"/>
          <w:szCs w:val="24"/>
          <w:highlight w:val="none"/>
        </w:rPr>
        <w:t>（未中标人名称）：</w:t>
      </w:r>
    </w:p>
    <w:p w14:paraId="5F3850AF">
      <w:pPr>
        <w:pStyle w:val="4"/>
        <w:spacing w:line="257" w:lineRule="auto"/>
        <w:rPr>
          <w:rFonts w:hint="eastAsia" w:ascii="宋体" w:hAnsi="宋体" w:eastAsia="宋体" w:cs="宋体"/>
          <w:color w:val="auto"/>
          <w:highlight w:val="none"/>
        </w:rPr>
      </w:pPr>
    </w:p>
    <w:p w14:paraId="39B347E8">
      <w:pPr>
        <w:pStyle w:val="4"/>
        <w:spacing w:line="258" w:lineRule="auto"/>
        <w:rPr>
          <w:rFonts w:hint="eastAsia" w:ascii="宋体" w:hAnsi="宋体" w:eastAsia="宋体" w:cs="宋体"/>
          <w:color w:val="auto"/>
          <w:highlight w:val="none"/>
        </w:rPr>
      </w:pPr>
    </w:p>
    <w:p w14:paraId="72955DB3">
      <w:pPr>
        <w:spacing w:before="78" w:line="340" w:lineRule="auto"/>
        <w:ind w:left="32" w:right="19" w:firstLine="542"/>
        <w:jc w:val="both"/>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我方已接受（中标人名称）于</w:t>
      </w:r>
      <w:r>
        <w:rPr>
          <w:rFonts w:hint="eastAsia" w:ascii="宋体" w:hAnsi="宋体" w:eastAsia="宋体" w:cs="宋体"/>
          <w:color w:val="auto"/>
          <w:spacing w:val="9"/>
          <w:sz w:val="24"/>
          <w:szCs w:val="24"/>
          <w:highlight w:val="none"/>
        </w:rPr>
        <w:t>（投标日期）所递交的（项</w:t>
      </w:r>
      <w:r>
        <w:rPr>
          <w:rFonts w:hint="eastAsia" w:ascii="宋体" w:hAnsi="宋体" w:eastAsia="宋体" w:cs="宋体"/>
          <w:color w:val="auto"/>
          <w:spacing w:val="8"/>
          <w:sz w:val="24"/>
          <w:szCs w:val="24"/>
          <w:highlight w:val="none"/>
        </w:rPr>
        <w:t>目名称）标段施工投标文件，确定</w:t>
      </w:r>
      <w:r>
        <w:rPr>
          <w:rFonts w:hint="eastAsia" w:ascii="宋体" w:hAnsi="宋体" w:eastAsia="宋体" w:cs="宋体"/>
          <w:color w:val="auto"/>
          <w:spacing w:val="-2"/>
          <w:sz w:val="24"/>
          <w:szCs w:val="24"/>
          <w:highlight w:val="none"/>
        </w:rPr>
        <w:t>（中标人名称）为中标人。</w:t>
      </w:r>
    </w:p>
    <w:p w14:paraId="7C055E15">
      <w:pPr>
        <w:pStyle w:val="4"/>
        <w:spacing w:line="351" w:lineRule="auto"/>
        <w:rPr>
          <w:rFonts w:hint="eastAsia" w:ascii="宋体" w:hAnsi="宋体" w:eastAsia="宋体" w:cs="宋体"/>
          <w:color w:val="auto"/>
          <w:highlight w:val="none"/>
        </w:rPr>
      </w:pPr>
    </w:p>
    <w:p w14:paraId="153E1748">
      <w:pPr>
        <w:spacing w:before="78"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感谢你单位对招标项目的参与！</w:t>
      </w:r>
    </w:p>
    <w:p w14:paraId="1BA5FFEB">
      <w:pPr>
        <w:pStyle w:val="4"/>
        <w:spacing w:line="260" w:lineRule="auto"/>
        <w:rPr>
          <w:rFonts w:hint="eastAsia" w:ascii="宋体" w:hAnsi="宋体" w:eastAsia="宋体" w:cs="宋体"/>
          <w:color w:val="auto"/>
          <w:highlight w:val="none"/>
        </w:rPr>
      </w:pPr>
    </w:p>
    <w:p w14:paraId="6C247077">
      <w:pPr>
        <w:pStyle w:val="4"/>
        <w:spacing w:line="260" w:lineRule="auto"/>
        <w:rPr>
          <w:rFonts w:hint="eastAsia" w:ascii="宋体" w:hAnsi="宋体" w:eastAsia="宋体" w:cs="宋体"/>
          <w:color w:val="auto"/>
          <w:highlight w:val="none"/>
        </w:rPr>
      </w:pPr>
    </w:p>
    <w:p w14:paraId="2035379B">
      <w:pPr>
        <w:pStyle w:val="4"/>
        <w:spacing w:line="261" w:lineRule="auto"/>
        <w:rPr>
          <w:rFonts w:hint="eastAsia" w:ascii="宋体" w:hAnsi="宋体" w:eastAsia="宋体" w:cs="宋体"/>
          <w:color w:val="auto"/>
          <w:highlight w:val="none"/>
        </w:rPr>
      </w:pPr>
    </w:p>
    <w:p w14:paraId="75CB8234">
      <w:pPr>
        <w:pStyle w:val="4"/>
        <w:spacing w:line="261" w:lineRule="auto"/>
        <w:rPr>
          <w:rFonts w:hint="eastAsia" w:ascii="宋体" w:hAnsi="宋体" w:eastAsia="宋体" w:cs="宋体"/>
          <w:color w:val="auto"/>
          <w:highlight w:val="none"/>
        </w:rPr>
      </w:pPr>
    </w:p>
    <w:p w14:paraId="5B3C40C6">
      <w:pPr>
        <w:pStyle w:val="4"/>
        <w:spacing w:line="261" w:lineRule="auto"/>
        <w:rPr>
          <w:rFonts w:hint="eastAsia" w:ascii="宋体" w:hAnsi="宋体" w:eastAsia="宋体" w:cs="宋体"/>
          <w:color w:val="auto"/>
          <w:highlight w:val="none"/>
        </w:rPr>
      </w:pPr>
    </w:p>
    <w:p w14:paraId="460CA8B5">
      <w:pPr>
        <w:pStyle w:val="4"/>
        <w:spacing w:line="261" w:lineRule="auto"/>
        <w:rPr>
          <w:rFonts w:hint="eastAsia" w:ascii="宋体" w:hAnsi="宋体" w:eastAsia="宋体" w:cs="宋体"/>
          <w:color w:val="auto"/>
          <w:highlight w:val="none"/>
        </w:rPr>
      </w:pPr>
    </w:p>
    <w:p w14:paraId="39742128">
      <w:pPr>
        <w:spacing w:before="79" w:line="219"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招标人</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盖单位章）</w:t>
      </w:r>
    </w:p>
    <w:p w14:paraId="21FBE26C">
      <w:pPr>
        <w:tabs>
          <w:tab w:val="left" w:pos="6610"/>
        </w:tabs>
        <w:spacing w:before="314" w:line="464" w:lineRule="auto"/>
        <w:ind w:left="5050" w:right="120" w:hanging="132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招标代理机构</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盖单位章）</w:t>
      </w:r>
      <w:r>
        <w:rPr>
          <w:rFonts w:hint="eastAsia" w:ascii="宋体" w:hAnsi="宋体" w:eastAsia="宋体" w:cs="宋体"/>
          <w:color w:val="auto"/>
          <w:sz w:val="24"/>
          <w:szCs w:val="24"/>
          <w:highlight w:val="none"/>
          <w:u w:val="single" w:color="auto"/>
        </w:rPr>
        <w:tab/>
      </w:r>
      <w:r>
        <w:rPr>
          <w:rFonts w:hint="eastAsia" w:ascii="宋体" w:hAnsi="宋体" w:eastAsia="宋体" w:cs="宋体"/>
          <w:color w:val="auto"/>
          <w:spacing w:val="-9"/>
          <w:sz w:val="24"/>
          <w:szCs w:val="24"/>
          <w:highlight w:val="none"/>
        </w:rPr>
        <w:t>年月日</w:t>
      </w:r>
    </w:p>
    <w:p w14:paraId="323681B0">
      <w:pPr>
        <w:spacing w:line="464" w:lineRule="auto"/>
        <w:rPr>
          <w:rFonts w:hint="eastAsia" w:ascii="宋体" w:hAnsi="宋体" w:eastAsia="宋体" w:cs="宋体"/>
          <w:color w:val="auto"/>
          <w:sz w:val="24"/>
          <w:szCs w:val="24"/>
          <w:highlight w:val="none"/>
        </w:rPr>
        <w:sectPr>
          <w:footerReference r:id="rId39" w:type="default"/>
          <w:pgSz w:w="11907" w:h="16840"/>
          <w:pgMar w:top="1182" w:right="1269" w:bottom="1014" w:left="1786" w:header="849" w:footer="852" w:gutter="0"/>
          <w:pgNumType w:fmt="decimal"/>
          <w:cols w:space="720" w:num="1"/>
        </w:sectPr>
      </w:pPr>
    </w:p>
    <w:p w14:paraId="144AEA8C">
      <w:pPr>
        <w:spacing w:before="288" w:line="227" w:lineRule="auto"/>
        <w:ind w:left="36"/>
        <w:rPr>
          <w:rFonts w:hint="eastAsia" w:ascii="宋体" w:hAnsi="宋体" w:eastAsia="宋体" w:cs="宋体"/>
          <w:color w:val="auto"/>
          <w:sz w:val="20"/>
          <w:szCs w:val="20"/>
          <w:highlight w:val="none"/>
        </w:rPr>
      </w:pPr>
      <w:r>
        <w:rPr>
          <w:rFonts w:hint="eastAsia" w:ascii="宋体" w:hAnsi="宋体" w:eastAsia="宋体" w:cs="宋体"/>
          <w:color w:val="auto"/>
          <w:spacing w:val="5"/>
          <w:sz w:val="20"/>
          <w:szCs w:val="20"/>
          <w:highlight w:val="none"/>
        </w:rPr>
        <w:t>附件六确认通知</w:t>
      </w:r>
    </w:p>
    <w:p w14:paraId="01E2CD45">
      <w:pPr>
        <w:spacing w:before="107" w:line="222" w:lineRule="auto"/>
        <w:ind w:left="3658"/>
        <w:rPr>
          <w:rFonts w:hint="eastAsia" w:ascii="宋体" w:hAnsi="宋体" w:eastAsia="宋体" w:cs="宋体"/>
          <w:color w:val="auto"/>
          <w:sz w:val="28"/>
          <w:szCs w:val="28"/>
          <w:highlight w:val="none"/>
        </w:rPr>
      </w:pPr>
      <w:bookmarkStart w:id="412" w:name="bookmark63"/>
      <w:bookmarkEnd w:id="412"/>
      <w:r>
        <w:rPr>
          <w:rFonts w:hint="eastAsia" w:ascii="宋体" w:hAnsi="宋体" w:eastAsia="宋体" w:cs="宋体"/>
          <w:color w:val="auto"/>
          <w:spacing w:val="-5"/>
          <w:sz w:val="28"/>
          <w:szCs w:val="28"/>
          <w:highlight w:val="none"/>
        </w:rPr>
        <w:t>确认通知</w:t>
      </w:r>
    </w:p>
    <w:p w14:paraId="52FF886A">
      <w:pPr>
        <w:pStyle w:val="4"/>
        <w:spacing w:line="248" w:lineRule="auto"/>
        <w:rPr>
          <w:rFonts w:hint="eastAsia" w:ascii="宋体" w:hAnsi="宋体" w:eastAsia="宋体" w:cs="宋体"/>
          <w:color w:val="auto"/>
          <w:highlight w:val="none"/>
        </w:rPr>
      </w:pPr>
    </w:p>
    <w:p w14:paraId="0EB90D4B">
      <w:pPr>
        <w:pStyle w:val="4"/>
        <w:spacing w:line="249" w:lineRule="auto"/>
        <w:rPr>
          <w:rFonts w:hint="eastAsia" w:ascii="宋体" w:hAnsi="宋体" w:eastAsia="宋体" w:cs="宋体"/>
          <w:color w:val="auto"/>
          <w:highlight w:val="none"/>
        </w:rPr>
      </w:pPr>
    </w:p>
    <w:p w14:paraId="1C6D7216">
      <w:pPr>
        <w:tabs>
          <w:tab w:val="left" w:pos="2530"/>
        </w:tabs>
        <w:spacing w:before="78" w:line="220" w:lineRule="auto"/>
        <w:ind w:left="1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auto"/>
        </w:rPr>
        <w:tab/>
      </w:r>
      <w:r>
        <w:rPr>
          <w:rFonts w:hint="eastAsia" w:ascii="宋体" w:hAnsi="宋体" w:eastAsia="宋体" w:cs="宋体"/>
          <w:color w:val="auto"/>
          <w:sz w:val="24"/>
          <w:szCs w:val="24"/>
          <w:highlight w:val="none"/>
        </w:rPr>
        <w:t>（招标人名称）：</w:t>
      </w:r>
    </w:p>
    <w:p w14:paraId="2E5A1009">
      <w:pPr>
        <w:pStyle w:val="4"/>
        <w:spacing w:line="345" w:lineRule="auto"/>
        <w:rPr>
          <w:rFonts w:hint="eastAsia" w:ascii="宋体" w:hAnsi="宋体" w:eastAsia="宋体" w:cs="宋体"/>
          <w:color w:val="auto"/>
          <w:highlight w:val="none"/>
        </w:rPr>
      </w:pPr>
    </w:p>
    <w:p w14:paraId="4FB0D923">
      <w:pPr>
        <w:pStyle w:val="4"/>
        <w:spacing w:line="346" w:lineRule="auto"/>
        <w:rPr>
          <w:rFonts w:hint="eastAsia" w:ascii="宋体" w:hAnsi="宋体" w:eastAsia="宋体" w:cs="宋体"/>
          <w:color w:val="auto"/>
          <w:highlight w:val="none"/>
        </w:rPr>
      </w:pPr>
    </w:p>
    <w:p w14:paraId="17DFFC29">
      <w:pPr>
        <w:spacing w:before="78" w:line="415" w:lineRule="auto"/>
        <w:ind w:left="19" w:firstLine="575"/>
        <w:jc w:val="both"/>
        <w:rPr>
          <w:rFonts w:hint="eastAsia" w:ascii="宋体" w:hAnsi="宋体" w:eastAsia="宋体" w:cs="宋体"/>
          <w:color w:val="auto"/>
          <w:sz w:val="24"/>
          <w:szCs w:val="24"/>
          <w:highlight w:val="none"/>
        </w:rPr>
      </w:pPr>
      <w:r>
        <w:rPr>
          <w:rFonts w:hint="eastAsia" w:ascii="宋体" w:hAnsi="宋体" w:eastAsia="宋体" w:cs="宋体"/>
          <w:color w:val="auto"/>
          <w:spacing w:val="-22"/>
          <w:sz w:val="24"/>
          <w:szCs w:val="24"/>
          <w:highlight w:val="none"/>
        </w:rPr>
        <w:t>你方</w:t>
      </w:r>
      <w:r>
        <w:rPr>
          <w:rFonts w:hint="eastAsia" w:ascii="宋体" w:hAnsi="宋体" w:eastAsia="宋体" w:cs="宋体"/>
          <w:color w:val="auto"/>
          <w:spacing w:val="-21"/>
          <w:sz w:val="24"/>
          <w:szCs w:val="24"/>
          <w:highlight w:val="none"/>
        </w:rPr>
        <w:t>于年月日发出</w:t>
      </w:r>
      <w:r>
        <w:rPr>
          <w:rFonts w:hint="eastAsia" w:ascii="宋体" w:hAnsi="宋体" w:eastAsia="宋体" w:cs="宋体"/>
          <w:color w:val="auto"/>
          <w:spacing w:val="-19"/>
          <w:sz w:val="24"/>
          <w:szCs w:val="24"/>
          <w:highlight w:val="none"/>
          <w:u w:val="single" w:color="auto"/>
        </w:rPr>
        <w:t>的</w:t>
      </w:r>
      <w:r>
        <w:rPr>
          <w:rFonts w:hint="eastAsia" w:ascii="宋体" w:hAnsi="宋体" w:eastAsia="宋体" w:cs="宋体"/>
          <w:color w:val="auto"/>
          <w:spacing w:val="-1"/>
          <w:sz w:val="24"/>
          <w:szCs w:val="24"/>
          <w:highlight w:val="none"/>
        </w:rPr>
        <w:t>（项目名称）标段施工招标关于招标文件澄清/修改的通知（第号补</w:t>
      </w:r>
      <w:r>
        <w:rPr>
          <w:rFonts w:hint="eastAsia" w:ascii="宋体" w:hAnsi="宋体" w:eastAsia="宋体" w:cs="宋体"/>
          <w:color w:val="auto"/>
          <w:spacing w:val="-3"/>
          <w:sz w:val="24"/>
          <w:szCs w:val="24"/>
          <w:highlight w:val="none"/>
        </w:rPr>
        <w:t>遗书，正文共页</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3"/>
          <w:sz w:val="24"/>
          <w:szCs w:val="24"/>
          <w:highlight w:val="none"/>
        </w:rPr>
        <w:t>我方已于</w:t>
      </w:r>
      <w:r>
        <w:rPr>
          <w:rFonts w:hint="eastAsia" w:ascii="宋体" w:hAnsi="宋体" w:eastAsia="宋体" w:cs="宋体"/>
          <w:color w:val="auto"/>
          <w:spacing w:val="-4"/>
          <w:sz w:val="24"/>
          <w:szCs w:val="24"/>
          <w:highlight w:val="none"/>
        </w:rPr>
        <w:t>年月日收到。</w:t>
      </w:r>
    </w:p>
    <w:p w14:paraId="7A2A6899">
      <w:pPr>
        <w:spacing w:line="219" w:lineRule="auto"/>
        <w:ind w:left="5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特此确认。</w:t>
      </w:r>
    </w:p>
    <w:p w14:paraId="236AF18C">
      <w:pPr>
        <w:pStyle w:val="4"/>
        <w:spacing w:line="281" w:lineRule="auto"/>
        <w:rPr>
          <w:rFonts w:hint="eastAsia" w:ascii="宋体" w:hAnsi="宋体" w:eastAsia="宋体" w:cs="宋体"/>
          <w:color w:val="auto"/>
          <w:highlight w:val="none"/>
        </w:rPr>
      </w:pPr>
    </w:p>
    <w:p w14:paraId="1BBFC49F">
      <w:pPr>
        <w:pStyle w:val="4"/>
        <w:spacing w:line="281" w:lineRule="auto"/>
        <w:rPr>
          <w:rFonts w:hint="eastAsia" w:ascii="宋体" w:hAnsi="宋体" w:eastAsia="宋体" w:cs="宋体"/>
          <w:color w:val="auto"/>
          <w:highlight w:val="none"/>
        </w:rPr>
      </w:pPr>
    </w:p>
    <w:p w14:paraId="12B5DC19">
      <w:pPr>
        <w:pStyle w:val="4"/>
        <w:spacing w:line="282" w:lineRule="auto"/>
        <w:rPr>
          <w:rFonts w:hint="eastAsia" w:ascii="宋体" w:hAnsi="宋体" w:eastAsia="宋体" w:cs="宋体"/>
          <w:color w:val="auto"/>
          <w:highlight w:val="none"/>
        </w:rPr>
      </w:pPr>
    </w:p>
    <w:p w14:paraId="104786CB">
      <w:pPr>
        <w:pStyle w:val="4"/>
        <w:spacing w:line="282" w:lineRule="auto"/>
        <w:rPr>
          <w:rFonts w:hint="eastAsia" w:ascii="宋体" w:hAnsi="宋体" w:eastAsia="宋体" w:cs="宋体"/>
          <w:color w:val="auto"/>
          <w:highlight w:val="none"/>
        </w:rPr>
      </w:pPr>
    </w:p>
    <w:p w14:paraId="13CA0244">
      <w:pPr>
        <w:pStyle w:val="4"/>
        <w:spacing w:line="282" w:lineRule="auto"/>
        <w:rPr>
          <w:rFonts w:hint="eastAsia" w:ascii="宋体" w:hAnsi="宋体" w:eastAsia="宋体" w:cs="宋体"/>
          <w:color w:val="auto"/>
          <w:highlight w:val="none"/>
        </w:rPr>
      </w:pPr>
    </w:p>
    <w:p w14:paraId="753EDA07">
      <w:pPr>
        <w:spacing w:before="79"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2"/>
          <w:sz w:val="24"/>
          <w:szCs w:val="24"/>
          <w:highlight w:val="none"/>
        </w:rPr>
        <w:t>盖单位章）</w:t>
      </w:r>
    </w:p>
    <w:p w14:paraId="63088DEB">
      <w:pPr>
        <w:pStyle w:val="4"/>
        <w:spacing w:line="257" w:lineRule="auto"/>
        <w:rPr>
          <w:rFonts w:hint="eastAsia" w:ascii="宋体" w:hAnsi="宋体" w:eastAsia="宋体" w:cs="宋体"/>
          <w:color w:val="auto"/>
          <w:highlight w:val="none"/>
        </w:rPr>
      </w:pPr>
    </w:p>
    <w:p w14:paraId="25328207">
      <w:pPr>
        <w:pStyle w:val="4"/>
        <w:spacing w:line="258" w:lineRule="auto"/>
        <w:rPr>
          <w:rFonts w:hint="eastAsia" w:ascii="宋体" w:hAnsi="宋体" w:eastAsia="宋体" w:cs="宋体"/>
          <w:color w:val="auto"/>
          <w:highlight w:val="none"/>
        </w:rPr>
      </w:pPr>
    </w:p>
    <w:p w14:paraId="7AFA013C">
      <w:pPr>
        <w:tabs>
          <w:tab w:val="left" w:pos="7150"/>
        </w:tabs>
        <w:spacing w:before="79" w:line="219" w:lineRule="auto"/>
        <w:ind w:left="619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auto"/>
        </w:rPr>
        <w:tab/>
      </w:r>
      <w:r>
        <w:rPr>
          <w:rFonts w:hint="eastAsia" w:ascii="宋体" w:hAnsi="宋体" w:eastAsia="宋体" w:cs="宋体"/>
          <w:color w:val="auto"/>
          <w:spacing w:val="-26"/>
          <w:sz w:val="24"/>
          <w:szCs w:val="24"/>
          <w:highlight w:val="none"/>
        </w:rPr>
        <w:t>年月日</w:t>
      </w:r>
    </w:p>
    <w:p w14:paraId="07078BFD">
      <w:pPr>
        <w:spacing w:line="219" w:lineRule="auto"/>
        <w:rPr>
          <w:rFonts w:hint="eastAsia" w:ascii="宋体" w:hAnsi="宋体" w:eastAsia="宋体" w:cs="宋体"/>
          <w:color w:val="auto"/>
          <w:sz w:val="24"/>
          <w:szCs w:val="24"/>
          <w:highlight w:val="none"/>
        </w:rPr>
        <w:sectPr>
          <w:headerReference r:id="rId40" w:type="default"/>
          <w:footerReference r:id="rId41" w:type="default"/>
          <w:pgSz w:w="11907" w:h="16840"/>
          <w:pgMar w:top="1182" w:right="1289" w:bottom="1014" w:left="1786" w:header="849" w:footer="852" w:gutter="0"/>
          <w:pgNumType w:fmt="decimal"/>
          <w:cols w:space="720" w:num="1"/>
        </w:sectPr>
      </w:pPr>
    </w:p>
    <w:p w14:paraId="690F1BD9">
      <w:pPr>
        <w:pStyle w:val="4"/>
        <w:spacing w:line="458" w:lineRule="auto"/>
        <w:rPr>
          <w:rFonts w:hint="eastAsia" w:ascii="宋体" w:hAnsi="宋体" w:eastAsia="宋体" w:cs="宋体"/>
          <w:color w:val="auto"/>
          <w:highlight w:val="none"/>
        </w:rPr>
      </w:pPr>
    </w:p>
    <w:p w14:paraId="1E0EB8EE">
      <w:pPr>
        <w:spacing w:before="140" w:line="222" w:lineRule="auto"/>
        <w:ind w:left="706"/>
        <w:outlineLvl w:val="0"/>
        <w:rPr>
          <w:rFonts w:hint="eastAsia" w:ascii="宋体" w:hAnsi="宋体" w:eastAsia="宋体" w:cs="宋体"/>
          <w:color w:val="auto"/>
          <w:sz w:val="43"/>
          <w:szCs w:val="43"/>
          <w:highlight w:val="none"/>
        </w:rPr>
      </w:pPr>
      <w:bookmarkStart w:id="413" w:name="bookmark41"/>
      <w:bookmarkEnd w:id="413"/>
      <w:bookmarkStart w:id="414" w:name="_Toc15571"/>
      <w:bookmarkStart w:id="415" w:name="_Toc29031"/>
      <w:bookmarkStart w:id="416" w:name="_Toc7624"/>
      <w:bookmarkStart w:id="417" w:name="_Toc29115"/>
      <w:bookmarkStart w:id="418" w:name="_Toc23298"/>
      <w:r>
        <w:rPr>
          <w:rFonts w:hint="eastAsia" w:ascii="宋体" w:hAnsi="宋体" w:eastAsia="宋体" w:cs="宋体"/>
          <w:b/>
          <w:bCs/>
          <w:color w:val="auto"/>
          <w:spacing w:val="5"/>
          <w:sz w:val="43"/>
          <w:szCs w:val="43"/>
          <w:highlight w:val="none"/>
        </w:rPr>
        <w:t>第三章评标办法（技术评分最低标价法）</w:t>
      </w:r>
      <w:bookmarkEnd w:id="414"/>
      <w:bookmarkEnd w:id="415"/>
      <w:bookmarkEnd w:id="416"/>
      <w:bookmarkEnd w:id="417"/>
      <w:bookmarkEnd w:id="418"/>
    </w:p>
    <w:p w14:paraId="0A404DBB">
      <w:pPr>
        <w:spacing w:before="280" w:line="448" w:lineRule="exact"/>
        <w:ind w:left="3246"/>
        <w:outlineLvl w:val="1"/>
        <w:rPr>
          <w:rFonts w:hint="eastAsia" w:ascii="宋体" w:hAnsi="宋体" w:eastAsia="宋体" w:cs="宋体"/>
          <w:color w:val="auto"/>
          <w:sz w:val="31"/>
          <w:szCs w:val="31"/>
          <w:highlight w:val="none"/>
        </w:rPr>
      </w:pPr>
      <w:bookmarkStart w:id="419" w:name="bookmark14"/>
      <w:bookmarkEnd w:id="419"/>
      <w:bookmarkStart w:id="420" w:name="bookmark40"/>
      <w:bookmarkEnd w:id="420"/>
      <w:bookmarkStart w:id="421" w:name="_Toc1449"/>
      <w:bookmarkStart w:id="422" w:name="_Toc29109"/>
      <w:bookmarkStart w:id="423" w:name="_Toc7895"/>
      <w:bookmarkStart w:id="424" w:name="_Toc2332"/>
      <w:bookmarkStart w:id="425" w:name="_Toc7873"/>
      <w:r>
        <w:rPr>
          <w:rFonts w:hint="eastAsia" w:ascii="宋体" w:hAnsi="宋体" w:eastAsia="宋体" w:cs="宋体"/>
          <w:b/>
          <w:bCs/>
          <w:color w:val="auto"/>
          <w:spacing w:val="6"/>
          <w:position w:val="2"/>
          <w:sz w:val="31"/>
          <w:szCs w:val="31"/>
          <w:highlight w:val="none"/>
        </w:rPr>
        <w:t>评标办法前附表①</w:t>
      </w:r>
      <w:bookmarkEnd w:id="421"/>
      <w:bookmarkEnd w:id="422"/>
      <w:bookmarkEnd w:id="423"/>
      <w:bookmarkEnd w:id="424"/>
      <w:bookmarkEnd w:id="425"/>
    </w:p>
    <w:p w14:paraId="5A609F84">
      <w:pPr>
        <w:spacing w:before="107"/>
        <w:rPr>
          <w:rFonts w:hint="eastAsia" w:ascii="宋体" w:hAnsi="宋体" w:eastAsia="宋体" w:cs="宋体"/>
          <w:color w:val="auto"/>
          <w:highlight w:val="none"/>
        </w:rPr>
      </w:pPr>
    </w:p>
    <w:tbl>
      <w:tblPr>
        <w:tblStyle w:val="24"/>
        <w:tblW w:w="894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5"/>
        <w:gridCol w:w="1319"/>
        <w:gridCol w:w="6683"/>
      </w:tblGrid>
      <w:tr w14:paraId="6CEA48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4" w:hRule="atLeast"/>
        </w:trPr>
        <w:tc>
          <w:tcPr>
            <w:tcW w:w="2264" w:type="dxa"/>
            <w:gridSpan w:val="2"/>
            <w:vAlign w:val="top"/>
          </w:tcPr>
          <w:p w14:paraId="16153A5B">
            <w:pPr>
              <w:pStyle w:val="25"/>
              <w:spacing w:before="131" w:line="228" w:lineRule="auto"/>
              <w:ind w:left="883"/>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条款号</w:t>
            </w:r>
          </w:p>
        </w:tc>
        <w:tc>
          <w:tcPr>
            <w:tcW w:w="6683" w:type="dxa"/>
            <w:vAlign w:val="top"/>
          </w:tcPr>
          <w:p w14:paraId="24C02110">
            <w:pPr>
              <w:pStyle w:val="25"/>
              <w:spacing w:before="131" w:line="228" w:lineRule="auto"/>
              <w:ind w:left="2379"/>
              <w:rPr>
                <w:rFonts w:hint="eastAsia" w:ascii="宋体" w:hAnsi="宋体" w:eastAsia="宋体" w:cs="宋体"/>
                <w:color w:val="auto"/>
                <w:sz w:val="24"/>
                <w:szCs w:val="24"/>
                <w:highlight w:val="none"/>
              </w:rPr>
            </w:pPr>
            <w:r>
              <w:rPr>
                <w:rFonts w:hint="eastAsia" w:ascii="宋体" w:hAnsi="宋体" w:eastAsia="宋体" w:cs="宋体"/>
                <w:b/>
                <w:bCs/>
                <w:color w:val="auto"/>
                <w:spacing w:val="7"/>
                <w:sz w:val="24"/>
                <w:szCs w:val="24"/>
                <w:highlight w:val="none"/>
              </w:rPr>
              <w:t>评审因素与评审标准</w:t>
            </w:r>
          </w:p>
        </w:tc>
      </w:tr>
      <w:tr w14:paraId="3B071E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4" w:hRule="atLeast"/>
        </w:trPr>
        <w:tc>
          <w:tcPr>
            <w:tcW w:w="945" w:type="dxa"/>
            <w:vAlign w:val="top"/>
          </w:tcPr>
          <w:p w14:paraId="42D8AC19">
            <w:pPr>
              <w:spacing w:line="247" w:lineRule="auto"/>
              <w:rPr>
                <w:rFonts w:hint="eastAsia" w:ascii="宋体" w:hAnsi="宋体" w:eastAsia="宋体" w:cs="宋体"/>
                <w:color w:val="auto"/>
                <w:sz w:val="24"/>
                <w:szCs w:val="24"/>
                <w:highlight w:val="none"/>
              </w:rPr>
            </w:pPr>
          </w:p>
          <w:p w14:paraId="4CD08E16">
            <w:pPr>
              <w:spacing w:line="247" w:lineRule="auto"/>
              <w:rPr>
                <w:rFonts w:hint="eastAsia" w:ascii="宋体" w:hAnsi="宋体" w:eastAsia="宋体" w:cs="宋体"/>
                <w:color w:val="auto"/>
                <w:sz w:val="24"/>
                <w:szCs w:val="24"/>
                <w:highlight w:val="none"/>
              </w:rPr>
            </w:pPr>
          </w:p>
          <w:p w14:paraId="7F42A529">
            <w:pPr>
              <w:spacing w:line="247" w:lineRule="auto"/>
              <w:rPr>
                <w:rFonts w:hint="eastAsia" w:ascii="宋体" w:hAnsi="宋体" w:eastAsia="宋体" w:cs="宋体"/>
                <w:color w:val="auto"/>
                <w:sz w:val="24"/>
                <w:szCs w:val="24"/>
                <w:highlight w:val="none"/>
              </w:rPr>
            </w:pPr>
          </w:p>
          <w:p w14:paraId="07A8A247">
            <w:pPr>
              <w:spacing w:line="247" w:lineRule="auto"/>
              <w:rPr>
                <w:rFonts w:hint="eastAsia" w:ascii="宋体" w:hAnsi="宋体" w:eastAsia="宋体" w:cs="宋体"/>
                <w:color w:val="auto"/>
                <w:sz w:val="24"/>
                <w:szCs w:val="24"/>
                <w:highlight w:val="none"/>
              </w:rPr>
            </w:pPr>
          </w:p>
          <w:p w14:paraId="0B916A8C">
            <w:pPr>
              <w:spacing w:line="248" w:lineRule="auto"/>
              <w:rPr>
                <w:rFonts w:hint="eastAsia" w:ascii="宋体" w:hAnsi="宋体" w:eastAsia="宋体" w:cs="宋体"/>
                <w:color w:val="auto"/>
                <w:sz w:val="24"/>
                <w:szCs w:val="24"/>
                <w:highlight w:val="none"/>
              </w:rPr>
            </w:pPr>
          </w:p>
          <w:p w14:paraId="1C7EB2F9">
            <w:pPr>
              <w:spacing w:line="248" w:lineRule="auto"/>
              <w:rPr>
                <w:rFonts w:hint="eastAsia" w:ascii="宋体" w:hAnsi="宋体" w:eastAsia="宋体" w:cs="宋体"/>
                <w:color w:val="auto"/>
                <w:sz w:val="24"/>
                <w:szCs w:val="24"/>
                <w:highlight w:val="none"/>
              </w:rPr>
            </w:pPr>
          </w:p>
          <w:p w14:paraId="2A044942">
            <w:pPr>
              <w:pStyle w:val="25"/>
              <w:spacing w:before="65" w:line="270" w:lineRule="exact"/>
              <w:ind w:left="465"/>
              <w:rPr>
                <w:rFonts w:hint="eastAsia" w:ascii="宋体" w:hAnsi="宋体" w:eastAsia="宋体" w:cs="宋体"/>
                <w:color w:val="auto"/>
                <w:sz w:val="24"/>
                <w:szCs w:val="24"/>
                <w:highlight w:val="none"/>
              </w:rPr>
            </w:pPr>
            <w:r>
              <w:rPr>
                <w:rFonts w:hint="eastAsia" w:ascii="宋体" w:hAnsi="宋体" w:eastAsia="宋体" w:cs="宋体"/>
                <w:color w:val="auto"/>
                <w:position w:val="1"/>
                <w:sz w:val="24"/>
                <w:szCs w:val="24"/>
                <w:highlight w:val="none"/>
              </w:rPr>
              <w:t>1</w:t>
            </w:r>
          </w:p>
        </w:tc>
        <w:tc>
          <w:tcPr>
            <w:tcW w:w="1319" w:type="dxa"/>
            <w:vAlign w:val="top"/>
          </w:tcPr>
          <w:p w14:paraId="43172189">
            <w:pPr>
              <w:spacing w:line="247" w:lineRule="auto"/>
              <w:rPr>
                <w:rFonts w:hint="eastAsia" w:ascii="宋体" w:hAnsi="宋体" w:eastAsia="宋体" w:cs="宋体"/>
                <w:color w:val="auto"/>
                <w:sz w:val="24"/>
                <w:szCs w:val="24"/>
                <w:highlight w:val="none"/>
              </w:rPr>
            </w:pPr>
          </w:p>
          <w:p w14:paraId="26CE1198">
            <w:pPr>
              <w:spacing w:line="247" w:lineRule="auto"/>
              <w:rPr>
                <w:rFonts w:hint="eastAsia" w:ascii="宋体" w:hAnsi="宋体" w:eastAsia="宋体" w:cs="宋体"/>
                <w:color w:val="auto"/>
                <w:sz w:val="24"/>
                <w:szCs w:val="24"/>
                <w:highlight w:val="none"/>
              </w:rPr>
            </w:pPr>
          </w:p>
          <w:p w14:paraId="39A8B19E">
            <w:pPr>
              <w:spacing w:line="247" w:lineRule="auto"/>
              <w:rPr>
                <w:rFonts w:hint="eastAsia" w:ascii="宋体" w:hAnsi="宋体" w:eastAsia="宋体" w:cs="宋体"/>
                <w:color w:val="auto"/>
                <w:sz w:val="24"/>
                <w:szCs w:val="24"/>
                <w:highlight w:val="none"/>
              </w:rPr>
            </w:pPr>
          </w:p>
          <w:p w14:paraId="2DBA5A7A">
            <w:pPr>
              <w:spacing w:line="247" w:lineRule="auto"/>
              <w:rPr>
                <w:rFonts w:hint="eastAsia" w:ascii="宋体" w:hAnsi="宋体" w:eastAsia="宋体" w:cs="宋体"/>
                <w:color w:val="auto"/>
                <w:sz w:val="24"/>
                <w:szCs w:val="24"/>
                <w:highlight w:val="none"/>
              </w:rPr>
            </w:pPr>
          </w:p>
          <w:p w14:paraId="28132716">
            <w:pPr>
              <w:spacing w:line="248" w:lineRule="auto"/>
              <w:rPr>
                <w:rFonts w:hint="eastAsia" w:ascii="宋体" w:hAnsi="宋体" w:eastAsia="宋体" w:cs="宋体"/>
                <w:color w:val="auto"/>
                <w:sz w:val="24"/>
                <w:szCs w:val="24"/>
                <w:highlight w:val="none"/>
              </w:rPr>
            </w:pPr>
          </w:p>
          <w:p w14:paraId="371AA52D">
            <w:pPr>
              <w:spacing w:line="248" w:lineRule="auto"/>
              <w:rPr>
                <w:rFonts w:hint="eastAsia" w:ascii="宋体" w:hAnsi="宋体" w:eastAsia="宋体" w:cs="宋体"/>
                <w:color w:val="auto"/>
                <w:sz w:val="24"/>
                <w:szCs w:val="24"/>
                <w:highlight w:val="none"/>
              </w:rPr>
            </w:pPr>
          </w:p>
          <w:p w14:paraId="59F8A038">
            <w:pPr>
              <w:pStyle w:val="25"/>
              <w:spacing w:before="65" w:line="228" w:lineRule="auto"/>
              <w:ind w:left="276"/>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评标方法</w:t>
            </w:r>
          </w:p>
        </w:tc>
        <w:tc>
          <w:tcPr>
            <w:tcW w:w="6683" w:type="dxa"/>
            <w:vAlign w:val="top"/>
          </w:tcPr>
          <w:p w14:paraId="19F58BA8">
            <w:pPr>
              <w:pStyle w:val="25"/>
              <w:spacing w:before="127" w:line="378" w:lineRule="auto"/>
              <w:ind w:left="116" w:right="106" w:hanging="5"/>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评标价相等时，评标委员会依次按照以下优先顺序推荐中标候选人或确</w:t>
            </w:r>
            <w:r>
              <w:rPr>
                <w:rFonts w:hint="eastAsia" w:ascii="宋体" w:hAnsi="宋体" w:eastAsia="宋体" w:cs="宋体"/>
                <w:color w:val="auto"/>
                <w:spacing w:val="4"/>
                <w:sz w:val="24"/>
                <w:szCs w:val="24"/>
                <w:highlight w:val="none"/>
              </w:rPr>
              <w:t>定中标人：</w:t>
            </w:r>
          </w:p>
          <w:p w14:paraId="0DDBD125">
            <w:pPr>
              <w:pStyle w:val="25"/>
              <w:spacing w:line="226" w:lineRule="auto"/>
              <w:ind w:left="122"/>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（1）投标报价低的投标人优先；</w:t>
            </w:r>
          </w:p>
          <w:p w14:paraId="0156B7FB">
            <w:pPr>
              <w:pStyle w:val="25"/>
              <w:spacing w:before="163" w:line="302" w:lineRule="auto"/>
              <w:ind w:left="114" w:right="137" w:firstLine="8"/>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（2）被广西壮族自治区交通运输厅评为最新年度较高信用等级的投标</w:t>
            </w:r>
            <w:r>
              <w:rPr>
                <w:rFonts w:hint="eastAsia" w:ascii="宋体" w:hAnsi="宋体" w:eastAsia="宋体" w:cs="宋体"/>
                <w:color w:val="auto"/>
                <w:spacing w:val="4"/>
                <w:sz w:val="24"/>
                <w:szCs w:val="24"/>
                <w:highlight w:val="none"/>
              </w:rPr>
              <w:t>人优先；</w:t>
            </w:r>
          </w:p>
          <w:p w14:paraId="623ECDC2">
            <w:pPr>
              <w:pStyle w:val="25"/>
              <w:spacing w:before="162" w:line="302" w:lineRule="auto"/>
              <w:ind w:left="113" w:right="137" w:firstLine="9"/>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（3）商务和技术得分较高的投标人优先</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10"/>
                <w:sz w:val="24"/>
                <w:szCs w:val="24"/>
                <w:highlight w:val="none"/>
              </w:rPr>
              <w:t>技术评分最低标价法和综</w:t>
            </w:r>
            <w:r>
              <w:rPr>
                <w:rFonts w:hint="eastAsia" w:ascii="宋体" w:hAnsi="宋体" w:eastAsia="宋体" w:cs="宋体"/>
                <w:color w:val="auto"/>
                <w:spacing w:val="6"/>
                <w:sz w:val="24"/>
                <w:szCs w:val="24"/>
                <w:highlight w:val="none"/>
              </w:rPr>
              <w:t>合评分法适用）</w:t>
            </w:r>
          </w:p>
          <w:p w14:paraId="00DE41E4">
            <w:pPr>
              <w:pStyle w:val="25"/>
              <w:spacing w:before="160" w:line="227" w:lineRule="auto"/>
              <w:ind w:left="122"/>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（4）投标人注册资本较高的优先。</w:t>
            </w:r>
          </w:p>
        </w:tc>
      </w:tr>
      <w:tr w14:paraId="5BA3C9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5" w:hRule="atLeast"/>
        </w:trPr>
        <w:tc>
          <w:tcPr>
            <w:tcW w:w="945" w:type="dxa"/>
            <w:vAlign w:val="top"/>
          </w:tcPr>
          <w:p w14:paraId="5EE12ADE">
            <w:pPr>
              <w:spacing w:line="254" w:lineRule="auto"/>
              <w:rPr>
                <w:rFonts w:hint="eastAsia" w:ascii="宋体" w:hAnsi="宋体" w:eastAsia="宋体" w:cs="宋体"/>
                <w:color w:val="auto"/>
                <w:sz w:val="24"/>
                <w:szCs w:val="24"/>
                <w:highlight w:val="none"/>
              </w:rPr>
            </w:pPr>
          </w:p>
          <w:p w14:paraId="1B4000BE">
            <w:pPr>
              <w:spacing w:line="254" w:lineRule="auto"/>
              <w:rPr>
                <w:rFonts w:hint="eastAsia" w:ascii="宋体" w:hAnsi="宋体" w:eastAsia="宋体" w:cs="宋体"/>
                <w:color w:val="auto"/>
                <w:sz w:val="24"/>
                <w:szCs w:val="24"/>
                <w:highlight w:val="none"/>
              </w:rPr>
            </w:pPr>
          </w:p>
          <w:p w14:paraId="597EC12B">
            <w:pPr>
              <w:spacing w:line="254" w:lineRule="auto"/>
              <w:rPr>
                <w:rFonts w:hint="eastAsia" w:ascii="宋体" w:hAnsi="宋体" w:eastAsia="宋体" w:cs="宋体"/>
                <w:color w:val="auto"/>
                <w:sz w:val="24"/>
                <w:szCs w:val="24"/>
                <w:highlight w:val="none"/>
              </w:rPr>
            </w:pPr>
          </w:p>
          <w:p w14:paraId="4A023641">
            <w:pPr>
              <w:spacing w:line="254" w:lineRule="auto"/>
              <w:rPr>
                <w:rFonts w:hint="eastAsia" w:ascii="宋体" w:hAnsi="宋体" w:eastAsia="宋体" w:cs="宋体"/>
                <w:color w:val="auto"/>
                <w:sz w:val="24"/>
                <w:szCs w:val="24"/>
                <w:highlight w:val="none"/>
              </w:rPr>
            </w:pPr>
          </w:p>
          <w:p w14:paraId="6F217264">
            <w:pPr>
              <w:spacing w:line="254" w:lineRule="auto"/>
              <w:rPr>
                <w:rFonts w:hint="eastAsia" w:ascii="宋体" w:hAnsi="宋体" w:eastAsia="宋体" w:cs="宋体"/>
                <w:color w:val="auto"/>
                <w:sz w:val="24"/>
                <w:szCs w:val="24"/>
                <w:highlight w:val="none"/>
              </w:rPr>
            </w:pPr>
          </w:p>
          <w:p w14:paraId="40748929">
            <w:pPr>
              <w:spacing w:line="255" w:lineRule="auto"/>
              <w:rPr>
                <w:rFonts w:hint="eastAsia" w:ascii="宋体" w:hAnsi="宋体" w:eastAsia="宋体" w:cs="宋体"/>
                <w:color w:val="auto"/>
                <w:sz w:val="24"/>
                <w:szCs w:val="24"/>
                <w:highlight w:val="none"/>
              </w:rPr>
            </w:pPr>
          </w:p>
          <w:p w14:paraId="4AE1811B">
            <w:pPr>
              <w:spacing w:line="255" w:lineRule="auto"/>
              <w:rPr>
                <w:rFonts w:hint="eastAsia" w:ascii="宋体" w:hAnsi="宋体" w:eastAsia="宋体" w:cs="宋体"/>
                <w:color w:val="auto"/>
                <w:sz w:val="24"/>
                <w:szCs w:val="24"/>
                <w:highlight w:val="none"/>
              </w:rPr>
            </w:pPr>
          </w:p>
          <w:p w14:paraId="3825F823">
            <w:pPr>
              <w:spacing w:line="255" w:lineRule="auto"/>
              <w:rPr>
                <w:rFonts w:hint="eastAsia" w:ascii="宋体" w:hAnsi="宋体" w:eastAsia="宋体" w:cs="宋体"/>
                <w:color w:val="auto"/>
                <w:sz w:val="24"/>
                <w:szCs w:val="24"/>
                <w:highlight w:val="none"/>
              </w:rPr>
            </w:pPr>
          </w:p>
          <w:p w14:paraId="6A353039">
            <w:pPr>
              <w:spacing w:line="255" w:lineRule="auto"/>
              <w:rPr>
                <w:rFonts w:hint="eastAsia" w:ascii="宋体" w:hAnsi="宋体" w:eastAsia="宋体" w:cs="宋体"/>
                <w:color w:val="auto"/>
                <w:sz w:val="24"/>
                <w:szCs w:val="24"/>
                <w:highlight w:val="none"/>
              </w:rPr>
            </w:pPr>
          </w:p>
          <w:p w14:paraId="62B41532">
            <w:pPr>
              <w:spacing w:line="255" w:lineRule="auto"/>
              <w:rPr>
                <w:rFonts w:hint="eastAsia" w:ascii="宋体" w:hAnsi="宋体" w:eastAsia="宋体" w:cs="宋体"/>
                <w:color w:val="auto"/>
                <w:sz w:val="24"/>
                <w:szCs w:val="24"/>
                <w:highlight w:val="none"/>
              </w:rPr>
            </w:pPr>
          </w:p>
          <w:p w14:paraId="5A0CD011">
            <w:pPr>
              <w:spacing w:line="255" w:lineRule="auto"/>
              <w:rPr>
                <w:rFonts w:hint="eastAsia" w:ascii="宋体" w:hAnsi="宋体" w:eastAsia="宋体" w:cs="宋体"/>
                <w:color w:val="auto"/>
                <w:sz w:val="24"/>
                <w:szCs w:val="24"/>
                <w:highlight w:val="none"/>
              </w:rPr>
            </w:pPr>
          </w:p>
          <w:p w14:paraId="440A6F94">
            <w:pPr>
              <w:spacing w:line="255" w:lineRule="auto"/>
              <w:rPr>
                <w:rFonts w:hint="eastAsia" w:ascii="宋体" w:hAnsi="宋体" w:eastAsia="宋体" w:cs="宋体"/>
                <w:color w:val="auto"/>
                <w:sz w:val="24"/>
                <w:szCs w:val="24"/>
                <w:highlight w:val="none"/>
              </w:rPr>
            </w:pPr>
          </w:p>
          <w:p w14:paraId="403DC01A">
            <w:pPr>
              <w:spacing w:line="255" w:lineRule="auto"/>
              <w:rPr>
                <w:rFonts w:hint="eastAsia" w:ascii="宋体" w:hAnsi="宋体" w:eastAsia="宋体" w:cs="宋体"/>
                <w:color w:val="auto"/>
                <w:sz w:val="24"/>
                <w:szCs w:val="24"/>
                <w:highlight w:val="none"/>
              </w:rPr>
            </w:pPr>
          </w:p>
          <w:p w14:paraId="500D1FDB">
            <w:pPr>
              <w:pStyle w:val="25"/>
              <w:spacing w:before="65" w:line="268" w:lineRule="exact"/>
              <w:ind w:left="241"/>
              <w:rPr>
                <w:rFonts w:hint="eastAsia" w:ascii="宋体" w:hAnsi="宋体" w:eastAsia="宋体" w:cs="宋体"/>
                <w:color w:val="auto"/>
                <w:sz w:val="24"/>
                <w:szCs w:val="24"/>
                <w:highlight w:val="none"/>
              </w:rPr>
            </w:pPr>
            <w:r>
              <w:rPr>
                <w:rFonts w:hint="eastAsia" w:ascii="宋体" w:hAnsi="宋体" w:eastAsia="宋体" w:cs="宋体"/>
                <w:color w:val="auto"/>
                <w:spacing w:val="2"/>
                <w:position w:val="1"/>
                <w:sz w:val="24"/>
                <w:szCs w:val="24"/>
                <w:highlight w:val="none"/>
              </w:rPr>
              <w:t>2.1.1</w:t>
            </w:r>
          </w:p>
          <w:p w14:paraId="5EC19F89">
            <w:pPr>
              <w:pStyle w:val="25"/>
              <w:spacing w:before="140" w:line="267" w:lineRule="exact"/>
              <w:ind w:left="241"/>
              <w:rPr>
                <w:rFonts w:hint="eastAsia" w:ascii="宋体" w:hAnsi="宋体" w:eastAsia="宋体" w:cs="宋体"/>
                <w:color w:val="auto"/>
                <w:sz w:val="24"/>
                <w:szCs w:val="24"/>
                <w:highlight w:val="none"/>
              </w:rPr>
            </w:pPr>
            <w:r>
              <w:rPr>
                <w:rFonts w:hint="eastAsia" w:ascii="宋体" w:hAnsi="宋体" w:eastAsia="宋体" w:cs="宋体"/>
                <w:color w:val="auto"/>
                <w:spacing w:val="2"/>
                <w:position w:val="1"/>
                <w:sz w:val="24"/>
                <w:szCs w:val="24"/>
                <w:highlight w:val="none"/>
              </w:rPr>
              <w:t>2.1.3</w:t>
            </w:r>
          </w:p>
        </w:tc>
        <w:tc>
          <w:tcPr>
            <w:tcW w:w="1319" w:type="dxa"/>
            <w:vAlign w:val="top"/>
          </w:tcPr>
          <w:p w14:paraId="4225BAE9">
            <w:pPr>
              <w:spacing w:line="259" w:lineRule="auto"/>
              <w:rPr>
                <w:rFonts w:hint="eastAsia" w:ascii="宋体" w:hAnsi="宋体" w:eastAsia="宋体" w:cs="宋体"/>
                <w:color w:val="auto"/>
                <w:sz w:val="24"/>
                <w:szCs w:val="24"/>
                <w:highlight w:val="none"/>
              </w:rPr>
            </w:pPr>
          </w:p>
          <w:p w14:paraId="7357EAAE">
            <w:pPr>
              <w:spacing w:line="259" w:lineRule="auto"/>
              <w:rPr>
                <w:rFonts w:hint="eastAsia" w:ascii="宋体" w:hAnsi="宋体" w:eastAsia="宋体" w:cs="宋体"/>
                <w:color w:val="auto"/>
                <w:sz w:val="24"/>
                <w:szCs w:val="24"/>
                <w:highlight w:val="none"/>
              </w:rPr>
            </w:pPr>
          </w:p>
          <w:p w14:paraId="3A753876">
            <w:pPr>
              <w:spacing w:line="259" w:lineRule="auto"/>
              <w:rPr>
                <w:rFonts w:hint="eastAsia" w:ascii="宋体" w:hAnsi="宋体" w:eastAsia="宋体" w:cs="宋体"/>
                <w:color w:val="auto"/>
                <w:sz w:val="24"/>
                <w:szCs w:val="24"/>
                <w:highlight w:val="none"/>
              </w:rPr>
            </w:pPr>
          </w:p>
          <w:p w14:paraId="4209898D">
            <w:pPr>
              <w:spacing w:line="259" w:lineRule="auto"/>
              <w:rPr>
                <w:rFonts w:hint="eastAsia" w:ascii="宋体" w:hAnsi="宋体" w:eastAsia="宋体" w:cs="宋体"/>
                <w:color w:val="auto"/>
                <w:sz w:val="24"/>
                <w:szCs w:val="24"/>
                <w:highlight w:val="none"/>
              </w:rPr>
            </w:pPr>
          </w:p>
          <w:p w14:paraId="2ED19588">
            <w:pPr>
              <w:spacing w:line="259" w:lineRule="auto"/>
              <w:rPr>
                <w:rFonts w:hint="eastAsia" w:ascii="宋体" w:hAnsi="宋体" w:eastAsia="宋体" w:cs="宋体"/>
                <w:color w:val="auto"/>
                <w:sz w:val="24"/>
                <w:szCs w:val="24"/>
                <w:highlight w:val="none"/>
              </w:rPr>
            </w:pPr>
          </w:p>
          <w:p w14:paraId="29FC8487">
            <w:pPr>
              <w:spacing w:line="259" w:lineRule="auto"/>
              <w:rPr>
                <w:rFonts w:hint="eastAsia" w:ascii="宋体" w:hAnsi="宋体" w:eastAsia="宋体" w:cs="宋体"/>
                <w:color w:val="auto"/>
                <w:sz w:val="24"/>
                <w:szCs w:val="24"/>
                <w:highlight w:val="none"/>
              </w:rPr>
            </w:pPr>
          </w:p>
          <w:p w14:paraId="3982A1DF">
            <w:pPr>
              <w:spacing w:line="259" w:lineRule="auto"/>
              <w:rPr>
                <w:rFonts w:hint="eastAsia" w:ascii="宋体" w:hAnsi="宋体" w:eastAsia="宋体" w:cs="宋体"/>
                <w:color w:val="auto"/>
                <w:sz w:val="24"/>
                <w:szCs w:val="24"/>
                <w:highlight w:val="none"/>
              </w:rPr>
            </w:pPr>
          </w:p>
          <w:p w14:paraId="185F3AF0">
            <w:pPr>
              <w:spacing w:line="259" w:lineRule="auto"/>
              <w:rPr>
                <w:rFonts w:hint="eastAsia" w:ascii="宋体" w:hAnsi="宋体" w:eastAsia="宋体" w:cs="宋体"/>
                <w:color w:val="auto"/>
                <w:sz w:val="24"/>
                <w:szCs w:val="24"/>
                <w:highlight w:val="none"/>
              </w:rPr>
            </w:pPr>
          </w:p>
          <w:p w14:paraId="4E148F14">
            <w:pPr>
              <w:spacing w:line="259" w:lineRule="auto"/>
              <w:rPr>
                <w:rFonts w:hint="eastAsia" w:ascii="宋体" w:hAnsi="宋体" w:eastAsia="宋体" w:cs="宋体"/>
                <w:color w:val="auto"/>
                <w:sz w:val="24"/>
                <w:szCs w:val="24"/>
                <w:highlight w:val="none"/>
              </w:rPr>
            </w:pPr>
          </w:p>
          <w:p w14:paraId="5857DCA1">
            <w:pPr>
              <w:spacing w:line="259" w:lineRule="auto"/>
              <w:rPr>
                <w:rFonts w:hint="eastAsia" w:ascii="宋体" w:hAnsi="宋体" w:eastAsia="宋体" w:cs="宋体"/>
                <w:color w:val="auto"/>
                <w:sz w:val="24"/>
                <w:szCs w:val="24"/>
                <w:highlight w:val="none"/>
              </w:rPr>
            </w:pPr>
          </w:p>
          <w:p w14:paraId="7B30272E">
            <w:pPr>
              <w:spacing w:line="259" w:lineRule="auto"/>
              <w:rPr>
                <w:rFonts w:hint="eastAsia" w:ascii="宋体" w:hAnsi="宋体" w:eastAsia="宋体" w:cs="宋体"/>
                <w:color w:val="auto"/>
                <w:sz w:val="24"/>
                <w:szCs w:val="24"/>
                <w:highlight w:val="none"/>
              </w:rPr>
            </w:pPr>
          </w:p>
          <w:p w14:paraId="1E1B3EA8">
            <w:pPr>
              <w:spacing w:line="259" w:lineRule="auto"/>
              <w:rPr>
                <w:rFonts w:hint="eastAsia" w:ascii="宋体" w:hAnsi="宋体" w:eastAsia="宋体" w:cs="宋体"/>
                <w:color w:val="auto"/>
                <w:sz w:val="24"/>
                <w:szCs w:val="24"/>
                <w:highlight w:val="none"/>
              </w:rPr>
            </w:pPr>
          </w:p>
          <w:p w14:paraId="61DF08B7">
            <w:pPr>
              <w:pStyle w:val="25"/>
              <w:spacing w:before="65" w:line="228" w:lineRule="auto"/>
              <w:ind w:left="176"/>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形式评审与</w:t>
            </w:r>
            <w:r>
              <w:rPr>
                <w:rFonts w:hint="eastAsia" w:ascii="宋体" w:hAnsi="宋体" w:eastAsia="宋体" w:cs="宋体"/>
                <w:color w:val="auto"/>
                <w:spacing w:val="6"/>
                <w:sz w:val="24"/>
                <w:szCs w:val="24"/>
                <w:highlight w:val="none"/>
              </w:rPr>
              <w:t>响应性评审</w:t>
            </w:r>
            <w:r>
              <w:rPr>
                <w:rFonts w:hint="eastAsia" w:ascii="宋体" w:hAnsi="宋体" w:eastAsia="宋体" w:cs="宋体"/>
                <w:color w:val="auto"/>
                <w:spacing w:val="4"/>
                <w:sz w:val="24"/>
                <w:szCs w:val="24"/>
                <w:highlight w:val="none"/>
              </w:rPr>
              <w:t>标准</w:t>
            </w:r>
          </w:p>
        </w:tc>
        <w:tc>
          <w:tcPr>
            <w:tcW w:w="6683" w:type="dxa"/>
            <w:vAlign w:val="top"/>
          </w:tcPr>
          <w:p w14:paraId="735B267C">
            <w:pPr>
              <w:pStyle w:val="25"/>
              <w:spacing w:before="129" w:line="228" w:lineRule="auto"/>
              <w:ind w:left="112"/>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第一个信封（商务及技术文件）评审标准：</w:t>
            </w:r>
          </w:p>
          <w:p w14:paraId="6DD8DAD1">
            <w:pPr>
              <w:pStyle w:val="25"/>
              <w:spacing w:before="161" w:line="228" w:lineRule="auto"/>
              <w:ind w:left="14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(1)投标文件按照招标文件规定的格式、内容填写，字迹清晰可辨。</w:t>
            </w:r>
          </w:p>
          <w:p w14:paraId="5C352C96">
            <w:pPr>
              <w:pStyle w:val="25"/>
              <w:spacing w:before="164" w:line="302" w:lineRule="auto"/>
              <w:ind w:left="114" w:right="35" w:hanging="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a.投标函按招标文件规定填报了项目名称、标段号、补遗书编号（如</w:t>
            </w:r>
            <w:r>
              <w:rPr>
                <w:rFonts w:hint="eastAsia" w:ascii="宋体" w:hAnsi="宋体" w:eastAsia="宋体" w:cs="宋体"/>
                <w:color w:val="auto"/>
                <w:spacing w:val="-4"/>
                <w:sz w:val="24"/>
                <w:szCs w:val="24"/>
                <w:highlight w:val="none"/>
              </w:rPr>
              <w:t>有）、</w:t>
            </w:r>
            <w:r>
              <w:rPr>
                <w:rFonts w:hint="eastAsia" w:ascii="宋体" w:hAnsi="宋体" w:eastAsia="宋体" w:cs="宋体"/>
                <w:color w:val="auto"/>
                <w:spacing w:val="8"/>
                <w:sz w:val="24"/>
                <w:szCs w:val="24"/>
                <w:highlight w:val="none"/>
              </w:rPr>
              <w:t>工期、工程质量要求及安全目标；</w:t>
            </w:r>
          </w:p>
          <w:p w14:paraId="72F0180D">
            <w:pPr>
              <w:pStyle w:val="25"/>
              <w:spacing w:before="160" w:line="227" w:lineRule="auto"/>
              <w:ind w:left="10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b.投标函附录的所有数据均符合招标文件规定；</w:t>
            </w:r>
          </w:p>
          <w:p w14:paraId="6BAB1630">
            <w:pPr>
              <w:pStyle w:val="25"/>
              <w:spacing w:before="161" w:line="228" w:lineRule="auto"/>
              <w:ind w:left="116"/>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c.投标文件组成齐全完整，内容均按规定填写。</w:t>
            </w:r>
          </w:p>
          <w:p w14:paraId="23B6C783">
            <w:pPr>
              <w:pStyle w:val="25"/>
              <w:spacing w:before="161" w:line="378" w:lineRule="auto"/>
              <w:ind w:left="113" w:right="137" w:firstLine="35"/>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(2)投标文件上法定代表人的签章、投标人的单位章盖章齐全，符合招</w:t>
            </w:r>
            <w:r>
              <w:rPr>
                <w:rFonts w:hint="eastAsia" w:ascii="宋体" w:hAnsi="宋体" w:eastAsia="宋体" w:cs="宋体"/>
                <w:color w:val="auto"/>
                <w:spacing w:val="6"/>
                <w:sz w:val="24"/>
                <w:szCs w:val="24"/>
                <w:highlight w:val="none"/>
              </w:rPr>
              <w:t>标文件规定。</w:t>
            </w:r>
          </w:p>
          <w:p w14:paraId="3C2013AD">
            <w:pPr>
              <w:pStyle w:val="25"/>
              <w:spacing w:before="1" w:line="376" w:lineRule="auto"/>
              <w:ind w:left="111" w:right="106" w:firstLine="3"/>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投标文件上法定代表人的签章、投标人的单位章盖章齐全，符合招标文</w:t>
            </w:r>
            <w:r>
              <w:rPr>
                <w:rFonts w:hint="eastAsia" w:ascii="宋体" w:hAnsi="宋体" w:eastAsia="宋体" w:cs="宋体"/>
                <w:color w:val="auto"/>
                <w:spacing w:val="5"/>
                <w:sz w:val="24"/>
                <w:szCs w:val="24"/>
                <w:highlight w:val="none"/>
              </w:rPr>
              <w:t>件规定。</w:t>
            </w:r>
          </w:p>
          <w:p w14:paraId="2035F719">
            <w:pPr>
              <w:pStyle w:val="25"/>
              <w:spacing w:before="1" w:line="377" w:lineRule="auto"/>
              <w:ind w:left="114" w:right="106" w:firstLine="34"/>
              <w:jc w:val="both"/>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(3)与申请资格预审时比较，投标人发生合并、分立、破产等重大变化</w:t>
            </w:r>
            <w:r>
              <w:rPr>
                <w:rFonts w:hint="eastAsia" w:ascii="宋体" w:hAnsi="宋体" w:eastAsia="宋体" w:cs="宋体"/>
                <w:color w:val="auto"/>
                <w:spacing w:val="7"/>
                <w:sz w:val="24"/>
                <w:szCs w:val="24"/>
                <w:highlight w:val="none"/>
              </w:rPr>
              <w:t>的，仍具备资格预审文件规定的相应资格条件且其投标未影响招标公正</w:t>
            </w:r>
            <w:r>
              <w:rPr>
                <w:rFonts w:hint="eastAsia" w:ascii="宋体" w:hAnsi="宋体" w:eastAsia="宋体" w:cs="宋体"/>
                <w:color w:val="auto"/>
                <w:spacing w:val="-1"/>
                <w:sz w:val="24"/>
                <w:szCs w:val="24"/>
                <w:highlight w:val="none"/>
              </w:rPr>
              <w:t>性。</w:t>
            </w:r>
          </w:p>
          <w:p w14:paraId="2122DFEC">
            <w:pPr>
              <w:pStyle w:val="25"/>
              <w:spacing w:before="2" w:line="301" w:lineRule="auto"/>
              <w:ind w:left="113" w:right="24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a.投标人应提供相关部门的合法批件及企业法人营业执照和资质证书</w:t>
            </w:r>
            <w:r>
              <w:rPr>
                <w:rFonts w:hint="eastAsia" w:ascii="宋体" w:hAnsi="宋体" w:eastAsia="宋体" w:cs="宋体"/>
                <w:color w:val="auto"/>
                <w:spacing w:val="8"/>
                <w:sz w:val="24"/>
                <w:szCs w:val="24"/>
                <w:highlight w:val="none"/>
              </w:rPr>
              <w:t>等证件的副本变更记录复印件；</w:t>
            </w:r>
          </w:p>
          <w:p w14:paraId="5352A699">
            <w:pPr>
              <w:pStyle w:val="25"/>
              <w:spacing w:before="162" w:line="303" w:lineRule="auto"/>
              <w:ind w:left="113" w:right="240" w:hanging="4"/>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b.投标人仍然满足资格预审文件中规定的资格预审条件最低要求（资质、业绩、人员、信誉、财务等</w:t>
            </w:r>
            <w:r>
              <w:rPr>
                <w:rFonts w:hint="eastAsia" w:ascii="宋体" w:hAnsi="宋体" w:eastAsia="宋体" w:cs="宋体"/>
                <w:color w:val="auto"/>
                <w:sz w:val="24"/>
                <w:szCs w:val="24"/>
                <w:highlight w:val="none"/>
              </w:rPr>
              <w:t>）；</w:t>
            </w:r>
          </w:p>
          <w:p w14:paraId="53148DEA">
            <w:pPr>
              <w:pStyle w:val="25"/>
              <w:keepNext w:val="0"/>
              <w:keepLines w:val="0"/>
              <w:pageBreakBefore w:val="0"/>
              <w:widowControl/>
              <w:kinsoku w:val="0"/>
              <w:wordWrap/>
              <w:overflowPunct/>
              <w:topLinePunct w:val="0"/>
              <w:autoSpaceDE w:val="0"/>
              <w:autoSpaceDN w:val="0"/>
              <w:bidi w:val="0"/>
              <w:adjustRightInd w:val="0"/>
              <w:snapToGrid w:val="0"/>
              <w:spacing w:before="130" w:line="360" w:lineRule="auto"/>
              <w:ind w:left="113"/>
              <w:textAlignment w:val="baseline"/>
              <w:rPr>
                <w:rFonts w:hint="eastAsia" w:ascii="宋体" w:hAnsi="宋体" w:eastAsia="宋体" w:cs="宋体"/>
                <w:color w:val="auto"/>
                <w:spacing w:val="9"/>
                <w:sz w:val="24"/>
                <w:szCs w:val="24"/>
                <w:highlight w:val="none"/>
              </w:rPr>
            </w:pPr>
            <w:r>
              <w:rPr>
                <w:rFonts w:hint="eastAsia" w:ascii="宋体" w:hAnsi="宋体" w:eastAsia="宋体" w:cs="宋体"/>
                <w:color w:val="auto"/>
                <w:spacing w:val="7"/>
                <w:sz w:val="24"/>
                <w:szCs w:val="24"/>
                <w:highlight w:val="none"/>
              </w:rPr>
              <w:t>c.与所投标段的其他投标人不存在控股、管理关系或单位负责人为同一</w:t>
            </w:r>
            <w:r>
              <w:rPr>
                <w:rFonts w:hint="eastAsia" w:ascii="宋体" w:hAnsi="宋体" w:eastAsia="宋体" w:cs="宋体"/>
                <w:color w:val="auto"/>
                <w:spacing w:val="9"/>
                <w:sz w:val="24"/>
                <w:szCs w:val="24"/>
                <w:highlight w:val="none"/>
              </w:rPr>
              <w:t>人的情况；与招标人也不存在利害关系并可能影响招标公正性。</w:t>
            </w:r>
          </w:p>
          <w:p w14:paraId="27B1B8B2">
            <w:pPr>
              <w:pStyle w:val="25"/>
              <w:spacing w:before="161" w:line="227" w:lineRule="auto"/>
              <w:ind w:left="149"/>
              <w:rPr>
                <w:rFonts w:hint="eastAsia" w:ascii="宋体" w:hAnsi="宋体" w:eastAsia="宋体" w:cs="宋体"/>
                <w:color w:val="auto"/>
                <w:spacing w:val="6"/>
                <w:sz w:val="24"/>
                <w:szCs w:val="24"/>
                <w:highlight w:val="none"/>
              </w:rPr>
            </w:pPr>
            <w:r>
              <w:rPr>
                <w:rFonts w:hint="eastAsia" w:ascii="宋体" w:hAnsi="宋体" w:eastAsia="宋体" w:cs="宋体"/>
                <w:color w:val="auto"/>
                <w:spacing w:val="7"/>
                <w:sz w:val="24"/>
                <w:szCs w:val="24"/>
                <w:highlight w:val="none"/>
              </w:rPr>
              <w:t>(4)投标人按照招标文件的规定提供了投标保证</w:t>
            </w:r>
            <w:r>
              <w:rPr>
                <w:rFonts w:hint="eastAsia" w:ascii="宋体" w:hAnsi="宋体" w:eastAsia="宋体" w:cs="宋体"/>
                <w:color w:val="auto"/>
                <w:spacing w:val="6"/>
                <w:sz w:val="24"/>
                <w:szCs w:val="24"/>
                <w:highlight w:val="none"/>
              </w:rPr>
              <w:t>金。</w:t>
            </w:r>
          </w:p>
          <w:p w14:paraId="4B9C93DE">
            <w:pPr>
              <w:pStyle w:val="25"/>
              <w:spacing w:before="165" w:line="302" w:lineRule="auto"/>
              <w:ind w:left="115" w:right="106" w:hanging="2"/>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a.投标保证金金额符合招标文件规定的金额，且投标保证金有效期不少</w:t>
            </w:r>
            <w:r>
              <w:rPr>
                <w:rFonts w:hint="eastAsia" w:ascii="宋体" w:hAnsi="宋体" w:eastAsia="宋体" w:cs="宋体"/>
                <w:color w:val="auto"/>
                <w:spacing w:val="6"/>
                <w:sz w:val="24"/>
                <w:szCs w:val="24"/>
                <w:highlight w:val="none"/>
              </w:rPr>
              <w:t>于投标有效期；</w:t>
            </w:r>
          </w:p>
          <w:p w14:paraId="0330D4B7">
            <w:pPr>
              <w:pStyle w:val="25"/>
              <w:spacing w:before="160" w:line="302" w:lineRule="auto"/>
              <w:ind w:left="113" w:right="85" w:hanging="4"/>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b.若投标保证金采用现金或支票形式提交，投标人应在递交投标文件截</w:t>
            </w:r>
            <w:r>
              <w:rPr>
                <w:rFonts w:hint="eastAsia" w:ascii="宋体" w:hAnsi="宋体" w:eastAsia="宋体" w:cs="宋体"/>
                <w:color w:val="auto"/>
                <w:spacing w:val="8"/>
                <w:sz w:val="24"/>
                <w:szCs w:val="24"/>
                <w:highlight w:val="none"/>
              </w:rPr>
              <w:t>止时间之前，将投标保证金由投标人的基本账户转入招标人指定</w:t>
            </w:r>
            <w:r>
              <w:rPr>
                <w:rFonts w:hint="eastAsia" w:ascii="宋体" w:hAnsi="宋体" w:eastAsia="宋体" w:cs="宋体"/>
                <w:color w:val="auto"/>
                <w:spacing w:val="7"/>
                <w:sz w:val="24"/>
                <w:szCs w:val="24"/>
                <w:highlight w:val="none"/>
              </w:rPr>
              <w:t>账户；</w:t>
            </w:r>
          </w:p>
          <w:p w14:paraId="0AED374E">
            <w:pPr>
              <w:pStyle w:val="25"/>
              <w:spacing w:before="161" w:line="328" w:lineRule="auto"/>
              <w:ind w:left="113" w:right="106" w:firstLine="3"/>
              <w:rPr>
                <w:rFonts w:hint="eastAsia" w:ascii="宋体" w:hAnsi="宋体" w:eastAsia="宋体" w:cs="宋体"/>
                <w:color w:val="auto"/>
                <w:spacing w:val="7"/>
                <w:sz w:val="24"/>
                <w:szCs w:val="24"/>
                <w:highlight w:val="none"/>
              </w:rPr>
            </w:pPr>
            <w:r>
              <w:rPr>
                <w:rFonts w:hint="eastAsia" w:ascii="宋体" w:hAnsi="宋体" w:eastAsia="宋体" w:cs="宋体"/>
                <w:color w:val="auto"/>
                <w:spacing w:val="7"/>
                <w:sz w:val="24"/>
                <w:szCs w:val="24"/>
                <w:highlight w:val="none"/>
              </w:rPr>
              <w:t>c.若投标保证金采用银行保函形式提交，银行保函的格式、开具</w:t>
            </w:r>
            <w:r>
              <w:rPr>
                <w:rFonts w:hint="eastAsia" w:ascii="宋体" w:hAnsi="宋体" w:eastAsia="宋体" w:cs="宋体"/>
                <w:color w:val="auto"/>
                <w:spacing w:val="6"/>
                <w:sz w:val="24"/>
                <w:szCs w:val="24"/>
                <w:highlight w:val="none"/>
              </w:rPr>
              <w:t>保函的</w:t>
            </w:r>
            <w:r>
              <w:rPr>
                <w:rFonts w:hint="eastAsia" w:ascii="宋体" w:hAnsi="宋体" w:eastAsia="宋体" w:cs="宋体"/>
                <w:color w:val="auto"/>
                <w:spacing w:val="7"/>
                <w:sz w:val="24"/>
                <w:szCs w:val="24"/>
                <w:highlight w:val="none"/>
              </w:rPr>
              <w:t>银行均满足招标文件要求，且在递交投标文件截止时间之前向招标人提交了银行保函原件。</w:t>
            </w:r>
          </w:p>
          <w:p w14:paraId="543E3538">
            <w:pPr>
              <w:pStyle w:val="25"/>
              <w:spacing w:before="161" w:line="228" w:lineRule="auto"/>
              <w:ind w:left="149"/>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(5)投标人以联合体形式投标时，联合体满足招标文件的要求。</w:t>
            </w:r>
          </w:p>
          <w:p w14:paraId="70FF81AF">
            <w:pPr>
              <w:pStyle w:val="25"/>
              <w:spacing w:before="160" w:line="302" w:lineRule="auto"/>
              <w:ind w:left="113" w:right="106"/>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a.未进行资格预审的，投标人按照招标文件提供的格式签订了联合体协</w:t>
            </w:r>
            <w:r>
              <w:rPr>
                <w:rFonts w:hint="eastAsia" w:ascii="宋体" w:hAnsi="宋体" w:eastAsia="宋体" w:cs="宋体"/>
                <w:color w:val="auto"/>
                <w:spacing w:val="9"/>
                <w:sz w:val="24"/>
                <w:szCs w:val="24"/>
                <w:highlight w:val="none"/>
              </w:rPr>
              <w:t>议书，明确各方承担连带责任，并明确了联合体牵头人；</w:t>
            </w:r>
          </w:p>
          <w:p w14:paraId="3C8809E6">
            <w:pPr>
              <w:pStyle w:val="25"/>
              <w:spacing w:before="164" w:line="302" w:lineRule="auto"/>
              <w:ind w:left="113" w:right="66" w:hanging="4"/>
              <w:rPr>
                <w:rFonts w:hint="eastAsia" w:ascii="宋体" w:hAnsi="宋体" w:eastAsia="宋体" w:cs="宋体"/>
                <w:color w:val="auto"/>
                <w:spacing w:val="8"/>
                <w:sz w:val="24"/>
                <w:szCs w:val="24"/>
                <w:highlight w:val="none"/>
              </w:rPr>
            </w:pPr>
            <w:r>
              <w:rPr>
                <w:rFonts w:hint="eastAsia" w:ascii="宋体" w:hAnsi="宋体" w:eastAsia="宋体" w:cs="宋体"/>
                <w:color w:val="auto"/>
                <w:spacing w:val="7"/>
                <w:sz w:val="24"/>
                <w:szCs w:val="24"/>
                <w:highlight w:val="none"/>
              </w:rPr>
              <w:t>b.已进行资格预审的，投标人提供了资格预审申请文件中所附的联合体</w:t>
            </w:r>
            <w:r>
              <w:rPr>
                <w:rFonts w:hint="eastAsia" w:ascii="宋体" w:hAnsi="宋体" w:eastAsia="宋体" w:cs="宋体"/>
                <w:color w:val="auto"/>
                <w:spacing w:val="8"/>
                <w:sz w:val="24"/>
                <w:szCs w:val="24"/>
                <w:highlight w:val="none"/>
              </w:rPr>
              <w:t>协议书复印件，且通过资格预审后的联合体无成员增减或更换的情况。</w:t>
            </w:r>
          </w:p>
          <w:p w14:paraId="4FA4539C">
            <w:pPr>
              <w:pStyle w:val="25"/>
              <w:spacing w:before="163" w:line="377" w:lineRule="auto"/>
              <w:ind w:left="113" w:right="105" w:firstLine="35"/>
              <w:jc w:val="both"/>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(6)投标人如有分包计划，符合招标文件第二章“投标</w:t>
            </w:r>
            <w:r>
              <w:rPr>
                <w:rFonts w:hint="eastAsia" w:ascii="宋体" w:hAnsi="宋体" w:eastAsia="宋体" w:cs="宋体"/>
                <w:color w:val="auto"/>
                <w:spacing w:val="2"/>
                <w:sz w:val="24"/>
                <w:szCs w:val="24"/>
                <w:highlight w:val="none"/>
              </w:rPr>
              <w:t>人须知”第1.11</w:t>
            </w:r>
            <w:r>
              <w:rPr>
                <w:rFonts w:hint="eastAsia" w:ascii="宋体" w:hAnsi="宋体" w:eastAsia="宋体" w:cs="宋体"/>
                <w:color w:val="auto"/>
                <w:spacing w:val="6"/>
                <w:sz w:val="24"/>
                <w:szCs w:val="24"/>
                <w:highlight w:val="none"/>
              </w:rPr>
              <w:t>款规定，且按招标文件第九章“投标文件格式”的要求填写了“拟分包项目情况表”；</w:t>
            </w:r>
          </w:p>
          <w:p w14:paraId="3C7BDFAC">
            <w:pPr>
              <w:pStyle w:val="25"/>
              <w:spacing w:before="2" w:line="376" w:lineRule="auto"/>
              <w:ind w:left="113" w:right="106" w:firstLine="1"/>
              <w:jc w:val="both"/>
              <w:rPr>
                <w:rFonts w:hint="eastAsia" w:ascii="宋体" w:hAnsi="宋体" w:eastAsia="宋体" w:cs="宋体"/>
                <w:color w:val="auto"/>
                <w:spacing w:val="6"/>
                <w:sz w:val="24"/>
                <w:szCs w:val="24"/>
                <w:highlight w:val="none"/>
              </w:rPr>
            </w:pPr>
            <w:r>
              <w:rPr>
                <w:rFonts w:hint="eastAsia" w:ascii="宋体" w:hAnsi="宋体" w:eastAsia="宋体" w:cs="宋体"/>
                <w:color w:val="auto"/>
                <w:spacing w:val="4"/>
                <w:sz w:val="24"/>
                <w:szCs w:val="24"/>
                <w:highlight w:val="none"/>
              </w:rPr>
              <w:t>投标人如有分包计划，符合招标文件第二章“投标人须知”第1.1</w:t>
            </w:r>
            <w:r>
              <w:rPr>
                <w:rFonts w:hint="eastAsia" w:ascii="宋体" w:hAnsi="宋体" w:eastAsia="宋体" w:cs="宋体"/>
                <w:color w:val="auto"/>
                <w:spacing w:val="3"/>
                <w:sz w:val="24"/>
                <w:szCs w:val="24"/>
                <w:highlight w:val="none"/>
              </w:rPr>
              <w:t>1款</w:t>
            </w:r>
            <w:r>
              <w:rPr>
                <w:rFonts w:hint="eastAsia" w:ascii="宋体" w:hAnsi="宋体" w:eastAsia="宋体" w:cs="宋体"/>
                <w:color w:val="auto"/>
                <w:spacing w:val="6"/>
                <w:sz w:val="24"/>
                <w:szCs w:val="24"/>
                <w:highlight w:val="none"/>
              </w:rPr>
              <w:t>规定，且按招标文件第九章“投标文件格式”的要求填写了“拟分包项目情况表”；</w:t>
            </w:r>
          </w:p>
          <w:p w14:paraId="36CEC8A0">
            <w:pPr>
              <w:pStyle w:val="25"/>
              <w:spacing w:before="2" w:line="377" w:lineRule="auto"/>
              <w:ind w:left="114" w:right="137" w:firstLine="34"/>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(7)同一投标人未提交两个以上不同的投标文件，但招标文件要求提交</w:t>
            </w:r>
            <w:r>
              <w:rPr>
                <w:rFonts w:hint="eastAsia" w:ascii="宋体" w:hAnsi="宋体" w:eastAsia="宋体" w:cs="宋体"/>
                <w:color w:val="auto"/>
                <w:spacing w:val="7"/>
                <w:sz w:val="24"/>
                <w:szCs w:val="24"/>
                <w:highlight w:val="none"/>
              </w:rPr>
              <w:t>备选投标的除外；</w:t>
            </w:r>
          </w:p>
          <w:p w14:paraId="5992A5C3">
            <w:pPr>
              <w:pStyle w:val="25"/>
              <w:spacing w:before="1" w:line="376" w:lineRule="auto"/>
              <w:ind w:left="114" w:right="106" w:firstLine="1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同一投标人未提交两个以上不同的投标文件，但招标文件要求提交备选投标的除外；</w:t>
            </w:r>
          </w:p>
          <w:p w14:paraId="4C230FAD">
            <w:pPr>
              <w:pStyle w:val="25"/>
              <w:spacing w:before="1" w:line="226" w:lineRule="auto"/>
              <w:ind w:left="14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(8)投标文件中未出现有关投标报价的内容。</w:t>
            </w:r>
          </w:p>
          <w:p w14:paraId="18CBE051">
            <w:pPr>
              <w:pStyle w:val="25"/>
              <w:spacing w:before="163" w:line="226" w:lineRule="auto"/>
              <w:ind w:left="114"/>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投标文件中未出现有关投标报价的内容。</w:t>
            </w:r>
          </w:p>
          <w:p w14:paraId="27E5214B">
            <w:pPr>
              <w:pStyle w:val="25"/>
              <w:spacing w:before="165" w:line="302" w:lineRule="auto"/>
              <w:ind w:left="114" w:right="381" w:firstLine="34"/>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(9)投标文件载明的招标项目完成期限未超过招标文件规定</w:t>
            </w:r>
            <w:r>
              <w:rPr>
                <w:rFonts w:hint="eastAsia" w:ascii="宋体" w:hAnsi="宋体" w:eastAsia="宋体" w:cs="宋体"/>
                <w:color w:val="auto"/>
                <w:spacing w:val="6"/>
                <w:sz w:val="24"/>
                <w:szCs w:val="24"/>
                <w:highlight w:val="none"/>
              </w:rPr>
              <w:t>的时限。</w:t>
            </w:r>
            <w:r>
              <w:rPr>
                <w:rFonts w:hint="eastAsia" w:ascii="宋体" w:hAnsi="宋体" w:eastAsia="宋体" w:cs="宋体"/>
                <w:color w:val="auto"/>
                <w:spacing w:val="9"/>
                <w:sz w:val="24"/>
                <w:szCs w:val="24"/>
                <w:highlight w:val="none"/>
              </w:rPr>
              <w:t>投标文件载明的招标项目完成期限未超过招标文件规定的时限。</w:t>
            </w:r>
          </w:p>
          <w:p w14:paraId="42C3E22C">
            <w:pPr>
              <w:pStyle w:val="25"/>
              <w:spacing w:before="162" w:line="302" w:lineRule="auto"/>
              <w:ind w:left="114" w:right="1326" w:firstLine="34"/>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(10)投标文件对招标文件的实质性要求和条件作出响应。</w:t>
            </w:r>
            <w:r>
              <w:rPr>
                <w:rFonts w:hint="eastAsia" w:ascii="宋体" w:hAnsi="宋体" w:eastAsia="宋体" w:cs="宋体"/>
                <w:color w:val="auto"/>
                <w:spacing w:val="9"/>
                <w:sz w:val="24"/>
                <w:szCs w:val="24"/>
                <w:highlight w:val="none"/>
              </w:rPr>
              <w:t>投标文件对招标文件的实质性要求和条件作出响</w:t>
            </w:r>
            <w:r>
              <w:rPr>
                <w:rFonts w:hint="eastAsia" w:ascii="宋体" w:hAnsi="宋体" w:eastAsia="宋体" w:cs="宋体"/>
                <w:color w:val="auto"/>
                <w:spacing w:val="8"/>
                <w:sz w:val="24"/>
                <w:szCs w:val="24"/>
                <w:highlight w:val="none"/>
              </w:rPr>
              <w:t>应。</w:t>
            </w:r>
          </w:p>
          <w:p w14:paraId="5EA89FA6">
            <w:pPr>
              <w:pStyle w:val="25"/>
              <w:spacing w:before="161" w:line="228" w:lineRule="auto"/>
              <w:ind w:left="149"/>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(11)权利义务符合招标文件规定。</w:t>
            </w:r>
          </w:p>
          <w:p w14:paraId="496F7BFF">
            <w:pPr>
              <w:pStyle w:val="25"/>
              <w:spacing w:before="162" w:line="381" w:lineRule="auto"/>
              <w:ind w:left="113" w:right="106"/>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a.投标人应接受招标文件规定的风险划分原则，未提出新的风险划分办</w:t>
            </w:r>
            <w:r>
              <w:rPr>
                <w:rFonts w:hint="eastAsia" w:ascii="宋体" w:hAnsi="宋体" w:eastAsia="宋体" w:cs="宋体"/>
                <w:color w:val="auto"/>
                <w:sz w:val="24"/>
                <w:szCs w:val="24"/>
                <w:highlight w:val="none"/>
              </w:rPr>
              <w:t>法；</w:t>
            </w:r>
          </w:p>
          <w:p w14:paraId="574F6C32">
            <w:pPr>
              <w:pStyle w:val="25"/>
              <w:spacing w:before="130" w:line="228" w:lineRule="auto"/>
              <w:ind w:left="10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b.投标人未增加发包人的责任范围，或减少投标人义务；</w:t>
            </w:r>
          </w:p>
          <w:p w14:paraId="3A72B09C">
            <w:pPr>
              <w:pStyle w:val="25"/>
              <w:spacing w:before="160" w:line="228" w:lineRule="auto"/>
              <w:ind w:left="116"/>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c.投标人未提出不同的工程验收、计量、支付办法；</w:t>
            </w:r>
          </w:p>
          <w:p w14:paraId="3961EB78">
            <w:pPr>
              <w:pStyle w:val="25"/>
              <w:spacing w:before="163" w:line="228" w:lineRule="auto"/>
              <w:ind w:left="116"/>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d.投标人对合同纠纷、事故处理办法未提出异议；</w:t>
            </w:r>
          </w:p>
          <w:p w14:paraId="69E12E74">
            <w:pPr>
              <w:pStyle w:val="25"/>
              <w:spacing w:before="160" w:line="228" w:lineRule="auto"/>
              <w:ind w:left="117"/>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e.投标人在投标活动中无欺诈行为；</w:t>
            </w:r>
          </w:p>
          <w:p w14:paraId="6FA4BF87">
            <w:pPr>
              <w:pStyle w:val="25"/>
              <w:spacing w:before="161" w:line="228" w:lineRule="auto"/>
              <w:ind w:left="115"/>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f.投标人未对合同条款有重要保留；</w:t>
            </w:r>
          </w:p>
          <w:p w14:paraId="7737B782">
            <w:pPr>
              <w:pStyle w:val="25"/>
              <w:spacing w:before="162" w:line="227" w:lineRule="auto"/>
              <w:ind w:left="14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(12)不加密的电子投标文件份数符合招标文件第</w:t>
            </w:r>
            <w:r>
              <w:rPr>
                <w:rFonts w:hint="eastAsia" w:ascii="宋体" w:hAnsi="宋体" w:eastAsia="宋体" w:cs="宋体"/>
                <w:color w:val="auto"/>
                <w:spacing w:val="5"/>
                <w:sz w:val="24"/>
                <w:szCs w:val="24"/>
                <w:highlight w:val="none"/>
              </w:rPr>
              <w:t>二章“投标人须知”第</w:t>
            </w:r>
            <w:r>
              <w:rPr>
                <w:rFonts w:hint="eastAsia" w:ascii="宋体" w:hAnsi="宋体" w:eastAsia="宋体" w:cs="宋体"/>
                <w:color w:val="auto"/>
                <w:spacing w:val="7"/>
                <w:sz w:val="24"/>
                <w:szCs w:val="24"/>
                <w:highlight w:val="none"/>
              </w:rPr>
              <w:t>3.7.5项规定（仅当采用不加密的电子投标文件评标时）。</w:t>
            </w:r>
          </w:p>
          <w:p w14:paraId="4D4E573D">
            <w:pPr>
              <w:pStyle w:val="25"/>
              <w:spacing w:before="161" w:line="378" w:lineRule="auto"/>
              <w:ind w:left="115" w:right="105"/>
              <w:rPr>
                <w:rFonts w:hint="eastAsia" w:ascii="宋体" w:hAnsi="宋体" w:eastAsia="宋体" w:cs="宋体"/>
                <w:color w:val="auto"/>
                <w:spacing w:val="8"/>
                <w:sz w:val="24"/>
                <w:szCs w:val="24"/>
                <w:highlight w:val="none"/>
              </w:rPr>
            </w:pPr>
            <w:r>
              <w:rPr>
                <w:rFonts w:hint="eastAsia" w:ascii="宋体" w:hAnsi="宋体" w:eastAsia="宋体" w:cs="宋体"/>
                <w:color w:val="auto"/>
                <w:spacing w:val="1"/>
                <w:sz w:val="24"/>
                <w:szCs w:val="24"/>
                <w:highlight w:val="none"/>
              </w:rPr>
              <w:t>不加密的电子投标文件份数符合招标文件第二章“投标人须知”第3.7.5</w:t>
            </w:r>
            <w:r>
              <w:rPr>
                <w:rFonts w:hint="eastAsia" w:ascii="宋体" w:hAnsi="宋体" w:eastAsia="宋体" w:cs="宋体"/>
                <w:color w:val="auto"/>
                <w:spacing w:val="8"/>
                <w:sz w:val="24"/>
                <w:szCs w:val="24"/>
                <w:highlight w:val="none"/>
              </w:rPr>
              <w:t>项规定（仅当采用不加密的电子投标文件评标时）。</w:t>
            </w:r>
          </w:p>
          <w:p w14:paraId="6CCC00F0">
            <w:pPr>
              <w:pStyle w:val="25"/>
              <w:spacing w:before="1" w:line="226" w:lineRule="auto"/>
              <w:ind w:left="112"/>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第二个信封（报价文件）评审标准：</w:t>
            </w:r>
          </w:p>
          <w:p w14:paraId="1F01E6F1">
            <w:pPr>
              <w:pStyle w:val="25"/>
              <w:spacing w:before="162" w:line="228" w:lineRule="auto"/>
              <w:ind w:left="14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(1)投标文件按照招标文件规定的格式、内容填写，字迹清晰可辨。</w:t>
            </w:r>
          </w:p>
          <w:p w14:paraId="0B367190">
            <w:pPr>
              <w:pStyle w:val="25"/>
              <w:spacing w:before="160" w:line="303" w:lineRule="auto"/>
              <w:ind w:left="114" w:right="35" w:hanging="1"/>
              <w:rPr>
                <w:rFonts w:hint="eastAsia" w:ascii="宋体" w:hAnsi="宋体" w:eastAsia="宋体" w:cs="宋体"/>
                <w:color w:val="auto"/>
                <w:spacing w:val="1"/>
                <w:sz w:val="24"/>
                <w:szCs w:val="24"/>
                <w:highlight w:val="none"/>
              </w:rPr>
            </w:pPr>
            <w:r>
              <w:rPr>
                <w:rFonts w:hint="eastAsia" w:ascii="宋体" w:hAnsi="宋体" w:eastAsia="宋体" w:cs="宋体"/>
                <w:color w:val="auto"/>
                <w:spacing w:val="-3"/>
                <w:sz w:val="24"/>
                <w:szCs w:val="24"/>
                <w:highlight w:val="none"/>
              </w:rPr>
              <w:t>a.投标函按招标文件规定填报了项目名称、标段号、补遗书编号（如</w:t>
            </w:r>
            <w:r>
              <w:rPr>
                <w:rFonts w:hint="eastAsia" w:ascii="宋体" w:hAnsi="宋体" w:eastAsia="宋体" w:cs="宋体"/>
                <w:color w:val="auto"/>
                <w:spacing w:val="-4"/>
                <w:sz w:val="24"/>
                <w:szCs w:val="24"/>
                <w:highlight w:val="none"/>
              </w:rPr>
              <w:t>有）、</w:t>
            </w:r>
            <w:r>
              <w:rPr>
                <w:rFonts w:hint="eastAsia" w:ascii="宋体" w:hAnsi="宋体" w:eastAsia="宋体" w:cs="宋体"/>
                <w:color w:val="auto"/>
                <w:spacing w:val="9"/>
                <w:sz w:val="24"/>
                <w:szCs w:val="24"/>
                <w:highlight w:val="none"/>
              </w:rPr>
              <w:t>投标价（包括大写金额和小写金额</w:t>
            </w:r>
            <w:r>
              <w:rPr>
                <w:rFonts w:hint="eastAsia" w:ascii="宋体" w:hAnsi="宋体" w:eastAsia="宋体" w:cs="宋体"/>
                <w:color w:val="auto"/>
                <w:spacing w:val="1"/>
                <w:sz w:val="24"/>
                <w:szCs w:val="24"/>
                <w:highlight w:val="none"/>
              </w:rPr>
              <w:t>）；</w:t>
            </w:r>
          </w:p>
          <w:p w14:paraId="551F9519">
            <w:pPr>
              <w:pStyle w:val="25"/>
              <w:spacing w:before="164" w:line="302" w:lineRule="auto"/>
              <w:ind w:left="113" w:right="106" w:hanging="4"/>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b.己标价工程量清单说明文字与招标文件规定一致，未进行实质性修改</w:t>
            </w:r>
            <w:r>
              <w:rPr>
                <w:rFonts w:hint="eastAsia" w:ascii="宋体" w:hAnsi="宋体" w:eastAsia="宋体" w:cs="宋体"/>
                <w:color w:val="auto"/>
                <w:spacing w:val="4"/>
                <w:sz w:val="24"/>
                <w:szCs w:val="24"/>
                <w:highlight w:val="none"/>
              </w:rPr>
              <w:t>和删减；</w:t>
            </w:r>
          </w:p>
          <w:p w14:paraId="22F0E9DB">
            <w:pPr>
              <w:pStyle w:val="25"/>
              <w:spacing w:before="160" w:line="303" w:lineRule="auto"/>
              <w:ind w:left="114" w:right="35" w:hanging="1"/>
              <w:rPr>
                <w:rFonts w:hint="eastAsia"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rPr>
              <w:t>c.投标文件组成齐全完整，内容均按规定填写。</w:t>
            </w:r>
          </w:p>
          <w:p w14:paraId="37FB5D51">
            <w:pPr>
              <w:pStyle w:val="25"/>
              <w:spacing w:before="2" w:line="376" w:lineRule="auto"/>
              <w:ind w:left="113" w:right="106" w:firstLine="1"/>
              <w:jc w:val="both"/>
              <w:rPr>
                <w:rFonts w:hint="eastAsia" w:ascii="宋体" w:hAnsi="宋体" w:eastAsia="宋体" w:cs="宋体"/>
                <w:color w:val="auto"/>
                <w:spacing w:val="6"/>
                <w:sz w:val="24"/>
                <w:szCs w:val="24"/>
                <w:highlight w:val="none"/>
              </w:rPr>
            </w:pPr>
            <w:r>
              <w:rPr>
                <w:rFonts w:hint="eastAsia" w:ascii="宋体" w:hAnsi="宋体" w:eastAsia="宋体" w:cs="宋体"/>
                <w:color w:val="auto"/>
                <w:spacing w:val="8"/>
                <w:sz w:val="24"/>
                <w:szCs w:val="24"/>
                <w:highlight w:val="none"/>
              </w:rPr>
              <w:t>(2)投标文件上法定代表人的签章、投标人的单位章盖章齐全，符合招</w:t>
            </w:r>
            <w:r>
              <w:rPr>
                <w:rFonts w:hint="eastAsia" w:ascii="宋体" w:hAnsi="宋体" w:eastAsia="宋体" w:cs="宋体"/>
                <w:color w:val="auto"/>
                <w:spacing w:val="6"/>
                <w:sz w:val="24"/>
                <w:szCs w:val="24"/>
                <w:highlight w:val="none"/>
              </w:rPr>
              <w:t>标文件规定。</w:t>
            </w:r>
          </w:p>
          <w:p w14:paraId="720AE81E">
            <w:pPr>
              <w:pStyle w:val="25"/>
              <w:spacing w:before="1" w:line="376" w:lineRule="auto"/>
              <w:ind w:left="111" w:right="106" w:firstLine="3"/>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投标文件上法定代表人的签章、投标人的单位章盖章齐全，符合招标文</w:t>
            </w:r>
            <w:r>
              <w:rPr>
                <w:rFonts w:hint="eastAsia" w:ascii="宋体" w:hAnsi="宋体" w:eastAsia="宋体" w:cs="宋体"/>
                <w:color w:val="auto"/>
                <w:spacing w:val="5"/>
                <w:sz w:val="24"/>
                <w:szCs w:val="24"/>
                <w:highlight w:val="none"/>
              </w:rPr>
              <w:t>件规定。</w:t>
            </w:r>
          </w:p>
          <w:p w14:paraId="1B236966">
            <w:pPr>
              <w:pStyle w:val="25"/>
              <w:spacing w:before="2" w:line="377" w:lineRule="auto"/>
              <w:ind w:left="122" w:right="348" w:firstLine="26"/>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(3)投标报价或调价函中的报价未超过招标文件设定的最高投标</w:t>
            </w:r>
            <w:r>
              <w:rPr>
                <w:rFonts w:hint="eastAsia" w:ascii="宋体" w:hAnsi="宋体" w:eastAsia="宋体" w:cs="宋体"/>
                <w:color w:val="auto"/>
                <w:spacing w:val="7"/>
                <w:sz w:val="24"/>
                <w:szCs w:val="24"/>
                <w:highlight w:val="none"/>
              </w:rPr>
              <w:t>限价</w:t>
            </w:r>
            <w:r>
              <w:rPr>
                <w:rFonts w:hint="eastAsia" w:ascii="宋体" w:hAnsi="宋体" w:eastAsia="宋体" w:cs="宋体"/>
                <w:color w:val="auto"/>
                <w:spacing w:val="2"/>
                <w:sz w:val="24"/>
                <w:szCs w:val="24"/>
                <w:highlight w:val="none"/>
              </w:rPr>
              <w:t>（如有）。</w:t>
            </w:r>
          </w:p>
          <w:p w14:paraId="259620CE">
            <w:pPr>
              <w:pStyle w:val="25"/>
              <w:spacing w:before="1" w:line="376" w:lineRule="auto"/>
              <w:ind w:left="113" w:right="243" w:firstLine="1"/>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投标报价或调价函中的报价未超过招标文件设定的最高投标限价（如</w:t>
            </w:r>
            <w:r>
              <w:rPr>
                <w:rFonts w:hint="eastAsia" w:ascii="宋体" w:hAnsi="宋体" w:eastAsia="宋体" w:cs="宋体"/>
                <w:color w:val="auto"/>
                <w:sz w:val="24"/>
                <w:szCs w:val="24"/>
                <w:highlight w:val="none"/>
              </w:rPr>
              <w:t>有）。</w:t>
            </w:r>
          </w:p>
          <w:p w14:paraId="0C8B646B">
            <w:pPr>
              <w:pStyle w:val="25"/>
              <w:spacing w:before="1" w:line="376" w:lineRule="auto"/>
              <w:ind w:left="113" w:right="243" w:firstLine="1"/>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(4)投标报价或调价函中报价的大写金额能够确定具体数值。</w:t>
            </w:r>
            <w:r>
              <w:rPr>
                <w:rFonts w:hint="eastAsia" w:ascii="宋体" w:hAnsi="宋体" w:eastAsia="宋体" w:cs="宋体"/>
                <w:color w:val="auto"/>
                <w:spacing w:val="9"/>
                <w:sz w:val="24"/>
                <w:szCs w:val="24"/>
                <w:highlight w:val="none"/>
              </w:rPr>
              <w:t>投标报价或调价函中报价的大写金额能够确定具体数值</w:t>
            </w:r>
          </w:p>
          <w:p w14:paraId="0D07D4E1">
            <w:pPr>
              <w:pStyle w:val="25"/>
              <w:spacing w:before="165" w:line="302" w:lineRule="auto"/>
              <w:ind w:right="137"/>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(5)同一投标人未提交两个以上不同的投标报价，但招标文件要求提交</w:t>
            </w:r>
            <w:r>
              <w:rPr>
                <w:rFonts w:hint="eastAsia" w:ascii="宋体" w:hAnsi="宋体" w:eastAsia="宋体" w:cs="宋体"/>
                <w:color w:val="auto"/>
                <w:spacing w:val="7"/>
                <w:sz w:val="24"/>
                <w:szCs w:val="24"/>
                <w:highlight w:val="none"/>
              </w:rPr>
              <w:t>备选投标的除外。</w:t>
            </w:r>
          </w:p>
          <w:p w14:paraId="7C27C08C">
            <w:pPr>
              <w:pStyle w:val="25"/>
              <w:spacing w:before="161" w:line="377" w:lineRule="auto"/>
              <w:ind w:left="114" w:right="106" w:firstLine="1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同一投标人未提交两个以上不同的投标报价，但招标文件要求提交备选投标的除外。</w:t>
            </w:r>
          </w:p>
          <w:p w14:paraId="6F207B57">
            <w:pPr>
              <w:pStyle w:val="25"/>
              <w:spacing w:before="1" w:line="377" w:lineRule="auto"/>
              <w:ind w:left="112" w:right="37" w:firstLine="36"/>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(6)投标人若提交调价函，调价函符合招标文件第二章“投标人须知”</w:t>
            </w:r>
            <w:r>
              <w:rPr>
                <w:rFonts w:hint="eastAsia" w:ascii="宋体" w:hAnsi="宋体" w:eastAsia="宋体" w:cs="宋体"/>
                <w:color w:val="auto"/>
                <w:spacing w:val="3"/>
                <w:sz w:val="24"/>
                <w:szCs w:val="24"/>
                <w:highlight w:val="none"/>
              </w:rPr>
              <w:t>第3.2.6项要求。</w:t>
            </w:r>
          </w:p>
          <w:p w14:paraId="3C373503">
            <w:pPr>
              <w:pStyle w:val="25"/>
              <w:keepNext w:val="0"/>
              <w:keepLines w:val="0"/>
              <w:pageBreakBefore w:val="0"/>
              <w:widowControl/>
              <w:kinsoku w:val="0"/>
              <w:wordWrap/>
              <w:overflowPunct/>
              <w:topLinePunct w:val="0"/>
              <w:autoSpaceDE w:val="0"/>
              <w:autoSpaceDN w:val="0"/>
              <w:bidi w:val="0"/>
              <w:adjustRightInd w:val="0"/>
              <w:snapToGrid w:val="0"/>
              <w:spacing w:before="1" w:line="360" w:lineRule="auto"/>
              <w:ind w:left="113"/>
              <w:textAlignment w:val="baseline"/>
              <w:rPr>
                <w:rFonts w:hint="eastAsia" w:ascii="宋体" w:hAnsi="宋体" w:eastAsia="宋体" w:cs="宋体"/>
                <w:color w:val="auto"/>
                <w:spacing w:val="8"/>
                <w:sz w:val="24"/>
                <w:szCs w:val="24"/>
                <w:highlight w:val="none"/>
              </w:rPr>
            </w:pPr>
            <w:r>
              <w:rPr>
                <w:rFonts w:hint="eastAsia" w:ascii="宋体" w:hAnsi="宋体" w:eastAsia="宋体" w:cs="宋体"/>
                <w:color w:val="auto"/>
                <w:spacing w:val="9"/>
                <w:sz w:val="24"/>
                <w:szCs w:val="24"/>
                <w:highlight w:val="none"/>
              </w:rPr>
              <w:t>投标人若提交调价函，调价函符合招标文件第</w:t>
            </w:r>
            <w:r>
              <w:rPr>
                <w:rFonts w:hint="eastAsia" w:ascii="宋体" w:hAnsi="宋体" w:eastAsia="宋体" w:cs="宋体"/>
                <w:color w:val="auto"/>
                <w:spacing w:val="8"/>
                <w:sz w:val="24"/>
                <w:szCs w:val="24"/>
                <w:highlight w:val="none"/>
              </w:rPr>
              <w:t>二章“投标人须知”第3.2.6项要求。</w:t>
            </w:r>
          </w:p>
          <w:p w14:paraId="53BCAF6B">
            <w:pPr>
              <w:pStyle w:val="25"/>
              <w:numPr>
                <w:ilvl w:val="0"/>
                <w:numId w:val="0"/>
              </w:numPr>
              <w:spacing w:before="161" w:line="377" w:lineRule="auto"/>
              <w:ind w:left="148" w:leftChars="0" w:right="106" w:rightChars="0"/>
              <w:jc w:val="both"/>
              <w:rPr>
                <w:rFonts w:hint="eastAsia" w:ascii="宋体" w:hAnsi="宋体" w:eastAsia="宋体" w:cs="宋体"/>
                <w:color w:val="auto"/>
                <w:spacing w:val="9"/>
                <w:sz w:val="24"/>
                <w:szCs w:val="24"/>
                <w:highlight w:val="none"/>
              </w:rPr>
            </w:pPr>
            <w:r>
              <w:rPr>
                <w:rFonts w:hint="eastAsia" w:ascii="宋体" w:hAnsi="宋体" w:eastAsia="宋体" w:cs="宋体"/>
                <w:color w:val="auto"/>
                <w:spacing w:val="8"/>
                <w:sz w:val="24"/>
                <w:szCs w:val="24"/>
                <w:highlight w:val="none"/>
                <w:lang w:eastAsia="zh-CN"/>
              </w:rPr>
              <w:t>（</w:t>
            </w:r>
            <w:r>
              <w:rPr>
                <w:rFonts w:hint="eastAsia" w:ascii="宋体" w:hAnsi="宋体" w:eastAsia="宋体" w:cs="宋体"/>
                <w:color w:val="auto"/>
                <w:spacing w:val="8"/>
                <w:sz w:val="24"/>
                <w:szCs w:val="24"/>
                <w:highlight w:val="none"/>
                <w:lang w:val="en-US" w:eastAsia="zh-CN"/>
              </w:rPr>
              <w:t>7</w:t>
            </w:r>
            <w:r>
              <w:rPr>
                <w:rFonts w:hint="eastAsia" w:ascii="宋体" w:hAnsi="宋体" w:eastAsia="宋体" w:cs="宋体"/>
                <w:color w:val="auto"/>
                <w:spacing w:val="8"/>
                <w:sz w:val="24"/>
                <w:szCs w:val="24"/>
                <w:highlight w:val="none"/>
                <w:lang w:eastAsia="zh-CN"/>
              </w:rPr>
              <w:t>）</w:t>
            </w:r>
            <w:r>
              <w:rPr>
                <w:rFonts w:hint="eastAsia" w:ascii="宋体" w:hAnsi="宋体" w:eastAsia="宋体" w:cs="宋体"/>
                <w:color w:val="auto"/>
                <w:spacing w:val="8"/>
                <w:sz w:val="24"/>
                <w:szCs w:val="24"/>
                <w:highlight w:val="none"/>
              </w:rPr>
              <w:t>投标人若填写工程量固化清单，填写完毕的工程量固化清单未对工</w:t>
            </w:r>
            <w:r>
              <w:rPr>
                <w:rFonts w:hint="eastAsia" w:ascii="宋体" w:hAnsi="宋体" w:eastAsia="宋体" w:cs="宋体"/>
                <w:color w:val="auto"/>
                <w:spacing w:val="7"/>
                <w:sz w:val="24"/>
                <w:szCs w:val="24"/>
                <w:highlight w:val="none"/>
              </w:rPr>
              <w:t>程量固化清单电子文件中的数据、格式和运算定义进行修改；工程量固</w:t>
            </w:r>
            <w:r>
              <w:rPr>
                <w:rFonts w:hint="eastAsia" w:ascii="宋体" w:hAnsi="宋体" w:eastAsia="宋体" w:cs="宋体"/>
                <w:color w:val="auto"/>
                <w:spacing w:val="9"/>
                <w:sz w:val="24"/>
                <w:szCs w:val="24"/>
                <w:highlight w:val="none"/>
              </w:rPr>
              <w:t>化清单中的投标报价和投标函大写金额报价一致。</w:t>
            </w:r>
          </w:p>
          <w:p w14:paraId="0D2F56D3">
            <w:pPr>
              <w:pStyle w:val="25"/>
              <w:spacing w:before="1" w:line="377" w:lineRule="auto"/>
              <w:ind w:left="113" w:right="106" w:firstLine="35"/>
              <w:rPr>
                <w:rFonts w:hint="eastAsia" w:ascii="宋体" w:hAnsi="宋体" w:eastAsia="宋体" w:cs="宋体"/>
                <w:color w:val="auto"/>
                <w:spacing w:val="8"/>
                <w:sz w:val="24"/>
                <w:szCs w:val="24"/>
                <w:highlight w:val="none"/>
              </w:rPr>
            </w:pPr>
            <w:r>
              <w:rPr>
                <w:rFonts w:hint="eastAsia" w:ascii="宋体" w:hAnsi="宋体" w:eastAsia="宋体" w:cs="宋体"/>
                <w:color w:val="auto"/>
                <w:spacing w:val="7"/>
                <w:sz w:val="24"/>
                <w:szCs w:val="24"/>
                <w:highlight w:val="none"/>
              </w:rPr>
              <w:t>投标人若填写工程量固化清单，填写完毕的工程量固化清单未对工程量固化清单电子文件中的数据、格式和运算定义进行修改；工程量固化清</w:t>
            </w:r>
            <w:r>
              <w:rPr>
                <w:rFonts w:hint="eastAsia" w:ascii="宋体" w:hAnsi="宋体" w:eastAsia="宋体" w:cs="宋体"/>
                <w:color w:val="auto"/>
                <w:spacing w:val="8"/>
                <w:sz w:val="24"/>
                <w:szCs w:val="24"/>
                <w:highlight w:val="none"/>
              </w:rPr>
              <w:t>单中的投标报价和投标函大写金额报价一致。</w:t>
            </w:r>
          </w:p>
          <w:p w14:paraId="50AE0BFD">
            <w:pPr>
              <w:pStyle w:val="25"/>
              <w:spacing w:before="1" w:line="377" w:lineRule="auto"/>
              <w:ind w:left="113" w:right="106" w:firstLine="35"/>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(8)纸质投标文件份数符合招标文件第二章</w:t>
            </w:r>
            <w:r>
              <w:rPr>
                <w:rFonts w:hint="eastAsia" w:ascii="宋体" w:hAnsi="宋体" w:eastAsia="宋体" w:cs="宋体"/>
                <w:color w:val="auto"/>
                <w:spacing w:val="5"/>
                <w:sz w:val="24"/>
                <w:szCs w:val="24"/>
                <w:highlight w:val="none"/>
              </w:rPr>
              <w:t>“投标人须知”第3.7.5项</w:t>
            </w:r>
            <w:r>
              <w:rPr>
                <w:rFonts w:hint="eastAsia" w:ascii="宋体" w:hAnsi="宋体" w:eastAsia="宋体" w:cs="宋体"/>
                <w:color w:val="auto"/>
                <w:spacing w:val="8"/>
                <w:sz w:val="24"/>
                <w:szCs w:val="24"/>
                <w:highlight w:val="none"/>
              </w:rPr>
              <w:t>规定（仅当采用纸质投标文件评标时）。</w:t>
            </w:r>
          </w:p>
          <w:p w14:paraId="718FDEA9">
            <w:pPr>
              <w:pStyle w:val="25"/>
              <w:spacing w:before="164" w:line="302" w:lineRule="auto"/>
              <w:ind w:left="113" w:right="66" w:hanging="4"/>
              <w:rPr>
                <w:rFonts w:hint="eastAsia" w:ascii="宋体" w:hAnsi="宋体" w:eastAsia="宋体" w:cs="宋体"/>
                <w:color w:val="auto"/>
                <w:spacing w:val="7"/>
                <w:sz w:val="24"/>
                <w:szCs w:val="24"/>
                <w:highlight w:val="none"/>
              </w:rPr>
            </w:pPr>
            <w:r>
              <w:rPr>
                <w:rFonts w:hint="eastAsia" w:ascii="宋体" w:hAnsi="宋体" w:eastAsia="宋体" w:cs="宋体"/>
                <w:color w:val="auto"/>
                <w:spacing w:val="8"/>
                <w:sz w:val="24"/>
                <w:szCs w:val="24"/>
                <w:highlight w:val="none"/>
              </w:rPr>
              <w:t>不加密的电子投标文件份数符合招标文件第二章“投标人须知”第</w:t>
            </w:r>
            <w:r>
              <w:rPr>
                <w:rFonts w:hint="eastAsia" w:ascii="宋体" w:hAnsi="宋体" w:eastAsia="宋体" w:cs="宋体"/>
                <w:color w:val="auto"/>
                <w:spacing w:val="7"/>
                <w:sz w:val="24"/>
                <w:szCs w:val="24"/>
                <w:highlight w:val="none"/>
              </w:rPr>
              <w:t>3.7.5项规定（仅当采用不加密的电子投标文件评标时）。</w:t>
            </w:r>
          </w:p>
        </w:tc>
      </w:tr>
    </w:tbl>
    <w:p w14:paraId="7A1B2D9E">
      <w:pPr>
        <w:pStyle w:val="4"/>
        <w:rPr>
          <w:rFonts w:hint="eastAsia" w:ascii="宋体" w:hAnsi="宋体" w:eastAsia="宋体" w:cs="宋体"/>
          <w:color w:val="auto"/>
          <w:sz w:val="24"/>
          <w:szCs w:val="24"/>
          <w:highlight w:val="none"/>
        </w:rPr>
      </w:pPr>
    </w:p>
    <w:p w14:paraId="0375B97D">
      <w:pPr>
        <w:rPr>
          <w:rFonts w:hint="eastAsia" w:ascii="宋体" w:hAnsi="宋体" w:eastAsia="宋体" w:cs="宋体"/>
          <w:color w:val="auto"/>
          <w:sz w:val="24"/>
          <w:szCs w:val="24"/>
          <w:highlight w:val="none"/>
        </w:rPr>
        <w:sectPr>
          <w:headerReference r:id="rId42" w:type="default"/>
          <w:footerReference r:id="rId43" w:type="default"/>
          <w:pgSz w:w="11907" w:h="16840"/>
          <w:pgMar w:top="1182" w:right="1179" w:bottom="1014" w:left="1686" w:header="849" w:footer="852" w:gutter="0"/>
          <w:pgNumType w:fmt="decimal"/>
          <w:cols w:space="720" w:num="1"/>
        </w:sectPr>
      </w:pPr>
    </w:p>
    <w:p w14:paraId="249AE89B">
      <w:pPr>
        <w:spacing w:before="16"/>
        <w:rPr>
          <w:rFonts w:hint="eastAsia" w:ascii="宋体" w:hAnsi="宋体" w:eastAsia="宋体" w:cs="宋体"/>
          <w:color w:val="auto"/>
          <w:sz w:val="24"/>
          <w:szCs w:val="24"/>
          <w:highlight w:val="none"/>
        </w:rPr>
      </w:pPr>
    </w:p>
    <w:p w14:paraId="3640C1C5">
      <w:pPr>
        <w:pStyle w:val="4"/>
        <w:rPr>
          <w:rFonts w:hint="eastAsia" w:ascii="宋体" w:hAnsi="宋体" w:eastAsia="宋体" w:cs="宋体"/>
          <w:color w:val="auto"/>
          <w:sz w:val="24"/>
          <w:szCs w:val="24"/>
          <w:highlight w:val="none"/>
        </w:rPr>
      </w:pPr>
    </w:p>
    <w:p w14:paraId="5BEF91A7">
      <w:pPr>
        <w:spacing w:before="16"/>
        <w:rPr>
          <w:rFonts w:hint="eastAsia" w:ascii="宋体" w:hAnsi="宋体" w:eastAsia="宋体" w:cs="宋体"/>
          <w:color w:val="auto"/>
          <w:sz w:val="24"/>
          <w:szCs w:val="24"/>
          <w:highlight w:val="none"/>
        </w:rPr>
      </w:pPr>
    </w:p>
    <w:p w14:paraId="040F4D1D">
      <w:pPr>
        <w:spacing w:before="16"/>
        <w:rPr>
          <w:rFonts w:hint="eastAsia" w:ascii="宋体" w:hAnsi="宋体" w:eastAsia="宋体" w:cs="宋体"/>
          <w:color w:val="auto"/>
          <w:sz w:val="24"/>
          <w:szCs w:val="24"/>
          <w:highlight w:val="none"/>
        </w:rPr>
      </w:pPr>
    </w:p>
    <w:tbl>
      <w:tblPr>
        <w:tblStyle w:val="24"/>
        <w:tblW w:w="903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6"/>
        <w:gridCol w:w="1389"/>
        <w:gridCol w:w="6650"/>
      </w:tblGrid>
      <w:tr w14:paraId="357B36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84" w:hRule="atLeast"/>
        </w:trPr>
        <w:tc>
          <w:tcPr>
            <w:tcW w:w="996" w:type="dxa"/>
            <w:vAlign w:val="top"/>
          </w:tcPr>
          <w:p w14:paraId="730A8D0A">
            <w:pPr>
              <w:rPr>
                <w:rFonts w:hint="eastAsia" w:ascii="宋体" w:hAnsi="宋体" w:eastAsia="宋体" w:cs="宋体"/>
                <w:color w:val="auto"/>
                <w:sz w:val="24"/>
                <w:szCs w:val="24"/>
                <w:highlight w:val="none"/>
              </w:rPr>
            </w:pPr>
          </w:p>
          <w:p w14:paraId="1E521F0E">
            <w:pPr>
              <w:rPr>
                <w:rFonts w:hint="eastAsia" w:ascii="宋体" w:hAnsi="宋体" w:eastAsia="宋体" w:cs="宋体"/>
                <w:color w:val="auto"/>
                <w:sz w:val="24"/>
                <w:szCs w:val="24"/>
                <w:highlight w:val="none"/>
              </w:rPr>
            </w:pPr>
          </w:p>
          <w:p w14:paraId="7C5E36F7">
            <w:pPr>
              <w:rPr>
                <w:rFonts w:hint="eastAsia" w:ascii="宋体" w:hAnsi="宋体" w:eastAsia="宋体" w:cs="宋体"/>
                <w:color w:val="auto"/>
                <w:sz w:val="24"/>
                <w:szCs w:val="24"/>
                <w:highlight w:val="none"/>
              </w:rPr>
            </w:pPr>
          </w:p>
          <w:p w14:paraId="619B662D">
            <w:pPr>
              <w:rPr>
                <w:rFonts w:hint="eastAsia" w:ascii="宋体" w:hAnsi="宋体" w:eastAsia="宋体" w:cs="宋体"/>
                <w:color w:val="auto"/>
                <w:sz w:val="24"/>
                <w:szCs w:val="24"/>
                <w:highlight w:val="none"/>
              </w:rPr>
            </w:pPr>
          </w:p>
          <w:p w14:paraId="6BEDD6D1">
            <w:pPr>
              <w:rPr>
                <w:rFonts w:hint="eastAsia" w:ascii="宋体" w:hAnsi="宋体" w:eastAsia="宋体" w:cs="宋体"/>
                <w:color w:val="auto"/>
                <w:sz w:val="24"/>
                <w:szCs w:val="24"/>
                <w:highlight w:val="none"/>
              </w:rPr>
            </w:pPr>
          </w:p>
          <w:p w14:paraId="6A5E9E84">
            <w:pPr>
              <w:rPr>
                <w:rFonts w:hint="eastAsia" w:ascii="宋体" w:hAnsi="宋体" w:eastAsia="宋体" w:cs="宋体"/>
                <w:color w:val="auto"/>
                <w:sz w:val="24"/>
                <w:szCs w:val="24"/>
                <w:highlight w:val="none"/>
              </w:rPr>
            </w:pPr>
          </w:p>
          <w:p w14:paraId="2595CEE9">
            <w:pPr>
              <w:rPr>
                <w:rFonts w:hint="eastAsia" w:ascii="宋体" w:hAnsi="宋体" w:eastAsia="宋体" w:cs="宋体"/>
                <w:color w:val="auto"/>
                <w:sz w:val="24"/>
                <w:szCs w:val="24"/>
                <w:highlight w:val="none"/>
              </w:rPr>
            </w:pPr>
          </w:p>
          <w:p w14:paraId="5A10C15F">
            <w:pPr>
              <w:rPr>
                <w:rFonts w:hint="eastAsia" w:ascii="宋体" w:hAnsi="宋体" w:eastAsia="宋体" w:cs="宋体"/>
                <w:color w:val="auto"/>
                <w:sz w:val="24"/>
                <w:szCs w:val="24"/>
                <w:highlight w:val="none"/>
              </w:rPr>
            </w:pPr>
          </w:p>
          <w:p w14:paraId="7375B259">
            <w:pPr>
              <w:rPr>
                <w:rFonts w:hint="eastAsia" w:ascii="宋体" w:hAnsi="宋体" w:eastAsia="宋体" w:cs="宋体"/>
                <w:color w:val="auto"/>
                <w:sz w:val="24"/>
                <w:szCs w:val="24"/>
                <w:highlight w:val="none"/>
              </w:rPr>
            </w:pPr>
          </w:p>
          <w:p w14:paraId="44B6A467">
            <w:pPr>
              <w:rPr>
                <w:rFonts w:hint="eastAsia" w:ascii="宋体" w:hAnsi="宋体" w:eastAsia="宋体" w:cs="宋体"/>
                <w:color w:val="auto"/>
                <w:sz w:val="24"/>
                <w:szCs w:val="24"/>
                <w:highlight w:val="none"/>
              </w:rPr>
            </w:pPr>
          </w:p>
          <w:p w14:paraId="4237D573">
            <w:pPr>
              <w:spacing w:line="241" w:lineRule="auto"/>
              <w:rPr>
                <w:rFonts w:hint="eastAsia" w:ascii="宋体" w:hAnsi="宋体" w:eastAsia="宋体" w:cs="宋体"/>
                <w:color w:val="auto"/>
                <w:sz w:val="24"/>
                <w:szCs w:val="24"/>
                <w:highlight w:val="none"/>
              </w:rPr>
            </w:pPr>
          </w:p>
          <w:p w14:paraId="6EFE184E">
            <w:pPr>
              <w:spacing w:line="241" w:lineRule="auto"/>
              <w:rPr>
                <w:rFonts w:hint="eastAsia" w:ascii="宋体" w:hAnsi="宋体" w:eastAsia="宋体" w:cs="宋体"/>
                <w:color w:val="auto"/>
                <w:sz w:val="24"/>
                <w:szCs w:val="24"/>
                <w:highlight w:val="none"/>
              </w:rPr>
            </w:pPr>
          </w:p>
          <w:p w14:paraId="3D41A743">
            <w:pPr>
              <w:spacing w:line="241" w:lineRule="auto"/>
              <w:rPr>
                <w:rFonts w:hint="eastAsia" w:ascii="宋体" w:hAnsi="宋体" w:eastAsia="宋体" w:cs="宋体"/>
                <w:color w:val="auto"/>
                <w:sz w:val="24"/>
                <w:szCs w:val="24"/>
                <w:highlight w:val="none"/>
              </w:rPr>
            </w:pPr>
          </w:p>
          <w:p w14:paraId="5B164653">
            <w:pPr>
              <w:spacing w:line="241" w:lineRule="auto"/>
              <w:rPr>
                <w:rFonts w:hint="eastAsia" w:ascii="宋体" w:hAnsi="宋体" w:eastAsia="宋体" w:cs="宋体"/>
                <w:color w:val="auto"/>
                <w:sz w:val="24"/>
                <w:szCs w:val="24"/>
                <w:highlight w:val="none"/>
              </w:rPr>
            </w:pPr>
          </w:p>
          <w:p w14:paraId="25A3D980">
            <w:pPr>
              <w:spacing w:line="241" w:lineRule="auto"/>
              <w:rPr>
                <w:rFonts w:hint="eastAsia" w:ascii="宋体" w:hAnsi="宋体" w:eastAsia="宋体" w:cs="宋体"/>
                <w:color w:val="auto"/>
                <w:sz w:val="24"/>
                <w:szCs w:val="24"/>
                <w:highlight w:val="none"/>
              </w:rPr>
            </w:pPr>
          </w:p>
          <w:p w14:paraId="66BACDCA">
            <w:pPr>
              <w:spacing w:line="241" w:lineRule="auto"/>
              <w:rPr>
                <w:rFonts w:hint="eastAsia" w:ascii="宋体" w:hAnsi="宋体" w:eastAsia="宋体" w:cs="宋体"/>
                <w:color w:val="auto"/>
                <w:sz w:val="24"/>
                <w:szCs w:val="24"/>
                <w:highlight w:val="none"/>
              </w:rPr>
            </w:pPr>
          </w:p>
          <w:p w14:paraId="12C66820">
            <w:pPr>
              <w:spacing w:line="241" w:lineRule="auto"/>
              <w:rPr>
                <w:rFonts w:hint="eastAsia" w:ascii="宋体" w:hAnsi="宋体" w:eastAsia="宋体" w:cs="宋体"/>
                <w:color w:val="auto"/>
                <w:sz w:val="24"/>
                <w:szCs w:val="24"/>
                <w:highlight w:val="none"/>
              </w:rPr>
            </w:pPr>
          </w:p>
          <w:p w14:paraId="2D6EA6B9">
            <w:pPr>
              <w:spacing w:line="241" w:lineRule="auto"/>
              <w:rPr>
                <w:rFonts w:hint="eastAsia" w:ascii="宋体" w:hAnsi="宋体" w:eastAsia="宋体" w:cs="宋体"/>
                <w:color w:val="auto"/>
                <w:sz w:val="24"/>
                <w:szCs w:val="24"/>
                <w:highlight w:val="none"/>
              </w:rPr>
            </w:pPr>
          </w:p>
          <w:p w14:paraId="5369F668">
            <w:pPr>
              <w:pStyle w:val="25"/>
              <w:spacing w:before="65" w:line="267" w:lineRule="exact"/>
              <w:ind w:left="241"/>
              <w:rPr>
                <w:rFonts w:hint="eastAsia" w:ascii="宋体" w:hAnsi="宋体" w:eastAsia="宋体" w:cs="宋体"/>
                <w:color w:val="auto"/>
                <w:sz w:val="24"/>
                <w:szCs w:val="24"/>
                <w:highlight w:val="none"/>
              </w:rPr>
            </w:pPr>
            <w:r>
              <w:rPr>
                <w:rFonts w:hint="eastAsia" w:ascii="宋体" w:hAnsi="宋体" w:eastAsia="宋体" w:cs="宋体"/>
                <w:color w:val="auto"/>
                <w:spacing w:val="2"/>
                <w:position w:val="1"/>
                <w:sz w:val="24"/>
                <w:szCs w:val="24"/>
                <w:highlight w:val="none"/>
              </w:rPr>
              <w:t>2.1.2</w:t>
            </w:r>
          </w:p>
        </w:tc>
        <w:tc>
          <w:tcPr>
            <w:tcW w:w="1389" w:type="dxa"/>
            <w:vAlign w:val="top"/>
          </w:tcPr>
          <w:p w14:paraId="30037F16">
            <w:pPr>
              <w:spacing w:line="242" w:lineRule="auto"/>
              <w:rPr>
                <w:rFonts w:hint="eastAsia" w:ascii="宋体" w:hAnsi="宋体" w:eastAsia="宋体" w:cs="宋体"/>
                <w:color w:val="auto"/>
                <w:sz w:val="24"/>
                <w:szCs w:val="24"/>
                <w:highlight w:val="none"/>
              </w:rPr>
            </w:pPr>
          </w:p>
          <w:p w14:paraId="144704C7">
            <w:pPr>
              <w:spacing w:line="242" w:lineRule="auto"/>
              <w:rPr>
                <w:rFonts w:hint="eastAsia" w:ascii="宋体" w:hAnsi="宋体" w:eastAsia="宋体" w:cs="宋体"/>
                <w:color w:val="auto"/>
                <w:sz w:val="24"/>
                <w:szCs w:val="24"/>
                <w:highlight w:val="none"/>
              </w:rPr>
            </w:pPr>
          </w:p>
          <w:p w14:paraId="13CBBBCB">
            <w:pPr>
              <w:spacing w:line="242" w:lineRule="auto"/>
              <w:rPr>
                <w:rFonts w:hint="eastAsia" w:ascii="宋体" w:hAnsi="宋体" w:eastAsia="宋体" w:cs="宋体"/>
                <w:color w:val="auto"/>
                <w:sz w:val="24"/>
                <w:szCs w:val="24"/>
                <w:highlight w:val="none"/>
              </w:rPr>
            </w:pPr>
          </w:p>
          <w:p w14:paraId="66ECA959">
            <w:pPr>
              <w:spacing w:line="242" w:lineRule="auto"/>
              <w:rPr>
                <w:rFonts w:hint="eastAsia" w:ascii="宋体" w:hAnsi="宋体" w:eastAsia="宋体" w:cs="宋体"/>
                <w:color w:val="auto"/>
                <w:sz w:val="24"/>
                <w:szCs w:val="24"/>
                <w:highlight w:val="none"/>
              </w:rPr>
            </w:pPr>
          </w:p>
          <w:p w14:paraId="525F646D">
            <w:pPr>
              <w:spacing w:line="242" w:lineRule="auto"/>
              <w:rPr>
                <w:rFonts w:hint="eastAsia" w:ascii="宋体" w:hAnsi="宋体" w:eastAsia="宋体" w:cs="宋体"/>
                <w:color w:val="auto"/>
                <w:sz w:val="24"/>
                <w:szCs w:val="24"/>
                <w:highlight w:val="none"/>
              </w:rPr>
            </w:pPr>
          </w:p>
          <w:p w14:paraId="23AC6468">
            <w:pPr>
              <w:spacing w:line="242" w:lineRule="auto"/>
              <w:rPr>
                <w:rFonts w:hint="eastAsia" w:ascii="宋体" w:hAnsi="宋体" w:eastAsia="宋体" w:cs="宋体"/>
                <w:color w:val="auto"/>
                <w:sz w:val="24"/>
                <w:szCs w:val="24"/>
                <w:highlight w:val="none"/>
              </w:rPr>
            </w:pPr>
          </w:p>
          <w:p w14:paraId="2416EBB5">
            <w:pPr>
              <w:spacing w:line="242" w:lineRule="auto"/>
              <w:rPr>
                <w:rFonts w:hint="eastAsia" w:ascii="宋体" w:hAnsi="宋体" w:eastAsia="宋体" w:cs="宋体"/>
                <w:color w:val="auto"/>
                <w:sz w:val="24"/>
                <w:szCs w:val="24"/>
                <w:highlight w:val="none"/>
              </w:rPr>
            </w:pPr>
          </w:p>
          <w:p w14:paraId="14E1361D">
            <w:pPr>
              <w:spacing w:line="242" w:lineRule="auto"/>
              <w:rPr>
                <w:rFonts w:hint="eastAsia" w:ascii="宋体" w:hAnsi="宋体" w:eastAsia="宋体" w:cs="宋体"/>
                <w:color w:val="auto"/>
                <w:sz w:val="24"/>
                <w:szCs w:val="24"/>
                <w:highlight w:val="none"/>
              </w:rPr>
            </w:pPr>
          </w:p>
          <w:p w14:paraId="7ED778AE">
            <w:pPr>
              <w:spacing w:line="242" w:lineRule="auto"/>
              <w:rPr>
                <w:rFonts w:hint="eastAsia" w:ascii="宋体" w:hAnsi="宋体" w:eastAsia="宋体" w:cs="宋体"/>
                <w:color w:val="auto"/>
                <w:sz w:val="24"/>
                <w:szCs w:val="24"/>
                <w:highlight w:val="none"/>
              </w:rPr>
            </w:pPr>
          </w:p>
          <w:p w14:paraId="3455288A">
            <w:pPr>
              <w:spacing w:line="243" w:lineRule="auto"/>
              <w:rPr>
                <w:rFonts w:hint="eastAsia" w:ascii="宋体" w:hAnsi="宋体" w:eastAsia="宋体" w:cs="宋体"/>
                <w:color w:val="auto"/>
                <w:sz w:val="24"/>
                <w:szCs w:val="24"/>
                <w:highlight w:val="none"/>
              </w:rPr>
            </w:pPr>
          </w:p>
          <w:p w14:paraId="05F3CA33">
            <w:pPr>
              <w:spacing w:line="243" w:lineRule="auto"/>
              <w:rPr>
                <w:rFonts w:hint="eastAsia" w:ascii="宋体" w:hAnsi="宋体" w:eastAsia="宋体" w:cs="宋体"/>
                <w:color w:val="auto"/>
                <w:sz w:val="24"/>
                <w:szCs w:val="24"/>
                <w:highlight w:val="none"/>
              </w:rPr>
            </w:pPr>
          </w:p>
          <w:p w14:paraId="2993D9F8">
            <w:pPr>
              <w:spacing w:line="243" w:lineRule="auto"/>
              <w:rPr>
                <w:rFonts w:hint="eastAsia" w:ascii="宋体" w:hAnsi="宋体" w:eastAsia="宋体" w:cs="宋体"/>
                <w:color w:val="auto"/>
                <w:sz w:val="24"/>
                <w:szCs w:val="24"/>
                <w:highlight w:val="none"/>
              </w:rPr>
            </w:pPr>
          </w:p>
          <w:p w14:paraId="1C54C0A7">
            <w:pPr>
              <w:spacing w:line="243" w:lineRule="auto"/>
              <w:rPr>
                <w:rFonts w:hint="eastAsia" w:ascii="宋体" w:hAnsi="宋体" w:eastAsia="宋体" w:cs="宋体"/>
                <w:color w:val="auto"/>
                <w:sz w:val="24"/>
                <w:szCs w:val="24"/>
                <w:highlight w:val="none"/>
              </w:rPr>
            </w:pPr>
          </w:p>
          <w:p w14:paraId="7C3BF98C">
            <w:pPr>
              <w:spacing w:line="243" w:lineRule="auto"/>
              <w:rPr>
                <w:rFonts w:hint="eastAsia" w:ascii="宋体" w:hAnsi="宋体" w:eastAsia="宋体" w:cs="宋体"/>
                <w:color w:val="auto"/>
                <w:sz w:val="24"/>
                <w:szCs w:val="24"/>
                <w:highlight w:val="none"/>
              </w:rPr>
            </w:pPr>
          </w:p>
          <w:p w14:paraId="3C4EEBF2">
            <w:pPr>
              <w:spacing w:line="243" w:lineRule="auto"/>
              <w:rPr>
                <w:rFonts w:hint="eastAsia" w:ascii="宋体" w:hAnsi="宋体" w:eastAsia="宋体" w:cs="宋体"/>
                <w:color w:val="auto"/>
                <w:sz w:val="24"/>
                <w:szCs w:val="24"/>
                <w:highlight w:val="none"/>
              </w:rPr>
            </w:pPr>
          </w:p>
          <w:p w14:paraId="36B80630">
            <w:pPr>
              <w:spacing w:line="243" w:lineRule="auto"/>
              <w:rPr>
                <w:rFonts w:hint="eastAsia" w:ascii="宋体" w:hAnsi="宋体" w:eastAsia="宋体" w:cs="宋体"/>
                <w:color w:val="auto"/>
                <w:sz w:val="24"/>
                <w:szCs w:val="24"/>
                <w:highlight w:val="none"/>
              </w:rPr>
            </w:pPr>
          </w:p>
          <w:p w14:paraId="36DBE615">
            <w:pPr>
              <w:spacing w:line="243" w:lineRule="auto"/>
              <w:rPr>
                <w:rFonts w:hint="eastAsia" w:ascii="宋体" w:hAnsi="宋体" w:eastAsia="宋体" w:cs="宋体"/>
                <w:color w:val="auto"/>
                <w:sz w:val="24"/>
                <w:szCs w:val="24"/>
                <w:highlight w:val="none"/>
              </w:rPr>
            </w:pPr>
          </w:p>
          <w:p w14:paraId="427984A1">
            <w:pPr>
              <w:pStyle w:val="25"/>
              <w:spacing w:before="65" w:line="228" w:lineRule="auto"/>
              <w:ind w:left="183"/>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资格评审标</w:t>
            </w:r>
            <w:r>
              <w:rPr>
                <w:rFonts w:hint="eastAsia" w:ascii="宋体" w:hAnsi="宋体" w:eastAsia="宋体" w:cs="宋体"/>
                <w:color w:val="auto"/>
                <w:sz w:val="24"/>
                <w:szCs w:val="24"/>
                <w:highlight w:val="none"/>
              </w:rPr>
              <w:t>准</w:t>
            </w:r>
          </w:p>
        </w:tc>
        <w:tc>
          <w:tcPr>
            <w:tcW w:w="6650" w:type="dxa"/>
            <w:vAlign w:val="top"/>
          </w:tcPr>
          <w:p w14:paraId="23279429">
            <w:pPr>
              <w:pStyle w:val="25"/>
              <w:spacing w:before="130" w:line="377" w:lineRule="auto"/>
              <w:ind w:left="112" w:right="137" w:firstLine="36"/>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(1)投标人具备有效的营业执照、组织机构代码证、资质证书、安全生</w:t>
            </w:r>
            <w:r>
              <w:rPr>
                <w:rFonts w:hint="eastAsia" w:ascii="宋体" w:hAnsi="宋体" w:eastAsia="宋体" w:cs="宋体"/>
                <w:color w:val="auto"/>
                <w:spacing w:val="9"/>
                <w:sz w:val="24"/>
                <w:szCs w:val="24"/>
                <w:highlight w:val="none"/>
              </w:rPr>
              <w:t>产许可证和基本账户开户许可证（或基本存款</w:t>
            </w:r>
            <w:r>
              <w:rPr>
                <w:rFonts w:hint="eastAsia" w:ascii="宋体" w:hAnsi="宋体" w:eastAsia="宋体" w:cs="宋体"/>
                <w:color w:val="auto"/>
                <w:spacing w:val="8"/>
                <w:sz w:val="24"/>
                <w:szCs w:val="24"/>
                <w:highlight w:val="none"/>
              </w:rPr>
              <w:t>账户证明）。</w:t>
            </w:r>
          </w:p>
          <w:p w14:paraId="4A3F0EAF">
            <w:pPr>
              <w:pStyle w:val="25"/>
              <w:spacing w:before="1" w:line="377" w:lineRule="auto"/>
              <w:ind w:left="114" w:right="106"/>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投标人具备有效的营业执照、组织机构代码证、资质证书、安全生产许</w:t>
            </w:r>
            <w:r>
              <w:rPr>
                <w:rFonts w:hint="eastAsia" w:ascii="宋体" w:hAnsi="宋体" w:eastAsia="宋体" w:cs="宋体"/>
                <w:color w:val="auto"/>
                <w:spacing w:val="8"/>
                <w:sz w:val="24"/>
                <w:szCs w:val="24"/>
                <w:highlight w:val="none"/>
              </w:rPr>
              <w:t>可证和基本账户开户许可证（或基本存款账户证明）。</w:t>
            </w:r>
          </w:p>
          <w:p w14:paraId="4A82657F">
            <w:pPr>
              <w:pStyle w:val="25"/>
              <w:spacing w:line="227" w:lineRule="auto"/>
              <w:ind w:left="14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(2)投标人的资质等级符合招标文件规定。</w:t>
            </w:r>
          </w:p>
          <w:p w14:paraId="6B0787B3">
            <w:pPr>
              <w:pStyle w:val="25"/>
              <w:spacing w:before="160" w:line="228" w:lineRule="auto"/>
              <w:ind w:left="114"/>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投标人的资质等级符合招标文件规定。</w:t>
            </w:r>
          </w:p>
          <w:p w14:paraId="1471B995">
            <w:pPr>
              <w:pStyle w:val="25"/>
              <w:spacing w:before="161" w:line="228" w:lineRule="auto"/>
              <w:ind w:left="14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(3)投标人的财务状况符合招标文件规定。</w:t>
            </w:r>
          </w:p>
          <w:p w14:paraId="1A8B380D">
            <w:pPr>
              <w:pStyle w:val="25"/>
              <w:spacing w:before="161" w:line="228" w:lineRule="auto"/>
              <w:ind w:left="114"/>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投标人的财务状况符合招标文件规定。</w:t>
            </w:r>
          </w:p>
          <w:p w14:paraId="34C0D0D8">
            <w:pPr>
              <w:pStyle w:val="25"/>
              <w:spacing w:before="161" w:line="228" w:lineRule="auto"/>
              <w:ind w:left="14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(4)投标人的类似项目业绩符合招标文件规定。</w:t>
            </w:r>
          </w:p>
          <w:p w14:paraId="6159ABAD">
            <w:pPr>
              <w:pStyle w:val="25"/>
              <w:spacing w:before="161" w:line="228" w:lineRule="auto"/>
              <w:ind w:left="114"/>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投标人的类似项目业绩符合招标文件规定。</w:t>
            </w:r>
          </w:p>
          <w:p w14:paraId="1E69B565">
            <w:pPr>
              <w:pStyle w:val="25"/>
              <w:spacing w:before="164" w:line="227" w:lineRule="auto"/>
              <w:ind w:left="149"/>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(5)投标人的信誉符合招标文件规定。</w:t>
            </w:r>
          </w:p>
          <w:p w14:paraId="2E4E8045">
            <w:pPr>
              <w:pStyle w:val="25"/>
              <w:spacing w:before="162" w:line="227" w:lineRule="auto"/>
              <w:ind w:left="114"/>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投标人的信誉符合招标文件规定。</w:t>
            </w:r>
          </w:p>
          <w:p w14:paraId="35B53AB8">
            <w:pPr>
              <w:pStyle w:val="25"/>
              <w:spacing w:before="162" w:line="302" w:lineRule="auto"/>
              <w:ind w:left="114" w:right="172" w:firstLine="34"/>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(6)投标人的项目经理和项目总工资格、在岗情况符合招标文件规</w:t>
            </w:r>
            <w:r>
              <w:rPr>
                <w:rFonts w:hint="eastAsia" w:ascii="宋体" w:hAnsi="宋体" w:eastAsia="宋体" w:cs="宋体"/>
                <w:color w:val="auto"/>
                <w:spacing w:val="6"/>
                <w:sz w:val="24"/>
                <w:szCs w:val="24"/>
                <w:highlight w:val="none"/>
              </w:rPr>
              <w:t>定。</w:t>
            </w:r>
            <w:r>
              <w:rPr>
                <w:rFonts w:hint="eastAsia" w:ascii="宋体" w:hAnsi="宋体" w:eastAsia="宋体" w:cs="宋体"/>
                <w:color w:val="auto"/>
                <w:spacing w:val="9"/>
                <w:sz w:val="24"/>
                <w:szCs w:val="24"/>
                <w:highlight w:val="none"/>
              </w:rPr>
              <w:t>投标人的项目经理和项目总工资格、在岗情况符合招标文件规定。</w:t>
            </w:r>
          </w:p>
          <w:p w14:paraId="4C43D5BC">
            <w:pPr>
              <w:pStyle w:val="25"/>
              <w:spacing w:before="164" w:line="228" w:lineRule="auto"/>
              <w:ind w:left="14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(7)投标人的其他要求符合招标文件规定。</w:t>
            </w:r>
          </w:p>
          <w:p w14:paraId="1BE14C40">
            <w:pPr>
              <w:pStyle w:val="25"/>
              <w:spacing w:before="161" w:line="228" w:lineRule="auto"/>
              <w:ind w:left="114"/>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投标人的其他要求符合招标文件规定。</w:t>
            </w:r>
          </w:p>
          <w:p w14:paraId="46FE2D3D">
            <w:pPr>
              <w:pStyle w:val="25"/>
              <w:spacing w:before="160" w:line="377" w:lineRule="auto"/>
              <w:ind w:left="129" w:right="137" w:firstLine="19"/>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(8)投标人不存在第二章“投标人须知”第1.4.3项或第1.4.4项规定</w:t>
            </w:r>
            <w:r>
              <w:rPr>
                <w:rFonts w:hint="eastAsia" w:ascii="宋体" w:hAnsi="宋体" w:eastAsia="宋体" w:cs="宋体"/>
                <w:color w:val="auto"/>
                <w:spacing w:val="5"/>
                <w:sz w:val="24"/>
                <w:szCs w:val="24"/>
                <w:highlight w:val="none"/>
              </w:rPr>
              <w:t>的任何一种情形。</w:t>
            </w:r>
          </w:p>
          <w:p w14:paraId="628B854B">
            <w:pPr>
              <w:pStyle w:val="25"/>
              <w:spacing w:before="2" w:line="377" w:lineRule="auto"/>
              <w:ind w:left="114" w:right="106"/>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投标人不存在第二章“投标人须知”第1.4.3项或第1.4.4项规定的任</w:t>
            </w:r>
            <w:r>
              <w:rPr>
                <w:rFonts w:hint="eastAsia" w:ascii="宋体" w:hAnsi="宋体" w:eastAsia="宋体" w:cs="宋体"/>
                <w:color w:val="auto"/>
                <w:spacing w:val="6"/>
                <w:sz w:val="24"/>
                <w:szCs w:val="24"/>
                <w:highlight w:val="none"/>
              </w:rPr>
              <w:t>何一种情形。</w:t>
            </w:r>
          </w:p>
          <w:p w14:paraId="12AFFE47">
            <w:pPr>
              <w:pStyle w:val="25"/>
              <w:spacing w:before="1" w:line="226" w:lineRule="auto"/>
              <w:ind w:left="149"/>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(9)投标人符合第二章“投标人须知”第1.4.5项规定。</w:t>
            </w:r>
          </w:p>
          <w:p w14:paraId="3EB6E173">
            <w:pPr>
              <w:pStyle w:val="25"/>
              <w:spacing w:before="162" w:line="227" w:lineRule="auto"/>
              <w:ind w:left="114"/>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投标人符合第二章“投标人须知”第1.4.5项规定。</w:t>
            </w:r>
          </w:p>
        </w:tc>
      </w:tr>
    </w:tbl>
    <w:p w14:paraId="1F5F1FBD">
      <w:pPr>
        <w:pStyle w:val="4"/>
        <w:rPr>
          <w:rFonts w:hint="eastAsia" w:ascii="宋体" w:hAnsi="宋体" w:eastAsia="宋体" w:cs="宋体"/>
          <w:color w:val="auto"/>
          <w:sz w:val="24"/>
          <w:szCs w:val="24"/>
          <w:highlight w:val="none"/>
        </w:rPr>
      </w:pPr>
    </w:p>
    <w:p w14:paraId="35B8CFB4">
      <w:pPr>
        <w:rPr>
          <w:rFonts w:hint="eastAsia" w:ascii="宋体" w:hAnsi="宋体" w:eastAsia="宋体" w:cs="宋体"/>
          <w:color w:val="auto"/>
          <w:sz w:val="24"/>
          <w:szCs w:val="24"/>
          <w:highlight w:val="none"/>
        </w:rPr>
        <w:sectPr>
          <w:footerReference r:id="rId44" w:type="default"/>
          <w:pgSz w:w="11907" w:h="16840"/>
          <w:pgMar w:top="1182" w:right="1179" w:bottom="1011" w:left="1686" w:header="849" w:footer="852" w:gutter="0"/>
          <w:pgNumType w:fmt="decimal"/>
          <w:cols w:space="720" w:num="1"/>
        </w:sectPr>
      </w:pPr>
    </w:p>
    <w:p w14:paraId="5C500C38">
      <w:pPr>
        <w:spacing w:before="16"/>
        <w:rPr>
          <w:rFonts w:hint="eastAsia" w:ascii="宋体" w:hAnsi="宋体" w:eastAsia="宋体" w:cs="宋体"/>
          <w:color w:val="auto"/>
          <w:sz w:val="24"/>
          <w:szCs w:val="24"/>
          <w:highlight w:val="none"/>
        </w:rPr>
      </w:pPr>
    </w:p>
    <w:tbl>
      <w:tblPr>
        <w:tblStyle w:val="24"/>
        <w:tblW w:w="9035" w:type="dxa"/>
        <w:tblInd w:w="1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6"/>
        <w:gridCol w:w="1576"/>
        <w:gridCol w:w="6463"/>
      </w:tblGrid>
      <w:tr w14:paraId="40A97A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2" w:hRule="atLeast"/>
        </w:trPr>
        <w:tc>
          <w:tcPr>
            <w:tcW w:w="996" w:type="dxa"/>
            <w:vAlign w:val="top"/>
          </w:tcPr>
          <w:p w14:paraId="77322044">
            <w:pPr>
              <w:rPr>
                <w:rFonts w:hint="eastAsia" w:ascii="宋体" w:hAnsi="宋体" w:eastAsia="宋体" w:cs="宋体"/>
                <w:color w:val="auto"/>
                <w:sz w:val="24"/>
                <w:szCs w:val="24"/>
                <w:highlight w:val="none"/>
              </w:rPr>
            </w:pPr>
          </w:p>
        </w:tc>
        <w:tc>
          <w:tcPr>
            <w:tcW w:w="1576" w:type="dxa"/>
            <w:vAlign w:val="top"/>
          </w:tcPr>
          <w:p w14:paraId="79B6EFEB">
            <w:pPr>
              <w:rPr>
                <w:rFonts w:hint="eastAsia" w:ascii="宋体" w:hAnsi="宋体" w:eastAsia="宋体" w:cs="宋体"/>
                <w:color w:val="auto"/>
                <w:sz w:val="24"/>
                <w:szCs w:val="24"/>
                <w:highlight w:val="none"/>
              </w:rPr>
            </w:pPr>
          </w:p>
        </w:tc>
        <w:tc>
          <w:tcPr>
            <w:tcW w:w="6463" w:type="dxa"/>
            <w:vAlign w:val="top"/>
          </w:tcPr>
          <w:p w14:paraId="77C754E1">
            <w:pPr>
              <w:pStyle w:val="25"/>
              <w:spacing w:before="132" w:line="377" w:lineRule="auto"/>
              <w:ind w:left="112" w:right="106" w:firstLine="36"/>
              <w:jc w:val="both"/>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(10)以联合体形式参与投标的，联合体各方均未</w:t>
            </w:r>
            <w:r>
              <w:rPr>
                <w:rFonts w:hint="eastAsia" w:ascii="宋体" w:hAnsi="宋体" w:eastAsia="宋体" w:cs="宋体"/>
                <w:color w:val="auto"/>
                <w:spacing w:val="5"/>
                <w:sz w:val="24"/>
                <w:szCs w:val="24"/>
                <w:highlight w:val="none"/>
              </w:rPr>
              <w:t>再以自己名义单独或参</w:t>
            </w:r>
            <w:r>
              <w:rPr>
                <w:rFonts w:hint="eastAsia" w:ascii="宋体" w:hAnsi="宋体" w:eastAsia="宋体" w:cs="宋体"/>
                <w:color w:val="auto"/>
                <w:spacing w:val="7"/>
                <w:sz w:val="24"/>
                <w:szCs w:val="24"/>
                <w:highlight w:val="none"/>
              </w:rPr>
              <w:t>加其他联合体在同一标段中投标；独立参与投标的，投标人未同时参加</w:t>
            </w:r>
            <w:r>
              <w:rPr>
                <w:rFonts w:hint="eastAsia" w:ascii="宋体" w:hAnsi="宋体" w:eastAsia="宋体" w:cs="宋体"/>
                <w:color w:val="auto"/>
                <w:spacing w:val="8"/>
                <w:sz w:val="24"/>
                <w:szCs w:val="24"/>
                <w:highlight w:val="none"/>
              </w:rPr>
              <w:t>联合体在同一标段中投标。</w:t>
            </w:r>
          </w:p>
          <w:p w14:paraId="0B361D92">
            <w:pPr>
              <w:pStyle w:val="25"/>
              <w:spacing w:before="2" w:line="376" w:lineRule="auto"/>
              <w:ind w:left="112" w:right="106" w:firstLine="23"/>
              <w:jc w:val="both"/>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以联合体形式参与投标的，联合体各方均未再以自己名义单独或参加其</w:t>
            </w:r>
            <w:r>
              <w:rPr>
                <w:rFonts w:hint="eastAsia" w:ascii="宋体" w:hAnsi="宋体" w:eastAsia="宋体" w:cs="宋体"/>
                <w:color w:val="auto"/>
                <w:spacing w:val="7"/>
                <w:sz w:val="24"/>
                <w:szCs w:val="24"/>
                <w:highlight w:val="none"/>
              </w:rPr>
              <w:t>他联合体在同一标段中投标；独立参与投标的，投标人未同时参加联合</w:t>
            </w:r>
            <w:r>
              <w:rPr>
                <w:rFonts w:hint="eastAsia" w:ascii="宋体" w:hAnsi="宋体" w:eastAsia="宋体" w:cs="宋体"/>
                <w:color w:val="auto"/>
                <w:spacing w:val="8"/>
                <w:sz w:val="24"/>
                <w:szCs w:val="24"/>
                <w:highlight w:val="none"/>
              </w:rPr>
              <w:t>体在同一标段中投标。</w:t>
            </w:r>
          </w:p>
          <w:p w14:paraId="3A4F8B71">
            <w:pPr>
              <w:pStyle w:val="25"/>
              <w:spacing w:line="226" w:lineRule="auto"/>
              <w:ind w:left="14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(11)落实政府采购政策需满足的资格要求：</w:t>
            </w:r>
          </w:p>
          <w:p w14:paraId="7797F825">
            <w:pPr>
              <w:pStyle w:val="25"/>
              <w:spacing w:before="160" w:line="378" w:lineRule="auto"/>
              <w:ind w:left="111" w:right="106" w:firstLine="1"/>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本项目属于专门面向中小企业采购的项目，投标人必须为中小微企业</w:t>
            </w:r>
            <w:r>
              <w:rPr>
                <w:rFonts w:hint="eastAsia" w:ascii="宋体" w:hAnsi="宋体" w:eastAsia="宋体" w:cs="宋体"/>
                <w:color w:val="auto"/>
                <w:spacing w:val="7"/>
                <w:sz w:val="24"/>
                <w:szCs w:val="24"/>
                <w:highlight w:val="none"/>
              </w:rPr>
              <w:t>（监狱企业或残疾人福利性单位视同小微企业）。投标人需提供《中小企业声明函》或者《残疾人福利性单位声明函》或者省级以上监狱管理局、戒毒管理局（含新疆生产建设兵团）出具的属于监狱企业的证明文</w:t>
            </w:r>
            <w:r>
              <w:rPr>
                <w:rFonts w:hint="eastAsia" w:ascii="宋体" w:hAnsi="宋体" w:eastAsia="宋体" w:cs="宋体"/>
                <w:color w:val="auto"/>
                <w:spacing w:val="6"/>
                <w:sz w:val="24"/>
                <w:szCs w:val="24"/>
                <w:highlight w:val="none"/>
              </w:rPr>
              <w:t>件扫描件。</w:t>
            </w:r>
          </w:p>
        </w:tc>
      </w:tr>
      <w:tr w14:paraId="230894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996" w:type="dxa"/>
            <w:vAlign w:val="top"/>
          </w:tcPr>
          <w:p w14:paraId="5991ADFD">
            <w:pPr>
              <w:pStyle w:val="25"/>
              <w:spacing w:before="130" w:line="228" w:lineRule="auto"/>
              <w:ind w:left="187"/>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条款号</w:t>
            </w:r>
          </w:p>
        </w:tc>
        <w:tc>
          <w:tcPr>
            <w:tcW w:w="1576" w:type="dxa"/>
            <w:vAlign w:val="top"/>
          </w:tcPr>
          <w:p w14:paraId="01DCD7C9">
            <w:pPr>
              <w:pStyle w:val="25"/>
              <w:spacing w:before="130" w:line="228" w:lineRule="auto"/>
              <w:ind w:left="279"/>
              <w:rPr>
                <w:rFonts w:hint="eastAsia" w:ascii="宋体" w:hAnsi="宋体" w:eastAsia="宋体" w:cs="宋体"/>
                <w:color w:val="auto"/>
                <w:sz w:val="24"/>
                <w:szCs w:val="24"/>
                <w:highlight w:val="none"/>
              </w:rPr>
            </w:pPr>
            <w:r>
              <w:rPr>
                <w:rFonts w:hint="eastAsia" w:ascii="宋体" w:hAnsi="宋体" w:eastAsia="宋体" w:cs="宋体"/>
                <w:b/>
                <w:bCs/>
                <w:color w:val="auto"/>
                <w:spacing w:val="6"/>
                <w:sz w:val="24"/>
                <w:szCs w:val="24"/>
                <w:highlight w:val="none"/>
              </w:rPr>
              <w:t>条款内容</w:t>
            </w:r>
          </w:p>
        </w:tc>
        <w:tc>
          <w:tcPr>
            <w:tcW w:w="6463" w:type="dxa"/>
            <w:vAlign w:val="top"/>
          </w:tcPr>
          <w:p w14:paraId="116D264D">
            <w:pPr>
              <w:pStyle w:val="25"/>
              <w:spacing w:before="130" w:line="228" w:lineRule="auto"/>
              <w:ind w:left="2910"/>
              <w:rPr>
                <w:rFonts w:hint="eastAsia" w:ascii="宋体" w:hAnsi="宋体" w:eastAsia="宋体" w:cs="宋体"/>
                <w:color w:val="auto"/>
                <w:sz w:val="24"/>
                <w:szCs w:val="24"/>
                <w:highlight w:val="none"/>
              </w:rPr>
            </w:pPr>
            <w:r>
              <w:rPr>
                <w:rFonts w:hint="eastAsia" w:ascii="宋体" w:hAnsi="宋体" w:eastAsia="宋体" w:cs="宋体"/>
                <w:b/>
                <w:bCs/>
                <w:color w:val="auto"/>
                <w:spacing w:val="6"/>
                <w:sz w:val="24"/>
                <w:szCs w:val="24"/>
                <w:highlight w:val="none"/>
              </w:rPr>
              <w:t>编列内容</w:t>
            </w:r>
          </w:p>
        </w:tc>
      </w:tr>
      <w:tr w14:paraId="470D22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9" w:hRule="atLeast"/>
        </w:trPr>
        <w:tc>
          <w:tcPr>
            <w:tcW w:w="996" w:type="dxa"/>
            <w:vAlign w:val="top"/>
          </w:tcPr>
          <w:p w14:paraId="195C6DAF">
            <w:pPr>
              <w:spacing w:line="269" w:lineRule="auto"/>
              <w:rPr>
                <w:rFonts w:hint="eastAsia" w:ascii="宋体" w:hAnsi="宋体" w:eastAsia="宋体" w:cs="宋体"/>
                <w:color w:val="auto"/>
                <w:sz w:val="24"/>
                <w:szCs w:val="24"/>
                <w:highlight w:val="none"/>
              </w:rPr>
            </w:pPr>
          </w:p>
          <w:p w14:paraId="3E6462A6">
            <w:pPr>
              <w:spacing w:line="270" w:lineRule="auto"/>
              <w:rPr>
                <w:rFonts w:hint="eastAsia" w:ascii="宋体" w:hAnsi="宋体" w:eastAsia="宋体" w:cs="宋体"/>
                <w:color w:val="auto"/>
                <w:sz w:val="24"/>
                <w:szCs w:val="24"/>
                <w:highlight w:val="none"/>
              </w:rPr>
            </w:pPr>
          </w:p>
          <w:p w14:paraId="55B0ADE2">
            <w:pPr>
              <w:spacing w:line="270" w:lineRule="auto"/>
              <w:rPr>
                <w:rFonts w:hint="eastAsia" w:ascii="宋体" w:hAnsi="宋体" w:eastAsia="宋体" w:cs="宋体"/>
                <w:color w:val="auto"/>
                <w:sz w:val="24"/>
                <w:szCs w:val="24"/>
                <w:highlight w:val="none"/>
              </w:rPr>
            </w:pPr>
          </w:p>
          <w:p w14:paraId="0B5C8695">
            <w:pPr>
              <w:spacing w:line="270" w:lineRule="auto"/>
              <w:rPr>
                <w:rFonts w:hint="eastAsia" w:ascii="宋体" w:hAnsi="宋体" w:eastAsia="宋体" w:cs="宋体"/>
                <w:color w:val="auto"/>
                <w:sz w:val="24"/>
                <w:szCs w:val="24"/>
                <w:highlight w:val="none"/>
              </w:rPr>
            </w:pPr>
          </w:p>
          <w:p w14:paraId="044FB1EF">
            <w:pPr>
              <w:pStyle w:val="25"/>
              <w:spacing w:before="65" w:line="268" w:lineRule="exact"/>
              <w:ind w:left="241"/>
              <w:rPr>
                <w:rFonts w:hint="eastAsia" w:ascii="宋体" w:hAnsi="宋体" w:eastAsia="宋体" w:cs="宋体"/>
                <w:color w:val="auto"/>
                <w:sz w:val="24"/>
                <w:szCs w:val="24"/>
                <w:highlight w:val="none"/>
              </w:rPr>
            </w:pPr>
            <w:r>
              <w:rPr>
                <w:rFonts w:hint="eastAsia" w:ascii="宋体" w:hAnsi="宋体" w:eastAsia="宋体" w:cs="宋体"/>
                <w:color w:val="auto"/>
                <w:spacing w:val="2"/>
                <w:position w:val="1"/>
                <w:sz w:val="24"/>
                <w:szCs w:val="24"/>
                <w:highlight w:val="none"/>
              </w:rPr>
              <w:t>2.2.1</w:t>
            </w:r>
          </w:p>
        </w:tc>
        <w:tc>
          <w:tcPr>
            <w:tcW w:w="1576" w:type="dxa"/>
            <w:vAlign w:val="top"/>
          </w:tcPr>
          <w:p w14:paraId="7A8FD7FC">
            <w:pPr>
              <w:pStyle w:val="25"/>
              <w:spacing w:before="131" w:line="228" w:lineRule="auto"/>
              <w:ind w:left="174"/>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第一个信封</w:t>
            </w:r>
          </w:p>
          <w:p w14:paraId="50F0DE9F">
            <w:pPr>
              <w:pStyle w:val="25"/>
              <w:spacing w:before="161" w:line="228" w:lineRule="auto"/>
              <w:ind w:left="173"/>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评分分值构</w:t>
            </w:r>
          </w:p>
          <w:p w14:paraId="1213F7A6">
            <w:pPr>
              <w:pStyle w:val="25"/>
              <w:spacing w:before="161" w:line="225" w:lineRule="auto"/>
              <w:ind w:left="49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成③</w:t>
            </w:r>
          </w:p>
          <w:p w14:paraId="1794B0FD">
            <w:pPr>
              <w:pStyle w:val="25"/>
              <w:spacing w:before="164" w:line="228" w:lineRule="auto"/>
              <w:ind w:left="393"/>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（总分</w:t>
            </w:r>
          </w:p>
          <w:p w14:paraId="6A2E5F55">
            <w:pPr>
              <w:pStyle w:val="25"/>
              <w:spacing w:before="160" w:line="228" w:lineRule="auto"/>
              <w:ind w:left="21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100.0分）</w:t>
            </w:r>
          </w:p>
        </w:tc>
        <w:tc>
          <w:tcPr>
            <w:tcW w:w="6463" w:type="dxa"/>
            <w:vAlign w:val="top"/>
          </w:tcPr>
          <w:p w14:paraId="56701829">
            <w:pPr>
              <w:spacing w:line="269" w:lineRule="auto"/>
              <w:rPr>
                <w:rFonts w:hint="eastAsia" w:ascii="宋体" w:hAnsi="宋体" w:eastAsia="宋体" w:cs="宋体"/>
                <w:color w:val="auto"/>
                <w:sz w:val="24"/>
                <w:szCs w:val="24"/>
                <w:highlight w:val="none"/>
              </w:rPr>
            </w:pPr>
          </w:p>
          <w:p w14:paraId="2D2608E1">
            <w:pPr>
              <w:pStyle w:val="25"/>
              <w:spacing w:before="65" w:line="228" w:lineRule="auto"/>
              <w:ind w:left="111"/>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施工组织设计：40.00分</w:t>
            </w:r>
          </w:p>
          <w:p w14:paraId="557B0543">
            <w:pPr>
              <w:pStyle w:val="25"/>
              <w:spacing w:before="160" w:line="228" w:lineRule="auto"/>
              <w:ind w:left="114"/>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主要人员：25.00分</w:t>
            </w:r>
          </w:p>
          <w:p w14:paraId="084386D8">
            <w:pPr>
              <w:pStyle w:val="25"/>
              <w:spacing w:before="160" w:line="228" w:lineRule="auto"/>
              <w:ind w:left="113"/>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技术能力：10.0分</w:t>
            </w:r>
          </w:p>
          <w:p w14:paraId="216AEDCD">
            <w:pPr>
              <w:pStyle w:val="25"/>
              <w:spacing w:before="161" w:line="227" w:lineRule="auto"/>
              <w:ind w:left="115"/>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履约信誉：15.0分</w:t>
            </w:r>
          </w:p>
          <w:p w14:paraId="29A13F2E">
            <w:pPr>
              <w:pStyle w:val="25"/>
              <w:spacing w:before="162" w:line="228" w:lineRule="auto"/>
              <w:ind w:left="111"/>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业绩：10.0分</w:t>
            </w:r>
          </w:p>
        </w:tc>
      </w:tr>
      <w:tr w14:paraId="253799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26" w:hRule="atLeast"/>
        </w:trPr>
        <w:tc>
          <w:tcPr>
            <w:tcW w:w="996" w:type="dxa"/>
            <w:vAlign w:val="top"/>
          </w:tcPr>
          <w:p w14:paraId="77AD4DF3">
            <w:pPr>
              <w:spacing w:line="471" w:lineRule="auto"/>
              <w:rPr>
                <w:rFonts w:hint="eastAsia" w:ascii="宋体" w:hAnsi="宋体" w:eastAsia="宋体" w:cs="宋体"/>
                <w:color w:val="auto"/>
                <w:sz w:val="24"/>
                <w:szCs w:val="24"/>
                <w:highlight w:val="none"/>
              </w:rPr>
            </w:pPr>
          </w:p>
          <w:p w14:paraId="0F4DE86E">
            <w:pPr>
              <w:pStyle w:val="25"/>
              <w:spacing w:before="65" w:line="268" w:lineRule="exact"/>
              <w:ind w:left="239"/>
              <w:rPr>
                <w:rFonts w:hint="eastAsia" w:ascii="宋体" w:hAnsi="宋体" w:eastAsia="宋体" w:cs="宋体"/>
                <w:color w:val="auto"/>
                <w:sz w:val="24"/>
                <w:szCs w:val="24"/>
                <w:highlight w:val="none"/>
              </w:rPr>
            </w:pPr>
            <w:r>
              <w:rPr>
                <w:rFonts w:hint="eastAsia" w:ascii="宋体" w:hAnsi="宋体" w:eastAsia="宋体" w:cs="宋体"/>
                <w:b/>
                <w:bCs/>
                <w:color w:val="auto"/>
                <w:spacing w:val="1"/>
                <w:position w:val="1"/>
                <w:sz w:val="24"/>
                <w:szCs w:val="24"/>
                <w:highlight w:val="none"/>
              </w:rPr>
              <w:t>2.2.3</w:t>
            </w:r>
          </w:p>
        </w:tc>
        <w:tc>
          <w:tcPr>
            <w:tcW w:w="1576" w:type="dxa"/>
            <w:vAlign w:val="top"/>
          </w:tcPr>
          <w:p w14:paraId="5B095D38">
            <w:pPr>
              <w:pStyle w:val="25"/>
              <w:spacing w:before="131" w:line="228" w:lineRule="auto"/>
              <w:ind w:left="174"/>
              <w:rPr>
                <w:rFonts w:hint="eastAsia" w:ascii="宋体" w:hAnsi="宋体" w:eastAsia="宋体" w:cs="宋体"/>
                <w:color w:val="auto"/>
                <w:spacing w:val="8"/>
                <w:sz w:val="24"/>
                <w:szCs w:val="24"/>
                <w:highlight w:val="none"/>
              </w:rPr>
            </w:pPr>
          </w:p>
          <w:p w14:paraId="19F59C9E">
            <w:pPr>
              <w:pStyle w:val="25"/>
              <w:spacing w:before="131" w:line="228" w:lineRule="auto"/>
              <w:ind w:left="174"/>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第二个信封</w:t>
            </w:r>
          </w:p>
          <w:p w14:paraId="09D234CB">
            <w:pPr>
              <w:pStyle w:val="25"/>
              <w:spacing w:before="161" w:line="228" w:lineRule="auto"/>
              <w:ind w:left="176"/>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详细评审标</w:t>
            </w:r>
            <w:r>
              <w:rPr>
                <w:rFonts w:hint="eastAsia" w:ascii="宋体" w:hAnsi="宋体" w:eastAsia="宋体" w:cs="宋体"/>
                <w:color w:val="auto"/>
                <w:sz w:val="24"/>
                <w:szCs w:val="24"/>
                <w:highlight w:val="none"/>
              </w:rPr>
              <w:t>准</w:t>
            </w:r>
          </w:p>
        </w:tc>
        <w:tc>
          <w:tcPr>
            <w:tcW w:w="6463" w:type="dxa"/>
            <w:vAlign w:val="top"/>
          </w:tcPr>
          <w:p w14:paraId="159B1DDB">
            <w:pPr>
              <w:pStyle w:val="25"/>
              <w:spacing w:before="132" w:line="226" w:lineRule="auto"/>
              <w:ind w:left="111"/>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评标价计算公式：</w:t>
            </w:r>
          </w:p>
          <w:p w14:paraId="64E65FF8">
            <w:pPr>
              <w:pStyle w:val="25"/>
              <w:spacing w:before="163" w:line="225" w:lineRule="auto"/>
              <w:ind w:left="111"/>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评标价＝修正后的投标报价－暂估价－暂列金额（不含计日工总额）⑤</w:t>
            </w:r>
          </w:p>
        </w:tc>
      </w:tr>
    </w:tbl>
    <w:p w14:paraId="148B4DF0">
      <w:pPr>
        <w:spacing w:before="230"/>
        <w:rPr>
          <w:rFonts w:hint="eastAsia" w:ascii="宋体" w:hAnsi="宋体" w:eastAsia="宋体" w:cs="宋体"/>
          <w:color w:val="auto"/>
          <w:highlight w:val="none"/>
        </w:rPr>
      </w:pPr>
    </w:p>
    <w:p w14:paraId="55F765CC">
      <w:pPr>
        <w:pStyle w:val="2"/>
        <w:rPr>
          <w:rFonts w:hint="eastAsia" w:ascii="宋体" w:hAnsi="宋体" w:eastAsia="宋体" w:cs="宋体"/>
          <w:color w:val="auto"/>
          <w:highlight w:val="none"/>
        </w:rPr>
      </w:pPr>
    </w:p>
    <w:p w14:paraId="1705577E">
      <w:pPr>
        <w:pStyle w:val="2"/>
        <w:rPr>
          <w:rFonts w:hint="eastAsia" w:ascii="宋体" w:hAnsi="宋体" w:eastAsia="宋体" w:cs="宋体"/>
          <w:color w:val="auto"/>
          <w:highlight w:val="none"/>
        </w:rPr>
      </w:pPr>
    </w:p>
    <w:p w14:paraId="3E76518F">
      <w:pPr>
        <w:pStyle w:val="2"/>
        <w:rPr>
          <w:rFonts w:hint="eastAsia" w:ascii="宋体" w:hAnsi="宋体" w:eastAsia="宋体" w:cs="宋体"/>
          <w:color w:val="auto"/>
          <w:highlight w:val="none"/>
        </w:rPr>
      </w:pPr>
    </w:p>
    <w:p w14:paraId="0D080454">
      <w:pPr>
        <w:pStyle w:val="2"/>
        <w:rPr>
          <w:rFonts w:hint="eastAsia" w:ascii="宋体" w:hAnsi="宋体" w:eastAsia="宋体" w:cs="宋体"/>
          <w:color w:val="auto"/>
          <w:highlight w:val="none"/>
        </w:rPr>
      </w:pPr>
    </w:p>
    <w:p w14:paraId="72C85960">
      <w:pPr>
        <w:pStyle w:val="2"/>
        <w:rPr>
          <w:rFonts w:hint="eastAsia" w:ascii="宋体" w:hAnsi="宋体" w:eastAsia="宋体" w:cs="宋体"/>
          <w:color w:val="auto"/>
          <w:highlight w:val="none"/>
        </w:rPr>
      </w:pPr>
    </w:p>
    <w:p w14:paraId="6134F357">
      <w:pPr>
        <w:pStyle w:val="2"/>
        <w:rPr>
          <w:rFonts w:hint="eastAsia" w:ascii="宋体" w:hAnsi="宋体" w:eastAsia="宋体" w:cs="宋体"/>
          <w:color w:val="auto"/>
          <w:highlight w:val="none"/>
        </w:rPr>
      </w:pPr>
    </w:p>
    <w:p w14:paraId="288CE80D">
      <w:pPr>
        <w:pStyle w:val="2"/>
        <w:rPr>
          <w:rFonts w:hint="eastAsia" w:ascii="宋体" w:hAnsi="宋体" w:eastAsia="宋体" w:cs="宋体"/>
          <w:color w:val="auto"/>
          <w:highlight w:val="none"/>
        </w:rPr>
      </w:pPr>
    </w:p>
    <w:p w14:paraId="72F2C892">
      <w:pPr>
        <w:pStyle w:val="2"/>
        <w:rPr>
          <w:rFonts w:hint="eastAsia" w:ascii="宋体" w:hAnsi="宋体" w:eastAsia="宋体" w:cs="宋体"/>
          <w:color w:val="auto"/>
          <w:highlight w:val="none"/>
        </w:rPr>
      </w:pPr>
    </w:p>
    <w:p w14:paraId="1D7AE8B3">
      <w:pPr>
        <w:pStyle w:val="2"/>
        <w:rPr>
          <w:rFonts w:hint="eastAsia" w:ascii="宋体" w:hAnsi="宋体" w:eastAsia="宋体" w:cs="宋体"/>
          <w:color w:val="auto"/>
          <w:highlight w:val="none"/>
        </w:rPr>
      </w:pPr>
    </w:p>
    <w:tbl>
      <w:tblPr>
        <w:tblStyle w:val="24"/>
        <w:tblW w:w="901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64"/>
        <w:gridCol w:w="1421"/>
        <w:gridCol w:w="6627"/>
      </w:tblGrid>
      <w:tr w14:paraId="786BBE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3" w:hRule="atLeast"/>
        </w:trPr>
        <w:tc>
          <w:tcPr>
            <w:tcW w:w="964" w:type="dxa"/>
            <w:vAlign w:val="top"/>
          </w:tcPr>
          <w:p w14:paraId="7D2CD9A7">
            <w:pPr>
              <w:pStyle w:val="25"/>
              <w:spacing w:before="305" w:line="228" w:lineRule="auto"/>
              <w:ind w:left="178"/>
              <w:rPr>
                <w:rFonts w:hint="eastAsia" w:ascii="宋体" w:hAnsi="宋体" w:eastAsia="宋体" w:cs="宋体"/>
                <w:color w:val="auto"/>
                <w:highlight w:val="none"/>
              </w:rPr>
            </w:pPr>
            <w:r>
              <w:rPr>
                <w:rFonts w:hint="eastAsia" w:ascii="宋体" w:hAnsi="宋体" w:eastAsia="宋体" w:cs="宋体"/>
                <w:b/>
                <w:bCs/>
                <w:color w:val="auto"/>
                <w:spacing w:val="5"/>
                <w:highlight w:val="none"/>
              </w:rPr>
              <w:t>条款号</w:t>
            </w:r>
          </w:p>
        </w:tc>
        <w:tc>
          <w:tcPr>
            <w:tcW w:w="1421" w:type="dxa"/>
            <w:tcBorders>
              <w:right w:val="single" w:color="000000" w:sz="4" w:space="0"/>
            </w:tcBorders>
            <w:vAlign w:val="top"/>
          </w:tcPr>
          <w:p w14:paraId="3E245CD3">
            <w:pPr>
              <w:pStyle w:val="25"/>
              <w:spacing w:before="305" w:line="228" w:lineRule="auto"/>
              <w:ind w:left="299"/>
              <w:rPr>
                <w:rFonts w:hint="eastAsia" w:ascii="宋体" w:hAnsi="宋体" w:eastAsia="宋体" w:cs="宋体"/>
                <w:color w:val="auto"/>
                <w:highlight w:val="none"/>
              </w:rPr>
            </w:pPr>
            <w:r>
              <w:rPr>
                <w:rFonts w:hint="eastAsia" w:ascii="宋体" w:hAnsi="宋体" w:eastAsia="宋体" w:cs="宋体"/>
                <w:b/>
                <w:bCs/>
                <w:color w:val="auto"/>
                <w:spacing w:val="6"/>
                <w:highlight w:val="none"/>
              </w:rPr>
              <w:t>条款内容</w:t>
            </w:r>
          </w:p>
        </w:tc>
        <w:tc>
          <w:tcPr>
            <w:tcW w:w="6627" w:type="dxa"/>
            <w:tcBorders>
              <w:left w:val="single" w:color="000000" w:sz="4" w:space="0"/>
            </w:tcBorders>
            <w:vAlign w:val="top"/>
          </w:tcPr>
          <w:p w14:paraId="664DA35A">
            <w:pPr>
              <w:pStyle w:val="25"/>
              <w:spacing w:before="305" w:line="228" w:lineRule="auto"/>
              <w:ind w:left="2898"/>
              <w:rPr>
                <w:rFonts w:hint="eastAsia" w:ascii="宋体" w:hAnsi="宋体" w:eastAsia="宋体" w:cs="宋体"/>
                <w:color w:val="auto"/>
                <w:highlight w:val="none"/>
              </w:rPr>
            </w:pPr>
            <w:r>
              <w:rPr>
                <w:rFonts w:hint="eastAsia" w:ascii="宋体" w:hAnsi="宋体" w:eastAsia="宋体" w:cs="宋体"/>
                <w:b/>
                <w:bCs/>
                <w:color w:val="auto"/>
                <w:spacing w:val="6"/>
                <w:highlight w:val="none"/>
              </w:rPr>
              <w:t>编列内容</w:t>
            </w:r>
          </w:p>
        </w:tc>
      </w:tr>
      <w:tr w14:paraId="7A1147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8" w:hRule="atLeast"/>
        </w:trPr>
        <w:tc>
          <w:tcPr>
            <w:tcW w:w="964" w:type="dxa"/>
            <w:vAlign w:val="top"/>
          </w:tcPr>
          <w:p w14:paraId="39EDA4FA">
            <w:pPr>
              <w:spacing w:line="273" w:lineRule="auto"/>
              <w:rPr>
                <w:rFonts w:hint="eastAsia" w:ascii="宋体" w:hAnsi="宋体" w:eastAsia="宋体" w:cs="宋体"/>
                <w:color w:val="auto"/>
                <w:sz w:val="24"/>
                <w:szCs w:val="24"/>
                <w:highlight w:val="none"/>
              </w:rPr>
            </w:pPr>
          </w:p>
          <w:p w14:paraId="7488B658">
            <w:pPr>
              <w:spacing w:line="273" w:lineRule="auto"/>
              <w:rPr>
                <w:rFonts w:hint="eastAsia" w:ascii="宋体" w:hAnsi="宋体" w:eastAsia="宋体" w:cs="宋体"/>
                <w:color w:val="auto"/>
                <w:sz w:val="24"/>
                <w:szCs w:val="24"/>
                <w:highlight w:val="none"/>
              </w:rPr>
            </w:pPr>
          </w:p>
          <w:p w14:paraId="5C885B52">
            <w:pPr>
              <w:spacing w:line="273" w:lineRule="auto"/>
              <w:rPr>
                <w:rFonts w:hint="eastAsia" w:ascii="宋体" w:hAnsi="宋体" w:eastAsia="宋体" w:cs="宋体"/>
                <w:color w:val="auto"/>
                <w:sz w:val="24"/>
                <w:szCs w:val="24"/>
                <w:highlight w:val="none"/>
              </w:rPr>
            </w:pPr>
          </w:p>
          <w:p w14:paraId="66CDB365">
            <w:pPr>
              <w:spacing w:line="274" w:lineRule="auto"/>
              <w:rPr>
                <w:rFonts w:hint="eastAsia" w:ascii="宋体" w:hAnsi="宋体" w:eastAsia="宋体" w:cs="宋体"/>
                <w:color w:val="auto"/>
                <w:sz w:val="24"/>
                <w:szCs w:val="24"/>
                <w:highlight w:val="none"/>
              </w:rPr>
            </w:pPr>
          </w:p>
          <w:p w14:paraId="2CD00844">
            <w:pPr>
              <w:spacing w:before="57" w:line="195" w:lineRule="auto"/>
              <w:ind w:left="28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3.2.4</w:t>
            </w:r>
          </w:p>
        </w:tc>
        <w:tc>
          <w:tcPr>
            <w:tcW w:w="1421" w:type="dxa"/>
            <w:tcBorders>
              <w:right w:val="single" w:color="000000" w:sz="4" w:space="0"/>
            </w:tcBorders>
            <w:vAlign w:val="top"/>
          </w:tcPr>
          <w:p w14:paraId="3D0FD741">
            <w:pPr>
              <w:spacing w:line="264" w:lineRule="auto"/>
              <w:rPr>
                <w:rFonts w:hint="eastAsia" w:ascii="宋体" w:hAnsi="宋体" w:eastAsia="宋体" w:cs="宋体"/>
                <w:color w:val="auto"/>
                <w:sz w:val="24"/>
                <w:szCs w:val="24"/>
                <w:highlight w:val="none"/>
              </w:rPr>
            </w:pPr>
          </w:p>
          <w:p w14:paraId="59E079A7">
            <w:pPr>
              <w:spacing w:line="265" w:lineRule="auto"/>
              <w:rPr>
                <w:rFonts w:hint="eastAsia" w:ascii="宋体" w:hAnsi="宋体" w:eastAsia="宋体" w:cs="宋体"/>
                <w:color w:val="auto"/>
                <w:sz w:val="24"/>
                <w:szCs w:val="24"/>
                <w:highlight w:val="none"/>
              </w:rPr>
            </w:pPr>
          </w:p>
          <w:p w14:paraId="3B820B01">
            <w:pPr>
              <w:pStyle w:val="25"/>
              <w:spacing w:before="65" w:line="228" w:lineRule="auto"/>
              <w:ind w:left="194"/>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通过第一个信封详细评</w:t>
            </w:r>
            <w:r>
              <w:rPr>
                <w:rFonts w:hint="eastAsia" w:ascii="宋体" w:hAnsi="宋体" w:eastAsia="宋体" w:cs="宋体"/>
                <w:color w:val="auto"/>
                <w:spacing w:val="6"/>
                <w:sz w:val="24"/>
                <w:szCs w:val="24"/>
                <w:highlight w:val="none"/>
              </w:rPr>
              <w:t>审的投标人</w:t>
            </w:r>
            <w:r>
              <w:rPr>
                <w:rFonts w:hint="eastAsia" w:ascii="宋体" w:hAnsi="宋体" w:eastAsia="宋体" w:cs="宋体"/>
                <w:color w:val="auto"/>
                <w:spacing w:val="3"/>
                <w:sz w:val="24"/>
                <w:szCs w:val="24"/>
                <w:highlight w:val="none"/>
              </w:rPr>
              <w:t>数量</w:t>
            </w:r>
          </w:p>
        </w:tc>
        <w:tc>
          <w:tcPr>
            <w:tcW w:w="6627" w:type="dxa"/>
            <w:tcBorders>
              <w:left w:val="single" w:color="000000" w:sz="4" w:space="0"/>
            </w:tcBorders>
            <w:vAlign w:val="top"/>
          </w:tcPr>
          <w:p w14:paraId="7B2988AF">
            <w:pPr>
              <w:rPr>
                <w:rFonts w:hint="eastAsia" w:ascii="宋体" w:hAnsi="宋体" w:eastAsia="宋体" w:cs="宋体"/>
                <w:color w:val="auto"/>
                <w:sz w:val="24"/>
                <w:szCs w:val="24"/>
                <w:highlight w:val="none"/>
              </w:rPr>
            </w:pPr>
          </w:p>
          <w:p w14:paraId="5E952970">
            <w:pPr>
              <w:rPr>
                <w:rFonts w:hint="eastAsia" w:ascii="宋体" w:hAnsi="宋体" w:eastAsia="宋体" w:cs="宋体"/>
                <w:color w:val="auto"/>
                <w:sz w:val="24"/>
                <w:szCs w:val="24"/>
                <w:highlight w:val="none"/>
              </w:rPr>
            </w:pPr>
          </w:p>
          <w:p w14:paraId="667F36F7">
            <w:pPr>
              <w:spacing w:line="241" w:lineRule="auto"/>
              <w:rPr>
                <w:rFonts w:hint="eastAsia" w:ascii="宋体" w:hAnsi="宋体" w:eastAsia="宋体" w:cs="宋体"/>
                <w:color w:val="auto"/>
                <w:sz w:val="24"/>
                <w:szCs w:val="24"/>
                <w:highlight w:val="none"/>
              </w:rPr>
            </w:pPr>
          </w:p>
          <w:p w14:paraId="719B2126">
            <w:pPr>
              <w:pStyle w:val="25"/>
              <w:spacing w:before="65" w:line="339" w:lineRule="auto"/>
              <w:ind w:left="122" w:right="99" w:hanging="8"/>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按照投标人的商务和技术得分由高到低排序，选择前3名</w:t>
            </w:r>
            <w:r>
              <w:rPr>
                <w:rFonts w:hint="eastAsia" w:ascii="宋体" w:hAnsi="宋体" w:eastAsia="宋体" w:cs="宋体"/>
                <w:b/>
                <w:bCs/>
                <w:color w:val="auto"/>
                <w:spacing w:val="13"/>
                <w:position w:val="9"/>
                <w:sz w:val="24"/>
                <w:szCs w:val="24"/>
                <w:highlight w:val="none"/>
              </w:rPr>
              <w:t>④</w:t>
            </w:r>
            <w:r>
              <w:rPr>
                <w:rFonts w:hint="eastAsia" w:ascii="宋体" w:hAnsi="宋体" w:eastAsia="宋体" w:cs="宋体"/>
                <w:color w:val="auto"/>
                <w:spacing w:val="13"/>
                <w:sz w:val="24"/>
                <w:szCs w:val="24"/>
                <w:highlight w:val="none"/>
              </w:rPr>
              <w:t>通过详细评</w:t>
            </w:r>
            <w:r>
              <w:rPr>
                <w:rFonts w:hint="eastAsia" w:ascii="宋体" w:hAnsi="宋体" w:eastAsia="宋体" w:cs="宋体"/>
                <w:color w:val="auto"/>
                <w:sz w:val="24"/>
                <w:szCs w:val="24"/>
                <w:highlight w:val="none"/>
              </w:rPr>
              <w:t>审</w:t>
            </w:r>
          </w:p>
          <w:p w14:paraId="47261350">
            <w:pPr>
              <w:pStyle w:val="25"/>
              <w:spacing w:before="18" w:line="228" w:lineRule="auto"/>
              <w:ind w:left="115"/>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如得分排名前3的超过3家，则所有排名前3的一并进入详细评审</w:t>
            </w:r>
          </w:p>
        </w:tc>
      </w:tr>
    </w:tbl>
    <w:p w14:paraId="6B831AA2">
      <w:pPr>
        <w:pStyle w:val="4"/>
        <w:rPr>
          <w:rFonts w:hint="eastAsia" w:ascii="宋体" w:hAnsi="宋体" w:eastAsia="宋体" w:cs="宋体"/>
          <w:color w:val="auto"/>
          <w:highlight w:val="none"/>
        </w:rPr>
      </w:pPr>
    </w:p>
    <w:p w14:paraId="038F90A1">
      <w:pPr>
        <w:rPr>
          <w:rFonts w:hint="eastAsia" w:ascii="宋体" w:hAnsi="宋体" w:eastAsia="宋体" w:cs="宋体"/>
          <w:color w:val="auto"/>
          <w:highlight w:val="none"/>
        </w:rPr>
        <w:sectPr>
          <w:headerReference r:id="rId45" w:type="default"/>
          <w:footerReference r:id="rId46" w:type="default"/>
          <w:pgSz w:w="11907" w:h="16840"/>
          <w:pgMar w:top="1182" w:right="1179" w:bottom="1014" w:left="1674" w:header="849" w:footer="852" w:gutter="0"/>
          <w:pgNumType w:fmt="decimal"/>
          <w:cols w:space="720" w:num="1"/>
        </w:sectPr>
      </w:pPr>
    </w:p>
    <w:p w14:paraId="2304CAD3">
      <w:pPr>
        <w:spacing w:before="16"/>
        <w:rPr>
          <w:rFonts w:hint="eastAsia" w:ascii="宋体" w:hAnsi="宋体" w:eastAsia="宋体" w:cs="宋体"/>
          <w:color w:val="auto"/>
          <w:highlight w:val="none"/>
        </w:rPr>
      </w:pPr>
    </w:p>
    <w:tbl>
      <w:tblPr>
        <w:tblStyle w:val="24"/>
        <w:tblW w:w="903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36"/>
        <w:gridCol w:w="696"/>
        <w:gridCol w:w="1112"/>
        <w:gridCol w:w="1528"/>
        <w:gridCol w:w="1000"/>
        <w:gridCol w:w="3763"/>
      </w:tblGrid>
      <w:tr w14:paraId="467C4B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trPr>
        <w:tc>
          <w:tcPr>
            <w:tcW w:w="5272" w:type="dxa"/>
            <w:gridSpan w:val="5"/>
            <w:vAlign w:val="top"/>
          </w:tcPr>
          <w:p w14:paraId="0DA3DE38">
            <w:pPr>
              <w:pStyle w:val="25"/>
              <w:spacing w:before="131" w:line="225" w:lineRule="auto"/>
              <w:ind w:left="1421"/>
              <w:rPr>
                <w:rFonts w:hint="eastAsia" w:ascii="宋体" w:hAnsi="宋体" w:eastAsia="宋体" w:cs="宋体"/>
                <w:color w:val="auto"/>
                <w:sz w:val="24"/>
                <w:szCs w:val="24"/>
                <w:highlight w:val="none"/>
              </w:rPr>
            </w:pPr>
            <w:r>
              <w:rPr>
                <w:rFonts w:hint="eastAsia" w:ascii="宋体" w:hAnsi="宋体" w:eastAsia="宋体" w:cs="宋体"/>
                <w:b/>
                <w:bCs/>
                <w:color w:val="auto"/>
                <w:spacing w:val="7"/>
                <w:sz w:val="24"/>
                <w:szCs w:val="24"/>
                <w:highlight w:val="none"/>
              </w:rPr>
              <w:t>评分因素与权重分值①</w:t>
            </w:r>
          </w:p>
        </w:tc>
        <w:tc>
          <w:tcPr>
            <w:tcW w:w="3763" w:type="dxa"/>
            <w:vMerge w:val="restart"/>
            <w:tcBorders>
              <w:bottom w:val="nil"/>
            </w:tcBorders>
            <w:vAlign w:val="top"/>
          </w:tcPr>
          <w:p w14:paraId="391B0D45">
            <w:pPr>
              <w:spacing w:line="437" w:lineRule="auto"/>
              <w:rPr>
                <w:rFonts w:hint="eastAsia" w:ascii="宋体" w:hAnsi="宋体" w:eastAsia="宋体" w:cs="宋体"/>
                <w:color w:val="auto"/>
                <w:sz w:val="24"/>
                <w:szCs w:val="24"/>
                <w:highlight w:val="none"/>
              </w:rPr>
            </w:pPr>
          </w:p>
          <w:p w14:paraId="3AC30FD4">
            <w:pPr>
              <w:pStyle w:val="25"/>
              <w:spacing w:before="65" w:line="228" w:lineRule="auto"/>
              <w:ind w:left="1632"/>
              <w:rPr>
                <w:rFonts w:hint="eastAsia" w:ascii="宋体" w:hAnsi="宋体" w:eastAsia="宋体" w:cs="宋体"/>
                <w:color w:val="auto"/>
                <w:sz w:val="24"/>
                <w:szCs w:val="24"/>
                <w:highlight w:val="none"/>
              </w:rPr>
            </w:pPr>
            <w:r>
              <w:rPr>
                <w:rFonts w:hint="eastAsia" w:ascii="宋体" w:hAnsi="宋体" w:eastAsia="宋体" w:cs="宋体"/>
                <w:b/>
                <w:bCs/>
                <w:color w:val="auto"/>
                <w:spacing w:val="6"/>
                <w:sz w:val="24"/>
                <w:szCs w:val="24"/>
                <w:highlight w:val="none"/>
              </w:rPr>
              <w:t>评分标准</w:t>
            </w:r>
          </w:p>
        </w:tc>
      </w:tr>
      <w:tr w14:paraId="28332A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5" w:hRule="atLeast"/>
        </w:trPr>
        <w:tc>
          <w:tcPr>
            <w:tcW w:w="936" w:type="dxa"/>
            <w:vAlign w:val="top"/>
          </w:tcPr>
          <w:p w14:paraId="61690095">
            <w:pPr>
              <w:pStyle w:val="25"/>
              <w:spacing w:before="263" w:line="228" w:lineRule="auto"/>
              <w:ind w:left="159"/>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条款号</w:t>
            </w:r>
          </w:p>
        </w:tc>
        <w:tc>
          <w:tcPr>
            <w:tcW w:w="696" w:type="dxa"/>
            <w:vAlign w:val="top"/>
          </w:tcPr>
          <w:p w14:paraId="184233D0">
            <w:pPr>
              <w:pStyle w:val="25"/>
              <w:spacing w:before="129" w:line="228" w:lineRule="auto"/>
              <w:ind w:left="139"/>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评分</w:t>
            </w:r>
          </w:p>
          <w:p w14:paraId="49BF89B7">
            <w:pPr>
              <w:pStyle w:val="25"/>
              <w:spacing w:before="23" w:line="228" w:lineRule="auto"/>
              <w:ind w:left="156"/>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因素</w:t>
            </w:r>
          </w:p>
        </w:tc>
        <w:tc>
          <w:tcPr>
            <w:tcW w:w="1112" w:type="dxa"/>
            <w:vAlign w:val="top"/>
          </w:tcPr>
          <w:p w14:paraId="179D2BCB">
            <w:pPr>
              <w:pStyle w:val="25"/>
              <w:spacing w:before="129" w:line="228" w:lineRule="auto"/>
              <w:ind w:left="137"/>
              <w:rPr>
                <w:rFonts w:hint="eastAsia" w:ascii="宋体" w:hAnsi="宋体" w:eastAsia="宋体" w:cs="宋体"/>
                <w:color w:val="auto"/>
                <w:sz w:val="24"/>
                <w:szCs w:val="24"/>
                <w:highlight w:val="none"/>
              </w:rPr>
            </w:pPr>
            <w:r>
              <w:rPr>
                <w:rFonts w:hint="eastAsia" w:ascii="宋体" w:hAnsi="宋体" w:eastAsia="宋体" w:cs="宋体"/>
                <w:b/>
                <w:bCs/>
                <w:color w:val="auto"/>
                <w:spacing w:val="6"/>
                <w:sz w:val="24"/>
                <w:szCs w:val="24"/>
                <w:highlight w:val="none"/>
              </w:rPr>
              <w:t>评分因素</w:t>
            </w:r>
          </w:p>
          <w:p w14:paraId="0CC270A8">
            <w:pPr>
              <w:pStyle w:val="25"/>
              <w:spacing w:before="24" w:line="228" w:lineRule="auto"/>
              <w:ind w:left="137"/>
              <w:rPr>
                <w:rFonts w:hint="eastAsia" w:ascii="宋体" w:hAnsi="宋体" w:eastAsia="宋体" w:cs="宋体"/>
                <w:color w:val="auto"/>
                <w:sz w:val="24"/>
                <w:szCs w:val="24"/>
                <w:highlight w:val="none"/>
              </w:rPr>
            </w:pPr>
            <w:r>
              <w:rPr>
                <w:rFonts w:hint="eastAsia" w:ascii="宋体" w:hAnsi="宋体" w:eastAsia="宋体" w:cs="宋体"/>
                <w:b/>
                <w:bCs/>
                <w:color w:val="auto"/>
                <w:spacing w:val="6"/>
                <w:sz w:val="24"/>
                <w:szCs w:val="24"/>
                <w:highlight w:val="none"/>
              </w:rPr>
              <w:t>权重分值</w:t>
            </w:r>
          </w:p>
        </w:tc>
        <w:tc>
          <w:tcPr>
            <w:tcW w:w="1528" w:type="dxa"/>
            <w:vAlign w:val="top"/>
          </w:tcPr>
          <w:p w14:paraId="267ED462">
            <w:pPr>
              <w:pStyle w:val="25"/>
              <w:spacing w:before="129" w:line="228" w:lineRule="auto"/>
              <w:ind w:left="163"/>
              <w:rPr>
                <w:rFonts w:hint="eastAsia" w:ascii="宋体" w:hAnsi="宋体" w:eastAsia="宋体" w:cs="宋体"/>
                <w:color w:val="auto"/>
                <w:sz w:val="24"/>
                <w:szCs w:val="24"/>
                <w:highlight w:val="none"/>
              </w:rPr>
            </w:pPr>
            <w:r>
              <w:rPr>
                <w:rFonts w:hint="eastAsia" w:ascii="宋体" w:hAnsi="宋体" w:eastAsia="宋体" w:cs="宋体"/>
                <w:b/>
                <w:bCs/>
                <w:color w:val="auto"/>
                <w:spacing w:val="6"/>
                <w:sz w:val="24"/>
                <w:szCs w:val="24"/>
                <w:highlight w:val="none"/>
              </w:rPr>
              <w:t>各评分因素</w:t>
            </w:r>
          </w:p>
          <w:p w14:paraId="05189321">
            <w:pPr>
              <w:pStyle w:val="25"/>
              <w:spacing w:before="24" w:line="228" w:lineRule="auto"/>
              <w:ind w:left="373"/>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细分项</w:t>
            </w:r>
          </w:p>
        </w:tc>
        <w:tc>
          <w:tcPr>
            <w:tcW w:w="1000" w:type="dxa"/>
            <w:vAlign w:val="top"/>
          </w:tcPr>
          <w:p w14:paraId="52A0616F">
            <w:pPr>
              <w:pStyle w:val="25"/>
              <w:spacing w:before="263" w:line="228" w:lineRule="auto"/>
              <w:ind w:left="211"/>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分值</w:t>
            </w:r>
          </w:p>
        </w:tc>
        <w:tc>
          <w:tcPr>
            <w:tcW w:w="3763" w:type="dxa"/>
            <w:vMerge w:val="continue"/>
            <w:tcBorders>
              <w:top w:val="nil"/>
            </w:tcBorders>
            <w:vAlign w:val="top"/>
          </w:tcPr>
          <w:p w14:paraId="4A56728A">
            <w:pPr>
              <w:rPr>
                <w:rFonts w:hint="eastAsia" w:ascii="宋体" w:hAnsi="宋体" w:eastAsia="宋体" w:cs="宋体"/>
                <w:color w:val="auto"/>
                <w:sz w:val="24"/>
                <w:szCs w:val="24"/>
                <w:highlight w:val="none"/>
              </w:rPr>
            </w:pPr>
          </w:p>
        </w:tc>
      </w:tr>
      <w:tr w14:paraId="4389A9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7" w:hRule="atLeast"/>
        </w:trPr>
        <w:tc>
          <w:tcPr>
            <w:tcW w:w="936" w:type="dxa"/>
            <w:vMerge w:val="restart"/>
            <w:tcBorders>
              <w:bottom w:val="nil"/>
            </w:tcBorders>
            <w:vAlign w:val="top"/>
          </w:tcPr>
          <w:p w14:paraId="74BDD89E">
            <w:pPr>
              <w:rPr>
                <w:rFonts w:hint="eastAsia" w:ascii="宋体" w:hAnsi="宋体" w:eastAsia="宋体" w:cs="宋体"/>
                <w:color w:val="auto"/>
                <w:sz w:val="24"/>
                <w:szCs w:val="24"/>
                <w:highlight w:val="none"/>
              </w:rPr>
            </w:pPr>
          </w:p>
          <w:p w14:paraId="5B3CE850">
            <w:pPr>
              <w:rPr>
                <w:rFonts w:hint="eastAsia" w:ascii="宋体" w:hAnsi="宋体" w:eastAsia="宋体" w:cs="宋体"/>
                <w:color w:val="auto"/>
                <w:sz w:val="24"/>
                <w:szCs w:val="24"/>
                <w:highlight w:val="none"/>
              </w:rPr>
            </w:pPr>
          </w:p>
          <w:p w14:paraId="0518D13C">
            <w:pPr>
              <w:rPr>
                <w:rFonts w:hint="eastAsia" w:ascii="宋体" w:hAnsi="宋体" w:eastAsia="宋体" w:cs="宋体"/>
                <w:color w:val="auto"/>
                <w:sz w:val="24"/>
                <w:szCs w:val="24"/>
                <w:highlight w:val="none"/>
              </w:rPr>
            </w:pPr>
          </w:p>
          <w:p w14:paraId="63FA31FF">
            <w:pPr>
              <w:rPr>
                <w:rFonts w:hint="eastAsia" w:ascii="宋体" w:hAnsi="宋体" w:eastAsia="宋体" w:cs="宋体"/>
                <w:color w:val="auto"/>
                <w:sz w:val="24"/>
                <w:szCs w:val="24"/>
                <w:highlight w:val="none"/>
              </w:rPr>
            </w:pPr>
          </w:p>
          <w:p w14:paraId="6F1A1ED5">
            <w:pPr>
              <w:rPr>
                <w:rFonts w:hint="eastAsia" w:ascii="宋体" w:hAnsi="宋体" w:eastAsia="宋体" w:cs="宋体"/>
                <w:color w:val="auto"/>
                <w:sz w:val="24"/>
                <w:szCs w:val="24"/>
                <w:highlight w:val="none"/>
              </w:rPr>
            </w:pPr>
          </w:p>
          <w:p w14:paraId="2B5A7005">
            <w:pPr>
              <w:rPr>
                <w:rFonts w:hint="eastAsia" w:ascii="宋体" w:hAnsi="宋体" w:eastAsia="宋体" w:cs="宋体"/>
                <w:color w:val="auto"/>
                <w:sz w:val="24"/>
                <w:szCs w:val="24"/>
                <w:highlight w:val="none"/>
              </w:rPr>
            </w:pPr>
          </w:p>
          <w:p w14:paraId="77C173EE">
            <w:pPr>
              <w:rPr>
                <w:rFonts w:hint="eastAsia" w:ascii="宋体" w:hAnsi="宋体" w:eastAsia="宋体" w:cs="宋体"/>
                <w:color w:val="auto"/>
                <w:sz w:val="24"/>
                <w:szCs w:val="24"/>
                <w:highlight w:val="none"/>
              </w:rPr>
            </w:pPr>
          </w:p>
          <w:p w14:paraId="6D64CC0D">
            <w:pPr>
              <w:rPr>
                <w:rFonts w:hint="eastAsia" w:ascii="宋体" w:hAnsi="宋体" w:eastAsia="宋体" w:cs="宋体"/>
                <w:color w:val="auto"/>
                <w:sz w:val="24"/>
                <w:szCs w:val="24"/>
                <w:highlight w:val="none"/>
              </w:rPr>
            </w:pPr>
          </w:p>
          <w:p w14:paraId="5BC01F74">
            <w:pPr>
              <w:rPr>
                <w:rFonts w:hint="eastAsia" w:ascii="宋体" w:hAnsi="宋体" w:eastAsia="宋体" w:cs="宋体"/>
                <w:color w:val="auto"/>
                <w:sz w:val="24"/>
                <w:szCs w:val="24"/>
                <w:highlight w:val="none"/>
              </w:rPr>
            </w:pPr>
          </w:p>
          <w:p w14:paraId="77F6761E">
            <w:pPr>
              <w:rPr>
                <w:rFonts w:hint="eastAsia" w:ascii="宋体" w:hAnsi="宋体" w:eastAsia="宋体" w:cs="宋体"/>
                <w:color w:val="auto"/>
                <w:sz w:val="24"/>
                <w:szCs w:val="24"/>
                <w:highlight w:val="none"/>
              </w:rPr>
            </w:pPr>
          </w:p>
          <w:p w14:paraId="3A73A386">
            <w:pPr>
              <w:rPr>
                <w:rFonts w:hint="eastAsia" w:ascii="宋体" w:hAnsi="宋体" w:eastAsia="宋体" w:cs="宋体"/>
                <w:color w:val="auto"/>
                <w:sz w:val="24"/>
                <w:szCs w:val="24"/>
                <w:highlight w:val="none"/>
              </w:rPr>
            </w:pPr>
          </w:p>
          <w:p w14:paraId="3CF93099">
            <w:pPr>
              <w:rPr>
                <w:rFonts w:hint="eastAsia" w:ascii="宋体" w:hAnsi="宋体" w:eastAsia="宋体" w:cs="宋体"/>
                <w:color w:val="auto"/>
                <w:sz w:val="24"/>
                <w:szCs w:val="24"/>
                <w:highlight w:val="none"/>
              </w:rPr>
            </w:pPr>
          </w:p>
          <w:p w14:paraId="2C9BABEA">
            <w:pPr>
              <w:rPr>
                <w:rFonts w:hint="eastAsia" w:ascii="宋体" w:hAnsi="宋体" w:eastAsia="宋体" w:cs="宋体"/>
                <w:color w:val="auto"/>
                <w:sz w:val="24"/>
                <w:szCs w:val="24"/>
                <w:highlight w:val="none"/>
              </w:rPr>
            </w:pPr>
          </w:p>
          <w:p w14:paraId="5C401CE3">
            <w:pPr>
              <w:rPr>
                <w:rFonts w:hint="eastAsia" w:ascii="宋体" w:hAnsi="宋体" w:eastAsia="宋体" w:cs="宋体"/>
                <w:color w:val="auto"/>
                <w:sz w:val="24"/>
                <w:szCs w:val="24"/>
                <w:highlight w:val="none"/>
              </w:rPr>
            </w:pPr>
          </w:p>
          <w:p w14:paraId="42FC2E1E">
            <w:pPr>
              <w:rPr>
                <w:rFonts w:hint="eastAsia" w:ascii="宋体" w:hAnsi="宋体" w:eastAsia="宋体" w:cs="宋体"/>
                <w:color w:val="auto"/>
                <w:sz w:val="24"/>
                <w:szCs w:val="24"/>
                <w:highlight w:val="none"/>
              </w:rPr>
            </w:pPr>
          </w:p>
          <w:p w14:paraId="49645E83">
            <w:pPr>
              <w:rPr>
                <w:rFonts w:hint="eastAsia" w:ascii="宋体" w:hAnsi="宋体" w:eastAsia="宋体" w:cs="宋体"/>
                <w:color w:val="auto"/>
                <w:sz w:val="24"/>
                <w:szCs w:val="24"/>
                <w:highlight w:val="none"/>
              </w:rPr>
            </w:pPr>
          </w:p>
          <w:p w14:paraId="29DDECA2">
            <w:pPr>
              <w:rPr>
                <w:rFonts w:hint="eastAsia" w:ascii="宋体" w:hAnsi="宋体" w:eastAsia="宋体" w:cs="宋体"/>
                <w:color w:val="auto"/>
                <w:sz w:val="24"/>
                <w:szCs w:val="24"/>
                <w:highlight w:val="none"/>
              </w:rPr>
            </w:pPr>
          </w:p>
          <w:p w14:paraId="12992E5C">
            <w:pPr>
              <w:rPr>
                <w:rFonts w:hint="eastAsia" w:ascii="宋体" w:hAnsi="宋体" w:eastAsia="宋体" w:cs="宋体"/>
                <w:color w:val="auto"/>
                <w:sz w:val="24"/>
                <w:szCs w:val="24"/>
                <w:highlight w:val="none"/>
              </w:rPr>
            </w:pPr>
          </w:p>
          <w:p w14:paraId="05EFD84D">
            <w:pPr>
              <w:rPr>
                <w:rFonts w:hint="eastAsia" w:ascii="宋体" w:hAnsi="宋体" w:eastAsia="宋体" w:cs="宋体"/>
                <w:color w:val="auto"/>
                <w:sz w:val="24"/>
                <w:szCs w:val="24"/>
                <w:highlight w:val="none"/>
              </w:rPr>
            </w:pPr>
          </w:p>
          <w:p w14:paraId="52351E43">
            <w:pPr>
              <w:spacing w:line="241" w:lineRule="auto"/>
              <w:rPr>
                <w:rFonts w:hint="eastAsia" w:ascii="宋体" w:hAnsi="宋体" w:eastAsia="宋体" w:cs="宋体"/>
                <w:color w:val="auto"/>
                <w:sz w:val="24"/>
                <w:szCs w:val="24"/>
                <w:highlight w:val="none"/>
              </w:rPr>
            </w:pPr>
          </w:p>
          <w:p w14:paraId="3B287F50">
            <w:pPr>
              <w:pStyle w:val="25"/>
              <w:spacing w:before="65" w:line="231" w:lineRule="auto"/>
              <w:ind w:left="15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2.2.2(</w:t>
            </w:r>
          </w:p>
          <w:p w14:paraId="1CBF7693">
            <w:pPr>
              <w:pStyle w:val="25"/>
              <w:spacing w:before="20" w:line="231" w:lineRule="auto"/>
              <w:ind w:left="384"/>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1)</w:t>
            </w:r>
          </w:p>
        </w:tc>
        <w:tc>
          <w:tcPr>
            <w:tcW w:w="696" w:type="dxa"/>
            <w:vMerge w:val="restart"/>
            <w:tcBorders>
              <w:bottom w:val="nil"/>
            </w:tcBorders>
            <w:vAlign w:val="top"/>
          </w:tcPr>
          <w:p w14:paraId="2C9C398B">
            <w:pPr>
              <w:spacing w:line="245" w:lineRule="auto"/>
              <w:rPr>
                <w:rFonts w:hint="eastAsia" w:ascii="宋体" w:hAnsi="宋体" w:eastAsia="宋体" w:cs="宋体"/>
                <w:color w:val="auto"/>
                <w:sz w:val="24"/>
                <w:szCs w:val="24"/>
                <w:highlight w:val="none"/>
              </w:rPr>
            </w:pPr>
          </w:p>
          <w:p w14:paraId="71D82E44">
            <w:pPr>
              <w:spacing w:line="245" w:lineRule="auto"/>
              <w:rPr>
                <w:rFonts w:hint="eastAsia" w:ascii="宋体" w:hAnsi="宋体" w:eastAsia="宋体" w:cs="宋体"/>
                <w:color w:val="auto"/>
                <w:sz w:val="24"/>
                <w:szCs w:val="24"/>
                <w:highlight w:val="none"/>
              </w:rPr>
            </w:pPr>
          </w:p>
          <w:p w14:paraId="3CEC8074">
            <w:pPr>
              <w:spacing w:line="245" w:lineRule="auto"/>
              <w:rPr>
                <w:rFonts w:hint="eastAsia" w:ascii="宋体" w:hAnsi="宋体" w:eastAsia="宋体" w:cs="宋体"/>
                <w:color w:val="auto"/>
                <w:sz w:val="24"/>
                <w:szCs w:val="24"/>
                <w:highlight w:val="none"/>
              </w:rPr>
            </w:pPr>
          </w:p>
          <w:p w14:paraId="0ED11F78">
            <w:pPr>
              <w:spacing w:line="245" w:lineRule="auto"/>
              <w:rPr>
                <w:rFonts w:hint="eastAsia" w:ascii="宋体" w:hAnsi="宋体" w:eastAsia="宋体" w:cs="宋体"/>
                <w:color w:val="auto"/>
                <w:sz w:val="24"/>
                <w:szCs w:val="24"/>
                <w:highlight w:val="none"/>
              </w:rPr>
            </w:pPr>
          </w:p>
          <w:p w14:paraId="5720323A">
            <w:pPr>
              <w:spacing w:line="245" w:lineRule="auto"/>
              <w:rPr>
                <w:rFonts w:hint="eastAsia" w:ascii="宋体" w:hAnsi="宋体" w:eastAsia="宋体" w:cs="宋体"/>
                <w:color w:val="auto"/>
                <w:sz w:val="24"/>
                <w:szCs w:val="24"/>
                <w:highlight w:val="none"/>
              </w:rPr>
            </w:pPr>
          </w:p>
          <w:p w14:paraId="3975D6F6">
            <w:pPr>
              <w:spacing w:line="245" w:lineRule="auto"/>
              <w:rPr>
                <w:rFonts w:hint="eastAsia" w:ascii="宋体" w:hAnsi="宋体" w:eastAsia="宋体" w:cs="宋体"/>
                <w:color w:val="auto"/>
                <w:sz w:val="24"/>
                <w:szCs w:val="24"/>
                <w:highlight w:val="none"/>
              </w:rPr>
            </w:pPr>
          </w:p>
          <w:p w14:paraId="7830FC1E">
            <w:pPr>
              <w:spacing w:line="245" w:lineRule="auto"/>
              <w:rPr>
                <w:rFonts w:hint="eastAsia" w:ascii="宋体" w:hAnsi="宋体" w:eastAsia="宋体" w:cs="宋体"/>
                <w:color w:val="auto"/>
                <w:sz w:val="24"/>
                <w:szCs w:val="24"/>
                <w:highlight w:val="none"/>
              </w:rPr>
            </w:pPr>
          </w:p>
          <w:p w14:paraId="5C7952EE">
            <w:pPr>
              <w:spacing w:line="245" w:lineRule="auto"/>
              <w:rPr>
                <w:rFonts w:hint="eastAsia" w:ascii="宋体" w:hAnsi="宋体" w:eastAsia="宋体" w:cs="宋体"/>
                <w:color w:val="auto"/>
                <w:sz w:val="24"/>
                <w:szCs w:val="24"/>
                <w:highlight w:val="none"/>
              </w:rPr>
            </w:pPr>
          </w:p>
          <w:p w14:paraId="3D502B08">
            <w:pPr>
              <w:spacing w:line="245" w:lineRule="auto"/>
              <w:rPr>
                <w:rFonts w:hint="eastAsia" w:ascii="宋体" w:hAnsi="宋体" w:eastAsia="宋体" w:cs="宋体"/>
                <w:color w:val="auto"/>
                <w:sz w:val="24"/>
                <w:szCs w:val="24"/>
                <w:highlight w:val="none"/>
              </w:rPr>
            </w:pPr>
          </w:p>
          <w:p w14:paraId="22849330">
            <w:pPr>
              <w:spacing w:line="246" w:lineRule="auto"/>
              <w:rPr>
                <w:rFonts w:hint="eastAsia" w:ascii="宋体" w:hAnsi="宋体" w:eastAsia="宋体" w:cs="宋体"/>
                <w:color w:val="auto"/>
                <w:sz w:val="24"/>
                <w:szCs w:val="24"/>
                <w:highlight w:val="none"/>
              </w:rPr>
            </w:pPr>
          </w:p>
          <w:p w14:paraId="4A8A118B">
            <w:pPr>
              <w:spacing w:line="246" w:lineRule="auto"/>
              <w:rPr>
                <w:rFonts w:hint="eastAsia" w:ascii="宋体" w:hAnsi="宋体" w:eastAsia="宋体" w:cs="宋体"/>
                <w:color w:val="auto"/>
                <w:sz w:val="24"/>
                <w:szCs w:val="24"/>
                <w:highlight w:val="none"/>
              </w:rPr>
            </w:pPr>
          </w:p>
          <w:p w14:paraId="359DCF48">
            <w:pPr>
              <w:spacing w:line="246" w:lineRule="auto"/>
              <w:rPr>
                <w:rFonts w:hint="eastAsia" w:ascii="宋体" w:hAnsi="宋体" w:eastAsia="宋体" w:cs="宋体"/>
                <w:color w:val="auto"/>
                <w:sz w:val="24"/>
                <w:szCs w:val="24"/>
                <w:highlight w:val="none"/>
              </w:rPr>
            </w:pPr>
          </w:p>
          <w:p w14:paraId="390AA143">
            <w:pPr>
              <w:spacing w:line="246" w:lineRule="auto"/>
              <w:rPr>
                <w:rFonts w:hint="eastAsia" w:ascii="宋体" w:hAnsi="宋体" w:eastAsia="宋体" w:cs="宋体"/>
                <w:color w:val="auto"/>
                <w:sz w:val="24"/>
                <w:szCs w:val="24"/>
                <w:highlight w:val="none"/>
              </w:rPr>
            </w:pPr>
          </w:p>
          <w:p w14:paraId="333567BC">
            <w:pPr>
              <w:spacing w:line="246" w:lineRule="auto"/>
              <w:rPr>
                <w:rFonts w:hint="eastAsia" w:ascii="宋体" w:hAnsi="宋体" w:eastAsia="宋体" w:cs="宋体"/>
                <w:color w:val="auto"/>
                <w:sz w:val="24"/>
                <w:szCs w:val="24"/>
                <w:highlight w:val="none"/>
              </w:rPr>
            </w:pPr>
          </w:p>
          <w:p w14:paraId="2AC2F9F0">
            <w:pPr>
              <w:spacing w:line="246" w:lineRule="auto"/>
              <w:rPr>
                <w:rFonts w:hint="eastAsia" w:ascii="宋体" w:hAnsi="宋体" w:eastAsia="宋体" w:cs="宋体"/>
                <w:color w:val="auto"/>
                <w:sz w:val="24"/>
                <w:szCs w:val="24"/>
                <w:highlight w:val="none"/>
              </w:rPr>
            </w:pPr>
          </w:p>
          <w:p w14:paraId="587AE237">
            <w:pPr>
              <w:spacing w:line="246" w:lineRule="auto"/>
              <w:rPr>
                <w:rFonts w:hint="eastAsia" w:ascii="宋体" w:hAnsi="宋体" w:eastAsia="宋体" w:cs="宋体"/>
                <w:color w:val="auto"/>
                <w:sz w:val="24"/>
                <w:szCs w:val="24"/>
                <w:highlight w:val="none"/>
              </w:rPr>
            </w:pPr>
          </w:p>
          <w:p w14:paraId="4F341A3E">
            <w:pPr>
              <w:spacing w:line="246" w:lineRule="auto"/>
              <w:rPr>
                <w:rFonts w:hint="eastAsia" w:ascii="宋体" w:hAnsi="宋体" w:eastAsia="宋体" w:cs="宋体"/>
                <w:color w:val="auto"/>
                <w:sz w:val="24"/>
                <w:szCs w:val="24"/>
                <w:highlight w:val="none"/>
              </w:rPr>
            </w:pPr>
          </w:p>
          <w:p w14:paraId="6B22F602">
            <w:pPr>
              <w:spacing w:line="246" w:lineRule="auto"/>
              <w:rPr>
                <w:rFonts w:hint="eastAsia" w:ascii="宋体" w:hAnsi="宋体" w:eastAsia="宋体" w:cs="宋体"/>
                <w:color w:val="auto"/>
                <w:sz w:val="24"/>
                <w:szCs w:val="24"/>
                <w:highlight w:val="none"/>
              </w:rPr>
            </w:pPr>
          </w:p>
          <w:p w14:paraId="1BB41FBF">
            <w:pPr>
              <w:spacing w:line="246" w:lineRule="auto"/>
              <w:rPr>
                <w:rFonts w:hint="eastAsia" w:ascii="宋体" w:hAnsi="宋体" w:eastAsia="宋体" w:cs="宋体"/>
                <w:color w:val="auto"/>
                <w:sz w:val="24"/>
                <w:szCs w:val="24"/>
                <w:highlight w:val="none"/>
              </w:rPr>
            </w:pPr>
          </w:p>
          <w:p w14:paraId="7881E2A4">
            <w:pPr>
              <w:pStyle w:val="25"/>
              <w:spacing w:before="65" w:line="231" w:lineRule="auto"/>
              <w:ind w:left="139"/>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施工</w:t>
            </w:r>
          </w:p>
          <w:p w14:paraId="54DE6882">
            <w:pPr>
              <w:pStyle w:val="25"/>
              <w:spacing w:before="23" w:line="232" w:lineRule="auto"/>
              <w:ind w:left="143"/>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组织</w:t>
            </w:r>
          </w:p>
          <w:p w14:paraId="11FC87F5">
            <w:pPr>
              <w:pStyle w:val="25"/>
              <w:spacing w:before="19" w:line="229" w:lineRule="auto"/>
              <w:ind w:left="143"/>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设计</w:t>
            </w:r>
          </w:p>
        </w:tc>
        <w:tc>
          <w:tcPr>
            <w:tcW w:w="1112" w:type="dxa"/>
            <w:vMerge w:val="restart"/>
            <w:tcBorders>
              <w:bottom w:val="nil"/>
            </w:tcBorders>
            <w:vAlign w:val="top"/>
          </w:tcPr>
          <w:p w14:paraId="5DF59AD2">
            <w:pPr>
              <w:spacing w:line="246" w:lineRule="auto"/>
              <w:rPr>
                <w:rFonts w:hint="eastAsia" w:ascii="宋体" w:hAnsi="宋体" w:eastAsia="宋体" w:cs="宋体"/>
                <w:color w:val="auto"/>
                <w:sz w:val="24"/>
                <w:szCs w:val="24"/>
                <w:highlight w:val="none"/>
              </w:rPr>
            </w:pPr>
          </w:p>
          <w:p w14:paraId="1FD4E303">
            <w:pPr>
              <w:spacing w:line="246" w:lineRule="auto"/>
              <w:rPr>
                <w:rFonts w:hint="eastAsia" w:ascii="宋体" w:hAnsi="宋体" w:eastAsia="宋体" w:cs="宋体"/>
                <w:color w:val="auto"/>
                <w:sz w:val="24"/>
                <w:szCs w:val="24"/>
                <w:highlight w:val="none"/>
              </w:rPr>
            </w:pPr>
          </w:p>
          <w:p w14:paraId="136E7CC0">
            <w:pPr>
              <w:spacing w:line="247" w:lineRule="auto"/>
              <w:rPr>
                <w:rFonts w:hint="eastAsia" w:ascii="宋体" w:hAnsi="宋体" w:eastAsia="宋体" w:cs="宋体"/>
                <w:color w:val="auto"/>
                <w:sz w:val="24"/>
                <w:szCs w:val="24"/>
                <w:highlight w:val="none"/>
              </w:rPr>
            </w:pPr>
          </w:p>
          <w:p w14:paraId="584922E0">
            <w:pPr>
              <w:spacing w:line="247" w:lineRule="auto"/>
              <w:rPr>
                <w:rFonts w:hint="eastAsia" w:ascii="宋体" w:hAnsi="宋体" w:eastAsia="宋体" w:cs="宋体"/>
                <w:color w:val="auto"/>
                <w:sz w:val="24"/>
                <w:szCs w:val="24"/>
                <w:highlight w:val="none"/>
              </w:rPr>
            </w:pPr>
          </w:p>
          <w:p w14:paraId="5FBC75A4">
            <w:pPr>
              <w:spacing w:line="247" w:lineRule="auto"/>
              <w:rPr>
                <w:rFonts w:hint="eastAsia" w:ascii="宋体" w:hAnsi="宋体" w:eastAsia="宋体" w:cs="宋体"/>
                <w:color w:val="auto"/>
                <w:sz w:val="24"/>
                <w:szCs w:val="24"/>
                <w:highlight w:val="none"/>
              </w:rPr>
            </w:pPr>
          </w:p>
          <w:p w14:paraId="1E2D7CE3">
            <w:pPr>
              <w:spacing w:line="247" w:lineRule="auto"/>
              <w:rPr>
                <w:rFonts w:hint="eastAsia" w:ascii="宋体" w:hAnsi="宋体" w:eastAsia="宋体" w:cs="宋体"/>
                <w:color w:val="auto"/>
                <w:sz w:val="24"/>
                <w:szCs w:val="24"/>
                <w:highlight w:val="none"/>
              </w:rPr>
            </w:pPr>
          </w:p>
          <w:p w14:paraId="1BD7F1B2">
            <w:pPr>
              <w:spacing w:line="247" w:lineRule="auto"/>
              <w:rPr>
                <w:rFonts w:hint="eastAsia" w:ascii="宋体" w:hAnsi="宋体" w:eastAsia="宋体" w:cs="宋体"/>
                <w:color w:val="auto"/>
                <w:sz w:val="24"/>
                <w:szCs w:val="24"/>
                <w:highlight w:val="none"/>
              </w:rPr>
            </w:pPr>
          </w:p>
          <w:p w14:paraId="56A2E7E6">
            <w:pPr>
              <w:spacing w:line="247" w:lineRule="auto"/>
              <w:rPr>
                <w:rFonts w:hint="eastAsia" w:ascii="宋体" w:hAnsi="宋体" w:eastAsia="宋体" w:cs="宋体"/>
                <w:color w:val="auto"/>
                <w:sz w:val="24"/>
                <w:szCs w:val="24"/>
                <w:highlight w:val="none"/>
              </w:rPr>
            </w:pPr>
          </w:p>
          <w:p w14:paraId="4D4CDCC6">
            <w:pPr>
              <w:spacing w:line="247" w:lineRule="auto"/>
              <w:rPr>
                <w:rFonts w:hint="eastAsia" w:ascii="宋体" w:hAnsi="宋体" w:eastAsia="宋体" w:cs="宋体"/>
                <w:color w:val="auto"/>
                <w:sz w:val="24"/>
                <w:szCs w:val="24"/>
                <w:highlight w:val="none"/>
              </w:rPr>
            </w:pPr>
          </w:p>
          <w:p w14:paraId="1163532B">
            <w:pPr>
              <w:spacing w:line="247" w:lineRule="auto"/>
              <w:rPr>
                <w:rFonts w:hint="eastAsia" w:ascii="宋体" w:hAnsi="宋体" w:eastAsia="宋体" w:cs="宋体"/>
                <w:color w:val="auto"/>
                <w:sz w:val="24"/>
                <w:szCs w:val="24"/>
                <w:highlight w:val="none"/>
              </w:rPr>
            </w:pPr>
          </w:p>
          <w:p w14:paraId="765EA2EB">
            <w:pPr>
              <w:spacing w:line="247" w:lineRule="auto"/>
              <w:rPr>
                <w:rFonts w:hint="eastAsia" w:ascii="宋体" w:hAnsi="宋体" w:eastAsia="宋体" w:cs="宋体"/>
                <w:color w:val="auto"/>
                <w:sz w:val="24"/>
                <w:szCs w:val="24"/>
                <w:highlight w:val="none"/>
              </w:rPr>
            </w:pPr>
          </w:p>
          <w:p w14:paraId="49C173D9">
            <w:pPr>
              <w:spacing w:line="247" w:lineRule="auto"/>
              <w:rPr>
                <w:rFonts w:hint="eastAsia" w:ascii="宋体" w:hAnsi="宋体" w:eastAsia="宋体" w:cs="宋体"/>
                <w:color w:val="auto"/>
                <w:sz w:val="24"/>
                <w:szCs w:val="24"/>
                <w:highlight w:val="none"/>
              </w:rPr>
            </w:pPr>
          </w:p>
          <w:p w14:paraId="0900BABD">
            <w:pPr>
              <w:spacing w:line="247" w:lineRule="auto"/>
              <w:rPr>
                <w:rFonts w:hint="eastAsia" w:ascii="宋体" w:hAnsi="宋体" w:eastAsia="宋体" w:cs="宋体"/>
                <w:color w:val="auto"/>
                <w:sz w:val="24"/>
                <w:szCs w:val="24"/>
                <w:highlight w:val="none"/>
              </w:rPr>
            </w:pPr>
          </w:p>
          <w:p w14:paraId="1578CB3D">
            <w:pPr>
              <w:spacing w:line="247" w:lineRule="auto"/>
              <w:rPr>
                <w:rFonts w:hint="eastAsia" w:ascii="宋体" w:hAnsi="宋体" w:eastAsia="宋体" w:cs="宋体"/>
                <w:color w:val="auto"/>
                <w:sz w:val="24"/>
                <w:szCs w:val="24"/>
                <w:highlight w:val="none"/>
              </w:rPr>
            </w:pPr>
          </w:p>
          <w:p w14:paraId="53AF5C1B">
            <w:pPr>
              <w:spacing w:line="247" w:lineRule="auto"/>
              <w:rPr>
                <w:rFonts w:hint="eastAsia" w:ascii="宋体" w:hAnsi="宋体" w:eastAsia="宋体" w:cs="宋体"/>
                <w:color w:val="auto"/>
                <w:sz w:val="24"/>
                <w:szCs w:val="24"/>
                <w:highlight w:val="none"/>
              </w:rPr>
            </w:pPr>
          </w:p>
          <w:p w14:paraId="036CACFF">
            <w:pPr>
              <w:spacing w:line="247" w:lineRule="auto"/>
              <w:rPr>
                <w:rFonts w:hint="eastAsia" w:ascii="宋体" w:hAnsi="宋体" w:eastAsia="宋体" w:cs="宋体"/>
                <w:color w:val="auto"/>
                <w:sz w:val="24"/>
                <w:szCs w:val="24"/>
                <w:highlight w:val="none"/>
              </w:rPr>
            </w:pPr>
          </w:p>
          <w:p w14:paraId="6B02BFE0">
            <w:pPr>
              <w:spacing w:line="247" w:lineRule="auto"/>
              <w:rPr>
                <w:rFonts w:hint="eastAsia" w:ascii="宋体" w:hAnsi="宋体" w:eastAsia="宋体" w:cs="宋体"/>
                <w:color w:val="auto"/>
                <w:sz w:val="24"/>
                <w:szCs w:val="24"/>
                <w:highlight w:val="none"/>
              </w:rPr>
            </w:pPr>
          </w:p>
          <w:p w14:paraId="589393E1">
            <w:pPr>
              <w:spacing w:line="247" w:lineRule="auto"/>
              <w:rPr>
                <w:rFonts w:hint="eastAsia" w:ascii="宋体" w:hAnsi="宋体" w:eastAsia="宋体" w:cs="宋体"/>
                <w:color w:val="auto"/>
                <w:sz w:val="24"/>
                <w:szCs w:val="24"/>
                <w:highlight w:val="none"/>
              </w:rPr>
            </w:pPr>
          </w:p>
          <w:p w14:paraId="7EBA4B6E">
            <w:pPr>
              <w:spacing w:line="247" w:lineRule="auto"/>
              <w:rPr>
                <w:rFonts w:hint="eastAsia" w:ascii="宋体" w:hAnsi="宋体" w:eastAsia="宋体" w:cs="宋体"/>
                <w:color w:val="auto"/>
                <w:sz w:val="24"/>
                <w:szCs w:val="24"/>
                <w:highlight w:val="none"/>
              </w:rPr>
            </w:pPr>
          </w:p>
          <w:p w14:paraId="74996BFD">
            <w:pPr>
              <w:spacing w:line="247" w:lineRule="auto"/>
              <w:rPr>
                <w:rFonts w:hint="eastAsia" w:ascii="宋体" w:hAnsi="宋体" w:eastAsia="宋体" w:cs="宋体"/>
                <w:color w:val="auto"/>
                <w:sz w:val="24"/>
                <w:szCs w:val="24"/>
                <w:highlight w:val="none"/>
              </w:rPr>
            </w:pPr>
          </w:p>
          <w:p w14:paraId="53BE246D">
            <w:pPr>
              <w:pStyle w:val="25"/>
              <w:spacing w:before="65" w:line="228" w:lineRule="auto"/>
              <w:ind w:left="16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40.00分</w:t>
            </w:r>
          </w:p>
        </w:tc>
        <w:tc>
          <w:tcPr>
            <w:tcW w:w="1528" w:type="dxa"/>
            <w:vAlign w:val="top"/>
          </w:tcPr>
          <w:p w14:paraId="48C780D9">
            <w:pPr>
              <w:pStyle w:val="25"/>
              <w:spacing w:before="128" w:line="229" w:lineRule="auto"/>
              <w:ind w:left="169"/>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总体施工组织布置及规</w:t>
            </w:r>
            <w:r>
              <w:rPr>
                <w:rFonts w:hint="eastAsia" w:ascii="宋体" w:hAnsi="宋体" w:eastAsia="宋体" w:cs="宋体"/>
                <w:color w:val="auto"/>
                <w:spacing w:val="1"/>
                <w:sz w:val="24"/>
                <w:szCs w:val="24"/>
                <w:highlight w:val="none"/>
              </w:rPr>
              <w:t>划</w:t>
            </w:r>
          </w:p>
        </w:tc>
        <w:tc>
          <w:tcPr>
            <w:tcW w:w="1000" w:type="dxa"/>
            <w:vAlign w:val="top"/>
          </w:tcPr>
          <w:p w14:paraId="5E9CD797">
            <w:pPr>
              <w:spacing w:line="335" w:lineRule="auto"/>
              <w:rPr>
                <w:rFonts w:hint="eastAsia" w:ascii="宋体" w:hAnsi="宋体" w:eastAsia="宋体" w:cs="宋体"/>
                <w:color w:val="auto"/>
                <w:sz w:val="24"/>
                <w:szCs w:val="24"/>
                <w:highlight w:val="none"/>
              </w:rPr>
            </w:pPr>
          </w:p>
          <w:p w14:paraId="1807D994">
            <w:pPr>
              <w:pStyle w:val="25"/>
              <w:spacing w:before="65" w:line="228" w:lineRule="auto"/>
              <w:ind w:left="13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5.0分</w:t>
            </w:r>
          </w:p>
        </w:tc>
        <w:tc>
          <w:tcPr>
            <w:tcW w:w="3763" w:type="dxa"/>
            <w:vAlign w:val="top"/>
          </w:tcPr>
          <w:p w14:paraId="5B7237B6">
            <w:pPr>
              <w:pStyle w:val="25"/>
              <w:spacing w:before="127" w:line="253" w:lineRule="auto"/>
              <w:ind w:left="116" w:right="106" w:firstLine="3"/>
              <w:jc w:val="both"/>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总体施工组织布置及规划合理的可得基本</w:t>
            </w:r>
            <w:r>
              <w:rPr>
                <w:rFonts w:hint="eastAsia" w:ascii="宋体" w:hAnsi="宋体" w:eastAsia="宋体" w:cs="宋体"/>
                <w:color w:val="auto"/>
                <w:spacing w:val="8"/>
                <w:sz w:val="24"/>
                <w:szCs w:val="24"/>
                <w:highlight w:val="none"/>
              </w:rPr>
              <w:t>分3分；在此基础上方案周全、有针对性</w:t>
            </w:r>
            <w:r>
              <w:rPr>
                <w:rFonts w:hint="eastAsia" w:ascii="宋体" w:hAnsi="宋体" w:eastAsia="宋体" w:cs="宋体"/>
                <w:color w:val="auto"/>
                <w:spacing w:val="4"/>
                <w:sz w:val="24"/>
                <w:szCs w:val="24"/>
                <w:highlight w:val="none"/>
              </w:rPr>
              <w:t>的可加0～2分。</w:t>
            </w:r>
          </w:p>
        </w:tc>
      </w:tr>
      <w:tr w14:paraId="29AE38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8" w:hRule="atLeast"/>
        </w:trPr>
        <w:tc>
          <w:tcPr>
            <w:tcW w:w="936" w:type="dxa"/>
            <w:vMerge w:val="continue"/>
            <w:tcBorders>
              <w:top w:val="nil"/>
              <w:bottom w:val="nil"/>
            </w:tcBorders>
            <w:vAlign w:val="top"/>
          </w:tcPr>
          <w:p w14:paraId="3AA2B8A0">
            <w:pPr>
              <w:rPr>
                <w:rFonts w:hint="eastAsia" w:ascii="宋体" w:hAnsi="宋体" w:eastAsia="宋体" w:cs="宋体"/>
                <w:color w:val="auto"/>
                <w:sz w:val="24"/>
                <w:szCs w:val="24"/>
                <w:highlight w:val="none"/>
              </w:rPr>
            </w:pPr>
          </w:p>
        </w:tc>
        <w:tc>
          <w:tcPr>
            <w:tcW w:w="696" w:type="dxa"/>
            <w:vMerge w:val="continue"/>
            <w:tcBorders>
              <w:top w:val="nil"/>
              <w:bottom w:val="nil"/>
            </w:tcBorders>
            <w:vAlign w:val="top"/>
          </w:tcPr>
          <w:p w14:paraId="462818E4">
            <w:pPr>
              <w:rPr>
                <w:rFonts w:hint="eastAsia" w:ascii="宋体" w:hAnsi="宋体" w:eastAsia="宋体" w:cs="宋体"/>
                <w:color w:val="auto"/>
                <w:sz w:val="24"/>
                <w:szCs w:val="24"/>
                <w:highlight w:val="none"/>
              </w:rPr>
            </w:pPr>
          </w:p>
        </w:tc>
        <w:tc>
          <w:tcPr>
            <w:tcW w:w="1112" w:type="dxa"/>
            <w:vMerge w:val="continue"/>
            <w:tcBorders>
              <w:top w:val="nil"/>
              <w:bottom w:val="nil"/>
            </w:tcBorders>
            <w:vAlign w:val="top"/>
          </w:tcPr>
          <w:p w14:paraId="2126D0D9">
            <w:pPr>
              <w:rPr>
                <w:rFonts w:hint="eastAsia" w:ascii="宋体" w:hAnsi="宋体" w:eastAsia="宋体" w:cs="宋体"/>
                <w:color w:val="auto"/>
                <w:sz w:val="24"/>
                <w:szCs w:val="24"/>
                <w:highlight w:val="none"/>
              </w:rPr>
            </w:pPr>
          </w:p>
        </w:tc>
        <w:tc>
          <w:tcPr>
            <w:tcW w:w="1528" w:type="dxa"/>
            <w:vAlign w:val="top"/>
          </w:tcPr>
          <w:p w14:paraId="38D48347">
            <w:pPr>
              <w:pStyle w:val="25"/>
              <w:spacing w:before="129" w:line="228" w:lineRule="auto"/>
              <w:ind w:left="167"/>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关键工程的</w:t>
            </w:r>
            <w:r>
              <w:rPr>
                <w:rFonts w:hint="eastAsia" w:ascii="宋体" w:hAnsi="宋体" w:eastAsia="宋体" w:cs="宋体"/>
                <w:color w:val="auto"/>
                <w:spacing w:val="6"/>
                <w:sz w:val="24"/>
                <w:szCs w:val="24"/>
                <w:highlight w:val="none"/>
              </w:rPr>
              <w:t>施工方案、</w:t>
            </w:r>
            <w:r>
              <w:rPr>
                <w:rFonts w:hint="eastAsia" w:ascii="宋体" w:hAnsi="宋体" w:eastAsia="宋体" w:cs="宋体"/>
                <w:color w:val="auto"/>
                <w:spacing w:val="7"/>
                <w:sz w:val="24"/>
                <w:szCs w:val="24"/>
                <w:highlight w:val="none"/>
              </w:rPr>
              <w:t>方法与技术</w:t>
            </w:r>
            <w:r>
              <w:rPr>
                <w:rFonts w:hint="eastAsia" w:ascii="宋体" w:hAnsi="宋体" w:eastAsia="宋体" w:cs="宋体"/>
                <w:color w:val="auto"/>
                <w:spacing w:val="4"/>
                <w:sz w:val="24"/>
                <w:szCs w:val="24"/>
                <w:highlight w:val="none"/>
              </w:rPr>
              <w:t>措施</w:t>
            </w:r>
          </w:p>
        </w:tc>
        <w:tc>
          <w:tcPr>
            <w:tcW w:w="1000" w:type="dxa"/>
            <w:vAlign w:val="top"/>
          </w:tcPr>
          <w:p w14:paraId="21C1AEB7">
            <w:pPr>
              <w:spacing w:line="469" w:lineRule="auto"/>
              <w:rPr>
                <w:rFonts w:hint="eastAsia" w:ascii="宋体" w:hAnsi="宋体" w:eastAsia="宋体" w:cs="宋体"/>
                <w:color w:val="auto"/>
                <w:sz w:val="24"/>
                <w:szCs w:val="24"/>
                <w:highlight w:val="none"/>
              </w:rPr>
            </w:pPr>
          </w:p>
          <w:p w14:paraId="76D33BE0">
            <w:pPr>
              <w:pStyle w:val="25"/>
              <w:spacing w:before="65" w:line="228" w:lineRule="auto"/>
              <w:ind w:left="13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5.0分</w:t>
            </w:r>
          </w:p>
        </w:tc>
        <w:tc>
          <w:tcPr>
            <w:tcW w:w="3763" w:type="dxa"/>
            <w:vAlign w:val="top"/>
          </w:tcPr>
          <w:p w14:paraId="6767E102">
            <w:pPr>
              <w:pStyle w:val="25"/>
              <w:keepNext w:val="0"/>
              <w:keepLines w:val="0"/>
              <w:pageBreakBefore w:val="0"/>
              <w:widowControl/>
              <w:kinsoku w:val="0"/>
              <w:wordWrap/>
              <w:overflowPunct/>
              <w:topLinePunct w:val="0"/>
              <w:autoSpaceDE w:val="0"/>
              <w:autoSpaceDN w:val="0"/>
              <w:bidi w:val="0"/>
              <w:adjustRightInd w:val="0"/>
              <w:snapToGrid w:val="0"/>
              <w:spacing w:before="127" w:line="252" w:lineRule="auto"/>
              <w:ind w:left="113" w:right="0" w:firstLine="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施工方案合理、操作方法可行、技术措施</w:t>
            </w:r>
            <w:r>
              <w:rPr>
                <w:rFonts w:hint="eastAsia" w:ascii="宋体" w:hAnsi="宋体" w:eastAsia="宋体" w:cs="宋体"/>
                <w:color w:val="auto"/>
                <w:spacing w:val="8"/>
                <w:sz w:val="24"/>
                <w:szCs w:val="24"/>
                <w:highlight w:val="none"/>
              </w:rPr>
              <w:t>有保障的可得基本分3分；在此基础上方</w:t>
            </w:r>
            <w:r>
              <w:rPr>
                <w:rFonts w:hint="eastAsia" w:ascii="宋体" w:hAnsi="宋体" w:eastAsia="宋体" w:cs="宋体"/>
                <w:color w:val="auto"/>
                <w:spacing w:val="9"/>
                <w:sz w:val="24"/>
                <w:szCs w:val="24"/>
                <w:highlight w:val="none"/>
              </w:rPr>
              <w:t>案周全可靠、方法和技术措施具体有针对</w:t>
            </w:r>
            <w:r>
              <w:rPr>
                <w:rFonts w:hint="eastAsia" w:ascii="宋体" w:hAnsi="宋体" w:eastAsia="宋体" w:cs="宋体"/>
                <w:color w:val="auto"/>
                <w:spacing w:val="5"/>
                <w:sz w:val="24"/>
                <w:szCs w:val="24"/>
                <w:highlight w:val="none"/>
              </w:rPr>
              <w:t>性的可加0～2分。</w:t>
            </w:r>
          </w:p>
        </w:tc>
      </w:tr>
      <w:tr w14:paraId="52F810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6" w:hRule="atLeast"/>
        </w:trPr>
        <w:tc>
          <w:tcPr>
            <w:tcW w:w="936" w:type="dxa"/>
            <w:vMerge w:val="continue"/>
            <w:tcBorders>
              <w:top w:val="nil"/>
              <w:bottom w:val="nil"/>
            </w:tcBorders>
            <w:vAlign w:val="top"/>
          </w:tcPr>
          <w:p w14:paraId="3372F8BE">
            <w:pPr>
              <w:rPr>
                <w:rFonts w:hint="eastAsia" w:ascii="宋体" w:hAnsi="宋体" w:eastAsia="宋体" w:cs="宋体"/>
                <w:color w:val="auto"/>
                <w:sz w:val="24"/>
                <w:szCs w:val="24"/>
                <w:highlight w:val="none"/>
              </w:rPr>
            </w:pPr>
          </w:p>
        </w:tc>
        <w:tc>
          <w:tcPr>
            <w:tcW w:w="696" w:type="dxa"/>
            <w:vMerge w:val="continue"/>
            <w:tcBorders>
              <w:top w:val="nil"/>
              <w:bottom w:val="nil"/>
            </w:tcBorders>
            <w:vAlign w:val="top"/>
          </w:tcPr>
          <w:p w14:paraId="32076FCD">
            <w:pPr>
              <w:rPr>
                <w:rFonts w:hint="eastAsia" w:ascii="宋体" w:hAnsi="宋体" w:eastAsia="宋体" w:cs="宋体"/>
                <w:color w:val="auto"/>
                <w:sz w:val="24"/>
                <w:szCs w:val="24"/>
                <w:highlight w:val="none"/>
              </w:rPr>
            </w:pPr>
          </w:p>
        </w:tc>
        <w:tc>
          <w:tcPr>
            <w:tcW w:w="1112" w:type="dxa"/>
            <w:vMerge w:val="continue"/>
            <w:tcBorders>
              <w:top w:val="nil"/>
              <w:bottom w:val="nil"/>
            </w:tcBorders>
            <w:vAlign w:val="top"/>
          </w:tcPr>
          <w:p w14:paraId="7B4C85E2">
            <w:pPr>
              <w:rPr>
                <w:rFonts w:hint="eastAsia" w:ascii="宋体" w:hAnsi="宋体" w:eastAsia="宋体" w:cs="宋体"/>
                <w:color w:val="auto"/>
                <w:sz w:val="24"/>
                <w:szCs w:val="24"/>
                <w:highlight w:val="none"/>
              </w:rPr>
            </w:pPr>
          </w:p>
        </w:tc>
        <w:tc>
          <w:tcPr>
            <w:tcW w:w="1528" w:type="dxa"/>
            <w:vAlign w:val="top"/>
          </w:tcPr>
          <w:p w14:paraId="7D9A2AB5">
            <w:pPr>
              <w:pStyle w:val="25"/>
              <w:spacing w:before="267" w:line="252" w:lineRule="auto"/>
              <w:ind w:left="272" w:right="158" w:hanging="107"/>
              <w:jc w:val="both"/>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人员及机械</w:t>
            </w:r>
            <w:r>
              <w:rPr>
                <w:rFonts w:hint="eastAsia" w:ascii="宋体" w:hAnsi="宋体" w:eastAsia="宋体" w:cs="宋体"/>
                <w:color w:val="auto"/>
                <w:spacing w:val="6"/>
                <w:sz w:val="24"/>
                <w:szCs w:val="24"/>
                <w:highlight w:val="none"/>
              </w:rPr>
              <w:t>设备配置</w:t>
            </w:r>
          </w:p>
        </w:tc>
        <w:tc>
          <w:tcPr>
            <w:tcW w:w="1000" w:type="dxa"/>
            <w:vAlign w:val="top"/>
          </w:tcPr>
          <w:p w14:paraId="1136A9B0">
            <w:pPr>
              <w:spacing w:line="336" w:lineRule="auto"/>
              <w:rPr>
                <w:rFonts w:hint="eastAsia" w:ascii="宋体" w:hAnsi="宋体" w:eastAsia="宋体" w:cs="宋体"/>
                <w:color w:val="auto"/>
                <w:sz w:val="24"/>
                <w:szCs w:val="24"/>
                <w:highlight w:val="none"/>
              </w:rPr>
            </w:pPr>
          </w:p>
          <w:p w14:paraId="6DADF15D">
            <w:pPr>
              <w:pStyle w:val="25"/>
              <w:spacing w:before="65" w:line="228" w:lineRule="auto"/>
              <w:ind w:left="12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4.0分</w:t>
            </w:r>
          </w:p>
        </w:tc>
        <w:tc>
          <w:tcPr>
            <w:tcW w:w="3763" w:type="dxa"/>
            <w:vAlign w:val="top"/>
          </w:tcPr>
          <w:p w14:paraId="13345561">
            <w:pPr>
              <w:pStyle w:val="25"/>
              <w:spacing w:before="130" w:line="252" w:lineRule="auto"/>
              <w:ind w:left="113" w:right="106" w:firstLine="5"/>
              <w:jc w:val="both"/>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管理人员、机械设备配置满足要求的得基</w:t>
            </w:r>
            <w:r>
              <w:rPr>
                <w:rFonts w:hint="eastAsia" w:ascii="宋体" w:hAnsi="宋体" w:eastAsia="宋体" w:cs="宋体"/>
                <w:color w:val="auto"/>
                <w:spacing w:val="5"/>
                <w:sz w:val="24"/>
                <w:szCs w:val="24"/>
                <w:highlight w:val="none"/>
              </w:rPr>
              <w:t>本分3分，在此基础上人员配置合理，机</w:t>
            </w:r>
            <w:r>
              <w:rPr>
                <w:rFonts w:hint="eastAsia" w:ascii="宋体" w:hAnsi="宋体" w:eastAsia="宋体" w:cs="宋体"/>
                <w:color w:val="auto"/>
                <w:spacing w:val="6"/>
                <w:sz w:val="24"/>
                <w:szCs w:val="24"/>
                <w:highlight w:val="none"/>
              </w:rPr>
              <w:t>械设备配置合理的可加0～1分。</w:t>
            </w:r>
          </w:p>
        </w:tc>
      </w:tr>
      <w:tr w14:paraId="5F0A88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8" w:hRule="atLeast"/>
        </w:trPr>
        <w:tc>
          <w:tcPr>
            <w:tcW w:w="936" w:type="dxa"/>
            <w:vMerge w:val="continue"/>
            <w:tcBorders>
              <w:top w:val="nil"/>
              <w:bottom w:val="nil"/>
            </w:tcBorders>
            <w:vAlign w:val="top"/>
          </w:tcPr>
          <w:p w14:paraId="452CDE10">
            <w:pPr>
              <w:rPr>
                <w:rFonts w:hint="eastAsia" w:ascii="宋体" w:hAnsi="宋体" w:eastAsia="宋体" w:cs="宋体"/>
                <w:color w:val="auto"/>
                <w:sz w:val="24"/>
                <w:szCs w:val="24"/>
                <w:highlight w:val="none"/>
              </w:rPr>
            </w:pPr>
          </w:p>
        </w:tc>
        <w:tc>
          <w:tcPr>
            <w:tcW w:w="696" w:type="dxa"/>
            <w:vMerge w:val="continue"/>
            <w:tcBorders>
              <w:top w:val="nil"/>
              <w:bottom w:val="nil"/>
            </w:tcBorders>
            <w:vAlign w:val="top"/>
          </w:tcPr>
          <w:p w14:paraId="47E96F11">
            <w:pPr>
              <w:rPr>
                <w:rFonts w:hint="eastAsia" w:ascii="宋体" w:hAnsi="宋体" w:eastAsia="宋体" w:cs="宋体"/>
                <w:color w:val="auto"/>
                <w:sz w:val="24"/>
                <w:szCs w:val="24"/>
                <w:highlight w:val="none"/>
              </w:rPr>
            </w:pPr>
          </w:p>
        </w:tc>
        <w:tc>
          <w:tcPr>
            <w:tcW w:w="1112" w:type="dxa"/>
            <w:vMerge w:val="continue"/>
            <w:tcBorders>
              <w:top w:val="nil"/>
              <w:bottom w:val="nil"/>
            </w:tcBorders>
            <w:vAlign w:val="top"/>
          </w:tcPr>
          <w:p w14:paraId="23378EBF">
            <w:pPr>
              <w:rPr>
                <w:rFonts w:hint="eastAsia" w:ascii="宋体" w:hAnsi="宋体" w:eastAsia="宋体" w:cs="宋体"/>
                <w:color w:val="auto"/>
                <w:sz w:val="24"/>
                <w:szCs w:val="24"/>
                <w:highlight w:val="none"/>
              </w:rPr>
            </w:pPr>
          </w:p>
        </w:tc>
        <w:tc>
          <w:tcPr>
            <w:tcW w:w="1528" w:type="dxa"/>
            <w:vAlign w:val="top"/>
          </w:tcPr>
          <w:p w14:paraId="51F6F4E6">
            <w:pPr>
              <w:pStyle w:val="25"/>
              <w:spacing w:before="131" w:line="228" w:lineRule="auto"/>
              <w:ind w:left="166"/>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工期保证体系及保证措</w:t>
            </w:r>
            <w:r>
              <w:rPr>
                <w:rFonts w:hint="eastAsia" w:ascii="宋体" w:hAnsi="宋体" w:eastAsia="宋体" w:cs="宋体"/>
                <w:color w:val="auto"/>
                <w:spacing w:val="1"/>
                <w:sz w:val="24"/>
                <w:szCs w:val="24"/>
                <w:highlight w:val="none"/>
              </w:rPr>
              <w:t>施</w:t>
            </w:r>
          </w:p>
        </w:tc>
        <w:tc>
          <w:tcPr>
            <w:tcW w:w="1000" w:type="dxa"/>
            <w:vAlign w:val="top"/>
          </w:tcPr>
          <w:p w14:paraId="24A4386F">
            <w:pPr>
              <w:spacing w:line="337" w:lineRule="auto"/>
              <w:rPr>
                <w:rFonts w:hint="eastAsia" w:ascii="宋体" w:hAnsi="宋体" w:eastAsia="宋体" w:cs="宋体"/>
                <w:color w:val="auto"/>
                <w:sz w:val="24"/>
                <w:szCs w:val="24"/>
                <w:highlight w:val="none"/>
              </w:rPr>
            </w:pPr>
          </w:p>
          <w:p w14:paraId="6CD7B2B4">
            <w:pPr>
              <w:pStyle w:val="25"/>
              <w:spacing w:before="65" w:line="228" w:lineRule="auto"/>
              <w:ind w:left="12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4.0分</w:t>
            </w:r>
          </w:p>
        </w:tc>
        <w:tc>
          <w:tcPr>
            <w:tcW w:w="3763" w:type="dxa"/>
            <w:vAlign w:val="top"/>
          </w:tcPr>
          <w:p w14:paraId="37A4B76C">
            <w:pPr>
              <w:pStyle w:val="25"/>
              <w:spacing w:before="131" w:line="252" w:lineRule="auto"/>
              <w:ind w:left="115" w:right="106"/>
              <w:jc w:val="both"/>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有工期保证体系、工期保证措施合理、有</w:t>
            </w:r>
            <w:r>
              <w:rPr>
                <w:rFonts w:hint="eastAsia" w:ascii="宋体" w:hAnsi="宋体" w:eastAsia="宋体" w:cs="宋体"/>
                <w:color w:val="auto"/>
                <w:spacing w:val="8"/>
                <w:sz w:val="24"/>
                <w:szCs w:val="24"/>
                <w:highlight w:val="none"/>
              </w:rPr>
              <w:t>保障的可得基本分3分；在此基础上视保</w:t>
            </w:r>
            <w:r>
              <w:rPr>
                <w:rFonts w:hint="eastAsia" w:ascii="宋体" w:hAnsi="宋体" w:eastAsia="宋体" w:cs="宋体"/>
                <w:color w:val="auto"/>
                <w:spacing w:val="7"/>
                <w:sz w:val="24"/>
                <w:szCs w:val="24"/>
                <w:highlight w:val="none"/>
              </w:rPr>
              <w:t>障措施具体有针对性的可加0～1分。</w:t>
            </w:r>
          </w:p>
        </w:tc>
      </w:tr>
      <w:tr w14:paraId="774627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7" w:hRule="atLeast"/>
        </w:trPr>
        <w:tc>
          <w:tcPr>
            <w:tcW w:w="936" w:type="dxa"/>
            <w:vMerge w:val="continue"/>
            <w:tcBorders>
              <w:top w:val="nil"/>
              <w:bottom w:val="nil"/>
            </w:tcBorders>
            <w:vAlign w:val="top"/>
          </w:tcPr>
          <w:p w14:paraId="1E64FF0E">
            <w:pPr>
              <w:rPr>
                <w:rFonts w:hint="eastAsia" w:ascii="宋体" w:hAnsi="宋体" w:eastAsia="宋体" w:cs="宋体"/>
                <w:color w:val="auto"/>
                <w:sz w:val="24"/>
                <w:szCs w:val="24"/>
                <w:highlight w:val="none"/>
              </w:rPr>
            </w:pPr>
          </w:p>
        </w:tc>
        <w:tc>
          <w:tcPr>
            <w:tcW w:w="696" w:type="dxa"/>
            <w:vMerge w:val="continue"/>
            <w:tcBorders>
              <w:top w:val="nil"/>
              <w:bottom w:val="nil"/>
            </w:tcBorders>
            <w:vAlign w:val="top"/>
          </w:tcPr>
          <w:p w14:paraId="2480B2BB">
            <w:pPr>
              <w:rPr>
                <w:rFonts w:hint="eastAsia" w:ascii="宋体" w:hAnsi="宋体" w:eastAsia="宋体" w:cs="宋体"/>
                <w:color w:val="auto"/>
                <w:sz w:val="24"/>
                <w:szCs w:val="24"/>
                <w:highlight w:val="none"/>
              </w:rPr>
            </w:pPr>
          </w:p>
        </w:tc>
        <w:tc>
          <w:tcPr>
            <w:tcW w:w="1112" w:type="dxa"/>
            <w:vMerge w:val="continue"/>
            <w:tcBorders>
              <w:top w:val="nil"/>
              <w:bottom w:val="nil"/>
            </w:tcBorders>
            <w:vAlign w:val="top"/>
          </w:tcPr>
          <w:p w14:paraId="7963FC06">
            <w:pPr>
              <w:rPr>
                <w:rFonts w:hint="eastAsia" w:ascii="宋体" w:hAnsi="宋体" w:eastAsia="宋体" w:cs="宋体"/>
                <w:color w:val="auto"/>
                <w:sz w:val="24"/>
                <w:szCs w:val="24"/>
                <w:highlight w:val="none"/>
              </w:rPr>
            </w:pPr>
          </w:p>
        </w:tc>
        <w:tc>
          <w:tcPr>
            <w:tcW w:w="1528" w:type="dxa"/>
            <w:vAlign w:val="top"/>
          </w:tcPr>
          <w:p w14:paraId="4CDE63E2">
            <w:pPr>
              <w:pStyle w:val="25"/>
              <w:spacing w:before="129" w:line="228" w:lineRule="auto"/>
              <w:ind w:left="166"/>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工程质量管理体系及保</w:t>
            </w:r>
            <w:r>
              <w:rPr>
                <w:rFonts w:hint="eastAsia" w:ascii="宋体" w:hAnsi="宋体" w:eastAsia="宋体" w:cs="宋体"/>
                <w:color w:val="auto"/>
                <w:spacing w:val="6"/>
                <w:sz w:val="24"/>
                <w:szCs w:val="24"/>
                <w:highlight w:val="none"/>
              </w:rPr>
              <w:t>证措施</w:t>
            </w:r>
          </w:p>
        </w:tc>
        <w:tc>
          <w:tcPr>
            <w:tcW w:w="1000" w:type="dxa"/>
            <w:vAlign w:val="top"/>
          </w:tcPr>
          <w:p w14:paraId="27D5CB79">
            <w:pPr>
              <w:spacing w:line="334" w:lineRule="auto"/>
              <w:rPr>
                <w:rFonts w:hint="eastAsia" w:ascii="宋体" w:hAnsi="宋体" w:eastAsia="宋体" w:cs="宋体"/>
                <w:color w:val="auto"/>
                <w:sz w:val="24"/>
                <w:szCs w:val="24"/>
                <w:highlight w:val="none"/>
              </w:rPr>
            </w:pPr>
          </w:p>
          <w:p w14:paraId="1C15D082">
            <w:pPr>
              <w:pStyle w:val="25"/>
              <w:spacing w:before="65" w:line="228" w:lineRule="auto"/>
              <w:ind w:left="13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5.0分</w:t>
            </w:r>
          </w:p>
        </w:tc>
        <w:tc>
          <w:tcPr>
            <w:tcW w:w="3763" w:type="dxa"/>
            <w:vAlign w:val="top"/>
          </w:tcPr>
          <w:p w14:paraId="2741E224">
            <w:pPr>
              <w:pStyle w:val="25"/>
              <w:spacing w:before="128" w:line="253" w:lineRule="auto"/>
              <w:ind w:left="115" w:right="136"/>
              <w:jc w:val="both"/>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有质量管理体系、保证措施可行的可得基</w:t>
            </w:r>
            <w:r>
              <w:rPr>
                <w:rFonts w:hint="eastAsia" w:ascii="宋体" w:hAnsi="宋体" w:eastAsia="宋体" w:cs="宋体"/>
                <w:color w:val="auto"/>
                <w:spacing w:val="6"/>
                <w:sz w:val="24"/>
                <w:szCs w:val="24"/>
                <w:highlight w:val="none"/>
              </w:rPr>
              <w:t>本分3分，在此基础上，管理体系周全、</w:t>
            </w:r>
            <w:r>
              <w:rPr>
                <w:rFonts w:hint="eastAsia" w:ascii="宋体" w:hAnsi="宋体" w:eastAsia="宋体" w:cs="宋体"/>
                <w:color w:val="auto"/>
                <w:spacing w:val="11"/>
                <w:sz w:val="24"/>
                <w:szCs w:val="24"/>
                <w:highlight w:val="none"/>
              </w:rPr>
              <w:t>保证措施有针对性的可加0～2分。</w:t>
            </w:r>
          </w:p>
        </w:tc>
      </w:tr>
      <w:tr w14:paraId="7FC637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7" w:hRule="atLeast"/>
        </w:trPr>
        <w:tc>
          <w:tcPr>
            <w:tcW w:w="936" w:type="dxa"/>
            <w:vMerge w:val="continue"/>
            <w:tcBorders>
              <w:top w:val="nil"/>
              <w:bottom w:val="nil"/>
            </w:tcBorders>
            <w:vAlign w:val="top"/>
          </w:tcPr>
          <w:p w14:paraId="4152B14B">
            <w:pPr>
              <w:rPr>
                <w:rFonts w:hint="eastAsia" w:ascii="宋体" w:hAnsi="宋体" w:eastAsia="宋体" w:cs="宋体"/>
                <w:color w:val="auto"/>
                <w:sz w:val="24"/>
                <w:szCs w:val="24"/>
                <w:highlight w:val="none"/>
              </w:rPr>
            </w:pPr>
          </w:p>
        </w:tc>
        <w:tc>
          <w:tcPr>
            <w:tcW w:w="696" w:type="dxa"/>
            <w:vMerge w:val="continue"/>
            <w:tcBorders>
              <w:top w:val="nil"/>
              <w:bottom w:val="nil"/>
            </w:tcBorders>
            <w:vAlign w:val="top"/>
          </w:tcPr>
          <w:p w14:paraId="5A3701DD">
            <w:pPr>
              <w:rPr>
                <w:rFonts w:hint="eastAsia" w:ascii="宋体" w:hAnsi="宋体" w:eastAsia="宋体" w:cs="宋体"/>
                <w:color w:val="auto"/>
                <w:sz w:val="24"/>
                <w:szCs w:val="24"/>
                <w:highlight w:val="none"/>
              </w:rPr>
            </w:pPr>
          </w:p>
        </w:tc>
        <w:tc>
          <w:tcPr>
            <w:tcW w:w="1112" w:type="dxa"/>
            <w:vMerge w:val="continue"/>
            <w:tcBorders>
              <w:top w:val="nil"/>
              <w:bottom w:val="nil"/>
            </w:tcBorders>
            <w:vAlign w:val="top"/>
          </w:tcPr>
          <w:p w14:paraId="76E91F7F">
            <w:pPr>
              <w:rPr>
                <w:rFonts w:hint="eastAsia" w:ascii="宋体" w:hAnsi="宋体" w:eastAsia="宋体" w:cs="宋体"/>
                <w:color w:val="auto"/>
                <w:sz w:val="24"/>
                <w:szCs w:val="24"/>
                <w:highlight w:val="none"/>
              </w:rPr>
            </w:pPr>
          </w:p>
        </w:tc>
        <w:tc>
          <w:tcPr>
            <w:tcW w:w="1528" w:type="dxa"/>
            <w:vAlign w:val="top"/>
          </w:tcPr>
          <w:p w14:paraId="549F7B07">
            <w:pPr>
              <w:pStyle w:val="25"/>
              <w:spacing w:before="130" w:line="228" w:lineRule="auto"/>
              <w:ind w:left="167"/>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安全生产管理体系及保</w:t>
            </w:r>
            <w:r>
              <w:rPr>
                <w:rFonts w:hint="eastAsia" w:ascii="宋体" w:hAnsi="宋体" w:eastAsia="宋体" w:cs="宋体"/>
                <w:color w:val="auto"/>
                <w:spacing w:val="6"/>
                <w:sz w:val="24"/>
                <w:szCs w:val="24"/>
                <w:highlight w:val="none"/>
              </w:rPr>
              <w:t>证措施</w:t>
            </w:r>
          </w:p>
        </w:tc>
        <w:tc>
          <w:tcPr>
            <w:tcW w:w="1000" w:type="dxa"/>
            <w:vAlign w:val="top"/>
          </w:tcPr>
          <w:p w14:paraId="2BDDD142">
            <w:pPr>
              <w:spacing w:line="334" w:lineRule="auto"/>
              <w:rPr>
                <w:rFonts w:hint="eastAsia" w:ascii="宋体" w:hAnsi="宋体" w:eastAsia="宋体" w:cs="宋体"/>
                <w:color w:val="auto"/>
                <w:sz w:val="24"/>
                <w:szCs w:val="24"/>
                <w:highlight w:val="none"/>
              </w:rPr>
            </w:pPr>
          </w:p>
          <w:p w14:paraId="68E32FB2">
            <w:pPr>
              <w:pStyle w:val="25"/>
              <w:spacing w:before="65" w:line="228" w:lineRule="auto"/>
              <w:ind w:left="13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5.0分</w:t>
            </w:r>
          </w:p>
        </w:tc>
        <w:tc>
          <w:tcPr>
            <w:tcW w:w="3763" w:type="dxa"/>
            <w:vAlign w:val="top"/>
          </w:tcPr>
          <w:p w14:paraId="49C0D90C">
            <w:pPr>
              <w:pStyle w:val="25"/>
              <w:spacing w:before="129" w:line="253" w:lineRule="auto"/>
              <w:ind w:left="114" w:right="136"/>
              <w:jc w:val="both"/>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有安全生产管理体系、保证措施可行的可</w:t>
            </w:r>
            <w:r>
              <w:rPr>
                <w:rFonts w:hint="eastAsia" w:ascii="宋体" w:hAnsi="宋体" w:eastAsia="宋体" w:cs="宋体"/>
                <w:color w:val="auto"/>
                <w:spacing w:val="8"/>
                <w:sz w:val="24"/>
                <w:szCs w:val="24"/>
                <w:highlight w:val="none"/>
              </w:rPr>
              <w:t>得基本分3分，在此基础上，管理体系周</w:t>
            </w:r>
            <w:r>
              <w:rPr>
                <w:rFonts w:hint="eastAsia" w:ascii="宋体" w:hAnsi="宋体" w:eastAsia="宋体" w:cs="宋体"/>
                <w:color w:val="auto"/>
                <w:spacing w:val="6"/>
                <w:sz w:val="24"/>
                <w:szCs w:val="24"/>
                <w:highlight w:val="none"/>
              </w:rPr>
              <w:t>全、保证措施有针对性的可加0～2分。</w:t>
            </w:r>
          </w:p>
        </w:tc>
      </w:tr>
      <w:tr w14:paraId="1C8C79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8" w:hRule="atLeast"/>
        </w:trPr>
        <w:tc>
          <w:tcPr>
            <w:tcW w:w="936" w:type="dxa"/>
            <w:vMerge w:val="continue"/>
            <w:tcBorders>
              <w:top w:val="nil"/>
              <w:bottom w:val="nil"/>
            </w:tcBorders>
            <w:vAlign w:val="top"/>
          </w:tcPr>
          <w:p w14:paraId="74E8F157">
            <w:pPr>
              <w:rPr>
                <w:rFonts w:hint="eastAsia" w:ascii="宋体" w:hAnsi="宋体" w:eastAsia="宋体" w:cs="宋体"/>
                <w:color w:val="auto"/>
                <w:sz w:val="24"/>
                <w:szCs w:val="24"/>
                <w:highlight w:val="none"/>
              </w:rPr>
            </w:pPr>
          </w:p>
        </w:tc>
        <w:tc>
          <w:tcPr>
            <w:tcW w:w="696" w:type="dxa"/>
            <w:vMerge w:val="continue"/>
            <w:tcBorders>
              <w:top w:val="nil"/>
              <w:bottom w:val="nil"/>
            </w:tcBorders>
            <w:vAlign w:val="top"/>
          </w:tcPr>
          <w:p w14:paraId="46E829A1">
            <w:pPr>
              <w:rPr>
                <w:rFonts w:hint="eastAsia" w:ascii="宋体" w:hAnsi="宋体" w:eastAsia="宋体" w:cs="宋体"/>
                <w:color w:val="auto"/>
                <w:sz w:val="24"/>
                <w:szCs w:val="24"/>
                <w:highlight w:val="none"/>
              </w:rPr>
            </w:pPr>
          </w:p>
        </w:tc>
        <w:tc>
          <w:tcPr>
            <w:tcW w:w="1112" w:type="dxa"/>
            <w:vMerge w:val="continue"/>
            <w:tcBorders>
              <w:top w:val="nil"/>
              <w:bottom w:val="nil"/>
            </w:tcBorders>
            <w:vAlign w:val="top"/>
          </w:tcPr>
          <w:p w14:paraId="730E2753">
            <w:pPr>
              <w:rPr>
                <w:rFonts w:hint="eastAsia" w:ascii="宋体" w:hAnsi="宋体" w:eastAsia="宋体" w:cs="宋体"/>
                <w:color w:val="auto"/>
                <w:sz w:val="24"/>
                <w:szCs w:val="24"/>
                <w:highlight w:val="none"/>
              </w:rPr>
            </w:pPr>
          </w:p>
        </w:tc>
        <w:tc>
          <w:tcPr>
            <w:tcW w:w="1528" w:type="dxa"/>
            <w:vAlign w:val="top"/>
          </w:tcPr>
          <w:p w14:paraId="6AF69475">
            <w:pPr>
              <w:pStyle w:val="25"/>
              <w:spacing w:before="131" w:line="228" w:lineRule="auto"/>
              <w:ind w:left="163"/>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环境保护、</w:t>
            </w:r>
            <w:r>
              <w:rPr>
                <w:rFonts w:hint="eastAsia" w:ascii="宋体" w:hAnsi="宋体" w:eastAsia="宋体" w:cs="宋体"/>
                <w:color w:val="auto"/>
                <w:spacing w:val="7"/>
                <w:sz w:val="24"/>
                <w:szCs w:val="24"/>
                <w:highlight w:val="none"/>
              </w:rPr>
              <w:t>水土保持保</w:t>
            </w:r>
            <w:r>
              <w:rPr>
                <w:rFonts w:hint="eastAsia" w:ascii="宋体" w:hAnsi="宋体" w:eastAsia="宋体" w:cs="宋体"/>
                <w:color w:val="auto"/>
                <w:spacing w:val="8"/>
                <w:sz w:val="24"/>
                <w:szCs w:val="24"/>
                <w:highlight w:val="none"/>
              </w:rPr>
              <w:t>证体系及保</w:t>
            </w:r>
            <w:r>
              <w:rPr>
                <w:rFonts w:hint="eastAsia" w:ascii="宋体" w:hAnsi="宋体" w:eastAsia="宋体" w:cs="宋体"/>
                <w:color w:val="auto"/>
                <w:spacing w:val="6"/>
                <w:sz w:val="24"/>
                <w:szCs w:val="24"/>
                <w:highlight w:val="none"/>
              </w:rPr>
              <w:t>证措施</w:t>
            </w:r>
          </w:p>
        </w:tc>
        <w:tc>
          <w:tcPr>
            <w:tcW w:w="1000" w:type="dxa"/>
            <w:vAlign w:val="top"/>
          </w:tcPr>
          <w:p w14:paraId="432462F6">
            <w:pPr>
              <w:spacing w:line="471" w:lineRule="auto"/>
              <w:rPr>
                <w:rFonts w:hint="eastAsia" w:ascii="宋体" w:hAnsi="宋体" w:eastAsia="宋体" w:cs="宋体"/>
                <w:color w:val="auto"/>
                <w:sz w:val="24"/>
                <w:szCs w:val="24"/>
                <w:highlight w:val="none"/>
              </w:rPr>
            </w:pPr>
          </w:p>
          <w:p w14:paraId="0F698D94">
            <w:pPr>
              <w:pStyle w:val="25"/>
              <w:spacing w:before="65" w:line="228" w:lineRule="auto"/>
              <w:ind w:left="12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4.0分</w:t>
            </w:r>
          </w:p>
        </w:tc>
        <w:tc>
          <w:tcPr>
            <w:tcW w:w="3763" w:type="dxa"/>
            <w:vAlign w:val="top"/>
          </w:tcPr>
          <w:p w14:paraId="17EECE3F">
            <w:pPr>
              <w:pStyle w:val="25"/>
              <w:spacing w:before="131" w:line="251" w:lineRule="auto"/>
              <w:ind w:left="113" w:right="152" w:firstLine="1"/>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有环境保护、水土保持保证体系、保证措</w:t>
            </w:r>
            <w:r>
              <w:rPr>
                <w:rFonts w:hint="eastAsia" w:ascii="宋体" w:hAnsi="宋体" w:eastAsia="宋体" w:cs="宋体"/>
                <w:color w:val="auto"/>
                <w:spacing w:val="6"/>
                <w:sz w:val="24"/>
                <w:szCs w:val="24"/>
                <w:highlight w:val="none"/>
              </w:rPr>
              <w:t>施可行的可得基本分3分，在此基础上，</w:t>
            </w:r>
            <w:r>
              <w:rPr>
                <w:rFonts w:hint="eastAsia" w:ascii="宋体" w:hAnsi="宋体" w:eastAsia="宋体" w:cs="宋体"/>
                <w:color w:val="auto"/>
                <w:spacing w:val="9"/>
                <w:sz w:val="24"/>
                <w:szCs w:val="24"/>
                <w:highlight w:val="none"/>
              </w:rPr>
              <w:t>保证体系周全保证措施有针对性的可加</w:t>
            </w:r>
          </w:p>
          <w:p w14:paraId="65523013">
            <w:pPr>
              <w:pStyle w:val="25"/>
              <w:spacing w:line="228" w:lineRule="auto"/>
              <w:ind w:left="11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0～1分。</w:t>
            </w:r>
          </w:p>
        </w:tc>
      </w:tr>
      <w:tr w14:paraId="5065B9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8" w:hRule="atLeast"/>
        </w:trPr>
        <w:tc>
          <w:tcPr>
            <w:tcW w:w="936" w:type="dxa"/>
            <w:vMerge w:val="continue"/>
            <w:tcBorders>
              <w:top w:val="nil"/>
              <w:bottom w:val="nil"/>
            </w:tcBorders>
            <w:vAlign w:val="top"/>
          </w:tcPr>
          <w:p w14:paraId="7C84ED42">
            <w:pPr>
              <w:rPr>
                <w:rFonts w:hint="eastAsia" w:ascii="宋体" w:hAnsi="宋体" w:eastAsia="宋体" w:cs="宋体"/>
                <w:color w:val="auto"/>
                <w:sz w:val="24"/>
                <w:szCs w:val="24"/>
                <w:highlight w:val="none"/>
              </w:rPr>
            </w:pPr>
          </w:p>
        </w:tc>
        <w:tc>
          <w:tcPr>
            <w:tcW w:w="696" w:type="dxa"/>
            <w:vMerge w:val="continue"/>
            <w:tcBorders>
              <w:top w:val="nil"/>
              <w:bottom w:val="nil"/>
            </w:tcBorders>
            <w:vAlign w:val="top"/>
          </w:tcPr>
          <w:p w14:paraId="154436D8">
            <w:pPr>
              <w:rPr>
                <w:rFonts w:hint="eastAsia" w:ascii="宋体" w:hAnsi="宋体" w:eastAsia="宋体" w:cs="宋体"/>
                <w:color w:val="auto"/>
                <w:sz w:val="24"/>
                <w:szCs w:val="24"/>
                <w:highlight w:val="none"/>
              </w:rPr>
            </w:pPr>
          </w:p>
        </w:tc>
        <w:tc>
          <w:tcPr>
            <w:tcW w:w="1112" w:type="dxa"/>
            <w:vMerge w:val="continue"/>
            <w:tcBorders>
              <w:top w:val="nil"/>
              <w:bottom w:val="nil"/>
            </w:tcBorders>
            <w:vAlign w:val="top"/>
          </w:tcPr>
          <w:p w14:paraId="4CE73389">
            <w:pPr>
              <w:rPr>
                <w:rFonts w:hint="eastAsia" w:ascii="宋体" w:hAnsi="宋体" w:eastAsia="宋体" w:cs="宋体"/>
                <w:color w:val="auto"/>
                <w:sz w:val="24"/>
                <w:szCs w:val="24"/>
                <w:highlight w:val="none"/>
              </w:rPr>
            </w:pPr>
          </w:p>
        </w:tc>
        <w:tc>
          <w:tcPr>
            <w:tcW w:w="1528" w:type="dxa"/>
            <w:vAlign w:val="top"/>
          </w:tcPr>
          <w:p w14:paraId="6AA4439F">
            <w:pPr>
              <w:pStyle w:val="25"/>
              <w:spacing w:before="131" w:line="228" w:lineRule="auto"/>
              <w:ind w:left="165"/>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文明施工、</w:t>
            </w:r>
            <w:r>
              <w:rPr>
                <w:rFonts w:hint="eastAsia" w:ascii="宋体" w:hAnsi="宋体" w:eastAsia="宋体" w:cs="宋体"/>
                <w:color w:val="auto"/>
                <w:spacing w:val="7"/>
                <w:sz w:val="24"/>
                <w:szCs w:val="24"/>
                <w:highlight w:val="none"/>
              </w:rPr>
              <w:t>文物保护保</w:t>
            </w:r>
            <w:r>
              <w:rPr>
                <w:rFonts w:hint="eastAsia" w:ascii="宋体" w:hAnsi="宋体" w:eastAsia="宋体" w:cs="宋体"/>
                <w:color w:val="auto"/>
                <w:spacing w:val="8"/>
                <w:sz w:val="24"/>
                <w:szCs w:val="24"/>
                <w:highlight w:val="none"/>
              </w:rPr>
              <w:t>证体系及保</w:t>
            </w:r>
            <w:r>
              <w:rPr>
                <w:rFonts w:hint="eastAsia" w:ascii="宋体" w:hAnsi="宋体" w:eastAsia="宋体" w:cs="宋体"/>
                <w:color w:val="auto"/>
                <w:spacing w:val="6"/>
                <w:sz w:val="24"/>
                <w:szCs w:val="24"/>
                <w:highlight w:val="none"/>
              </w:rPr>
              <w:t>证措施</w:t>
            </w:r>
          </w:p>
        </w:tc>
        <w:tc>
          <w:tcPr>
            <w:tcW w:w="1000" w:type="dxa"/>
            <w:vAlign w:val="top"/>
          </w:tcPr>
          <w:p w14:paraId="461EF203">
            <w:pPr>
              <w:spacing w:line="471" w:lineRule="auto"/>
              <w:rPr>
                <w:rFonts w:hint="eastAsia" w:ascii="宋体" w:hAnsi="宋体" w:eastAsia="宋体" w:cs="宋体"/>
                <w:color w:val="auto"/>
                <w:sz w:val="24"/>
                <w:szCs w:val="24"/>
                <w:highlight w:val="none"/>
              </w:rPr>
            </w:pPr>
          </w:p>
          <w:p w14:paraId="669AF703">
            <w:pPr>
              <w:pStyle w:val="25"/>
              <w:spacing w:before="65" w:line="228" w:lineRule="auto"/>
              <w:ind w:left="12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4.0分</w:t>
            </w:r>
          </w:p>
        </w:tc>
        <w:tc>
          <w:tcPr>
            <w:tcW w:w="3763" w:type="dxa"/>
            <w:vAlign w:val="top"/>
          </w:tcPr>
          <w:p w14:paraId="2931797F">
            <w:pPr>
              <w:pStyle w:val="25"/>
              <w:keepNext w:val="0"/>
              <w:keepLines w:val="0"/>
              <w:pageBreakBefore w:val="0"/>
              <w:widowControl/>
              <w:kinsoku w:val="0"/>
              <w:wordWrap/>
              <w:overflowPunct/>
              <w:topLinePunct w:val="0"/>
              <w:autoSpaceDE w:val="0"/>
              <w:autoSpaceDN w:val="0"/>
              <w:bidi w:val="0"/>
              <w:adjustRightInd w:val="0"/>
              <w:snapToGrid w:val="0"/>
              <w:spacing w:before="131" w:line="252" w:lineRule="auto"/>
              <w:ind w:left="0" w:right="0" w:firstLine="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有文明施工、文物保护保证体系、保证措</w:t>
            </w:r>
            <w:r>
              <w:rPr>
                <w:rFonts w:hint="eastAsia" w:ascii="宋体" w:hAnsi="宋体" w:eastAsia="宋体" w:cs="宋体"/>
                <w:color w:val="auto"/>
                <w:spacing w:val="5"/>
                <w:sz w:val="24"/>
                <w:szCs w:val="24"/>
                <w:highlight w:val="none"/>
              </w:rPr>
              <w:t>施可行的可得基本分3分，在此基础上，</w:t>
            </w:r>
            <w:r>
              <w:rPr>
                <w:rFonts w:hint="eastAsia" w:ascii="宋体" w:hAnsi="宋体" w:eastAsia="宋体" w:cs="宋体"/>
                <w:color w:val="auto"/>
                <w:spacing w:val="9"/>
                <w:sz w:val="24"/>
                <w:szCs w:val="24"/>
                <w:highlight w:val="none"/>
              </w:rPr>
              <w:t>保证体系周全、保证措施有针对性的可加</w:t>
            </w:r>
            <w:r>
              <w:rPr>
                <w:rFonts w:hint="eastAsia" w:ascii="宋体" w:hAnsi="宋体" w:eastAsia="宋体" w:cs="宋体"/>
                <w:color w:val="auto"/>
                <w:spacing w:val="1"/>
                <w:sz w:val="24"/>
                <w:szCs w:val="24"/>
                <w:highlight w:val="none"/>
              </w:rPr>
              <w:t>0～1分。</w:t>
            </w:r>
          </w:p>
        </w:tc>
      </w:tr>
      <w:tr w14:paraId="2E7BEE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9" w:hRule="atLeast"/>
        </w:trPr>
        <w:tc>
          <w:tcPr>
            <w:tcW w:w="936" w:type="dxa"/>
            <w:vMerge w:val="continue"/>
            <w:tcBorders>
              <w:top w:val="nil"/>
            </w:tcBorders>
            <w:vAlign w:val="top"/>
          </w:tcPr>
          <w:p w14:paraId="6154475B">
            <w:pPr>
              <w:rPr>
                <w:rFonts w:hint="eastAsia" w:ascii="宋体" w:hAnsi="宋体" w:eastAsia="宋体" w:cs="宋体"/>
                <w:color w:val="auto"/>
                <w:sz w:val="24"/>
                <w:szCs w:val="24"/>
                <w:highlight w:val="none"/>
              </w:rPr>
            </w:pPr>
          </w:p>
        </w:tc>
        <w:tc>
          <w:tcPr>
            <w:tcW w:w="696" w:type="dxa"/>
            <w:vMerge w:val="continue"/>
            <w:tcBorders>
              <w:top w:val="nil"/>
            </w:tcBorders>
            <w:vAlign w:val="top"/>
          </w:tcPr>
          <w:p w14:paraId="6CDA9C9D">
            <w:pPr>
              <w:rPr>
                <w:rFonts w:hint="eastAsia" w:ascii="宋体" w:hAnsi="宋体" w:eastAsia="宋体" w:cs="宋体"/>
                <w:color w:val="auto"/>
                <w:sz w:val="24"/>
                <w:szCs w:val="24"/>
                <w:highlight w:val="none"/>
              </w:rPr>
            </w:pPr>
          </w:p>
        </w:tc>
        <w:tc>
          <w:tcPr>
            <w:tcW w:w="1112" w:type="dxa"/>
            <w:vMerge w:val="continue"/>
            <w:tcBorders>
              <w:top w:val="nil"/>
            </w:tcBorders>
            <w:vAlign w:val="top"/>
          </w:tcPr>
          <w:p w14:paraId="6202E8C6">
            <w:pPr>
              <w:rPr>
                <w:rFonts w:hint="eastAsia" w:ascii="宋体" w:hAnsi="宋体" w:eastAsia="宋体" w:cs="宋体"/>
                <w:color w:val="auto"/>
                <w:sz w:val="24"/>
                <w:szCs w:val="24"/>
                <w:highlight w:val="none"/>
              </w:rPr>
            </w:pPr>
          </w:p>
        </w:tc>
        <w:tc>
          <w:tcPr>
            <w:tcW w:w="1528" w:type="dxa"/>
            <w:vAlign w:val="top"/>
          </w:tcPr>
          <w:p w14:paraId="3AA0A15D">
            <w:pPr>
              <w:pStyle w:val="25"/>
              <w:spacing w:before="134" w:line="228" w:lineRule="auto"/>
              <w:ind w:left="167"/>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项目风险预</w:t>
            </w:r>
            <w:r>
              <w:rPr>
                <w:rFonts w:hint="eastAsia" w:ascii="宋体" w:hAnsi="宋体" w:eastAsia="宋体" w:cs="宋体"/>
                <w:color w:val="auto"/>
                <w:spacing w:val="5"/>
                <w:sz w:val="24"/>
                <w:szCs w:val="24"/>
                <w:highlight w:val="none"/>
              </w:rPr>
              <w:t>测与防范，</w:t>
            </w:r>
            <w:r>
              <w:rPr>
                <w:rFonts w:hint="eastAsia" w:ascii="宋体" w:hAnsi="宋体" w:eastAsia="宋体" w:cs="宋体"/>
                <w:color w:val="auto"/>
                <w:spacing w:val="8"/>
                <w:sz w:val="24"/>
                <w:szCs w:val="24"/>
                <w:highlight w:val="none"/>
              </w:rPr>
              <w:t>事故应急预</w:t>
            </w:r>
            <w:r>
              <w:rPr>
                <w:rFonts w:hint="eastAsia" w:ascii="宋体" w:hAnsi="宋体" w:eastAsia="宋体" w:cs="宋体"/>
                <w:color w:val="auto"/>
                <w:sz w:val="24"/>
                <w:szCs w:val="24"/>
                <w:highlight w:val="none"/>
              </w:rPr>
              <w:t>案</w:t>
            </w:r>
          </w:p>
        </w:tc>
        <w:tc>
          <w:tcPr>
            <w:tcW w:w="1000" w:type="dxa"/>
            <w:vAlign w:val="top"/>
          </w:tcPr>
          <w:p w14:paraId="3A58FB0A">
            <w:pPr>
              <w:spacing w:line="474" w:lineRule="auto"/>
              <w:rPr>
                <w:rFonts w:hint="eastAsia" w:ascii="宋体" w:hAnsi="宋体" w:eastAsia="宋体" w:cs="宋体"/>
                <w:color w:val="auto"/>
                <w:sz w:val="24"/>
                <w:szCs w:val="24"/>
                <w:highlight w:val="none"/>
              </w:rPr>
            </w:pPr>
          </w:p>
          <w:p w14:paraId="2A4440D5">
            <w:pPr>
              <w:pStyle w:val="25"/>
              <w:spacing w:before="65" w:line="228" w:lineRule="auto"/>
              <w:ind w:left="12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4.0分</w:t>
            </w:r>
          </w:p>
        </w:tc>
        <w:tc>
          <w:tcPr>
            <w:tcW w:w="3763" w:type="dxa"/>
            <w:vAlign w:val="top"/>
          </w:tcPr>
          <w:p w14:paraId="774CEFE9">
            <w:pPr>
              <w:pStyle w:val="25"/>
              <w:spacing w:before="267" w:line="252" w:lineRule="auto"/>
              <w:ind w:left="115" w:right="35"/>
              <w:jc w:val="both"/>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有项目风险预测与防范，事故应急预案的</w:t>
            </w:r>
            <w:r>
              <w:rPr>
                <w:rFonts w:hint="eastAsia" w:ascii="宋体" w:hAnsi="宋体" w:eastAsia="宋体" w:cs="宋体"/>
                <w:color w:val="auto"/>
                <w:spacing w:val="3"/>
                <w:sz w:val="24"/>
                <w:szCs w:val="24"/>
                <w:highlight w:val="none"/>
              </w:rPr>
              <w:t>可得基本分3分，在此基础上，预案周全、</w:t>
            </w:r>
            <w:r>
              <w:rPr>
                <w:rFonts w:hint="eastAsia" w:ascii="宋体" w:hAnsi="宋体" w:eastAsia="宋体" w:cs="宋体"/>
                <w:color w:val="auto"/>
                <w:spacing w:val="7"/>
                <w:sz w:val="24"/>
                <w:szCs w:val="24"/>
                <w:highlight w:val="none"/>
              </w:rPr>
              <w:t>有针对性的可加0～1分</w:t>
            </w:r>
          </w:p>
        </w:tc>
      </w:tr>
      <w:tr w14:paraId="141B9A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4" w:hRule="atLeast"/>
        </w:trPr>
        <w:tc>
          <w:tcPr>
            <w:tcW w:w="936" w:type="dxa"/>
            <w:vMerge w:val="restart"/>
            <w:tcBorders>
              <w:bottom w:val="nil"/>
            </w:tcBorders>
            <w:vAlign w:val="top"/>
          </w:tcPr>
          <w:p w14:paraId="771B5B3A">
            <w:pPr>
              <w:spacing w:line="440" w:lineRule="auto"/>
              <w:rPr>
                <w:rFonts w:hint="eastAsia" w:ascii="宋体" w:hAnsi="宋体" w:eastAsia="宋体" w:cs="宋体"/>
                <w:color w:val="auto"/>
                <w:sz w:val="24"/>
                <w:szCs w:val="24"/>
                <w:highlight w:val="none"/>
              </w:rPr>
            </w:pPr>
          </w:p>
          <w:p w14:paraId="53746471">
            <w:pPr>
              <w:pStyle w:val="25"/>
              <w:spacing w:before="65" w:line="231" w:lineRule="auto"/>
              <w:ind w:left="15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2.2.2(</w:t>
            </w:r>
          </w:p>
          <w:p w14:paraId="67989B56">
            <w:pPr>
              <w:pStyle w:val="25"/>
              <w:spacing w:before="20" w:line="231" w:lineRule="auto"/>
              <w:ind w:left="37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w:t>
            </w:r>
          </w:p>
        </w:tc>
        <w:tc>
          <w:tcPr>
            <w:tcW w:w="696" w:type="dxa"/>
            <w:vMerge w:val="restart"/>
            <w:tcBorders>
              <w:bottom w:val="nil"/>
            </w:tcBorders>
            <w:vAlign w:val="top"/>
          </w:tcPr>
          <w:p w14:paraId="0D815C51">
            <w:pPr>
              <w:spacing w:line="440" w:lineRule="auto"/>
              <w:rPr>
                <w:rFonts w:hint="eastAsia" w:ascii="宋体" w:hAnsi="宋体" w:eastAsia="宋体" w:cs="宋体"/>
                <w:color w:val="auto"/>
                <w:sz w:val="24"/>
                <w:szCs w:val="24"/>
                <w:highlight w:val="none"/>
              </w:rPr>
            </w:pPr>
          </w:p>
          <w:p w14:paraId="6E8A53B6">
            <w:pPr>
              <w:pStyle w:val="25"/>
              <w:spacing w:before="65" w:line="231" w:lineRule="auto"/>
              <w:ind w:left="14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主要</w:t>
            </w:r>
          </w:p>
          <w:p w14:paraId="38261725">
            <w:pPr>
              <w:pStyle w:val="25"/>
              <w:spacing w:before="21" w:line="229" w:lineRule="auto"/>
              <w:ind w:left="14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人员</w:t>
            </w:r>
          </w:p>
        </w:tc>
        <w:tc>
          <w:tcPr>
            <w:tcW w:w="1112" w:type="dxa"/>
            <w:vMerge w:val="restart"/>
            <w:tcBorders>
              <w:bottom w:val="nil"/>
            </w:tcBorders>
            <w:vAlign w:val="top"/>
          </w:tcPr>
          <w:p w14:paraId="4945B38D">
            <w:pPr>
              <w:spacing w:line="287" w:lineRule="auto"/>
              <w:rPr>
                <w:rFonts w:hint="eastAsia" w:ascii="宋体" w:hAnsi="宋体" w:eastAsia="宋体" w:cs="宋体"/>
                <w:color w:val="auto"/>
                <w:sz w:val="24"/>
                <w:szCs w:val="24"/>
                <w:highlight w:val="none"/>
              </w:rPr>
            </w:pPr>
          </w:p>
          <w:p w14:paraId="3606B32F">
            <w:pPr>
              <w:spacing w:line="287" w:lineRule="auto"/>
              <w:rPr>
                <w:rFonts w:hint="eastAsia" w:ascii="宋体" w:hAnsi="宋体" w:eastAsia="宋体" w:cs="宋体"/>
                <w:color w:val="auto"/>
                <w:sz w:val="24"/>
                <w:szCs w:val="24"/>
                <w:highlight w:val="none"/>
              </w:rPr>
            </w:pPr>
          </w:p>
          <w:p w14:paraId="14497943">
            <w:pPr>
              <w:pStyle w:val="25"/>
              <w:spacing w:before="65" w:line="228" w:lineRule="auto"/>
              <w:ind w:left="16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25.00分</w:t>
            </w:r>
          </w:p>
        </w:tc>
        <w:tc>
          <w:tcPr>
            <w:tcW w:w="1528" w:type="dxa"/>
            <w:vAlign w:val="top"/>
          </w:tcPr>
          <w:p w14:paraId="026E13BF">
            <w:pPr>
              <w:pStyle w:val="25"/>
              <w:spacing w:before="133" w:line="252" w:lineRule="auto"/>
              <w:ind w:left="373" w:right="158" w:hanging="206"/>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项目经理任</w:t>
            </w:r>
            <w:r>
              <w:rPr>
                <w:rFonts w:hint="eastAsia" w:ascii="宋体" w:hAnsi="宋体" w:eastAsia="宋体" w:cs="宋体"/>
                <w:color w:val="auto"/>
                <w:spacing w:val="6"/>
                <w:sz w:val="24"/>
                <w:szCs w:val="24"/>
                <w:highlight w:val="none"/>
              </w:rPr>
              <w:t>职资格</w:t>
            </w:r>
          </w:p>
        </w:tc>
        <w:tc>
          <w:tcPr>
            <w:tcW w:w="1000" w:type="dxa"/>
            <w:vAlign w:val="top"/>
          </w:tcPr>
          <w:p w14:paraId="5C16F168">
            <w:pPr>
              <w:pStyle w:val="25"/>
              <w:spacing w:before="134" w:line="252" w:lineRule="auto"/>
              <w:ind w:left="316" w:right="201" w:hanging="9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10.</w:t>
            </w:r>
            <w:r>
              <w:rPr>
                <w:rFonts w:hint="eastAsia" w:ascii="宋体" w:hAnsi="宋体" w:eastAsia="宋体" w:cs="宋体"/>
                <w:color w:val="auto"/>
                <w:spacing w:val="-2"/>
                <w:sz w:val="24"/>
                <w:szCs w:val="24"/>
                <w:highlight w:val="none"/>
                <w:lang w:val="en-US" w:eastAsia="zh-CN"/>
              </w:rPr>
              <w:t>0</w:t>
            </w:r>
            <w:r>
              <w:rPr>
                <w:rFonts w:hint="eastAsia" w:ascii="宋体" w:hAnsi="宋体" w:eastAsia="宋体" w:cs="宋体"/>
                <w:color w:val="auto"/>
                <w:sz w:val="24"/>
                <w:szCs w:val="24"/>
                <w:highlight w:val="none"/>
              </w:rPr>
              <w:t>分</w:t>
            </w:r>
          </w:p>
        </w:tc>
        <w:tc>
          <w:tcPr>
            <w:tcW w:w="3763" w:type="dxa"/>
            <w:vAlign w:val="top"/>
          </w:tcPr>
          <w:p w14:paraId="34C88D9D">
            <w:pPr>
              <w:pStyle w:val="25"/>
              <w:spacing w:before="268" w:line="228" w:lineRule="auto"/>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满足项目经理最低要求得10分。</w:t>
            </w:r>
          </w:p>
        </w:tc>
      </w:tr>
      <w:tr w14:paraId="04E2ED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5" w:hRule="atLeast"/>
        </w:trPr>
        <w:tc>
          <w:tcPr>
            <w:tcW w:w="936" w:type="dxa"/>
            <w:vMerge w:val="continue"/>
            <w:tcBorders>
              <w:top w:val="nil"/>
            </w:tcBorders>
            <w:vAlign w:val="top"/>
          </w:tcPr>
          <w:p w14:paraId="575C3137">
            <w:pPr>
              <w:rPr>
                <w:rFonts w:hint="eastAsia" w:ascii="宋体" w:hAnsi="宋体" w:eastAsia="宋体" w:cs="宋体"/>
                <w:color w:val="auto"/>
                <w:sz w:val="24"/>
                <w:szCs w:val="24"/>
                <w:highlight w:val="none"/>
              </w:rPr>
            </w:pPr>
          </w:p>
        </w:tc>
        <w:tc>
          <w:tcPr>
            <w:tcW w:w="696" w:type="dxa"/>
            <w:vMerge w:val="continue"/>
            <w:tcBorders>
              <w:top w:val="nil"/>
            </w:tcBorders>
            <w:vAlign w:val="top"/>
          </w:tcPr>
          <w:p w14:paraId="41B88938">
            <w:pPr>
              <w:rPr>
                <w:rFonts w:hint="eastAsia" w:ascii="宋体" w:hAnsi="宋体" w:eastAsia="宋体" w:cs="宋体"/>
                <w:color w:val="auto"/>
                <w:sz w:val="24"/>
                <w:szCs w:val="24"/>
                <w:highlight w:val="none"/>
              </w:rPr>
            </w:pPr>
          </w:p>
        </w:tc>
        <w:tc>
          <w:tcPr>
            <w:tcW w:w="1112" w:type="dxa"/>
            <w:vMerge w:val="continue"/>
            <w:tcBorders>
              <w:top w:val="nil"/>
            </w:tcBorders>
            <w:vAlign w:val="top"/>
          </w:tcPr>
          <w:p w14:paraId="38338AC0">
            <w:pPr>
              <w:rPr>
                <w:rFonts w:hint="eastAsia" w:ascii="宋体" w:hAnsi="宋体" w:eastAsia="宋体" w:cs="宋体"/>
                <w:color w:val="auto"/>
                <w:sz w:val="24"/>
                <w:szCs w:val="24"/>
                <w:highlight w:val="none"/>
              </w:rPr>
            </w:pPr>
          </w:p>
        </w:tc>
        <w:tc>
          <w:tcPr>
            <w:tcW w:w="1528" w:type="dxa"/>
            <w:vAlign w:val="top"/>
          </w:tcPr>
          <w:p w14:paraId="6AA05A4E">
            <w:pPr>
              <w:pStyle w:val="25"/>
              <w:spacing w:before="133" w:line="254" w:lineRule="auto"/>
              <w:ind w:left="373" w:right="158" w:hanging="206"/>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项目总工任</w:t>
            </w:r>
            <w:r>
              <w:rPr>
                <w:rFonts w:hint="eastAsia" w:ascii="宋体" w:hAnsi="宋体" w:eastAsia="宋体" w:cs="宋体"/>
                <w:color w:val="auto"/>
                <w:spacing w:val="6"/>
                <w:sz w:val="24"/>
                <w:szCs w:val="24"/>
                <w:highlight w:val="none"/>
              </w:rPr>
              <w:t>职资格</w:t>
            </w:r>
          </w:p>
        </w:tc>
        <w:tc>
          <w:tcPr>
            <w:tcW w:w="1000" w:type="dxa"/>
            <w:vAlign w:val="top"/>
          </w:tcPr>
          <w:p w14:paraId="0164AECD">
            <w:pPr>
              <w:pStyle w:val="25"/>
              <w:spacing w:before="134" w:line="254" w:lineRule="auto"/>
              <w:ind w:left="316" w:right="201" w:hanging="9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15.0</w:t>
            </w:r>
            <w:r>
              <w:rPr>
                <w:rFonts w:hint="eastAsia" w:ascii="宋体" w:hAnsi="宋体" w:eastAsia="宋体" w:cs="宋体"/>
                <w:color w:val="auto"/>
                <w:sz w:val="24"/>
                <w:szCs w:val="24"/>
                <w:highlight w:val="none"/>
              </w:rPr>
              <w:t>分</w:t>
            </w:r>
          </w:p>
        </w:tc>
        <w:tc>
          <w:tcPr>
            <w:tcW w:w="3763" w:type="dxa"/>
            <w:vAlign w:val="top"/>
          </w:tcPr>
          <w:p w14:paraId="5466B454">
            <w:pPr>
              <w:pStyle w:val="25"/>
              <w:spacing w:before="267" w:line="228" w:lineRule="auto"/>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满足项目总工最低要求得15分。</w:t>
            </w:r>
          </w:p>
        </w:tc>
      </w:tr>
      <w:tr w14:paraId="38457E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5" w:hRule="atLeast"/>
        </w:trPr>
        <w:tc>
          <w:tcPr>
            <w:tcW w:w="936" w:type="dxa"/>
            <w:vMerge w:val="restart"/>
            <w:vAlign w:val="center"/>
          </w:tcPr>
          <w:p w14:paraId="2E1A3D63">
            <w:pPr>
              <w:pStyle w:val="25"/>
              <w:spacing w:before="134" w:line="231" w:lineRule="auto"/>
              <w:ind w:left="159"/>
              <w:jc w:val="both"/>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2.2.2(</w:t>
            </w:r>
          </w:p>
          <w:p w14:paraId="3C387E41">
            <w:pPr>
              <w:pStyle w:val="25"/>
              <w:spacing w:before="20" w:line="231" w:lineRule="auto"/>
              <w:ind w:left="372"/>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w:t>
            </w:r>
          </w:p>
        </w:tc>
        <w:tc>
          <w:tcPr>
            <w:tcW w:w="696" w:type="dxa"/>
            <w:vMerge w:val="restart"/>
            <w:vAlign w:val="center"/>
          </w:tcPr>
          <w:p w14:paraId="21084B9D">
            <w:pPr>
              <w:pStyle w:val="25"/>
              <w:spacing w:before="135" w:line="228" w:lineRule="auto"/>
              <w:ind w:left="141"/>
              <w:jc w:val="both"/>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其他</w:t>
            </w:r>
          </w:p>
          <w:p w14:paraId="68B826C3">
            <w:pPr>
              <w:pStyle w:val="25"/>
              <w:spacing w:before="23" w:line="228" w:lineRule="auto"/>
              <w:ind w:left="156"/>
              <w:jc w:val="both"/>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因素</w:t>
            </w:r>
          </w:p>
        </w:tc>
        <w:tc>
          <w:tcPr>
            <w:tcW w:w="1112" w:type="dxa"/>
            <w:vMerge w:val="restart"/>
            <w:vAlign w:val="center"/>
          </w:tcPr>
          <w:p w14:paraId="778CD165">
            <w:pPr>
              <w:pStyle w:val="25"/>
              <w:spacing w:before="269" w:line="228" w:lineRule="auto"/>
              <w:ind w:left="168"/>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35.00分</w:t>
            </w:r>
          </w:p>
        </w:tc>
        <w:tc>
          <w:tcPr>
            <w:tcW w:w="1528" w:type="dxa"/>
            <w:vAlign w:val="center"/>
          </w:tcPr>
          <w:p w14:paraId="0B9F0395">
            <w:pPr>
              <w:pStyle w:val="25"/>
              <w:spacing w:before="269" w:line="228" w:lineRule="auto"/>
              <w:ind w:left="270"/>
              <w:jc w:val="both"/>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技术能力</w:t>
            </w:r>
          </w:p>
        </w:tc>
        <w:tc>
          <w:tcPr>
            <w:tcW w:w="1000" w:type="dxa"/>
            <w:vAlign w:val="center"/>
          </w:tcPr>
          <w:p w14:paraId="49096EAA">
            <w:pPr>
              <w:pStyle w:val="25"/>
              <w:spacing w:before="135" w:line="252" w:lineRule="auto"/>
              <w:ind w:left="316" w:right="201" w:hanging="92"/>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10.0</w:t>
            </w:r>
            <w:r>
              <w:rPr>
                <w:rFonts w:hint="eastAsia" w:ascii="宋体" w:hAnsi="宋体" w:eastAsia="宋体" w:cs="宋体"/>
                <w:color w:val="auto"/>
                <w:sz w:val="24"/>
                <w:szCs w:val="24"/>
                <w:highlight w:val="none"/>
              </w:rPr>
              <w:t>分</w:t>
            </w:r>
          </w:p>
        </w:tc>
        <w:tc>
          <w:tcPr>
            <w:tcW w:w="3763" w:type="dxa"/>
            <w:vAlign w:val="top"/>
          </w:tcPr>
          <w:p w14:paraId="5D1592B0">
            <w:pPr>
              <w:pStyle w:val="25"/>
              <w:keepNext w:val="0"/>
              <w:keepLines w:val="0"/>
              <w:pageBreakBefore w:val="0"/>
              <w:widowControl/>
              <w:kinsoku w:val="0"/>
              <w:wordWrap/>
              <w:overflowPunct/>
              <w:topLinePunct w:val="0"/>
              <w:autoSpaceDE w:val="0"/>
              <w:autoSpaceDN w:val="0"/>
              <w:bidi w:val="0"/>
              <w:adjustRightInd w:val="0"/>
              <w:snapToGrid w:val="0"/>
              <w:spacing w:before="134" w:line="360" w:lineRule="auto"/>
              <w:ind w:left="129"/>
              <w:textAlignment w:val="baseline"/>
              <w:rPr>
                <w:rFonts w:hint="eastAsia" w:ascii="宋体" w:hAnsi="宋体" w:eastAsia="宋体" w:cs="宋体"/>
                <w:color w:val="auto"/>
                <w:spacing w:val="4"/>
                <w:sz w:val="24"/>
                <w:szCs w:val="24"/>
                <w:highlight w:val="none"/>
              </w:rPr>
            </w:pPr>
            <w:r>
              <w:rPr>
                <w:rFonts w:hint="eastAsia" w:ascii="宋体" w:hAnsi="宋体" w:eastAsia="宋体" w:cs="宋体"/>
                <w:color w:val="auto"/>
                <w:spacing w:val="8"/>
                <w:sz w:val="24"/>
                <w:szCs w:val="24"/>
                <w:highlight w:val="none"/>
              </w:rPr>
              <w:t>1、投标人企业资质满足资格审查条件可得</w:t>
            </w:r>
            <w:r>
              <w:rPr>
                <w:rFonts w:hint="eastAsia" w:ascii="宋体" w:hAnsi="宋体" w:eastAsia="宋体" w:cs="宋体"/>
                <w:color w:val="auto"/>
                <w:spacing w:val="4"/>
                <w:sz w:val="24"/>
                <w:szCs w:val="24"/>
                <w:highlight w:val="none"/>
              </w:rPr>
              <w:t>5分，本项满分5分。</w:t>
            </w:r>
          </w:p>
          <w:p w14:paraId="744193F3">
            <w:pPr>
              <w:pStyle w:val="25"/>
              <w:keepNext w:val="0"/>
              <w:keepLines w:val="0"/>
              <w:pageBreakBefore w:val="0"/>
              <w:widowControl/>
              <w:kinsoku w:val="0"/>
              <w:wordWrap/>
              <w:overflowPunct/>
              <w:topLinePunct w:val="0"/>
              <w:autoSpaceDE w:val="0"/>
              <w:autoSpaceDN w:val="0"/>
              <w:bidi w:val="0"/>
              <w:adjustRightInd w:val="0"/>
              <w:snapToGrid w:val="0"/>
              <w:spacing w:before="24" w:line="360" w:lineRule="auto"/>
              <w:ind w:left="118"/>
              <w:textAlignment w:val="baseline"/>
              <w:rPr>
                <w:rFonts w:hint="eastAsia" w:ascii="宋体" w:hAnsi="宋体" w:eastAsia="宋体" w:cs="宋体"/>
                <w:color w:val="auto"/>
                <w:spacing w:val="4"/>
                <w:sz w:val="24"/>
                <w:szCs w:val="24"/>
                <w:highlight w:val="none"/>
              </w:rPr>
            </w:pPr>
            <w:r>
              <w:rPr>
                <w:rFonts w:hint="eastAsia" w:ascii="宋体" w:hAnsi="宋体" w:eastAsia="宋体" w:cs="宋体"/>
                <w:color w:val="auto"/>
                <w:spacing w:val="8"/>
                <w:sz w:val="24"/>
                <w:szCs w:val="24"/>
                <w:highlight w:val="none"/>
              </w:rPr>
              <w:t>2、投标人财务能力满足资格审查条件可得</w:t>
            </w:r>
            <w:r>
              <w:rPr>
                <w:rFonts w:hint="eastAsia" w:ascii="宋体" w:hAnsi="宋体" w:eastAsia="宋体" w:cs="宋体"/>
                <w:color w:val="auto"/>
                <w:spacing w:val="4"/>
                <w:sz w:val="24"/>
                <w:szCs w:val="24"/>
                <w:highlight w:val="none"/>
              </w:rPr>
              <w:t>5分，本项满分5分。</w:t>
            </w:r>
          </w:p>
        </w:tc>
      </w:tr>
      <w:tr w14:paraId="2FE6E1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5" w:hRule="atLeast"/>
        </w:trPr>
        <w:tc>
          <w:tcPr>
            <w:tcW w:w="936" w:type="dxa"/>
            <w:vMerge w:val="continue"/>
            <w:vAlign w:val="center"/>
          </w:tcPr>
          <w:p w14:paraId="121D35FA">
            <w:pPr>
              <w:pStyle w:val="25"/>
              <w:spacing w:before="20" w:line="231" w:lineRule="auto"/>
              <w:ind w:left="372"/>
              <w:jc w:val="both"/>
              <w:rPr>
                <w:rFonts w:hint="eastAsia" w:ascii="宋体" w:hAnsi="宋体" w:eastAsia="宋体" w:cs="宋体"/>
                <w:color w:val="auto"/>
                <w:spacing w:val="-2"/>
                <w:sz w:val="24"/>
                <w:szCs w:val="24"/>
                <w:highlight w:val="none"/>
              </w:rPr>
            </w:pPr>
          </w:p>
        </w:tc>
        <w:tc>
          <w:tcPr>
            <w:tcW w:w="696" w:type="dxa"/>
            <w:vMerge w:val="continue"/>
            <w:vAlign w:val="center"/>
          </w:tcPr>
          <w:p w14:paraId="1BB5618C">
            <w:pPr>
              <w:pStyle w:val="25"/>
              <w:spacing w:before="23" w:line="228" w:lineRule="auto"/>
              <w:ind w:left="156"/>
              <w:jc w:val="both"/>
              <w:rPr>
                <w:rFonts w:hint="eastAsia" w:ascii="宋体" w:hAnsi="宋体" w:eastAsia="宋体" w:cs="宋体"/>
                <w:color w:val="auto"/>
                <w:spacing w:val="-4"/>
                <w:sz w:val="24"/>
                <w:szCs w:val="24"/>
                <w:highlight w:val="none"/>
              </w:rPr>
            </w:pPr>
          </w:p>
        </w:tc>
        <w:tc>
          <w:tcPr>
            <w:tcW w:w="1112" w:type="dxa"/>
            <w:vMerge w:val="continue"/>
            <w:vAlign w:val="center"/>
          </w:tcPr>
          <w:p w14:paraId="1B8225BB">
            <w:pPr>
              <w:pStyle w:val="25"/>
              <w:spacing w:before="269" w:line="228" w:lineRule="auto"/>
              <w:ind w:left="168"/>
              <w:jc w:val="both"/>
              <w:rPr>
                <w:rFonts w:hint="eastAsia" w:ascii="宋体" w:hAnsi="宋体" w:eastAsia="宋体" w:cs="宋体"/>
                <w:color w:val="auto"/>
                <w:spacing w:val="2"/>
                <w:sz w:val="24"/>
                <w:szCs w:val="24"/>
                <w:highlight w:val="none"/>
              </w:rPr>
            </w:pPr>
          </w:p>
        </w:tc>
        <w:tc>
          <w:tcPr>
            <w:tcW w:w="1528" w:type="dxa"/>
            <w:vAlign w:val="top"/>
          </w:tcPr>
          <w:p w14:paraId="6DFA29A4">
            <w:pPr>
              <w:spacing w:line="301" w:lineRule="auto"/>
              <w:rPr>
                <w:rFonts w:hint="eastAsia" w:ascii="宋体" w:hAnsi="宋体" w:eastAsia="宋体" w:cs="宋体"/>
                <w:color w:val="auto"/>
                <w:sz w:val="24"/>
                <w:szCs w:val="24"/>
                <w:highlight w:val="none"/>
              </w:rPr>
            </w:pPr>
          </w:p>
          <w:p w14:paraId="70EC6583">
            <w:pPr>
              <w:spacing w:line="302" w:lineRule="auto"/>
              <w:rPr>
                <w:rFonts w:hint="eastAsia" w:ascii="宋体" w:hAnsi="宋体" w:eastAsia="宋体" w:cs="宋体"/>
                <w:color w:val="auto"/>
                <w:sz w:val="24"/>
                <w:szCs w:val="24"/>
                <w:highlight w:val="none"/>
              </w:rPr>
            </w:pPr>
          </w:p>
          <w:p w14:paraId="69856A6E">
            <w:pPr>
              <w:pStyle w:val="25"/>
              <w:spacing w:before="65" w:line="227" w:lineRule="auto"/>
              <w:rPr>
                <w:rFonts w:hint="eastAsia" w:ascii="宋体" w:hAnsi="宋体" w:eastAsia="宋体" w:cs="宋体"/>
                <w:color w:val="auto"/>
                <w:spacing w:val="7"/>
                <w:sz w:val="24"/>
                <w:szCs w:val="24"/>
                <w:highlight w:val="none"/>
              </w:rPr>
            </w:pPr>
            <w:r>
              <w:rPr>
                <w:rFonts w:hint="eastAsia" w:ascii="宋体" w:hAnsi="宋体" w:eastAsia="宋体" w:cs="宋体"/>
                <w:color w:val="auto"/>
                <w:spacing w:val="6"/>
                <w:sz w:val="24"/>
                <w:szCs w:val="24"/>
                <w:highlight w:val="none"/>
              </w:rPr>
              <w:t>履约信誉</w:t>
            </w:r>
          </w:p>
        </w:tc>
        <w:tc>
          <w:tcPr>
            <w:tcW w:w="1000" w:type="dxa"/>
            <w:vAlign w:val="top"/>
          </w:tcPr>
          <w:p w14:paraId="689A72ED">
            <w:pPr>
              <w:spacing w:line="468" w:lineRule="auto"/>
              <w:rPr>
                <w:rFonts w:hint="eastAsia" w:ascii="宋体" w:hAnsi="宋体" w:eastAsia="宋体" w:cs="宋体"/>
                <w:color w:val="auto"/>
                <w:sz w:val="24"/>
                <w:szCs w:val="24"/>
                <w:highlight w:val="none"/>
              </w:rPr>
            </w:pPr>
          </w:p>
          <w:p w14:paraId="7D9AE98A">
            <w:pPr>
              <w:pStyle w:val="25"/>
              <w:spacing w:before="65" w:line="254" w:lineRule="auto"/>
              <w:ind w:left="316" w:leftChars="0" w:right="201" w:rightChars="0" w:hanging="92" w:firstLineChars="0"/>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15.0</w:t>
            </w:r>
            <w:r>
              <w:rPr>
                <w:rFonts w:hint="eastAsia" w:ascii="宋体" w:hAnsi="宋体" w:eastAsia="宋体" w:cs="宋体"/>
                <w:color w:val="auto"/>
                <w:sz w:val="24"/>
                <w:szCs w:val="24"/>
                <w:highlight w:val="none"/>
              </w:rPr>
              <w:t>分</w:t>
            </w:r>
          </w:p>
        </w:tc>
        <w:tc>
          <w:tcPr>
            <w:tcW w:w="3763" w:type="dxa"/>
            <w:vAlign w:val="top"/>
          </w:tcPr>
          <w:p w14:paraId="2D8FCC22">
            <w:pPr>
              <w:pStyle w:val="25"/>
              <w:spacing w:before="127" w:line="252" w:lineRule="auto"/>
              <w:ind w:left="116" w:leftChars="0" w:right="203" w:rightChars="0" w:firstLine="3" w:firstLineChars="0"/>
              <w:jc w:val="both"/>
              <w:rPr>
                <w:rFonts w:hint="eastAsia"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rPr>
              <w:t>公路建设市场施工企业信用评价等级为A</w:t>
            </w:r>
            <w:r>
              <w:rPr>
                <w:rFonts w:hint="eastAsia" w:ascii="宋体" w:hAnsi="宋体" w:eastAsia="宋体" w:cs="宋体"/>
                <w:color w:val="auto"/>
                <w:spacing w:val="4"/>
                <w:sz w:val="24"/>
                <w:szCs w:val="24"/>
                <w:highlight w:val="none"/>
              </w:rPr>
              <w:t>级及以上的，可得15分，B级的可得10</w:t>
            </w:r>
            <w:r>
              <w:rPr>
                <w:rFonts w:hint="eastAsia" w:ascii="宋体" w:hAnsi="宋体" w:eastAsia="宋体" w:cs="宋体"/>
                <w:color w:val="auto"/>
                <w:spacing w:val="2"/>
                <w:sz w:val="24"/>
                <w:szCs w:val="24"/>
                <w:highlight w:val="none"/>
              </w:rPr>
              <w:t>分，C级的可得5分。此项满分为15</w:t>
            </w:r>
            <w:r>
              <w:rPr>
                <w:rFonts w:hint="eastAsia" w:ascii="宋体" w:hAnsi="宋体" w:eastAsia="宋体" w:cs="宋体"/>
                <w:color w:val="auto"/>
                <w:spacing w:val="9"/>
                <w:sz w:val="24"/>
                <w:szCs w:val="24"/>
                <w:highlight w:val="none"/>
              </w:rPr>
              <w:t>分。（注：提供相关认证证书复印件，否</w:t>
            </w:r>
            <w:r>
              <w:rPr>
                <w:rFonts w:hint="eastAsia" w:ascii="宋体" w:hAnsi="宋体" w:eastAsia="宋体" w:cs="宋体"/>
                <w:color w:val="auto"/>
                <w:spacing w:val="6"/>
                <w:sz w:val="24"/>
                <w:szCs w:val="24"/>
                <w:highlight w:val="none"/>
              </w:rPr>
              <w:t>则不得分)</w:t>
            </w:r>
          </w:p>
        </w:tc>
      </w:tr>
      <w:tr w14:paraId="38E51B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5" w:hRule="atLeast"/>
        </w:trPr>
        <w:tc>
          <w:tcPr>
            <w:tcW w:w="936" w:type="dxa"/>
            <w:vMerge w:val="continue"/>
            <w:vAlign w:val="center"/>
          </w:tcPr>
          <w:p w14:paraId="5651035E">
            <w:pPr>
              <w:pStyle w:val="25"/>
              <w:spacing w:before="20" w:line="231" w:lineRule="auto"/>
              <w:ind w:left="372"/>
              <w:jc w:val="both"/>
              <w:rPr>
                <w:rFonts w:hint="eastAsia" w:ascii="宋体" w:hAnsi="宋体" w:eastAsia="宋体" w:cs="宋体"/>
                <w:color w:val="auto"/>
                <w:spacing w:val="-2"/>
                <w:sz w:val="24"/>
                <w:szCs w:val="24"/>
                <w:highlight w:val="none"/>
              </w:rPr>
            </w:pPr>
          </w:p>
        </w:tc>
        <w:tc>
          <w:tcPr>
            <w:tcW w:w="696" w:type="dxa"/>
            <w:vMerge w:val="continue"/>
            <w:vAlign w:val="center"/>
          </w:tcPr>
          <w:p w14:paraId="446A5246">
            <w:pPr>
              <w:pStyle w:val="25"/>
              <w:spacing w:before="23" w:line="228" w:lineRule="auto"/>
              <w:ind w:left="156"/>
              <w:jc w:val="both"/>
              <w:rPr>
                <w:rFonts w:hint="eastAsia" w:ascii="宋体" w:hAnsi="宋体" w:eastAsia="宋体" w:cs="宋体"/>
                <w:color w:val="auto"/>
                <w:spacing w:val="-4"/>
                <w:sz w:val="24"/>
                <w:szCs w:val="24"/>
                <w:highlight w:val="none"/>
              </w:rPr>
            </w:pPr>
          </w:p>
        </w:tc>
        <w:tc>
          <w:tcPr>
            <w:tcW w:w="1112" w:type="dxa"/>
            <w:vMerge w:val="continue"/>
            <w:vAlign w:val="center"/>
          </w:tcPr>
          <w:p w14:paraId="18194672">
            <w:pPr>
              <w:pStyle w:val="25"/>
              <w:spacing w:before="269" w:line="228" w:lineRule="auto"/>
              <w:ind w:left="168"/>
              <w:jc w:val="both"/>
              <w:rPr>
                <w:rFonts w:hint="eastAsia" w:ascii="宋体" w:hAnsi="宋体" w:eastAsia="宋体" w:cs="宋体"/>
                <w:color w:val="auto"/>
                <w:spacing w:val="2"/>
                <w:sz w:val="24"/>
                <w:szCs w:val="24"/>
                <w:highlight w:val="none"/>
              </w:rPr>
            </w:pPr>
          </w:p>
        </w:tc>
        <w:tc>
          <w:tcPr>
            <w:tcW w:w="1528" w:type="dxa"/>
            <w:vAlign w:val="top"/>
          </w:tcPr>
          <w:p w14:paraId="4D57571A">
            <w:pPr>
              <w:spacing w:line="259" w:lineRule="auto"/>
              <w:rPr>
                <w:rFonts w:hint="eastAsia" w:ascii="宋体" w:hAnsi="宋体" w:eastAsia="宋体" w:cs="宋体"/>
                <w:color w:val="auto"/>
                <w:sz w:val="24"/>
                <w:szCs w:val="24"/>
                <w:highlight w:val="none"/>
              </w:rPr>
            </w:pPr>
          </w:p>
          <w:p w14:paraId="20C61561">
            <w:pPr>
              <w:spacing w:line="259" w:lineRule="auto"/>
              <w:rPr>
                <w:rFonts w:hint="eastAsia" w:ascii="宋体" w:hAnsi="宋体" w:eastAsia="宋体" w:cs="宋体"/>
                <w:color w:val="auto"/>
                <w:sz w:val="24"/>
                <w:szCs w:val="24"/>
                <w:highlight w:val="none"/>
              </w:rPr>
            </w:pPr>
          </w:p>
          <w:p w14:paraId="46BFEE61">
            <w:pPr>
              <w:spacing w:line="259" w:lineRule="auto"/>
              <w:rPr>
                <w:rFonts w:hint="eastAsia" w:ascii="宋体" w:hAnsi="宋体" w:eastAsia="宋体" w:cs="宋体"/>
                <w:color w:val="auto"/>
                <w:sz w:val="24"/>
                <w:szCs w:val="24"/>
                <w:highlight w:val="none"/>
              </w:rPr>
            </w:pPr>
          </w:p>
          <w:p w14:paraId="3CDBBC77">
            <w:pPr>
              <w:spacing w:line="259" w:lineRule="auto"/>
              <w:rPr>
                <w:rFonts w:hint="eastAsia" w:ascii="宋体" w:hAnsi="宋体" w:eastAsia="宋体" w:cs="宋体"/>
                <w:color w:val="auto"/>
                <w:sz w:val="24"/>
                <w:szCs w:val="24"/>
                <w:highlight w:val="none"/>
              </w:rPr>
            </w:pPr>
          </w:p>
          <w:p w14:paraId="039247A6">
            <w:pPr>
              <w:spacing w:line="259" w:lineRule="auto"/>
              <w:rPr>
                <w:rFonts w:hint="eastAsia" w:ascii="宋体" w:hAnsi="宋体" w:eastAsia="宋体" w:cs="宋体"/>
                <w:color w:val="auto"/>
                <w:sz w:val="24"/>
                <w:szCs w:val="24"/>
                <w:highlight w:val="none"/>
              </w:rPr>
            </w:pPr>
          </w:p>
          <w:p w14:paraId="4EEA1C87">
            <w:pPr>
              <w:spacing w:line="259" w:lineRule="auto"/>
              <w:rPr>
                <w:rFonts w:hint="eastAsia" w:ascii="宋体" w:hAnsi="宋体" w:eastAsia="宋体" w:cs="宋体"/>
                <w:color w:val="auto"/>
                <w:sz w:val="24"/>
                <w:szCs w:val="24"/>
                <w:highlight w:val="none"/>
              </w:rPr>
            </w:pPr>
          </w:p>
          <w:p w14:paraId="76372E86">
            <w:pPr>
              <w:pStyle w:val="25"/>
              <w:spacing w:before="65" w:line="228" w:lineRule="auto"/>
              <w:ind w:left="477" w:leftChars="0"/>
              <w:rPr>
                <w:rFonts w:hint="eastAsia" w:ascii="宋体" w:hAnsi="宋体" w:eastAsia="宋体" w:cs="宋体"/>
                <w:color w:val="auto"/>
                <w:spacing w:val="6"/>
                <w:sz w:val="24"/>
                <w:szCs w:val="24"/>
                <w:highlight w:val="none"/>
              </w:rPr>
            </w:pPr>
            <w:r>
              <w:rPr>
                <w:rFonts w:hint="eastAsia" w:ascii="宋体" w:hAnsi="宋体" w:eastAsia="宋体" w:cs="宋体"/>
                <w:color w:val="auto"/>
                <w:spacing w:val="5"/>
                <w:sz w:val="24"/>
                <w:szCs w:val="24"/>
                <w:highlight w:val="none"/>
              </w:rPr>
              <w:t>业绩</w:t>
            </w:r>
          </w:p>
        </w:tc>
        <w:tc>
          <w:tcPr>
            <w:tcW w:w="1000" w:type="dxa"/>
            <w:vAlign w:val="top"/>
          </w:tcPr>
          <w:p w14:paraId="6BAFE375">
            <w:pPr>
              <w:spacing w:line="283" w:lineRule="auto"/>
              <w:rPr>
                <w:rFonts w:hint="eastAsia" w:ascii="宋体" w:hAnsi="宋体" w:eastAsia="宋体" w:cs="宋体"/>
                <w:color w:val="auto"/>
                <w:sz w:val="24"/>
                <w:szCs w:val="24"/>
                <w:highlight w:val="none"/>
              </w:rPr>
            </w:pPr>
          </w:p>
          <w:p w14:paraId="794D7200">
            <w:pPr>
              <w:spacing w:line="283" w:lineRule="auto"/>
              <w:rPr>
                <w:rFonts w:hint="eastAsia" w:ascii="宋体" w:hAnsi="宋体" w:eastAsia="宋体" w:cs="宋体"/>
                <w:color w:val="auto"/>
                <w:sz w:val="24"/>
                <w:szCs w:val="24"/>
                <w:highlight w:val="none"/>
              </w:rPr>
            </w:pPr>
          </w:p>
          <w:p w14:paraId="77D77AE2">
            <w:pPr>
              <w:spacing w:line="284" w:lineRule="auto"/>
              <w:rPr>
                <w:rFonts w:hint="eastAsia" w:ascii="宋体" w:hAnsi="宋体" w:eastAsia="宋体" w:cs="宋体"/>
                <w:color w:val="auto"/>
                <w:sz w:val="24"/>
                <w:szCs w:val="24"/>
                <w:highlight w:val="none"/>
              </w:rPr>
            </w:pPr>
          </w:p>
          <w:p w14:paraId="0E12E010">
            <w:pPr>
              <w:spacing w:line="284" w:lineRule="auto"/>
              <w:rPr>
                <w:rFonts w:hint="eastAsia" w:ascii="宋体" w:hAnsi="宋体" w:eastAsia="宋体" w:cs="宋体"/>
                <w:color w:val="auto"/>
                <w:sz w:val="24"/>
                <w:szCs w:val="24"/>
                <w:highlight w:val="none"/>
              </w:rPr>
            </w:pPr>
          </w:p>
          <w:p w14:paraId="10A3E9D7">
            <w:pPr>
              <w:spacing w:line="284" w:lineRule="auto"/>
              <w:rPr>
                <w:rFonts w:hint="eastAsia" w:ascii="宋体" w:hAnsi="宋体" w:eastAsia="宋体" w:cs="宋体"/>
                <w:color w:val="auto"/>
                <w:sz w:val="24"/>
                <w:szCs w:val="24"/>
                <w:highlight w:val="none"/>
              </w:rPr>
            </w:pPr>
          </w:p>
          <w:p w14:paraId="035FDAC8">
            <w:pPr>
              <w:pStyle w:val="25"/>
              <w:spacing w:before="65" w:line="254" w:lineRule="auto"/>
              <w:ind w:left="316" w:leftChars="0" w:right="201" w:rightChars="0" w:hanging="92" w:firstLineChars="0"/>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10.0</w:t>
            </w:r>
            <w:r>
              <w:rPr>
                <w:rFonts w:hint="eastAsia" w:ascii="宋体" w:hAnsi="宋体" w:eastAsia="宋体" w:cs="宋体"/>
                <w:color w:val="auto"/>
                <w:sz w:val="24"/>
                <w:szCs w:val="24"/>
                <w:highlight w:val="none"/>
              </w:rPr>
              <w:t>分</w:t>
            </w:r>
          </w:p>
        </w:tc>
        <w:tc>
          <w:tcPr>
            <w:tcW w:w="3763" w:type="dxa"/>
            <w:vAlign w:val="top"/>
          </w:tcPr>
          <w:p w14:paraId="5E3231B7">
            <w:pPr>
              <w:pStyle w:val="25"/>
              <w:keepNext w:val="0"/>
              <w:keepLines w:val="0"/>
              <w:pageBreakBefore w:val="0"/>
              <w:widowControl/>
              <w:kinsoku w:val="0"/>
              <w:wordWrap/>
              <w:overflowPunct/>
              <w:topLinePunct w:val="0"/>
              <w:autoSpaceDE w:val="0"/>
              <w:autoSpaceDN w:val="0"/>
              <w:bidi w:val="0"/>
              <w:adjustRightInd w:val="0"/>
              <w:snapToGrid w:val="0"/>
              <w:spacing w:before="130" w:line="360" w:lineRule="auto"/>
              <w:ind w:left="11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最近5年中(所完成项目的交竣工日期在</w:t>
            </w:r>
            <w:r>
              <w:rPr>
                <w:rFonts w:hint="eastAsia" w:ascii="宋体" w:hAnsi="宋体" w:eastAsia="宋体" w:cs="宋体"/>
                <w:color w:val="auto"/>
                <w:sz w:val="24"/>
                <w:szCs w:val="24"/>
                <w:highlight w:val="none"/>
              </w:rPr>
              <w:t>2020年1月1日之后)每完成过1个类似</w:t>
            </w:r>
            <w:r>
              <w:rPr>
                <w:rFonts w:hint="eastAsia" w:ascii="宋体" w:hAnsi="宋体" w:eastAsia="宋体" w:cs="宋体"/>
                <w:color w:val="auto"/>
                <w:spacing w:val="5"/>
                <w:sz w:val="24"/>
                <w:szCs w:val="24"/>
                <w:highlight w:val="none"/>
              </w:rPr>
              <w:t>工程施工业绩得</w:t>
            </w:r>
            <w:r>
              <w:rPr>
                <w:rFonts w:hint="eastAsia" w:ascii="宋体" w:hAnsi="宋体" w:eastAsia="宋体" w:cs="宋体"/>
                <w:color w:val="auto"/>
                <w:spacing w:val="5"/>
                <w:sz w:val="24"/>
                <w:szCs w:val="24"/>
                <w:highlight w:val="none"/>
                <w:lang w:val="en-US" w:eastAsia="zh-CN"/>
              </w:rPr>
              <w:t>5</w:t>
            </w:r>
            <w:r>
              <w:rPr>
                <w:rFonts w:hint="eastAsia" w:ascii="宋体" w:hAnsi="宋体" w:eastAsia="宋体" w:cs="宋体"/>
                <w:color w:val="auto"/>
                <w:spacing w:val="5"/>
                <w:sz w:val="24"/>
                <w:szCs w:val="24"/>
                <w:highlight w:val="none"/>
              </w:rPr>
              <w:t>分，满分10分，类</w:t>
            </w:r>
            <w:r>
              <w:rPr>
                <w:rFonts w:hint="eastAsia" w:ascii="宋体" w:hAnsi="宋体" w:eastAsia="宋体" w:cs="宋体"/>
                <w:color w:val="auto"/>
                <w:spacing w:val="9"/>
                <w:sz w:val="24"/>
                <w:szCs w:val="24"/>
                <w:highlight w:val="none"/>
              </w:rPr>
              <w:t>似工程指公路工程新建、改建、路面养护工程的施工业绩或道路工程施工业绩或桥</w:t>
            </w:r>
            <w:r>
              <w:rPr>
                <w:rFonts w:hint="eastAsia" w:ascii="宋体" w:hAnsi="宋体" w:eastAsia="宋体" w:cs="宋体"/>
                <w:color w:val="auto"/>
                <w:spacing w:val="7"/>
                <w:sz w:val="24"/>
                <w:szCs w:val="24"/>
                <w:highlight w:val="none"/>
              </w:rPr>
              <w:t>梁工程施工业绩。</w:t>
            </w:r>
          </w:p>
          <w:p w14:paraId="7BE8D38B">
            <w:pPr>
              <w:pStyle w:val="25"/>
              <w:keepNext w:val="0"/>
              <w:keepLines w:val="0"/>
              <w:pageBreakBefore w:val="0"/>
              <w:widowControl/>
              <w:kinsoku w:val="0"/>
              <w:wordWrap/>
              <w:overflowPunct/>
              <w:topLinePunct w:val="0"/>
              <w:autoSpaceDE w:val="0"/>
              <w:autoSpaceDN w:val="0"/>
              <w:bidi w:val="0"/>
              <w:adjustRightInd w:val="0"/>
              <w:snapToGrid w:val="0"/>
              <w:spacing w:before="269" w:line="360" w:lineRule="auto"/>
              <w:ind w:left="0" w:leftChars="0" w:right="0" w:rightChars="0"/>
              <w:textAlignment w:val="baseline"/>
              <w:rPr>
                <w:rFonts w:hint="eastAsia" w:ascii="宋体" w:hAnsi="宋体" w:eastAsia="宋体" w:cs="宋体"/>
                <w:color w:val="auto"/>
                <w:spacing w:val="8"/>
                <w:sz w:val="24"/>
                <w:szCs w:val="24"/>
                <w:highlight w:val="none"/>
              </w:rPr>
            </w:pPr>
            <w:r>
              <w:rPr>
                <w:rFonts w:hint="eastAsia" w:ascii="宋体" w:hAnsi="宋体" w:eastAsia="宋体" w:cs="宋体"/>
                <w:color w:val="auto"/>
                <w:spacing w:val="9"/>
                <w:sz w:val="24"/>
                <w:szCs w:val="24"/>
                <w:highlight w:val="none"/>
              </w:rPr>
              <w:t>注：应提供中标通知书或合同协</w:t>
            </w:r>
            <w:r>
              <w:rPr>
                <w:rFonts w:hint="eastAsia" w:ascii="宋体" w:hAnsi="宋体" w:eastAsia="宋体" w:cs="宋体"/>
                <w:color w:val="auto"/>
                <w:spacing w:val="8"/>
                <w:sz w:val="24"/>
                <w:szCs w:val="24"/>
                <w:highlight w:val="none"/>
              </w:rPr>
              <w:t>议书扫描件或工程竣(交)工验收证明材</w:t>
            </w:r>
            <w:r>
              <w:rPr>
                <w:rFonts w:hint="eastAsia" w:ascii="宋体" w:hAnsi="宋体" w:eastAsia="宋体" w:cs="宋体"/>
                <w:color w:val="auto"/>
                <w:spacing w:val="9"/>
                <w:sz w:val="24"/>
                <w:szCs w:val="24"/>
                <w:highlight w:val="none"/>
              </w:rPr>
              <w:t>料扫描件或交通运输部“全国公路建设市</w:t>
            </w:r>
            <w:r>
              <w:rPr>
                <w:rFonts w:hint="eastAsia" w:ascii="宋体" w:hAnsi="宋体" w:eastAsia="宋体" w:cs="宋体"/>
                <w:color w:val="auto"/>
                <w:spacing w:val="7"/>
                <w:sz w:val="24"/>
                <w:szCs w:val="24"/>
                <w:highlight w:val="none"/>
              </w:rPr>
              <w:t>场监督管理系统”中的施工业绩网页截图</w:t>
            </w:r>
            <w:r>
              <w:rPr>
                <w:rFonts w:hint="eastAsia" w:ascii="宋体" w:hAnsi="宋体" w:eastAsia="宋体" w:cs="宋体"/>
                <w:color w:val="auto"/>
                <w:spacing w:val="6"/>
                <w:sz w:val="24"/>
                <w:szCs w:val="24"/>
                <w:highlight w:val="none"/>
              </w:rPr>
              <w:t>并加盖公章。</w:t>
            </w:r>
          </w:p>
        </w:tc>
      </w:tr>
    </w:tbl>
    <w:p w14:paraId="57EA4A8C">
      <w:pPr>
        <w:pStyle w:val="4"/>
        <w:rPr>
          <w:rFonts w:hint="eastAsia" w:ascii="宋体" w:hAnsi="宋体" w:eastAsia="宋体" w:cs="宋体"/>
          <w:color w:val="auto"/>
          <w:sz w:val="24"/>
          <w:szCs w:val="24"/>
          <w:highlight w:val="none"/>
        </w:rPr>
      </w:pPr>
    </w:p>
    <w:p w14:paraId="0629E91B">
      <w:pPr>
        <w:spacing w:before="229"/>
        <w:rPr>
          <w:rFonts w:hint="eastAsia" w:ascii="宋体" w:hAnsi="宋体" w:eastAsia="宋体" w:cs="宋体"/>
          <w:color w:val="auto"/>
          <w:highlight w:val="none"/>
        </w:rPr>
      </w:pPr>
    </w:p>
    <w:tbl>
      <w:tblPr>
        <w:tblStyle w:val="24"/>
        <w:tblW w:w="8904" w:type="dxa"/>
        <w:tblInd w:w="103"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904"/>
      </w:tblGrid>
      <w:tr w14:paraId="3FCD0F61">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861" w:hRule="atLeast"/>
        </w:trPr>
        <w:tc>
          <w:tcPr>
            <w:tcW w:w="8904" w:type="dxa"/>
            <w:vAlign w:val="top"/>
          </w:tcPr>
          <w:p w14:paraId="202089F3">
            <w:pPr>
              <w:pStyle w:val="25"/>
              <w:spacing w:before="142" w:line="228"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需要补充的其他内容：</w:t>
            </w:r>
          </w:p>
          <w:p w14:paraId="232AAB86">
            <w:pPr>
              <w:pStyle w:val="25"/>
              <w:spacing w:before="271" w:line="366" w:lineRule="auto"/>
              <w:ind w:left="118" w:right="6" w:firstLine="10"/>
              <w:jc w:val="both"/>
              <w:rPr>
                <w:rFonts w:hint="eastAsia" w:ascii="宋体" w:hAnsi="宋体" w:eastAsia="宋体" w:cs="宋体"/>
                <w:color w:val="auto"/>
                <w:highlight w:val="none"/>
              </w:rPr>
            </w:pPr>
            <w:r>
              <w:rPr>
                <w:rFonts w:hint="eastAsia" w:ascii="宋体" w:hAnsi="宋体" w:eastAsia="宋体" w:cs="宋体"/>
                <w:color w:val="auto"/>
                <w:spacing w:val="11"/>
                <w:sz w:val="24"/>
                <w:szCs w:val="24"/>
                <w:highlight w:val="none"/>
              </w:rPr>
              <w:t>（1）各评分因素（评标价和履约信誉评分项除外</w:t>
            </w:r>
            <w:r>
              <w:rPr>
                <w:rFonts w:hint="eastAsia" w:ascii="宋体" w:hAnsi="宋体" w:eastAsia="宋体" w:cs="宋体"/>
                <w:color w:val="auto"/>
                <w:spacing w:val="10"/>
                <w:sz w:val="24"/>
                <w:szCs w:val="24"/>
                <w:highlight w:val="none"/>
              </w:rPr>
              <w:t>）得分一般不得低于其权重分值的60%，且各</w:t>
            </w:r>
            <w:r>
              <w:rPr>
                <w:rFonts w:hint="eastAsia" w:ascii="宋体" w:hAnsi="宋体" w:eastAsia="宋体" w:cs="宋体"/>
                <w:color w:val="auto"/>
                <w:spacing w:val="6"/>
                <w:sz w:val="24"/>
                <w:szCs w:val="24"/>
                <w:highlight w:val="none"/>
              </w:rPr>
              <w:t>评分因素得分应以评标委员会各成员的打分平均值确定，评标委员会成员总数为7人以上时（含</w:t>
            </w:r>
            <w:r>
              <w:rPr>
                <w:rFonts w:hint="eastAsia" w:ascii="宋体" w:hAnsi="宋体" w:eastAsia="宋体" w:cs="宋体"/>
                <w:color w:val="auto"/>
                <w:spacing w:val="8"/>
                <w:sz w:val="24"/>
                <w:szCs w:val="24"/>
                <w:highlight w:val="none"/>
              </w:rPr>
              <w:t>7人</w:t>
            </w:r>
            <w:r>
              <w:rPr>
                <w:rFonts w:hint="eastAsia" w:ascii="宋体" w:hAnsi="宋体" w:eastAsia="宋体" w:cs="宋体"/>
                <w:color w:val="auto"/>
                <w:spacing w:val="21"/>
                <w:sz w:val="24"/>
                <w:szCs w:val="24"/>
                <w:highlight w:val="none"/>
              </w:rPr>
              <w:t>），</w:t>
            </w:r>
            <w:r>
              <w:rPr>
                <w:rFonts w:hint="eastAsia" w:ascii="宋体" w:hAnsi="宋体" w:eastAsia="宋体" w:cs="宋体"/>
                <w:color w:val="auto"/>
                <w:spacing w:val="8"/>
                <w:sz w:val="24"/>
                <w:szCs w:val="24"/>
                <w:highlight w:val="none"/>
              </w:rPr>
              <w:t>该平均值以去掉一个最高分和一个最低分后计算。</w:t>
            </w:r>
          </w:p>
        </w:tc>
      </w:tr>
    </w:tbl>
    <w:p w14:paraId="3F790A45">
      <w:pPr>
        <w:spacing w:before="273" w:line="306" w:lineRule="auto"/>
        <w:ind w:left="119" w:right="41" w:firstLine="419"/>
        <w:rPr>
          <w:rFonts w:hint="eastAsia" w:ascii="宋体" w:hAnsi="宋体" w:eastAsia="宋体" w:cs="宋体"/>
          <w:color w:val="auto"/>
          <w:sz w:val="20"/>
          <w:szCs w:val="20"/>
          <w:highlight w:val="none"/>
        </w:rPr>
      </w:pPr>
      <w:r>
        <w:rPr>
          <w:rFonts w:hint="eastAsia" w:ascii="宋体" w:hAnsi="宋体" w:eastAsia="宋体" w:cs="宋体"/>
          <w:color w:val="auto"/>
          <w:spacing w:val="6"/>
          <w:position w:val="7"/>
          <w:sz w:val="20"/>
          <w:szCs w:val="20"/>
          <w:highlight w:val="none"/>
        </w:rPr>
        <w:t>①</w:t>
      </w:r>
      <w:r>
        <w:rPr>
          <w:rFonts w:hint="eastAsia" w:ascii="宋体" w:hAnsi="宋体" w:eastAsia="宋体" w:cs="宋体"/>
          <w:color w:val="auto"/>
          <w:spacing w:val="6"/>
          <w:sz w:val="20"/>
          <w:szCs w:val="20"/>
          <w:highlight w:val="none"/>
        </w:rPr>
        <w:t>“评标办法前附表”用于明确评标的方法、因素、标准和程序。招标人应根据招标项目具</w:t>
      </w:r>
      <w:r>
        <w:rPr>
          <w:rFonts w:hint="eastAsia" w:ascii="宋体" w:hAnsi="宋体" w:eastAsia="宋体" w:cs="宋体"/>
          <w:color w:val="auto"/>
          <w:spacing w:val="5"/>
          <w:sz w:val="20"/>
          <w:szCs w:val="20"/>
          <w:highlight w:val="none"/>
        </w:rPr>
        <w:t>体特点和实际需要，详细列明全部评审因素、标准，没有列明的因素和标准不得作为评标的依据。</w:t>
      </w:r>
    </w:p>
    <w:p w14:paraId="4F843EB7">
      <w:pPr>
        <w:spacing w:before="161" w:line="238" w:lineRule="auto"/>
        <w:ind w:left="540"/>
        <w:rPr>
          <w:rFonts w:hint="eastAsia" w:ascii="宋体" w:hAnsi="宋体" w:eastAsia="宋体" w:cs="宋体"/>
          <w:color w:val="auto"/>
          <w:sz w:val="20"/>
          <w:szCs w:val="20"/>
          <w:highlight w:val="none"/>
        </w:rPr>
      </w:pPr>
      <w:r>
        <w:rPr>
          <w:rFonts w:hint="eastAsia" w:ascii="宋体" w:hAnsi="宋体" w:eastAsia="宋体" w:cs="宋体"/>
          <w:color w:val="auto"/>
          <w:spacing w:val="8"/>
          <w:position w:val="7"/>
          <w:sz w:val="20"/>
          <w:szCs w:val="20"/>
          <w:highlight w:val="none"/>
        </w:rPr>
        <w:t>①</w:t>
      </w:r>
      <w:r>
        <w:rPr>
          <w:rFonts w:hint="eastAsia" w:ascii="宋体" w:hAnsi="宋体" w:eastAsia="宋体" w:cs="宋体"/>
          <w:color w:val="auto"/>
          <w:spacing w:val="8"/>
          <w:sz w:val="20"/>
          <w:szCs w:val="20"/>
          <w:highlight w:val="none"/>
        </w:rPr>
        <w:t>本项适用于未进行资格预审的情况。</w:t>
      </w:r>
    </w:p>
    <w:p w14:paraId="2CAF52AD">
      <w:pPr>
        <w:spacing w:before="160" w:line="331" w:lineRule="auto"/>
        <w:ind w:left="119" w:right="112" w:firstLine="417"/>
        <w:rPr>
          <w:rFonts w:hint="eastAsia" w:ascii="宋体" w:hAnsi="宋体" w:eastAsia="宋体" w:cs="宋体"/>
          <w:color w:val="auto"/>
          <w:sz w:val="20"/>
          <w:szCs w:val="20"/>
          <w:highlight w:val="none"/>
        </w:rPr>
      </w:pPr>
      <w:r>
        <w:rPr>
          <w:rFonts w:hint="eastAsia" w:ascii="宋体" w:hAnsi="宋体" w:eastAsia="宋体" w:cs="宋体"/>
          <w:color w:val="auto"/>
          <w:spacing w:val="10"/>
          <w:position w:val="7"/>
          <w:sz w:val="20"/>
          <w:szCs w:val="20"/>
          <w:highlight w:val="none"/>
        </w:rPr>
        <w:t>②</w:t>
      </w:r>
      <w:r>
        <w:rPr>
          <w:rFonts w:hint="eastAsia" w:ascii="宋体" w:hAnsi="宋体" w:eastAsia="宋体" w:cs="宋体"/>
          <w:color w:val="auto"/>
          <w:spacing w:val="10"/>
          <w:sz w:val="20"/>
          <w:szCs w:val="20"/>
          <w:highlight w:val="none"/>
        </w:rPr>
        <w:t>对于特别复杂的特大桥梁和特长隧道项目</w:t>
      </w:r>
      <w:r>
        <w:rPr>
          <w:rFonts w:hint="eastAsia" w:ascii="宋体" w:hAnsi="宋体" w:eastAsia="宋体" w:cs="宋体"/>
          <w:color w:val="auto"/>
          <w:spacing w:val="9"/>
          <w:sz w:val="20"/>
          <w:szCs w:val="20"/>
          <w:highlight w:val="none"/>
        </w:rPr>
        <w:t>主体工程以及其他有特殊要求的工程，还可对其他管理和技术人员（例如项目副经理、专业工程师等）以及主</w:t>
      </w:r>
      <w:r>
        <w:rPr>
          <w:rFonts w:hint="eastAsia" w:ascii="宋体" w:hAnsi="宋体" w:eastAsia="宋体" w:cs="宋体"/>
          <w:color w:val="auto"/>
          <w:spacing w:val="8"/>
          <w:sz w:val="20"/>
          <w:szCs w:val="20"/>
          <w:highlight w:val="none"/>
        </w:rPr>
        <w:t>要机械设备和试验检测设备进行</w:t>
      </w:r>
      <w:r>
        <w:rPr>
          <w:rFonts w:hint="eastAsia" w:ascii="宋体" w:hAnsi="宋体" w:eastAsia="宋体" w:cs="宋体"/>
          <w:color w:val="auto"/>
          <w:spacing w:val="5"/>
          <w:sz w:val="20"/>
          <w:szCs w:val="20"/>
          <w:highlight w:val="none"/>
        </w:rPr>
        <w:t>资格评审。</w:t>
      </w:r>
    </w:p>
    <w:p w14:paraId="6C4035F0">
      <w:pPr>
        <w:spacing w:before="163" w:line="307" w:lineRule="auto"/>
        <w:ind w:left="134" w:right="45" w:firstLine="402"/>
        <w:rPr>
          <w:rFonts w:hint="eastAsia" w:ascii="宋体" w:hAnsi="宋体" w:eastAsia="宋体" w:cs="宋体"/>
          <w:color w:val="auto"/>
          <w:sz w:val="20"/>
          <w:szCs w:val="20"/>
          <w:highlight w:val="none"/>
        </w:rPr>
      </w:pPr>
      <w:r>
        <w:rPr>
          <w:rFonts w:hint="eastAsia" w:ascii="宋体" w:hAnsi="宋体" w:eastAsia="宋体" w:cs="宋体"/>
          <w:color w:val="auto"/>
          <w:spacing w:val="4"/>
          <w:position w:val="7"/>
          <w:sz w:val="20"/>
          <w:szCs w:val="20"/>
          <w:highlight w:val="none"/>
        </w:rPr>
        <w:t>③</w:t>
      </w:r>
      <w:r>
        <w:rPr>
          <w:rFonts w:hint="eastAsia" w:ascii="宋体" w:hAnsi="宋体" w:eastAsia="宋体" w:cs="宋体"/>
          <w:color w:val="auto"/>
          <w:spacing w:val="4"/>
          <w:sz w:val="20"/>
          <w:szCs w:val="20"/>
          <w:highlight w:val="none"/>
        </w:rPr>
        <w:t>本款规定仅适用于根据《关于发布公路工程从业企业</w:t>
      </w:r>
      <w:r>
        <w:rPr>
          <w:rFonts w:hint="eastAsia" w:ascii="宋体" w:hAnsi="宋体" w:eastAsia="宋体" w:cs="宋体"/>
          <w:color w:val="auto"/>
          <w:spacing w:val="3"/>
          <w:sz w:val="20"/>
          <w:szCs w:val="20"/>
          <w:highlight w:val="none"/>
        </w:rPr>
        <w:t>资质名录的通知》（厅公路字〔2011〕</w:t>
      </w:r>
      <w:r>
        <w:rPr>
          <w:rFonts w:hint="eastAsia" w:ascii="宋体" w:hAnsi="宋体" w:eastAsia="宋体" w:cs="宋体"/>
          <w:color w:val="auto"/>
          <w:spacing w:val="8"/>
          <w:sz w:val="20"/>
          <w:szCs w:val="20"/>
          <w:highlight w:val="none"/>
        </w:rPr>
        <w:t>114号）要求，招标人应通过名录对投标人资质条件进行审核的公路施工企业。</w:t>
      </w:r>
    </w:p>
    <w:p w14:paraId="5A7E8925">
      <w:pPr>
        <w:spacing w:before="161" w:line="306" w:lineRule="auto"/>
        <w:ind w:left="134" w:right="112" w:firstLine="403"/>
        <w:rPr>
          <w:rFonts w:hint="eastAsia" w:ascii="宋体" w:hAnsi="宋体" w:eastAsia="宋体" w:cs="宋体"/>
          <w:color w:val="auto"/>
          <w:sz w:val="20"/>
          <w:szCs w:val="20"/>
          <w:highlight w:val="none"/>
        </w:rPr>
      </w:pPr>
      <w:r>
        <w:rPr>
          <w:rFonts w:hint="eastAsia" w:ascii="宋体" w:hAnsi="宋体" w:eastAsia="宋体" w:cs="宋体"/>
          <w:color w:val="auto"/>
          <w:spacing w:val="6"/>
          <w:position w:val="7"/>
          <w:sz w:val="20"/>
          <w:szCs w:val="20"/>
          <w:highlight w:val="none"/>
        </w:rPr>
        <w:t>①</w:t>
      </w:r>
      <w:r>
        <w:rPr>
          <w:rFonts w:hint="eastAsia" w:ascii="宋体" w:hAnsi="宋体" w:eastAsia="宋体" w:cs="宋体"/>
          <w:color w:val="auto"/>
          <w:spacing w:val="6"/>
          <w:sz w:val="20"/>
          <w:szCs w:val="20"/>
          <w:highlight w:val="none"/>
        </w:rPr>
        <w:t>各评分因素权重分值范围如下：施工组织设计25~40分；主要人员25~40分；技术能力</w:t>
      </w:r>
      <w:r>
        <w:rPr>
          <w:rFonts w:hint="eastAsia" w:ascii="宋体" w:hAnsi="宋体" w:eastAsia="宋体" w:cs="宋体"/>
          <w:color w:val="auto"/>
          <w:spacing w:val="3"/>
          <w:sz w:val="20"/>
          <w:szCs w:val="20"/>
          <w:highlight w:val="none"/>
        </w:rPr>
        <w:t>10~20分；履约信誉15~25分；业绩10~25分。</w:t>
      </w:r>
    </w:p>
    <w:p w14:paraId="54B92587">
      <w:pPr>
        <w:keepNext w:val="0"/>
        <w:keepLines w:val="0"/>
        <w:pageBreakBefore w:val="0"/>
        <w:widowControl/>
        <w:kinsoku w:val="0"/>
        <w:wordWrap/>
        <w:overflowPunct/>
        <w:topLinePunct w:val="0"/>
        <w:autoSpaceDE w:val="0"/>
        <w:autoSpaceDN w:val="0"/>
        <w:bidi w:val="0"/>
        <w:adjustRightInd w:val="0"/>
        <w:snapToGrid w:val="0"/>
        <w:spacing w:before="288" w:line="360" w:lineRule="auto"/>
        <w:ind w:left="40" w:firstLine="428" w:firstLineChars="200"/>
        <w:textAlignment w:val="baseline"/>
        <w:rPr>
          <w:rFonts w:hint="eastAsia" w:ascii="宋体" w:hAnsi="宋体" w:eastAsia="宋体" w:cs="宋体"/>
          <w:color w:val="auto"/>
          <w:sz w:val="20"/>
          <w:szCs w:val="20"/>
          <w:highlight w:val="none"/>
        </w:rPr>
      </w:pPr>
      <w:r>
        <w:rPr>
          <w:rFonts w:hint="eastAsia" w:ascii="宋体" w:hAnsi="宋体" w:eastAsia="宋体" w:cs="宋体"/>
          <w:color w:val="auto"/>
          <w:spacing w:val="7"/>
          <w:position w:val="7"/>
          <w:sz w:val="20"/>
          <w:szCs w:val="20"/>
          <w:highlight w:val="none"/>
        </w:rPr>
        <w:t>②</w:t>
      </w:r>
      <w:r>
        <w:rPr>
          <w:rFonts w:hint="eastAsia" w:ascii="宋体" w:hAnsi="宋体" w:eastAsia="宋体" w:cs="宋体"/>
          <w:color w:val="auto"/>
          <w:spacing w:val="7"/>
          <w:sz w:val="20"/>
          <w:szCs w:val="20"/>
          <w:highlight w:val="none"/>
        </w:rPr>
        <w:t>“技术能力”指投标人的科研开发和技术创新能力，招标人可结合招标项目的具体情况提</w:t>
      </w:r>
      <w:r>
        <w:rPr>
          <w:rFonts w:hint="eastAsia" w:ascii="宋体" w:hAnsi="宋体" w:eastAsia="宋体" w:cs="宋体"/>
          <w:color w:val="auto"/>
          <w:spacing w:val="1"/>
          <w:sz w:val="20"/>
          <w:szCs w:val="20"/>
          <w:highlight w:val="none"/>
        </w:rPr>
        <w:t>出相关要求，包括投标人获得的与项目施工有关的国家级工法、专利（发明专利或实用新型专利）、</w:t>
      </w:r>
      <w:r>
        <w:rPr>
          <w:rFonts w:hint="eastAsia" w:ascii="宋体" w:hAnsi="宋体" w:eastAsia="宋体" w:cs="宋体"/>
          <w:color w:val="auto"/>
          <w:spacing w:val="9"/>
          <w:sz w:val="20"/>
          <w:szCs w:val="20"/>
          <w:highlight w:val="none"/>
        </w:rPr>
        <w:t>国家或省级科学技术进步奖，主编或参编过的国家、</w:t>
      </w:r>
      <w:r>
        <w:rPr>
          <w:rFonts w:hint="eastAsia" w:ascii="宋体" w:hAnsi="宋体" w:eastAsia="宋体" w:cs="宋体"/>
          <w:color w:val="auto"/>
          <w:spacing w:val="8"/>
          <w:sz w:val="20"/>
          <w:szCs w:val="20"/>
          <w:highlight w:val="none"/>
        </w:rPr>
        <w:t>行业或地方标准等。</w:t>
      </w:r>
    </w:p>
    <w:p w14:paraId="14A12AD2">
      <w:pPr>
        <w:spacing w:before="164" w:line="330" w:lineRule="auto"/>
        <w:ind w:left="19" w:right="7" w:firstLine="418"/>
        <w:rPr>
          <w:rFonts w:hint="eastAsia" w:ascii="宋体" w:hAnsi="宋体" w:eastAsia="宋体" w:cs="宋体"/>
          <w:color w:val="auto"/>
          <w:sz w:val="20"/>
          <w:szCs w:val="20"/>
          <w:highlight w:val="none"/>
        </w:rPr>
      </w:pPr>
      <w:r>
        <w:rPr>
          <w:rFonts w:hint="eastAsia" w:ascii="宋体" w:hAnsi="宋体" w:eastAsia="宋体" w:cs="宋体"/>
          <w:color w:val="auto"/>
          <w:spacing w:val="7"/>
          <w:position w:val="7"/>
          <w:sz w:val="20"/>
          <w:szCs w:val="20"/>
          <w:highlight w:val="none"/>
        </w:rPr>
        <w:t>③</w:t>
      </w:r>
      <w:r>
        <w:rPr>
          <w:rFonts w:hint="eastAsia" w:ascii="宋体" w:hAnsi="宋体" w:eastAsia="宋体" w:cs="宋体"/>
          <w:color w:val="auto"/>
          <w:spacing w:val="7"/>
          <w:sz w:val="20"/>
          <w:szCs w:val="20"/>
          <w:highlight w:val="none"/>
        </w:rPr>
        <w:t>如本项目招标由投标人按照招标人提供的工程量固化清单电子文件填写工程量清单，无须</w:t>
      </w:r>
      <w:r>
        <w:rPr>
          <w:rFonts w:hint="eastAsia" w:ascii="宋体" w:hAnsi="宋体" w:eastAsia="宋体" w:cs="宋体"/>
          <w:color w:val="auto"/>
          <w:spacing w:val="9"/>
          <w:sz w:val="20"/>
          <w:szCs w:val="20"/>
          <w:highlight w:val="none"/>
        </w:rPr>
        <w:t>按照本章第3.4.2项和第3.4.3项的规定对投标报价进行修正，评标价＝投标函文字报价－暂</w:t>
      </w:r>
      <w:r>
        <w:rPr>
          <w:rFonts w:hint="eastAsia" w:ascii="宋体" w:hAnsi="宋体" w:eastAsia="宋体" w:cs="宋体"/>
          <w:color w:val="auto"/>
          <w:spacing w:val="8"/>
          <w:sz w:val="20"/>
          <w:szCs w:val="20"/>
          <w:highlight w:val="none"/>
        </w:rPr>
        <w:t>估价－暂列金额（不含计日工总额）。</w:t>
      </w:r>
    </w:p>
    <w:p w14:paraId="6014B5EB">
      <w:pPr>
        <w:spacing w:before="162" w:line="306" w:lineRule="auto"/>
        <w:ind w:left="23" w:right="7" w:firstLine="414"/>
        <w:rPr>
          <w:rFonts w:hint="eastAsia" w:ascii="宋体" w:hAnsi="宋体" w:eastAsia="宋体" w:cs="宋体"/>
          <w:color w:val="auto"/>
          <w:sz w:val="20"/>
          <w:szCs w:val="20"/>
          <w:highlight w:val="none"/>
        </w:rPr>
      </w:pPr>
      <w:r>
        <w:rPr>
          <w:rFonts w:hint="eastAsia" w:ascii="宋体" w:hAnsi="宋体" w:eastAsia="宋体" w:cs="宋体"/>
          <w:color w:val="auto"/>
          <w:spacing w:val="9"/>
          <w:position w:val="7"/>
          <w:sz w:val="20"/>
          <w:szCs w:val="20"/>
          <w:highlight w:val="none"/>
        </w:rPr>
        <w:t>④</w:t>
      </w:r>
      <w:r>
        <w:rPr>
          <w:rFonts w:hint="eastAsia" w:ascii="宋体" w:hAnsi="宋体" w:eastAsia="宋体" w:cs="宋体"/>
          <w:color w:val="auto"/>
          <w:spacing w:val="9"/>
          <w:sz w:val="20"/>
          <w:szCs w:val="20"/>
          <w:highlight w:val="none"/>
        </w:rPr>
        <w:t>该数量的设置应避免本办法演变为经评审的最低投标价法，该数量应不少于3名，最高不宜超过10名。此外，招标人可规定技</w:t>
      </w:r>
      <w:r>
        <w:rPr>
          <w:rFonts w:hint="eastAsia" w:ascii="宋体" w:hAnsi="宋体" w:eastAsia="宋体" w:cs="宋体"/>
          <w:color w:val="auto"/>
          <w:spacing w:val="8"/>
          <w:sz w:val="20"/>
          <w:szCs w:val="20"/>
          <w:highlight w:val="none"/>
        </w:rPr>
        <w:t>术文件采用暗标形式编制。</w:t>
      </w:r>
    </w:p>
    <w:p w14:paraId="77A6BA5E">
      <w:pPr>
        <w:spacing w:before="243" w:line="353" w:lineRule="auto"/>
        <w:ind w:left="19" w:firstLine="462"/>
        <w:rPr>
          <w:rFonts w:hint="eastAsia" w:ascii="宋体" w:hAnsi="宋体" w:eastAsia="宋体" w:cs="宋体"/>
          <w:color w:val="auto"/>
          <w:sz w:val="20"/>
          <w:szCs w:val="20"/>
          <w:highlight w:val="none"/>
        </w:rPr>
      </w:pPr>
      <w:r>
        <w:rPr>
          <w:rFonts w:hint="eastAsia" w:ascii="宋体" w:hAnsi="宋体" w:eastAsia="宋体" w:cs="宋体"/>
          <w:color w:val="auto"/>
          <w:spacing w:val="10"/>
          <w:position w:val="7"/>
          <w:sz w:val="20"/>
          <w:szCs w:val="20"/>
          <w:highlight w:val="none"/>
        </w:rPr>
        <w:t>①</w:t>
      </w:r>
      <w:r>
        <w:rPr>
          <w:rFonts w:hint="eastAsia" w:ascii="宋体" w:hAnsi="宋体" w:eastAsia="宋体" w:cs="宋体"/>
          <w:color w:val="auto"/>
          <w:spacing w:val="10"/>
          <w:sz w:val="20"/>
          <w:szCs w:val="20"/>
          <w:highlight w:val="none"/>
        </w:rPr>
        <w:t>招标人应根据项目具体情况确定各评分因素及评分因素权重分值，并对各评</w:t>
      </w:r>
      <w:r>
        <w:rPr>
          <w:rFonts w:hint="eastAsia" w:ascii="宋体" w:hAnsi="宋体" w:eastAsia="宋体" w:cs="宋体"/>
          <w:color w:val="auto"/>
          <w:spacing w:val="9"/>
          <w:sz w:val="20"/>
          <w:szCs w:val="20"/>
          <w:highlight w:val="none"/>
        </w:rPr>
        <w:t>分因素进行</w:t>
      </w:r>
      <w:r>
        <w:rPr>
          <w:rFonts w:hint="eastAsia" w:ascii="宋体" w:hAnsi="宋体" w:eastAsia="宋体" w:cs="宋体"/>
          <w:color w:val="auto"/>
          <w:spacing w:val="7"/>
          <w:sz w:val="20"/>
          <w:szCs w:val="20"/>
          <w:highlight w:val="none"/>
        </w:rPr>
        <w:t>细分（如有）、确定各评分因素细分项的分值，各评分因素权重分值合计应为100</w:t>
      </w:r>
      <w:r>
        <w:rPr>
          <w:rFonts w:hint="eastAsia" w:ascii="宋体" w:hAnsi="宋体" w:eastAsia="宋体" w:cs="宋体"/>
          <w:color w:val="auto"/>
          <w:spacing w:val="6"/>
          <w:sz w:val="20"/>
          <w:szCs w:val="20"/>
          <w:highlight w:val="none"/>
        </w:rPr>
        <w:t>分。各评分因</w:t>
      </w:r>
      <w:r>
        <w:rPr>
          <w:rFonts w:hint="eastAsia" w:ascii="宋体" w:hAnsi="宋体" w:eastAsia="宋体" w:cs="宋体"/>
          <w:color w:val="auto"/>
          <w:spacing w:val="9"/>
          <w:sz w:val="20"/>
          <w:szCs w:val="20"/>
          <w:highlight w:val="none"/>
        </w:rPr>
        <w:t>素（评标价和履约信誉评分项除外）得分一般不得低于其权重分值的60%，且各评分因素得分应</w:t>
      </w:r>
      <w:r>
        <w:rPr>
          <w:rFonts w:hint="eastAsia" w:ascii="宋体" w:hAnsi="宋体" w:eastAsia="宋体" w:cs="宋体"/>
          <w:color w:val="auto"/>
          <w:spacing w:val="6"/>
          <w:sz w:val="20"/>
          <w:szCs w:val="20"/>
          <w:highlight w:val="none"/>
        </w:rPr>
        <w:t>以评标委员会各成员的打分平均值确定，评标委员会成员总数为7人以上时（含7人</w:t>
      </w:r>
      <w:r>
        <w:rPr>
          <w:rFonts w:hint="eastAsia" w:ascii="宋体" w:hAnsi="宋体" w:eastAsia="宋体" w:cs="宋体"/>
          <w:color w:val="auto"/>
          <w:spacing w:val="13"/>
          <w:sz w:val="20"/>
          <w:szCs w:val="20"/>
          <w:highlight w:val="none"/>
        </w:rPr>
        <w:t>），</w:t>
      </w:r>
      <w:r>
        <w:rPr>
          <w:rFonts w:hint="eastAsia" w:ascii="宋体" w:hAnsi="宋体" w:eastAsia="宋体" w:cs="宋体"/>
          <w:color w:val="auto"/>
          <w:spacing w:val="6"/>
          <w:sz w:val="20"/>
          <w:szCs w:val="20"/>
          <w:highlight w:val="none"/>
        </w:rPr>
        <w:t>该平均</w:t>
      </w:r>
      <w:r>
        <w:rPr>
          <w:rFonts w:hint="eastAsia" w:ascii="宋体" w:hAnsi="宋体" w:eastAsia="宋体" w:cs="宋体"/>
          <w:color w:val="auto"/>
          <w:spacing w:val="5"/>
          <w:sz w:val="20"/>
          <w:szCs w:val="20"/>
          <w:highlight w:val="none"/>
        </w:rPr>
        <w:t>值以去掉一个最高分和一个最低分后计算。评标委员会成员对某一项评分因素的评分低于权重分值</w:t>
      </w:r>
      <w:r>
        <w:rPr>
          <w:rFonts w:hint="eastAsia" w:ascii="宋体" w:hAnsi="宋体" w:eastAsia="宋体" w:cs="宋体"/>
          <w:color w:val="auto"/>
          <w:spacing w:val="6"/>
          <w:sz w:val="20"/>
          <w:szCs w:val="20"/>
          <w:highlight w:val="none"/>
        </w:rPr>
        <w:t>60%的，应在评标报告中作出说明。</w:t>
      </w:r>
    </w:p>
    <w:p w14:paraId="13BDFC31">
      <w:pPr>
        <w:spacing w:before="165" w:line="306" w:lineRule="auto"/>
        <w:ind w:left="18" w:right="7" w:firstLine="419"/>
        <w:rPr>
          <w:rFonts w:hint="eastAsia" w:ascii="宋体" w:hAnsi="宋体" w:eastAsia="宋体" w:cs="宋体"/>
          <w:color w:val="auto"/>
          <w:sz w:val="20"/>
          <w:szCs w:val="20"/>
          <w:highlight w:val="none"/>
        </w:rPr>
      </w:pPr>
      <w:r>
        <w:rPr>
          <w:rFonts w:hint="eastAsia" w:ascii="宋体" w:hAnsi="宋体" w:eastAsia="宋体" w:cs="宋体"/>
          <w:color w:val="auto"/>
          <w:spacing w:val="7"/>
          <w:position w:val="7"/>
          <w:sz w:val="20"/>
          <w:szCs w:val="20"/>
          <w:highlight w:val="none"/>
        </w:rPr>
        <w:t>②</w:t>
      </w:r>
      <w:r>
        <w:rPr>
          <w:rFonts w:hint="eastAsia" w:ascii="宋体" w:hAnsi="宋体" w:eastAsia="宋体" w:cs="宋体"/>
          <w:color w:val="auto"/>
          <w:spacing w:val="7"/>
          <w:sz w:val="20"/>
          <w:szCs w:val="20"/>
          <w:highlight w:val="none"/>
        </w:rPr>
        <w:t>招标人应列明各评分因素或各评分因素细分项（如有）的评分标准并作为评标委员会进行</w:t>
      </w:r>
      <w:r>
        <w:rPr>
          <w:rFonts w:hint="eastAsia" w:ascii="宋体" w:hAnsi="宋体" w:eastAsia="宋体" w:cs="宋体"/>
          <w:color w:val="auto"/>
          <w:spacing w:val="6"/>
          <w:sz w:val="20"/>
          <w:szCs w:val="20"/>
          <w:highlight w:val="none"/>
        </w:rPr>
        <w:t>评分的依据。</w:t>
      </w:r>
    </w:p>
    <w:p w14:paraId="0662594F">
      <w:pPr>
        <w:spacing w:before="238" w:line="306" w:lineRule="auto"/>
        <w:ind w:left="18" w:right="7" w:firstLine="420"/>
        <w:rPr>
          <w:rFonts w:hint="eastAsia" w:ascii="宋体" w:hAnsi="宋体" w:eastAsia="宋体" w:cs="宋体"/>
          <w:color w:val="auto"/>
          <w:sz w:val="20"/>
          <w:szCs w:val="20"/>
          <w:highlight w:val="none"/>
        </w:rPr>
      </w:pPr>
      <w:r>
        <w:rPr>
          <w:rFonts w:hint="eastAsia" w:ascii="宋体" w:hAnsi="宋体" w:eastAsia="宋体" w:cs="宋体"/>
          <w:color w:val="auto"/>
          <w:spacing w:val="12"/>
          <w:position w:val="7"/>
          <w:sz w:val="20"/>
          <w:szCs w:val="20"/>
          <w:highlight w:val="none"/>
        </w:rPr>
        <w:t>③</w:t>
      </w:r>
      <w:r>
        <w:rPr>
          <w:rFonts w:hint="eastAsia" w:ascii="宋体" w:hAnsi="宋体" w:eastAsia="宋体" w:cs="宋体"/>
          <w:color w:val="auto"/>
          <w:spacing w:val="12"/>
          <w:sz w:val="20"/>
          <w:szCs w:val="20"/>
          <w:highlight w:val="none"/>
        </w:rPr>
        <w:t>招标人可结合招标项目所在地省级交通运输主管部门对投标人的信用评级对其履约信用</w:t>
      </w:r>
      <w:r>
        <w:rPr>
          <w:rFonts w:hint="eastAsia" w:ascii="宋体" w:hAnsi="宋体" w:eastAsia="宋体" w:cs="宋体"/>
          <w:color w:val="auto"/>
          <w:spacing w:val="9"/>
          <w:sz w:val="20"/>
          <w:szCs w:val="20"/>
          <w:highlight w:val="none"/>
        </w:rPr>
        <w:t>进行评分，但不得任意设置歧视性条款并不得任意设立行政许可。</w:t>
      </w:r>
    </w:p>
    <w:p w14:paraId="4263D717">
      <w:pPr>
        <w:spacing w:line="306" w:lineRule="auto"/>
        <w:rPr>
          <w:rFonts w:hint="eastAsia" w:ascii="宋体" w:hAnsi="宋体" w:eastAsia="宋体" w:cs="宋体"/>
          <w:color w:val="auto"/>
          <w:sz w:val="20"/>
          <w:szCs w:val="20"/>
          <w:highlight w:val="none"/>
        </w:rPr>
        <w:sectPr>
          <w:headerReference r:id="rId47" w:type="default"/>
          <w:footerReference r:id="rId48" w:type="default"/>
          <w:pgSz w:w="11907" w:h="16840"/>
          <w:pgMar w:top="1182" w:right="1284" w:bottom="1014" w:left="1786" w:header="849" w:footer="852" w:gutter="0"/>
          <w:pgNumType w:fmt="decimal"/>
          <w:cols w:space="720" w:num="1"/>
        </w:sectPr>
      </w:pPr>
    </w:p>
    <w:p w14:paraId="723B2394">
      <w:pPr>
        <w:spacing w:before="235" w:line="306" w:lineRule="auto"/>
        <w:ind w:left="137" w:right="41" w:firstLine="400"/>
        <w:rPr>
          <w:rFonts w:hint="eastAsia" w:ascii="宋体" w:hAnsi="宋体" w:eastAsia="宋体" w:cs="宋体"/>
          <w:color w:val="auto"/>
          <w:sz w:val="20"/>
          <w:szCs w:val="20"/>
          <w:highlight w:val="none"/>
        </w:rPr>
      </w:pPr>
    </w:p>
    <w:p w14:paraId="2F4A39AB">
      <w:pPr>
        <w:pStyle w:val="4"/>
        <w:spacing w:before="297" w:line="222" w:lineRule="auto"/>
        <w:ind w:left="33"/>
        <w:outlineLvl w:val="2"/>
        <w:rPr>
          <w:rFonts w:hint="eastAsia" w:ascii="宋体" w:hAnsi="宋体" w:eastAsia="宋体" w:cs="宋体"/>
          <w:color w:val="auto"/>
          <w:sz w:val="28"/>
          <w:szCs w:val="28"/>
          <w:highlight w:val="none"/>
        </w:rPr>
      </w:pPr>
      <w:bookmarkStart w:id="426" w:name="_Toc24129"/>
      <w:bookmarkStart w:id="427" w:name="_Toc24627"/>
      <w:bookmarkStart w:id="428" w:name="_Toc3237"/>
      <w:bookmarkStart w:id="429" w:name="_Toc31279"/>
      <w:bookmarkStart w:id="430" w:name="_Toc7179"/>
      <w:r>
        <w:rPr>
          <w:rFonts w:hint="eastAsia" w:ascii="宋体" w:hAnsi="宋体" w:eastAsia="宋体" w:cs="宋体"/>
          <w:b/>
          <w:bCs/>
          <w:color w:val="auto"/>
          <w:spacing w:val="-7"/>
          <w:sz w:val="28"/>
          <w:szCs w:val="28"/>
          <w:highlight w:val="none"/>
        </w:rPr>
        <w:t>1.评标方法</w:t>
      </w:r>
      <w:bookmarkEnd w:id="426"/>
      <w:bookmarkEnd w:id="427"/>
      <w:bookmarkEnd w:id="428"/>
      <w:bookmarkEnd w:id="429"/>
      <w:bookmarkEnd w:id="430"/>
    </w:p>
    <w:p w14:paraId="3C8C6743">
      <w:pPr>
        <w:pStyle w:val="4"/>
        <w:spacing w:line="435" w:lineRule="auto"/>
        <w:rPr>
          <w:rFonts w:hint="eastAsia" w:ascii="宋体" w:hAnsi="宋体" w:eastAsia="宋体" w:cs="宋体"/>
          <w:color w:val="auto"/>
          <w:highlight w:val="none"/>
        </w:rPr>
      </w:pPr>
    </w:p>
    <w:p w14:paraId="3FE7BD20">
      <w:pPr>
        <w:keepNext w:val="0"/>
        <w:keepLines w:val="0"/>
        <w:pageBreakBefore w:val="0"/>
        <w:widowControl/>
        <w:kinsoku w:val="0"/>
        <w:wordWrap/>
        <w:overflowPunct/>
        <w:topLinePunct w:val="0"/>
        <w:autoSpaceDE w:val="0"/>
        <w:autoSpaceDN w:val="0"/>
        <w:bidi w:val="0"/>
        <w:adjustRightInd w:val="0"/>
        <w:snapToGrid w:val="0"/>
        <w:spacing w:before="65" w:line="380" w:lineRule="auto"/>
        <w:ind w:left="17" w:right="0"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本次评标采用技术评分最低标价法。评标委员会对满足招标文</w:t>
      </w:r>
      <w:r>
        <w:rPr>
          <w:rFonts w:hint="eastAsia" w:ascii="宋体" w:hAnsi="宋体" w:eastAsia="宋体" w:cs="宋体"/>
          <w:color w:val="auto"/>
          <w:spacing w:val="9"/>
          <w:sz w:val="24"/>
          <w:szCs w:val="24"/>
          <w:highlight w:val="none"/>
        </w:rPr>
        <w:t>件实质性要求的投标文件的施</w:t>
      </w:r>
      <w:r>
        <w:rPr>
          <w:rFonts w:hint="eastAsia" w:ascii="宋体" w:hAnsi="宋体" w:eastAsia="宋体" w:cs="宋体"/>
          <w:color w:val="auto"/>
          <w:spacing w:val="10"/>
          <w:sz w:val="24"/>
          <w:szCs w:val="24"/>
          <w:highlight w:val="none"/>
        </w:rPr>
        <w:t>工组织设计、主要人员、技术能力等因素进行评分，按照得分由高到低</w:t>
      </w:r>
      <w:r>
        <w:rPr>
          <w:rFonts w:hint="eastAsia" w:ascii="宋体" w:hAnsi="宋体" w:eastAsia="宋体" w:cs="宋体"/>
          <w:color w:val="auto"/>
          <w:spacing w:val="9"/>
          <w:sz w:val="24"/>
          <w:szCs w:val="24"/>
          <w:highlight w:val="none"/>
        </w:rPr>
        <w:t>排序，对排名在招标文件</w:t>
      </w:r>
      <w:r>
        <w:rPr>
          <w:rFonts w:hint="eastAsia" w:ascii="宋体" w:hAnsi="宋体" w:eastAsia="宋体" w:cs="宋体"/>
          <w:color w:val="auto"/>
          <w:spacing w:val="10"/>
          <w:sz w:val="24"/>
          <w:szCs w:val="24"/>
          <w:highlight w:val="none"/>
        </w:rPr>
        <w:t>规定数量以内的投标人的报价文件进行评审，按照评标价由低到高的顺</w:t>
      </w:r>
      <w:r>
        <w:rPr>
          <w:rFonts w:hint="eastAsia" w:ascii="宋体" w:hAnsi="宋体" w:eastAsia="宋体" w:cs="宋体"/>
          <w:color w:val="auto"/>
          <w:spacing w:val="9"/>
          <w:sz w:val="24"/>
          <w:szCs w:val="24"/>
          <w:highlight w:val="none"/>
        </w:rPr>
        <w:t>序推荐中标候选人，或根</w:t>
      </w:r>
      <w:r>
        <w:rPr>
          <w:rFonts w:hint="eastAsia" w:ascii="宋体" w:hAnsi="宋体" w:eastAsia="宋体" w:cs="宋体"/>
          <w:color w:val="auto"/>
          <w:spacing w:val="10"/>
          <w:sz w:val="24"/>
          <w:szCs w:val="24"/>
          <w:highlight w:val="none"/>
        </w:rPr>
        <w:t>据招标人授权直接确定中标人，但投标报价低于其成本的除外。评标价</w:t>
      </w:r>
      <w:r>
        <w:rPr>
          <w:rFonts w:hint="eastAsia" w:ascii="宋体" w:hAnsi="宋体" w:eastAsia="宋体" w:cs="宋体"/>
          <w:color w:val="auto"/>
          <w:spacing w:val="9"/>
          <w:sz w:val="24"/>
          <w:szCs w:val="24"/>
          <w:highlight w:val="none"/>
        </w:rPr>
        <w:t>相等时，评标委员会应按照评标办法前附表规定的优先次序推荐中标候选人或确定中标人。</w:t>
      </w:r>
    </w:p>
    <w:p w14:paraId="047722E1">
      <w:pPr>
        <w:pStyle w:val="4"/>
        <w:spacing w:before="288" w:line="222" w:lineRule="auto"/>
        <w:ind w:left="18"/>
        <w:outlineLvl w:val="2"/>
        <w:rPr>
          <w:rFonts w:hint="eastAsia" w:ascii="宋体" w:hAnsi="宋体" w:eastAsia="宋体" w:cs="宋体"/>
          <w:color w:val="auto"/>
          <w:sz w:val="28"/>
          <w:szCs w:val="28"/>
          <w:highlight w:val="none"/>
        </w:rPr>
      </w:pPr>
      <w:bookmarkStart w:id="431" w:name="_Toc17175"/>
      <w:bookmarkStart w:id="432" w:name="_Toc22933"/>
      <w:bookmarkStart w:id="433" w:name="_Toc6763"/>
      <w:bookmarkStart w:id="434" w:name="_Toc7162"/>
      <w:bookmarkStart w:id="435" w:name="_Toc4691"/>
      <w:r>
        <w:rPr>
          <w:rFonts w:hint="eastAsia" w:ascii="宋体" w:hAnsi="宋体" w:eastAsia="宋体" w:cs="宋体"/>
          <w:b/>
          <w:bCs/>
          <w:color w:val="auto"/>
          <w:spacing w:val="-5"/>
          <w:sz w:val="28"/>
          <w:szCs w:val="28"/>
          <w:highlight w:val="none"/>
        </w:rPr>
        <w:t>2.评审标准</w:t>
      </w:r>
      <w:bookmarkEnd w:id="431"/>
      <w:bookmarkEnd w:id="432"/>
      <w:bookmarkEnd w:id="433"/>
      <w:bookmarkEnd w:id="434"/>
      <w:bookmarkEnd w:id="435"/>
    </w:p>
    <w:p w14:paraId="30E3CF48">
      <w:pPr>
        <w:pStyle w:val="4"/>
        <w:spacing w:line="430" w:lineRule="auto"/>
        <w:rPr>
          <w:rFonts w:hint="eastAsia" w:ascii="宋体" w:hAnsi="宋体" w:eastAsia="宋体" w:cs="宋体"/>
          <w:color w:val="auto"/>
          <w:highlight w:val="none"/>
        </w:rPr>
      </w:pPr>
    </w:p>
    <w:p w14:paraId="53C1825B">
      <w:pPr>
        <w:pStyle w:val="4"/>
        <w:spacing w:before="78" w:line="222" w:lineRule="auto"/>
        <w:ind w:left="17"/>
        <w:outlineLvl w:val="3"/>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2.1初步评审标准</w:t>
      </w:r>
    </w:p>
    <w:p w14:paraId="1015810B">
      <w:pPr>
        <w:spacing w:before="182" w:line="227" w:lineRule="auto"/>
        <w:ind w:left="442"/>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2.1.1形式评审标准：见评标办法前附表。</w:t>
      </w:r>
    </w:p>
    <w:p w14:paraId="6043AA1C">
      <w:pPr>
        <w:spacing w:before="163" w:line="227" w:lineRule="auto"/>
        <w:ind w:left="442"/>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2.1.2资格评审标准：见评标办法前附表（适用于未进行资格预审的）。</w:t>
      </w:r>
    </w:p>
    <w:p w14:paraId="0936B1E8">
      <w:pPr>
        <w:spacing w:before="162" w:line="302" w:lineRule="auto"/>
        <w:ind w:left="23" w:right="70" w:firstLine="41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2.1.2资格评审标准：见资格预审文件第三章“资格审查办法”详细审查标准（适用于已进</w:t>
      </w:r>
      <w:r>
        <w:rPr>
          <w:rFonts w:hint="eastAsia" w:ascii="宋体" w:hAnsi="宋体" w:eastAsia="宋体" w:cs="宋体"/>
          <w:color w:val="auto"/>
          <w:spacing w:val="5"/>
          <w:sz w:val="24"/>
          <w:szCs w:val="24"/>
          <w:highlight w:val="none"/>
        </w:rPr>
        <w:t>行资格预审的）。</w:t>
      </w:r>
    </w:p>
    <w:p w14:paraId="789E0A2C">
      <w:pPr>
        <w:spacing w:before="164" w:line="227" w:lineRule="auto"/>
        <w:ind w:left="442"/>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2.1.3响应性评审标准：见评标办法前附表。</w:t>
      </w:r>
    </w:p>
    <w:p w14:paraId="1A6F8924">
      <w:pPr>
        <w:pStyle w:val="4"/>
        <w:spacing w:line="323" w:lineRule="auto"/>
        <w:rPr>
          <w:rFonts w:hint="eastAsia" w:ascii="宋体" w:hAnsi="宋体" w:eastAsia="宋体" w:cs="宋体"/>
          <w:color w:val="auto"/>
          <w:highlight w:val="none"/>
        </w:rPr>
      </w:pPr>
    </w:p>
    <w:p w14:paraId="61A39F64">
      <w:pPr>
        <w:pStyle w:val="4"/>
        <w:spacing w:before="79" w:line="222" w:lineRule="auto"/>
        <w:ind w:left="17"/>
        <w:outlineLvl w:val="3"/>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2.2分值构成与评分标准</w:t>
      </w:r>
    </w:p>
    <w:p w14:paraId="2FC515A3">
      <w:pPr>
        <w:spacing w:before="184" w:line="228" w:lineRule="auto"/>
        <w:ind w:left="442"/>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2.2.1第一个信封评分分值构成</w:t>
      </w:r>
    </w:p>
    <w:p w14:paraId="31754960">
      <w:pPr>
        <w:spacing w:before="161" w:line="227" w:lineRule="auto"/>
        <w:ind w:left="44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（1）施工组织设计：见评标办法前附表；</w:t>
      </w:r>
    </w:p>
    <w:p w14:paraId="525C1F92">
      <w:pPr>
        <w:spacing w:before="162" w:line="227" w:lineRule="auto"/>
        <w:ind w:left="449"/>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（2）主要人员：见评标办法前附表；</w:t>
      </w:r>
    </w:p>
    <w:p w14:paraId="66A12473">
      <w:pPr>
        <w:spacing w:before="163" w:line="227" w:lineRule="auto"/>
        <w:ind w:left="44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（3）其他评分因素：见评标办法前附表。</w:t>
      </w:r>
    </w:p>
    <w:p w14:paraId="22E281CE">
      <w:pPr>
        <w:spacing w:before="164" w:line="228" w:lineRule="auto"/>
        <w:ind w:left="442"/>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2.2.2第一个信封评分评分标准</w:t>
      </w:r>
    </w:p>
    <w:p w14:paraId="20574FD7">
      <w:pPr>
        <w:spacing w:before="161" w:line="227" w:lineRule="auto"/>
        <w:ind w:left="44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（1）施工组织设计评分标准：见评标办法前附表；</w:t>
      </w:r>
    </w:p>
    <w:p w14:paraId="0BE563F3">
      <w:pPr>
        <w:spacing w:before="162" w:line="227" w:lineRule="auto"/>
        <w:ind w:left="44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（2）主要人员评分标准：见评标办法前附表；</w:t>
      </w:r>
    </w:p>
    <w:p w14:paraId="707CAD1A">
      <w:pPr>
        <w:spacing w:before="162" w:line="227" w:lineRule="auto"/>
        <w:ind w:left="44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（3）其他因素评分标准：见评标办法前附表。</w:t>
      </w:r>
    </w:p>
    <w:p w14:paraId="18092950">
      <w:pPr>
        <w:spacing w:before="165" w:line="227" w:lineRule="auto"/>
        <w:ind w:left="442"/>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2.2.3第二个信封详细评审标准：见评标办法前附</w:t>
      </w:r>
      <w:r>
        <w:rPr>
          <w:rFonts w:hint="eastAsia" w:ascii="宋体" w:hAnsi="宋体" w:eastAsia="宋体" w:cs="宋体"/>
          <w:color w:val="auto"/>
          <w:spacing w:val="7"/>
          <w:sz w:val="24"/>
          <w:szCs w:val="24"/>
          <w:highlight w:val="none"/>
        </w:rPr>
        <w:t>表。</w:t>
      </w:r>
    </w:p>
    <w:p w14:paraId="2B252709">
      <w:pPr>
        <w:pStyle w:val="4"/>
        <w:spacing w:line="357" w:lineRule="auto"/>
        <w:rPr>
          <w:rFonts w:hint="eastAsia" w:ascii="宋体" w:hAnsi="宋体" w:eastAsia="宋体" w:cs="宋体"/>
          <w:color w:val="auto"/>
          <w:highlight w:val="none"/>
        </w:rPr>
      </w:pPr>
    </w:p>
    <w:p w14:paraId="343621FF">
      <w:pPr>
        <w:pStyle w:val="4"/>
        <w:spacing w:before="92" w:line="222" w:lineRule="auto"/>
        <w:ind w:left="22"/>
        <w:outlineLvl w:val="2"/>
        <w:rPr>
          <w:rFonts w:hint="eastAsia" w:ascii="宋体" w:hAnsi="宋体" w:eastAsia="宋体" w:cs="宋体"/>
          <w:color w:val="auto"/>
          <w:sz w:val="28"/>
          <w:szCs w:val="28"/>
          <w:highlight w:val="none"/>
        </w:rPr>
      </w:pPr>
      <w:bookmarkStart w:id="436" w:name="_Toc10554"/>
      <w:bookmarkStart w:id="437" w:name="_Toc13152"/>
      <w:bookmarkStart w:id="438" w:name="_Toc6657"/>
      <w:bookmarkStart w:id="439" w:name="_Toc11563"/>
      <w:bookmarkStart w:id="440" w:name="_Toc15812"/>
      <w:r>
        <w:rPr>
          <w:rFonts w:hint="eastAsia" w:ascii="宋体" w:hAnsi="宋体" w:eastAsia="宋体" w:cs="宋体"/>
          <w:b/>
          <w:bCs/>
          <w:color w:val="auto"/>
          <w:spacing w:val="-5"/>
          <w:sz w:val="28"/>
          <w:szCs w:val="28"/>
          <w:highlight w:val="none"/>
        </w:rPr>
        <w:t>3.评标程序</w:t>
      </w:r>
      <w:bookmarkEnd w:id="436"/>
      <w:bookmarkEnd w:id="437"/>
      <w:bookmarkEnd w:id="438"/>
      <w:bookmarkEnd w:id="439"/>
      <w:bookmarkEnd w:id="440"/>
    </w:p>
    <w:p w14:paraId="44E28998">
      <w:pPr>
        <w:pStyle w:val="4"/>
        <w:spacing w:line="430" w:lineRule="auto"/>
        <w:rPr>
          <w:rFonts w:hint="eastAsia" w:ascii="宋体" w:hAnsi="宋体" w:eastAsia="宋体" w:cs="宋体"/>
          <w:color w:val="auto"/>
          <w:highlight w:val="none"/>
        </w:rPr>
      </w:pPr>
    </w:p>
    <w:p w14:paraId="745B4629">
      <w:pPr>
        <w:pStyle w:val="4"/>
        <w:spacing w:before="78" w:line="222" w:lineRule="auto"/>
        <w:ind w:left="20"/>
        <w:outlineLvl w:val="3"/>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3.1第一个信封初步评审</w:t>
      </w:r>
    </w:p>
    <w:p w14:paraId="75FF817A">
      <w:pPr>
        <w:spacing w:before="184" w:line="377" w:lineRule="auto"/>
        <w:ind w:left="19" w:firstLine="424"/>
        <w:jc w:val="both"/>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3.1.1评标委员会可以要求投标人提交第二章“投标人须知”第3.5.1项至第3.5.6项规定</w:t>
      </w:r>
      <w:r>
        <w:rPr>
          <w:rFonts w:hint="eastAsia" w:ascii="宋体" w:hAnsi="宋体" w:eastAsia="宋体" w:cs="宋体"/>
          <w:color w:val="auto"/>
          <w:spacing w:val="8"/>
          <w:sz w:val="24"/>
          <w:szCs w:val="24"/>
          <w:highlight w:val="none"/>
        </w:rPr>
        <w:t>的有关证明和证件的原件，以便核验。评标委员会依据本章第2.1款规定的标准对投标文件第一</w:t>
      </w:r>
      <w:r>
        <w:rPr>
          <w:rFonts w:hint="eastAsia" w:ascii="宋体" w:hAnsi="宋体" w:eastAsia="宋体" w:cs="宋体"/>
          <w:color w:val="auto"/>
          <w:spacing w:val="7"/>
          <w:sz w:val="24"/>
          <w:szCs w:val="24"/>
          <w:highlight w:val="none"/>
        </w:rPr>
        <w:t>个信封（商务及技术文件）进行初步评审。有一</w:t>
      </w:r>
      <w:r>
        <w:rPr>
          <w:rFonts w:hint="eastAsia" w:ascii="宋体" w:hAnsi="宋体" w:eastAsia="宋体" w:cs="宋体"/>
          <w:color w:val="auto"/>
          <w:spacing w:val="6"/>
          <w:sz w:val="24"/>
          <w:szCs w:val="24"/>
          <w:highlight w:val="none"/>
        </w:rPr>
        <w:t>项不符合评审标准的，评标委员会应否决其投标。</w:t>
      </w:r>
    </w:p>
    <w:p w14:paraId="617BF5C1">
      <w:pPr>
        <w:spacing w:before="184" w:line="377" w:lineRule="auto"/>
        <w:ind w:left="19" w:firstLine="424"/>
        <w:jc w:val="both"/>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（适用于未进行资格预审的）</w:t>
      </w:r>
    </w:p>
    <w:p w14:paraId="1D16B906">
      <w:pPr>
        <w:spacing w:before="161" w:line="378" w:lineRule="auto"/>
        <w:ind w:left="20" w:right="70" w:firstLine="423"/>
        <w:jc w:val="both"/>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3.1.1评标委员会依据本章第2.1.1项、第2.1.3项规定的评审标准对投标文件</w:t>
      </w:r>
      <w:r>
        <w:rPr>
          <w:rFonts w:hint="eastAsia" w:ascii="宋体" w:hAnsi="宋体" w:eastAsia="宋体" w:cs="宋体"/>
          <w:color w:val="auto"/>
          <w:spacing w:val="6"/>
          <w:sz w:val="24"/>
          <w:szCs w:val="24"/>
          <w:highlight w:val="none"/>
        </w:rPr>
        <w:t>第一个信封</w:t>
      </w:r>
      <w:r>
        <w:rPr>
          <w:rFonts w:hint="eastAsia" w:ascii="宋体" w:hAnsi="宋体" w:eastAsia="宋体" w:cs="宋体"/>
          <w:color w:val="auto"/>
          <w:spacing w:val="10"/>
          <w:sz w:val="24"/>
          <w:szCs w:val="24"/>
          <w:highlight w:val="none"/>
        </w:rPr>
        <w:t>（商务及技术文件）进行初步评审。有一项不符合评审标准的，评</w:t>
      </w:r>
      <w:r>
        <w:rPr>
          <w:rFonts w:hint="eastAsia" w:ascii="宋体" w:hAnsi="宋体" w:eastAsia="宋体" w:cs="宋体"/>
          <w:color w:val="auto"/>
          <w:spacing w:val="9"/>
          <w:sz w:val="24"/>
          <w:szCs w:val="24"/>
          <w:highlight w:val="none"/>
        </w:rPr>
        <w:t>标委员会应否决其投标。当投标人资格预审申请文件的内容发生重大变化时，评标委员会</w:t>
      </w:r>
      <w:r>
        <w:rPr>
          <w:rFonts w:hint="eastAsia" w:ascii="宋体" w:hAnsi="宋体" w:eastAsia="宋体" w:cs="宋体"/>
          <w:color w:val="auto"/>
          <w:spacing w:val="8"/>
          <w:sz w:val="24"/>
          <w:szCs w:val="24"/>
          <w:highlight w:val="none"/>
        </w:rPr>
        <w:t>依据本章第2.1.2项规定的标准对其</w:t>
      </w:r>
      <w:r>
        <w:rPr>
          <w:rFonts w:hint="eastAsia" w:ascii="宋体" w:hAnsi="宋体" w:eastAsia="宋体" w:cs="宋体"/>
          <w:color w:val="auto"/>
          <w:spacing w:val="9"/>
          <w:sz w:val="24"/>
          <w:szCs w:val="24"/>
          <w:highlight w:val="none"/>
        </w:rPr>
        <w:t>更新资料进行评审。（适用于已进行资格预审的）</w:t>
      </w:r>
    </w:p>
    <w:p w14:paraId="663DCA55">
      <w:pPr>
        <w:pStyle w:val="4"/>
        <w:spacing w:before="240" w:line="222" w:lineRule="auto"/>
        <w:ind w:left="20"/>
        <w:outlineLvl w:val="3"/>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3.2第一个信封详细评审</w:t>
      </w:r>
    </w:p>
    <w:p w14:paraId="58F24845">
      <w:pPr>
        <w:spacing w:before="181" w:line="378" w:lineRule="auto"/>
        <w:ind w:left="21" w:right="70" w:firstLine="422"/>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3.2.1评标委员会按本章第2.2款规定的量化因素和分值进行打分，并计算出各投标人的商</w:t>
      </w:r>
      <w:r>
        <w:rPr>
          <w:rFonts w:hint="eastAsia" w:ascii="宋体" w:hAnsi="宋体" w:eastAsia="宋体" w:cs="宋体"/>
          <w:color w:val="auto"/>
          <w:spacing w:val="6"/>
          <w:sz w:val="24"/>
          <w:szCs w:val="24"/>
          <w:highlight w:val="none"/>
        </w:rPr>
        <w:t>务和技术得分。</w:t>
      </w:r>
    </w:p>
    <w:p w14:paraId="01328EE2">
      <w:pPr>
        <w:keepNext w:val="0"/>
        <w:keepLines w:val="0"/>
        <w:pageBreakBefore w:val="0"/>
        <w:widowControl/>
        <w:kinsoku w:val="0"/>
        <w:wordWrap/>
        <w:overflowPunct/>
        <w:topLinePunct w:val="0"/>
        <w:autoSpaceDE w:val="0"/>
        <w:autoSpaceDN w:val="0"/>
        <w:bidi w:val="0"/>
        <w:adjustRightInd w:val="0"/>
        <w:snapToGrid w:val="0"/>
        <w:spacing w:before="1" w:line="360" w:lineRule="auto"/>
        <w:ind w:firstLine="252" w:firstLineChars="1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（1）按本章第2.2.2项（1）目规定的评审因素和分值对施工组织设计部分计算出得分A；</w:t>
      </w:r>
    </w:p>
    <w:p w14:paraId="467035E6">
      <w:pPr>
        <w:spacing w:before="162" w:line="227" w:lineRule="auto"/>
        <w:ind w:firstLine="256" w:firstLineChars="10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（2）按本章第2.2.2项（2）目规定的评</w:t>
      </w:r>
      <w:r>
        <w:rPr>
          <w:rFonts w:hint="eastAsia" w:ascii="宋体" w:hAnsi="宋体" w:eastAsia="宋体" w:cs="宋体"/>
          <w:color w:val="auto"/>
          <w:spacing w:val="7"/>
          <w:sz w:val="24"/>
          <w:szCs w:val="24"/>
          <w:highlight w:val="none"/>
        </w:rPr>
        <w:t>审因素和分值对主要人员部分计算出得分B；</w:t>
      </w:r>
    </w:p>
    <w:p w14:paraId="353C05A9">
      <w:pPr>
        <w:keepNext w:val="0"/>
        <w:keepLines w:val="0"/>
        <w:pageBreakBefore w:val="0"/>
        <w:widowControl/>
        <w:kinsoku w:val="0"/>
        <w:wordWrap/>
        <w:overflowPunct/>
        <w:topLinePunct w:val="0"/>
        <w:autoSpaceDE w:val="0"/>
        <w:autoSpaceDN w:val="0"/>
        <w:bidi w:val="0"/>
        <w:adjustRightInd w:val="0"/>
        <w:snapToGrid w:val="0"/>
        <w:spacing w:before="162" w:line="228" w:lineRule="auto"/>
        <w:ind w:firstLine="252" w:firstLineChars="1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6"/>
          <w:sz w:val="24"/>
          <w:szCs w:val="24"/>
          <w:highlight w:val="none"/>
        </w:rPr>
        <w:t>（3）按本章第2.2.2项（3）目规定的评审因素和分值对其他部分计算</w:t>
      </w:r>
      <w:r>
        <w:rPr>
          <w:rFonts w:hint="eastAsia" w:ascii="宋体" w:hAnsi="宋体" w:eastAsia="宋体" w:cs="宋体"/>
          <w:color w:val="auto"/>
          <w:spacing w:val="5"/>
          <w:sz w:val="24"/>
          <w:szCs w:val="24"/>
          <w:highlight w:val="none"/>
        </w:rPr>
        <w:t>出得分C</w:t>
      </w:r>
      <w:r>
        <w:rPr>
          <w:rFonts w:hint="eastAsia" w:ascii="宋体" w:hAnsi="宋体" w:eastAsia="宋体" w:cs="宋体"/>
          <w:color w:val="auto"/>
          <w:spacing w:val="5"/>
          <w:sz w:val="24"/>
          <w:szCs w:val="24"/>
          <w:highlight w:val="none"/>
          <w:lang w:eastAsia="zh-CN"/>
        </w:rPr>
        <w:t>。</w:t>
      </w:r>
    </w:p>
    <w:p w14:paraId="2D1CA9DF">
      <w:pPr>
        <w:keepNext w:val="0"/>
        <w:keepLines w:val="0"/>
        <w:pageBreakBefore w:val="0"/>
        <w:widowControl/>
        <w:kinsoku w:val="0"/>
        <w:wordWrap/>
        <w:overflowPunct/>
        <w:topLinePunct w:val="0"/>
        <w:autoSpaceDE w:val="0"/>
        <w:autoSpaceDN w:val="0"/>
        <w:bidi w:val="0"/>
        <w:adjustRightInd w:val="0"/>
        <w:snapToGrid w:val="0"/>
        <w:spacing w:before="162" w:line="360" w:lineRule="auto"/>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3.2.2投标人的商务和技术得分分值计算</w:t>
      </w:r>
      <w:r>
        <w:rPr>
          <w:rFonts w:hint="eastAsia" w:ascii="宋体" w:hAnsi="宋体" w:eastAsia="宋体" w:cs="宋体"/>
          <w:color w:val="auto"/>
          <w:spacing w:val="4"/>
          <w:sz w:val="24"/>
          <w:szCs w:val="24"/>
          <w:highlight w:val="none"/>
        </w:rPr>
        <w:t>保留小数点后两位，小数点后第三位“四舍五入”。</w:t>
      </w:r>
    </w:p>
    <w:p w14:paraId="45CB923F">
      <w:pPr>
        <w:spacing w:before="161" w:line="228" w:lineRule="auto"/>
        <w:ind w:left="443"/>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3.2.3投标人的商务和技术得分=A+B+C。</w:t>
      </w:r>
    </w:p>
    <w:p w14:paraId="2B525279">
      <w:pPr>
        <w:spacing w:before="164" w:line="302" w:lineRule="auto"/>
        <w:ind w:left="21" w:right="71" w:firstLine="422"/>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3.2.4评标委员会按照投标人的商务和技术得分由高到低排序，排名在评标办法前附</w:t>
      </w:r>
      <w:r>
        <w:rPr>
          <w:rFonts w:hint="eastAsia" w:ascii="宋体" w:hAnsi="宋体" w:eastAsia="宋体" w:cs="宋体"/>
          <w:color w:val="auto"/>
          <w:spacing w:val="8"/>
          <w:sz w:val="24"/>
          <w:szCs w:val="24"/>
          <w:highlight w:val="none"/>
        </w:rPr>
        <w:t>表规定</w:t>
      </w:r>
      <w:r>
        <w:rPr>
          <w:rFonts w:hint="eastAsia" w:ascii="宋体" w:hAnsi="宋体" w:eastAsia="宋体" w:cs="宋体"/>
          <w:color w:val="auto"/>
          <w:spacing w:val="9"/>
          <w:sz w:val="24"/>
          <w:szCs w:val="24"/>
          <w:highlight w:val="none"/>
        </w:rPr>
        <w:t>数量以内的投标人，其投标文件第一个信封（商务及技术文件）通过详细评审。</w:t>
      </w:r>
    </w:p>
    <w:p w14:paraId="5FAAD3C1">
      <w:pPr>
        <w:spacing w:before="160" w:line="328" w:lineRule="auto"/>
        <w:ind w:left="18" w:right="70" w:firstLine="425"/>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3.2.5通过投标文件第一个信封（商务及技术文件）初步评审的投标人不少于3个且未超过</w:t>
      </w:r>
      <w:r>
        <w:rPr>
          <w:rFonts w:hint="eastAsia" w:ascii="宋体" w:hAnsi="宋体" w:eastAsia="宋体" w:cs="宋体"/>
          <w:color w:val="auto"/>
          <w:spacing w:val="9"/>
          <w:sz w:val="24"/>
          <w:szCs w:val="24"/>
          <w:highlight w:val="none"/>
        </w:rPr>
        <w:t>评标办法前附表第3.2.4项规定数量的，均通过投标文</w:t>
      </w:r>
      <w:r>
        <w:rPr>
          <w:rFonts w:hint="eastAsia" w:ascii="宋体" w:hAnsi="宋体" w:eastAsia="宋体" w:cs="宋体"/>
          <w:color w:val="auto"/>
          <w:spacing w:val="8"/>
          <w:sz w:val="24"/>
          <w:szCs w:val="24"/>
          <w:highlight w:val="none"/>
        </w:rPr>
        <w:t>件第一个信封（商务及技术文件）详细评</w:t>
      </w:r>
      <w:r>
        <w:rPr>
          <w:rFonts w:hint="eastAsia" w:ascii="宋体" w:hAnsi="宋体" w:eastAsia="宋体" w:cs="宋体"/>
          <w:color w:val="auto"/>
          <w:spacing w:val="9"/>
          <w:sz w:val="24"/>
          <w:szCs w:val="24"/>
          <w:highlight w:val="none"/>
        </w:rPr>
        <w:t>审，不再对投标人的商务和技术文件进行评分。</w:t>
      </w:r>
    </w:p>
    <w:p w14:paraId="40B551AC">
      <w:pPr>
        <w:pStyle w:val="4"/>
        <w:spacing w:line="325" w:lineRule="auto"/>
        <w:rPr>
          <w:rFonts w:hint="eastAsia" w:ascii="宋体" w:hAnsi="宋体" w:eastAsia="宋体" w:cs="宋体"/>
          <w:color w:val="auto"/>
          <w:sz w:val="24"/>
          <w:szCs w:val="24"/>
          <w:highlight w:val="none"/>
        </w:rPr>
      </w:pPr>
    </w:p>
    <w:p w14:paraId="09760C3B">
      <w:pPr>
        <w:pStyle w:val="4"/>
        <w:spacing w:before="79" w:line="222" w:lineRule="auto"/>
        <w:ind w:left="20"/>
        <w:outlineLvl w:val="3"/>
        <w:rPr>
          <w:rFonts w:hint="eastAsia" w:ascii="宋体" w:hAnsi="宋体" w:eastAsia="宋体" w:cs="宋体"/>
          <w:b/>
          <w:bCs/>
          <w:color w:val="auto"/>
          <w:spacing w:val="-3"/>
          <w:sz w:val="24"/>
          <w:szCs w:val="24"/>
          <w:highlight w:val="none"/>
        </w:rPr>
      </w:pPr>
    </w:p>
    <w:p w14:paraId="603CD5FA">
      <w:pPr>
        <w:pStyle w:val="4"/>
        <w:spacing w:before="79" w:line="222" w:lineRule="auto"/>
        <w:ind w:left="20"/>
        <w:outlineLvl w:val="3"/>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3.3第二个信封开标</w:t>
      </w:r>
    </w:p>
    <w:p w14:paraId="541635B1">
      <w:pPr>
        <w:spacing w:before="183" w:line="377" w:lineRule="auto"/>
        <w:ind w:left="20" w:right="70" w:firstLine="419"/>
        <w:jc w:val="both"/>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第一个信封（商务及技术文件）评审结束后，招标人将按照第二章“投标人须知”第5.1款</w:t>
      </w:r>
      <w:r>
        <w:rPr>
          <w:rFonts w:hint="eastAsia" w:ascii="宋体" w:hAnsi="宋体" w:eastAsia="宋体" w:cs="宋体"/>
          <w:color w:val="auto"/>
          <w:spacing w:val="5"/>
          <w:sz w:val="24"/>
          <w:szCs w:val="24"/>
          <w:highlight w:val="none"/>
        </w:rPr>
        <w:t>规定的时间和地点对通过投标文件第一个信封（商务及技术文件）评审的投标文</w:t>
      </w:r>
      <w:r>
        <w:rPr>
          <w:rFonts w:hint="eastAsia" w:ascii="宋体" w:hAnsi="宋体" w:eastAsia="宋体" w:cs="宋体"/>
          <w:color w:val="auto"/>
          <w:spacing w:val="4"/>
          <w:sz w:val="24"/>
          <w:szCs w:val="24"/>
          <w:highlight w:val="none"/>
        </w:rPr>
        <w:t>件第二个信封（报</w:t>
      </w:r>
      <w:r>
        <w:rPr>
          <w:rFonts w:hint="eastAsia" w:ascii="宋体" w:hAnsi="宋体" w:eastAsia="宋体" w:cs="宋体"/>
          <w:color w:val="auto"/>
          <w:spacing w:val="7"/>
          <w:sz w:val="24"/>
          <w:szCs w:val="24"/>
          <w:highlight w:val="none"/>
        </w:rPr>
        <w:t>价文件）进行开标。</w:t>
      </w:r>
    </w:p>
    <w:p w14:paraId="16CC7914">
      <w:pPr>
        <w:pStyle w:val="4"/>
        <w:spacing w:before="242" w:line="222" w:lineRule="auto"/>
        <w:ind w:left="20"/>
        <w:outlineLvl w:val="3"/>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3.4第二个信封初步评审</w:t>
      </w:r>
    </w:p>
    <w:p w14:paraId="0B7FCF0B">
      <w:pPr>
        <w:spacing w:before="182" w:line="303" w:lineRule="auto"/>
        <w:ind w:left="29" w:right="70" w:firstLine="414"/>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3.4.1评标委员会依据本章第2.1.1项、第2.1.3项规定的评审标准对投标文件</w:t>
      </w:r>
      <w:r>
        <w:rPr>
          <w:rFonts w:hint="eastAsia" w:ascii="宋体" w:hAnsi="宋体" w:eastAsia="宋体" w:cs="宋体"/>
          <w:color w:val="auto"/>
          <w:spacing w:val="6"/>
          <w:sz w:val="24"/>
          <w:szCs w:val="24"/>
          <w:highlight w:val="none"/>
        </w:rPr>
        <w:t>第二个信封</w:t>
      </w:r>
      <w:r>
        <w:rPr>
          <w:rFonts w:hint="eastAsia" w:ascii="宋体" w:hAnsi="宋体" w:eastAsia="宋体" w:cs="宋体"/>
          <w:color w:val="auto"/>
          <w:spacing w:val="9"/>
          <w:sz w:val="24"/>
          <w:szCs w:val="24"/>
          <w:highlight w:val="none"/>
        </w:rPr>
        <w:t>（报价文件）进行初步评审。有一项不符合评审标准的，评标委员会应否决其投标。</w:t>
      </w:r>
    </w:p>
    <w:p w14:paraId="6A58C568">
      <w:pPr>
        <w:keepNext w:val="0"/>
        <w:keepLines w:val="0"/>
        <w:pageBreakBefore w:val="0"/>
        <w:widowControl/>
        <w:kinsoku w:val="0"/>
        <w:wordWrap/>
        <w:overflowPunct/>
        <w:topLinePunct w:val="0"/>
        <w:autoSpaceDE w:val="0"/>
        <w:autoSpaceDN w:val="0"/>
        <w:bidi w:val="0"/>
        <w:adjustRightInd w:val="0"/>
        <w:snapToGrid w:val="0"/>
        <w:spacing w:before="146" w:line="310" w:lineRule="auto"/>
        <w:ind w:right="0" w:firstLine="256" w:firstLineChars="1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3.4.2</w:t>
      </w:r>
      <w:r>
        <w:rPr>
          <w:rFonts w:hint="eastAsia" w:ascii="宋体" w:hAnsi="宋体" w:eastAsia="宋体" w:cs="宋体"/>
          <w:color w:val="auto"/>
          <w:spacing w:val="8"/>
          <w:position w:val="10"/>
          <w:sz w:val="24"/>
          <w:szCs w:val="24"/>
          <w:highlight w:val="none"/>
        </w:rPr>
        <w:t>①</w:t>
      </w:r>
      <w:r>
        <w:rPr>
          <w:rFonts w:hint="eastAsia" w:ascii="宋体" w:hAnsi="宋体" w:eastAsia="宋体" w:cs="宋体"/>
          <w:color w:val="auto"/>
          <w:spacing w:val="8"/>
          <w:sz w:val="24"/>
          <w:szCs w:val="24"/>
          <w:highlight w:val="none"/>
        </w:rPr>
        <w:t>投标报价有算术错误的，评标委员会按以下</w:t>
      </w:r>
      <w:r>
        <w:rPr>
          <w:rFonts w:hint="eastAsia" w:ascii="宋体" w:hAnsi="宋体" w:eastAsia="宋体" w:cs="宋体"/>
          <w:color w:val="auto"/>
          <w:spacing w:val="7"/>
          <w:sz w:val="24"/>
          <w:szCs w:val="24"/>
          <w:highlight w:val="none"/>
        </w:rPr>
        <w:t>原则对投标报价进行修正，修正的价格经</w:t>
      </w:r>
      <w:r>
        <w:rPr>
          <w:rFonts w:hint="eastAsia" w:ascii="宋体" w:hAnsi="宋体" w:eastAsia="宋体" w:cs="宋体"/>
          <w:color w:val="auto"/>
          <w:spacing w:val="9"/>
          <w:sz w:val="24"/>
          <w:szCs w:val="24"/>
          <w:highlight w:val="none"/>
        </w:rPr>
        <w:t>投标人书面确认后具有约束力。投标人不接受修正价格的，评标委员会应否决其投标。</w:t>
      </w:r>
    </w:p>
    <w:p w14:paraId="127807C3">
      <w:pPr>
        <w:keepNext w:val="0"/>
        <w:keepLines w:val="0"/>
        <w:pageBreakBefore w:val="0"/>
        <w:widowControl/>
        <w:kinsoku w:val="0"/>
        <w:wordWrap/>
        <w:overflowPunct/>
        <w:topLinePunct w:val="0"/>
        <w:autoSpaceDE w:val="0"/>
        <w:autoSpaceDN w:val="0"/>
        <w:bidi w:val="0"/>
        <w:adjustRightInd w:val="0"/>
        <w:snapToGrid w:val="0"/>
        <w:spacing w:before="163" w:line="228" w:lineRule="auto"/>
        <w:ind w:left="0" w:right="0" w:firstLine="258" w:firstLineChars="1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（1）投标文件中的大写金额与小写金额不一致的，以</w:t>
      </w:r>
      <w:r>
        <w:rPr>
          <w:rFonts w:hint="eastAsia" w:ascii="宋体" w:hAnsi="宋体" w:eastAsia="宋体" w:cs="宋体"/>
          <w:color w:val="auto"/>
          <w:spacing w:val="8"/>
          <w:sz w:val="24"/>
          <w:szCs w:val="24"/>
          <w:highlight w:val="none"/>
        </w:rPr>
        <w:t>大写金额为准；</w:t>
      </w:r>
    </w:p>
    <w:p w14:paraId="4BD1CBFA">
      <w:pPr>
        <w:keepNext w:val="0"/>
        <w:keepLines w:val="0"/>
        <w:pageBreakBefore w:val="0"/>
        <w:widowControl/>
        <w:kinsoku w:val="0"/>
        <w:wordWrap/>
        <w:overflowPunct/>
        <w:topLinePunct w:val="0"/>
        <w:autoSpaceDE w:val="0"/>
        <w:autoSpaceDN w:val="0"/>
        <w:bidi w:val="0"/>
        <w:adjustRightInd w:val="0"/>
        <w:snapToGrid w:val="0"/>
        <w:spacing w:before="164" w:line="302" w:lineRule="auto"/>
        <w:ind w:right="0" w:firstLine="254" w:firstLineChars="1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（2）总价金额与依据单价计算出的结果不一致的，以单价金额为准修正</w:t>
      </w:r>
      <w:r>
        <w:rPr>
          <w:rFonts w:hint="eastAsia" w:ascii="宋体" w:hAnsi="宋体" w:eastAsia="宋体" w:cs="宋体"/>
          <w:color w:val="auto"/>
          <w:spacing w:val="6"/>
          <w:sz w:val="24"/>
          <w:szCs w:val="24"/>
          <w:highlight w:val="none"/>
        </w:rPr>
        <w:t>总价，但单价金额小</w:t>
      </w:r>
      <w:r>
        <w:rPr>
          <w:rFonts w:hint="eastAsia" w:ascii="宋体" w:hAnsi="宋体" w:eastAsia="宋体" w:cs="宋体"/>
          <w:color w:val="auto"/>
          <w:spacing w:val="7"/>
          <w:sz w:val="24"/>
          <w:szCs w:val="24"/>
          <w:highlight w:val="none"/>
        </w:rPr>
        <w:t>数点有明显错误的除外;</w:t>
      </w:r>
    </w:p>
    <w:p w14:paraId="424813BF">
      <w:pPr>
        <w:keepNext w:val="0"/>
        <w:keepLines w:val="0"/>
        <w:pageBreakBefore w:val="0"/>
        <w:widowControl/>
        <w:kinsoku w:val="0"/>
        <w:wordWrap/>
        <w:overflowPunct/>
        <w:topLinePunct w:val="0"/>
        <w:autoSpaceDE w:val="0"/>
        <w:autoSpaceDN w:val="0"/>
        <w:bidi w:val="0"/>
        <w:adjustRightInd w:val="0"/>
        <w:snapToGrid w:val="0"/>
        <w:spacing w:before="162" w:line="301" w:lineRule="auto"/>
        <w:ind w:right="0" w:firstLine="246" w:firstLineChars="1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（3）当单价与数量相乘不等于合价时，以单价计算为准，如果单价有明显的小数点位置差错，</w:t>
      </w:r>
      <w:r>
        <w:rPr>
          <w:rFonts w:hint="eastAsia" w:ascii="宋体" w:hAnsi="宋体" w:eastAsia="宋体" w:cs="宋体"/>
          <w:color w:val="auto"/>
          <w:spacing w:val="9"/>
          <w:sz w:val="24"/>
          <w:szCs w:val="24"/>
          <w:highlight w:val="none"/>
        </w:rPr>
        <w:t>应以标出的合价为准，同时对单价予以修正；</w:t>
      </w:r>
    </w:p>
    <w:p w14:paraId="717768FB">
      <w:pPr>
        <w:keepNext w:val="0"/>
        <w:keepLines w:val="0"/>
        <w:pageBreakBefore w:val="0"/>
        <w:widowControl/>
        <w:kinsoku w:val="0"/>
        <w:wordWrap/>
        <w:overflowPunct/>
        <w:topLinePunct w:val="0"/>
        <w:autoSpaceDE w:val="0"/>
        <w:autoSpaceDN w:val="0"/>
        <w:bidi w:val="0"/>
        <w:adjustRightInd w:val="0"/>
        <w:snapToGrid w:val="0"/>
        <w:spacing w:before="288" w:line="226" w:lineRule="auto"/>
        <w:ind w:left="0" w:right="0" w:firstLine="258" w:firstLineChars="1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（4）当各子目的合价累计不等于总价时，应以各子目合价累计数为准，修正总价。</w:t>
      </w:r>
    </w:p>
    <w:p w14:paraId="32F5EF08">
      <w:pPr>
        <w:spacing w:before="164" w:line="377" w:lineRule="auto"/>
        <w:ind w:left="19" w:right="16" w:firstLine="424"/>
        <w:jc w:val="both"/>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3.4.3工程量清单中的投标报价有其他错误的，评标委员会按以下原则对投标报价进行修正，</w:t>
      </w:r>
      <w:r>
        <w:rPr>
          <w:rFonts w:hint="eastAsia" w:ascii="宋体" w:hAnsi="宋体" w:eastAsia="宋体" w:cs="宋体"/>
          <w:color w:val="auto"/>
          <w:spacing w:val="10"/>
          <w:sz w:val="24"/>
          <w:szCs w:val="24"/>
          <w:highlight w:val="none"/>
        </w:rPr>
        <w:t>修正的价格经投标人书面确认后具有约束力。投标人不接受修正价格</w:t>
      </w:r>
      <w:r>
        <w:rPr>
          <w:rFonts w:hint="eastAsia" w:ascii="宋体" w:hAnsi="宋体" w:eastAsia="宋体" w:cs="宋体"/>
          <w:color w:val="auto"/>
          <w:spacing w:val="9"/>
          <w:sz w:val="24"/>
          <w:szCs w:val="24"/>
          <w:highlight w:val="none"/>
        </w:rPr>
        <w:t>的，评标委员会应否决其投</w:t>
      </w:r>
      <w:r>
        <w:rPr>
          <w:rFonts w:hint="eastAsia" w:ascii="宋体" w:hAnsi="宋体" w:eastAsia="宋体" w:cs="宋体"/>
          <w:color w:val="auto"/>
          <w:sz w:val="24"/>
          <w:szCs w:val="24"/>
          <w:highlight w:val="none"/>
        </w:rPr>
        <w:t>标。</w:t>
      </w:r>
    </w:p>
    <w:p w14:paraId="3F760D8B">
      <w:pPr>
        <w:spacing w:line="327" w:lineRule="auto"/>
        <w:ind w:left="19" w:firstLine="43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（1）在招标人给定的工程量清单中漏报了某个工程</w:t>
      </w:r>
      <w:r>
        <w:rPr>
          <w:rFonts w:hint="eastAsia" w:ascii="宋体" w:hAnsi="宋体" w:eastAsia="宋体" w:cs="宋体"/>
          <w:color w:val="auto"/>
          <w:spacing w:val="3"/>
          <w:sz w:val="24"/>
          <w:szCs w:val="24"/>
          <w:highlight w:val="none"/>
        </w:rPr>
        <w:t>子目的单价、合价或总额价，或所报单价、</w:t>
      </w:r>
      <w:r>
        <w:rPr>
          <w:rFonts w:hint="eastAsia" w:ascii="宋体" w:hAnsi="宋体" w:eastAsia="宋体" w:cs="宋体"/>
          <w:color w:val="auto"/>
          <w:spacing w:val="10"/>
          <w:sz w:val="24"/>
          <w:szCs w:val="24"/>
          <w:highlight w:val="none"/>
        </w:rPr>
        <w:t>合价或总额价减少了报价范围，则漏报的工程子目单价、合价和总额</w:t>
      </w:r>
      <w:r>
        <w:rPr>
          <w:rFonts w:hint="eastAsia" w:ascii="宋体" w:hAnsi="宋体" w:eastAsia="宋体" w:cs="宋体"/>
          <w:color w:val="auto"/>
          <w:spacing w:val="9"/>
          <w:sz w:val="24"/>
          <w:szCs w:val="24"/>
          <w:highlight w:val="none"/>
        </w:rPr>
        <w:t>价或单价、合价和总额价中减少的报价内容视为已含入其他工程子目的单价、合价和总额价之中。</w:t>
      </w:r>
    </w:p>
    <w:p w14:paraId="08E825B4">
      <w:pPr>
        <w:spacing w:before="164" w:line="326" w:lineRule="auto"/>
        <w:ind w:left="20" w:firstLine="429"/>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（2）在招标人给定的工程量清单中多报了某个工程</w:t>
      </w:r>
      <w:r>
        <w:rPr>
          <w:rFonts w:hint="eastAsia" w:ascii="宋体" w:hAnsi="宋体" w:eastAsia="宋体" w:cs="宋体"/>
          <w:color w:val="auto"/>
          <w:spacing w:val="3"/>
          <w:sz w:val="24"/>
          <w:szCs w:val="24"/>
          <w:highlight w:val="none"/>
        </w:rPr>
        <w:t>子目的单价、合价或总额价，或所报单价、</w:t>
      </w:r>
      <w:r>
        <w:rPr>
          <w:rFonts w:hint="eastAsia" w:ascii="宋体" w:hAnsi="宋体" w:eastAsia="宋体" w:cs="宋体"/>
          <w:color w:val="auto"/>
          <w:spacing w:val="10"/>
          <w:sz w:val="24"/>
          <w:szCs w:val="24"/>
          <w:highlight w:val="none"/>
        </w:rPr>
        <w:t>合价或总额价增加了报价范围，则从投标报价中扣除多报的工程子</w:t>
      </w:r>
      <w:r>
        <w:rPr>
          <w:rFonts w:hint="eastAsia" w:ascii="宋体" w:hAnsi="宋体" w:eastAsia="宋体" w:cs="宋体"/>
          <w:color w:val="auto"/>
          <w:spacing w:val="9"/>
          <w:sz w:val="24"/>
          <w:szCs w:val="24"/>
          <w:highlight w:val="none"/>
        </w:rPr>
        <w:t>目报价或工程子目报价中增加</w:t>
      </w:r>
      <w:r>
        <w:rPr>
          <w:rFonts w:hint="eastAsia" w:ascii="宋体" w:hAnsi="宋体" w:eastAsia="宋体" w:cs="宋体"/>
          <w:color w:val="auto"/>
          <w:spacing w:val="8"/>
          <w:sz w:val="24"/>
          <w:szCs w:val="24"/>
          <w:highlight w:val="none"/>
        </w:rPr>
        <w:t>了报价范围的部分报价。</w:t>
      </w:r>
    </w:p>
    <w:p w14:paraId="32686654">
      <w:pPr>
        <w:spacing w:before="166" w:line="301" w:lineRule="auto"/>
        <w:ind w:left="20" w:right="70" w:firstLine="429"/>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（3）当单价与数量的乘积与合价（金额）虽然一致，但投标人修改了该</w:t>
      </w:r>
      <w:r>
        <w:rPr>
          <w:rFonts w:hint="eastAsia" w:ascii="宋体" w:hAnsi="宋体" w:eastAsia="宋体" w:cs="宋体"/>
          <w:color w:val="auto"/>
          <w:spacing w:val="6"/>
          <w:sz w:val="24"/>
          <w:szCs w:val="24"/>
          <w:highlight w:val="none"/>
        </w:rPr>
        <w:t>子目的工程数量，则</w:t>
      </w:r>
      <w:r>
        <w:rPr>
          <w:rFonts w:hint="eastAsia" w:ascii="宋体" w:hAnsi="宋体" w:eastAsia="宋体" w:cs="宋体"/>
          <w:color w:val="auto"/>
          <w:spacing w:val="9"/>
          <w:sz w:val="24"/>
          <w:szCs w:val="24"/>
          <w:highlight w:val="none"/>
        </w:rPr>
        <w:t>其合价按招标人给定的工程数量乘以投标人所报单价予以修正。</w:t>
      </w:r>
    </w:p>
    <w:p w14:paraId="6D58983A">
      <w:pPr>
        <w:spacing w:before="163" w:line="226" w:lineRule="auto"/>
        <w:ind w:left="443"/>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3.4.4修正后的最终投标报价若超过最高投标限价（如有</w:t>
      </w:r>
      <w:r>
        <w:rPr>
          <w:rFonts w:hint="eastAsia" w:ascii="宋体" w:hAnsi="宋体" w:eastAsia="宋体" w:cs="宋体"/>
          <w:color w:val="auto"/>
          <w:spacing w:val="22"/>
          <w:sz w:val="24"/>
          <w:szCs w:val="24"/>
          <w:highlight w:val="none"/>
        </w:rPr>
        <w:t>），</w:t>
      </w:r>
      <w:r>
        <w:rPr>
          <w:rFonts w:hint="eastAsia" w:ascii="宋体" w:hAnsi="宋体" w:eastAsia="宋体" w:cs="宋体"/>
          <w:color w:val="auto"/>
          <w:spacing w:val="8"/>
          <w:sz w:val="24"/>
          <w:szCs w:val="24"/>
          <w:highlight w:val="none"/>
        </w:rPr>
        <w:t>评标委员会应否决其投标。</w:t>
      </w:r>
    </w:p>
    <w:p w14:paraId="1648D0E6">
      <w:pPr>
        <w:pStyle w:val="4"/>
        <w:spacing w:line="326" w:lineRule="auto"/>
        <w:rPr>
          <w:rFonts w:hint="eastAsia" w:ascii="宋体" w:hAnsi="宋体" w:eastAsia="宋体" w:cs="宋体"/>
          <w:color w:val="auto"/>
          <w:sz w:val="24"/>
          <w:szCs w:val="24"/>
          <w:highlight w:val="none"/>
        </w:rPr>
      </w:pPr>
    </w:p>
    <w:p w14:paraId="75D27825">
      <w:pPr>
        <w:pStyle w:val="4"/>
        <w:spacing w:before="78" w:line="222" w:lineRule="auto"/>
        <w:ind w:left="20"/>
        <w:outlineLvl w:val="3"/>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3.5第二个信封详细评审</w:t>
      </w:r>
    </w:p>
    <w:p w14:paraId="4E6568F5">
      <w:pPr>
        <w:spacing w:before="184" w:line="301" w:lineRule="auto"/>
        <w:ind w:left="21" w:right="70" w:firstLine="422"/>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3.5.1评标委员会按本章第2.2款规定的量化因素和标准进行价格折算，计算出评标价，并</w:t>
      </w:r>
      <w:r>
        <w:rPr>
          <w:rFonts w:hint="eastAsia" w:ascii="宋体" w:hAnsi="宋体" w:eastAsia="宋体" w:cs="宋体"/>
          <w:color w:val="auto"/>
          <w:spacing w:val="7"/>
          <w:sz w:val="24"/>
          <w:szCs w:val="24"/>
          <w:highlight w:val="none"/>
        </w:rPr>
        <w:t>编制价格比较一览表。</w:t>
      </w:r>
    </w:p>
    <w:p w14:paraId="1575D7B6">
      <w:pPr>
        <w:keepNext w:val="0"/>
        <w:keepLines w:val="0"/>
        <w:pageBreakBefore w:val="0"/>
        <w:widowControl/>
        <w:kinsoku w:val="0"/>
        <w:wordWrap/>
        <w:overflowPunct/>
        <w:topLinePunct w:val="0"/>
        <w:autoSpaceDE w:val="0"/>
        <w:autoSpaceDN w:val="0"/>
        <w:bidi w:val="0"/>
        <w:adjustRightInd w:val="0"/>
        <w:snapToGrid w:val="0"/>
        <w:spacing w:before="164" w:line="327" w:lineRule="auto"/>
        <w:ind w:left="17" w:right="0" w:firstLine="42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3.5.2评标委员会发现投标人的报价明显低于其他投标报价，使得其投标报价可能低</w:t>
      </w:r>
      <w:r>
        <w:rPr>
          <w:rFonts w:hint="eastAsia" w:ascii="宋体" w:hAnsi="宋体" w:eastAsia="宋体" w:cs="宋体"/>
          <w:color w:val="auto"/>
          <w:spacing w:val="8"/>
          <w:sz w:val="24"/>
          <w:szCs w:val="24"/>
          <w:highlight w:val="none"/>
        </w:rPr>
        <w:t>于其个</w:t>
      </w:r>
      <w:r>
        <w:rPr>
          <w:rFonts w:hint="eastAsia" w:ascii="宋体" w:hAnsi="宋体" w:eastAsia="宋体" w:cs="宋体"/>
          <w:color w:val="auto"/>
          <w:spacing w:val="10"/>
          <w:sz w:val="24"/>
          <w:szCs w:val="24"/>
          <w:highlight w:val="none"/>
        </w:rPr>
        <w:t>别成本的，应要求该投标人作出书面说明并提供相应的证明材料。投</w:t>
      </w:r>
      <w:r>
        <w:rPr>
          <w:rFonts w:hint="eastAsia" w:ascii="宋体" w:hAnsi="宋体" w:eastAsia="宋体" w:cs="宋体"/>
          <w:color w:val="auto"/>
          <w:spacing w:val="9"/>
          <w:sz w:val="24"/>
          <w:szCs w:val="24"/>
          <w:highlight w:val="none"/>
        </w:rPr>
        <w:t>标人不能合理说明或不能提供相应证明材料的，由评标委员会认定该投标人以低于成本报价竞标，并否决其投标。</w:t>
      </w:r>
    </w:p>
    <w:p w14:paraId="5481F47B">
      <w:pPr>
        <w:pStyle w:val="4"/>
        <w:spacing w:line="326" w:lineRule="auto"/>
        <w:rPr>
          <w:rFonts w:hint="eastAsia" w:ascii="宋体" w:hAnsi="宋体" w:eastAsia="宋体" w:cs="宋体"/>
          <w:color w:val="auto"/>
          <w:sz w:val="24"/>
          <w:szCs w:val="24"/>
          <w:highlight w:val="none"/>
        </w:rPr>
      </w:pPr>
    </w:p>
    <w:p w14:paraId="6B0C07CA">
      <w:pPr>
        <w:pStyle w:val="4"/>
        <w:spacing w:before="79" w:line="222" w:lineRule="auto"/>
        <w:ind w:left="20"/>
        <w:outlineLvl w:val="3"/>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3.6投标文件相关信息的核查</w:t>
      </w:r>
    </w:p>
    <w:p w14:paraId="7E7D572E">
      <w:pPr>
        <w:spacing w:before="166" w:line="380" w:lineRule="auto"/>
        <w:ind w:left="20" w:right="16" w:firstLine="423"/>
        <w:jc w:val="both"/>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3.6.1在评标过程中，评标委员会应查</w:t>
      </w:r>
      <w:r>
        <w:rPr>
          <w:rFonts w:hint="eastAsia" w:ascii="宋体" w:hAnsi="宋体" w:eastAsia="宋体" w:cs="宋体"/>
          <w:color w:val="auto"/>
          <w:spacing w:val="6"/>
          <w:sz w:val="24"/>
          <w:szCs w:val="24"/>
          <w:highlight w:val="none"/>
        </w:rPr>
        <w:t>询交通运输主管部门“公路建设市场信用信息</w:t>
      </w:r>
      <w:r>
        <w:rPr>
          <w:rFonts w:hint="eastAsia" w:ascii="宋体" w:hAnsi="宋体" w:eastAsia="宋体" w:cs="宋体"/>
          <w:color w:val="auto"/>
          <w:spacing w:val="6"/>
          <w:position w:val="10"/>
          <w:sz w:val="24"/>
          <w:szCs w:val="24"/>
          <w:highlight w:val="none"/>
        </w:rPr>
        <w:t>①</w:t>
      </w:r>
      <w:r>
        <w:rPr>
          <w:rFonts w:hint="eastAsia" w:ascii="宋体" w:hAnsi="宋体" w:eastAsia="宋体" w:cs="宋体"/>
          <w:color w:val="auto"/>
          <w:spacing w:val="6"/>
          <w:sz w:val="24"/>
          <w:szCs w:val="24"/>
          <w:highlight w:val="none"/>
        </w:rPr>
        <w:t>如本项目招标由投标人按照招标人提供的书面工程量清单填写本合同各工程子目的单价、合价和总额价，</w:t>
      </w:r>
      <w:r>
        <w:rPr>
          <w:rFonts w:hint="eastAsia" w:ascii="宋体" w:hAnsi="宋体" w:eastAsia="宋体" w:cs="宋体"/>
          <w:color w:val="auto"/>
          <w:spacing w:val="8"/>
          <w:sz w:val="24"/>
          <w:szCs w:val="24"/>
          <w:highlight w:val="none"/>
        </w:rPr>
        <w:t>则评标委员会按照本章第3.4.2项和第3.4.3</w:t>
      </w:r>
      <w:r>
        <w:rPr>
          <w:rFonts w:hint="eastAsia" w:ascii="宋体" w:hAnsi="宋体" w:eastAsia="宋体" w:cs="宋体"/>
          <w:color w:val="auto"/>
          <w:spacing w:val="7"/>
          <w:sz w:val="24"/>
          <w:szCs w:val="24"/>
          <w:highlight w:val="none"/>
        </w:rPr>
        <w:t>项的规定对投标人的投标报价进行修正。如本项目</w:t>
      </w:r>
      <w:r>
        <w:rPr>
          <w:rFonts w:hint="eastAsia" w:ascii="宋体" w:hAnsi="宋体" w:eastAsia="宋体" w:cs="宋体"/>
          <w:color w:val="auto"/>
          <w:spacing w:val="20"/>
          <w:sz w:val="24"/>
          <w:szCs w:val="24"/>
          <w:highlight w:val="none"/>
        </w:rPr>
        <w:t>招标由投标人按照招标人提供的工程量固化清单电子文件填写工程量清单，无须按照本章第</w:t>
      </w:r>
      <w:r>
        <w:rPr>
          <w:rFonts w:hint="eastAsia" w:ascii="宋体" w:hAnsi="宋体" w:eastAsia="宋体" w:cs="宋体"/>
          <w:color w:val="auto"/>
          <w:spacing w:val="6"/>
          <w:sz w:val="24"/>
          <w:szCs w:val="24"/>
          <w:highlight w:val="none"/>
        </w:rPr>
        <w:t>3.4.2项和第3.4.3项的规定对投标报价进行修正，第3</w:t>
      </w:r>
      <w:r>
        <w:rPr>
          <w:rFonts w:hint="eastAsia" w:ascii="宋体" w:hAnsi="宋体" w:eastAsia="宋体" w:cs="宋体"/>
          <w:color w:val="auto"/>
          <w:spacing w:val="5"/>
          <w:sz w:val="24"/>
          <w:szCs w:val="24"/>
          <w:highlight w:val="none"/>
        </w:rPr>
        <w:t>.4.2项至第3.4.4项内容不适用。</w:t>
      </w:r>
    </w:p>
    <w:p w14:paraId="36BCE4B4">
      <w:pPr>
        <w:spacing w:before="1" w:line="377" w:lineRule="auto"/>
        <w:ind w:left="20" w:firstLine="4"/>
        <w:jc w:val="both"/>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管理系统”，对投标人的资质、业绩、主要人员资历和目前在岗情</w:t>
      </w:r>
      <w:r>
        <w:rPr>
          <w:rFonts w:hint="eastAsia" w:ascii="宋体" w:hAnsi="宋体" w:eastAsia="宋体" w:cs="宋体"/>
          <w:color w:val="auto"/>
          <w:spacing w:val="5"/>
          <w:sz w:val="24"/>
          <w:szCs w:val="24"/>
          <w:highlight w:val="none"/>
        </w:rPr>
        <w:t>况、信用等级等信息进行核实。</w:t>
      </w:r>
      <w:r>
        <w:rPr>
          <w:rFonts w:hint="eastAsia" w:ascii="宋体" w:hAnsi="宋体" w:eastAsia="宋体" w:cs="宋体"/>
          <w:color w:val="auto"/>
          <w:spacing w:val="6"/>
          <w:sz w:val="24"/>
          <w:szCs w:val="24"/>
          <w:highlight w:val="none"/>
        </w:rPr>
        <w:t>若投标文件载明的信息与交通运输主管部门“公路建设市场信用信息管理系</w:t>
      </w:r>
      <w:r>
        <w:rPr>
          <w:rFonts w:hint="eastAsia" w:ascii="宋体" w:hAnsi="宋体" w:eastAsia="宋体" w:cs="宋体"/>
          <w:color w:val="auto"/>
          <w:spacing w:val="5"/>
          <w:sz w:val="24"/>
          <w:szCs w:val="24"/>
          <w:highlight w:val="none"/>
        </w:rPr>
        <w:t>统”发布的信息不符，</w:t>
      </w:r>
      <w:r>
        <w:rPr>
          <w:rFonts w:hint="eastAsia" w:ascii="宋体" w:hAnsi="宋体" w:eastAsia="宋体" w:cs="宋体"/>
          <w:color w:val="auto"/>
          <w:spacing w:val="9"/>
          <w:sz w:val="24"/>
          <w:szCs w:val="24"/>
          <w:highlight w:val="none"/>
        </w:rPr>
        <w:t>使得投标人的资格条件不符合招标文件规定的，评标委员会应否决其投标。</w:t>
      </w:r>
    </w:p>
    <w:p w14:paraId="1616FC8E">
      <w:pPr>
        <w:spacing w:before="1" w:line="377" w:lineRule="auto"/>
        <w:ind w:left="18" w:right="71" w:firstLine="425"/>
        <w:jc w:val="both"/>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3.6.2评标委员会应对在评标过程中发现的投标人与投标人之间、投标人与招标人之</w:t>
      </w:r>
      <w:r>
        <w:rPr>
          <w:rFonts w:hint="eastAsia" w:ascii="宋体" w:hAnsi="宋体" w:eastAsia="宋体" w:cs="宋体"/>
          <w:color w:val="auto"/>
          <w:spacing w:val="8"/>
          <w:sz w:val="24"/>
          <w:szCs w:val="24"/>
          <w:highlight w:val="none"/>
        </w:rPr>
        <w:t>间存在</w:t>
      </w:r>
      <w:r>
        <w:rPr>
          <w:rFonts w:hint="eastAsia" w:ascii="宋体" w:hAnsi="宋体" w:eastAsia="宋体" w:cs="宋体"/>
          <w:color w:val="auto"/>
          <w:spacing w:val="10"/>
          <w:sz w:val="24"/>
          <w:szCs w:val="24"/>
          <w:highlight w:val="none"/>
        </w:rPr>
        <w:t>的串通投标的情形进行评审和认定。投标人存在串通投标、弄虚作假、</w:t>
      </w:r>
      <w:r>
        <w:rPr>
          <w:rFonts w:hint="eastAsia" w:ascii="宋体" w:hAnsi="宋体" w:eastAsia="宋体" w:cs="宋体"/>
          <w:color w:val="auto"/>
          <w:spacing w:val="9"/>
          <w:sz w:val="24"/>
          <w:szCs w:val="24"/>
          <w:highlight w:val="none"/>
        </w:rPr>
        <w:t>行贿等违法行为的，评标</w:t>
      </w:r>
      <w:r>
        <w:rPr>
          <w:rFonts w:hint="eastAsia" w:ascii="宋体" w:hAnsi="宋体" w:eastAsia="宋体" w:cs="宋体"/>
          <w:color w:val="auto"/>
          <w:spacing w:val="8"/>
          <w:sz w:val="24"/>
          <w:szCs w:val="24"/>
          <w:highlight w:val="none"/>
        </w:rPr>
        <w:t>委员会应否决其投标。</w:t>
      </w:r>
    </w:p>
    <w:p w14:paraId="23F1435B">
      <w:pPr>
        <w:spacing w:before="1" w:line="228" w:lineRule="auto"/>
        <w:ind w:left="44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（1）有下列情形之一的，属于投标人相互串通投标：</w:t>
      </w:r>
    </w:p>
    <w:p w14:paraId="3B7D5905">
      <w:pPr>
        <w:spacing w:before="161" w:line="226" w:lineRule="auto"/>
        <w:ind w:firstLine="768" w:firstLineChars="30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a.投标人之间协商投标报价等投标文件的实质性内容；</w:t>
      </w:r>
    </w:p>
    <w:p w14:paraId="516B0B3A">
      <w:pPr>
        <w:spacing w:before="288" w:line="228" w:lineRule="auto"/>
        <w:ind w:firstLine="762" w:firstLineChars="30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b.投标人之间约定中标人；</w:t>
      </w:r>
    </w:p>
    <w:p w14:paraId="4D35578F">
      <w:pPr>
        <w:spacing w:before="160" w:line="228" w:lineRule="auto"/>
        <w:ind w:firstLine="768" w:firstLineChars="30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c.投标人之间约定部分投标人放弃投标或中标；</w:t>
      </w:r>
    </w:p>
    <w:p w14:paraId="34D7F9F0">
      <w:pPr>
        <w:keepNext w:val="0"/>
        <w:keepLines w:val="0"/>
        <w:pageBreakBefore w:val="0"/>
        <w:widowControl/>
        <w:kinsoku w:val="0"/>
        <w:wordWrap/>
        <w:overflowPunct/>
        <w:topLinePunct w:val="0"/>
        <w:autoSpaceDE w:val="0"/>
        <w:autoSpaceDN w:val="0"/>
        <w:bidi w:val="0"/>
        <w:adjustRightInd w:val="0"/>
        <w:snapToGrid w:val="0"/>
        <w:spacing w:before="163" w:line="228" w:lineRule="auto"/>
        <w:ind w:left="0" w:firstLine="774" w:firstLineChars="3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d.属于同一集团、协会、商会等组织成员的投标人按照该组织要求协同投</w:t>
      </w:r>
      <w:r>
        <w:rPr>
          <w:rFonts w:hint="eastAsia" w:ascii="宋体" w:hAnsi="宋体" w:eastAsia="宋体" w:cs="宋体"/>
          <w:color w:val="auto"/>
          <w:spacing w:val="8"/>
          <w:sz w:val="24"/>
          <w:szCs w:val="24"/>
          <w:highlight w:val="none"/>
        </w:rPr>
        <w:t>标；</w:t>
      </w:r>
    </w:p>
    <w:p w14:paraId="6D99751A">
      <w:pPr>
        <w:spacing w:before="162" w:line="227" w:lineRule="auto"/>
        <w:ind w:left="444" w:firstLine="258" w:firstLineChars="10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e.投标人之间为谋取中标或排斥特定投标人而采取的</w:t>
      </w:r>
      <w:r>
        <w:rPr>
          <w:rFonts w:hint="eastAsia" w:ascii="宋体" w:hAnsi="宋体" w:eastAsia="宋体" w:cs="宋体"/>
          <w:color w:val="auto"/>
          <w:spacing w:val="8"/>
          <w:sz w:val="24"/>
          <w:szCs w:val="24"/>
          <w:highlight w:val="none"/>
        </w:rPr>
        <w:t>其他联合行动。</w:t>
      </w:r>
    </w:p>
    <w:p w14:paraId="67E27D9C">
      <w:pPr>
        <w:spacing w:before="162" w:line="228" w:lineRule="auto"/>
        <w:ind w:left="44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（2）有下列情形之一的，视为投标人相互串通投标：</w:t>
      </w:r>
    </w:p>
    <w:p w14:paraId="00452991">
      <w:pPr>
        <w:spacing w:before="160" w:line="228" w:lineRule="auto"/>
        <w:ind w:left="44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a.不同投标人的投标文件由同一单位或个人编制；</w:t>
      </w:r>
    </w:p>
    <w:p w14:paraId="0772405A">
      <w:pPr>
        <w:spacing w:before="163" w:line="228" w:lineRule="auto"/>
        <w:ind w:left="436"/>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b.不同投标人委托同一单位或个人办理投标事宜；</w:t>
      </w:r>
    </w:p>
    <w:p w14:paraId="469CEF74">
      <w:pPr>
        <w:spacing w:before="161" w:line="228" w:lineRule="auto"/>
        <w:ind w:left="443"/>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c.不同投标人的投标文件载明的项目管理成员为同一人；</w:t>
      </w:r>
    </w:p>
    <w:p w14:paraId="73272382">
      <w:pPr>
        <w:spacing w:before="162" w:line="226" w:lineRule="auto"/>
        <w:ind w:left="443"/>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d.不同投标人的投标文件异常一致或投标报</w:t>
      </w:r>
      <w:r>
        <w:rPr>
          <w:rFonts w:hint="eastAsia" w:ascii="宋体" w:hAnsi="宋体" w:eastAsia="宋体" w:cs="宋体"/>
          <w:color w:val="auto"/>
          <w:spacing w:val="8"/>
          <w:sz w:val="24"/>
          <w:szCs w:val="24"/>
          <w:highlight w:val="none"/>
        </w:rPr>
        <w:t>价呈规律性差异；</w:t>
      </w:r>
    </w:p>
    <w:p w14:paraId="2315BE31">
      <w:pPr>
        <w:spacing w:before="162" w:line="228" w:lineRule="auto"/>
        <w:ind w:left="444"/>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e.不同投标人的投标文件相互混装；</w:t>
      </w:r>
    </w:p>
    <w:p w14:paraId="4E9AB05C">
      <w:pPr>
        <w:spacing w:before="164" w:line="228" w:lineRule="auto"/>
        <w:ind w:left="443"/>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f.不同投标人的投标保证金从同一单位或个人的账户转出；</w:t>
      </w:r>
    </w:p>
    <w:p w14:paraId="2A64A97D">
      <w:pPr>
        <w:spacing w:before="161" w:line="222" w:lineRule="auto"/>
        <w:ind w:left="443"/>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g.不同投标人提交电子投标文件</w:t>
      </w:r>
      <w:r>
        <w:rPr>
          <w:rFonts w:hint="eastAsia" w:ascii="宋体" w:hAnsi="宋体" w:eastAsia="宋体" w:cs="宋体"/>
          <w:color w:val="auto"/>
          <w:sz w:val="24"/>
          <w:szCs w:val="24"/>
          <w:highlight w:val="none"/>
        </w:rPr>
        <w:t>IP</w:t>
      </w:r>
      <w:r>
        <w:rPr>
          <w:rFonts w:hint="eastAsia" w:ascii="宋体" w:hAnsi="宋体" w:eastAsia="宋体" w:cs="宋体"/>
          <w:color w:val="auto"/>
          <w:spacing w:val="8"/>
          <w:sz w:val="24"/>
          <w:szCs w:val="24"/>
          <w:highlight w:val="none"/>
        </w:rPr>
        <w:t>地址相同且无法合理说明的；</w:t>
      </w:r>
    </w:p>
    <w:p w14:paraId="1A1358A7">
      <w:pPr>
        <w:spacing w:before="167" w:line="228" w:lineRule="auto"/>
        <w:ind w:left="437"/>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h.不同投标人提交电子投标文件的</w:t>
      </w:r>
      <w:r>
        <w:rPr>
          <w:rFonts w:hint="eastAsia" w:ascii="宋体" w:hAnsi="宋体" w:eastAsia="宋体" w:cs="宋体"/>
          <w:color w:val="auto"/>
          <w:sz w:val="24"/>
          <w:szCs w:val="24"/>
          <w:highlight w:val="none"/>
        </w:rPr>
        <w:t>IP</w:t>
      </w:r>
      <w:r>
        <w:rPr>
          <w:rFonts w:hint="eastAsia" w:ascii="宋体" w:hAnsi="宋体" w:eastAsia="宋体" w:cs="宋体"/>
          <w:color w:val="auto"/>
          <w:spacing w:val="9"/>
          <w:sz w:val="24"/>
          <w:szCs w:val="24"/>
          <w:highlight w:val="none"/>
        </w:rPr>
        <w:t>地址在</w:t>
      </w:r>
      <w:r>
        <w:rPr>
          <w:rFonts w:hint="eastAsia" w:ascii="宋体" w:hAnsi="宋体" w:eastAsia="宋体" w:cs="宋体"/>
          <w:color w:val="auto"/>
          <w:spacing w:val="8"/>
          <w:sz w:val="24"/>
          <w:szCs w:val="24"/>
          <w:highlight w:val="none"/>
        </w:rPr>
        <w:t>某一特定区域且无法合理说明的</w:t>
      </w:r>
    </w:p>
    <w:p w14:paraId="4392EA57">
      <w:pPr>
        <w:spacing w:before="161" w:line="228" w:lineRule="auto"/>
        <w:ind w:left="453"/>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i.电子投标文件硬件信息相同且无法合理说明的。</w:t>
      </w:r>
    </w:p>
    <w:p w14:paraId="15182D1D">
      <w:pPr>
        <w:spacing w:before="162" w:line="228" w:lineRule="auto"/>
        <w:ind w:left="44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（3）有下列情形之一的，属于招标人与投标人串通投标：</w:t>
      </w:r>
    </w:p>
    <w:p w14:paraId="5FE193AC">
      <w:pPr>
        <w:spacing w:before="160" w:line="228" w:lineRule="auto"/>
        <w:ind w:left="44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a.招标人在开标前开启投标文件并将有关信息泄露给其他投</w:t>
      </w:r>
      <w:r>
        <w:rPr>
          <w:rFonts w:hint="eastAsia" w:ascii="宋体" w:hAnsi="宋体" w:eastAsia="宋体" w:cs="宋体"/>
          <w:color w:val="auto"/>
          <w:spacing w:val="8"/>
          <w:sz w:val="24"/>
          <w:szCs w:val="24"/>
          <w:highlight w:val="none"/>
        </w:rPr>
        <w:t>标人;</w:t>
      </w:r>
    </w:p>
    <w:p w14:paraId="0AEA2DD9">
      <w:pPr>
        <w:spacing w:before="164" w:line="227" w:lineRule="auto"/>
        <w:ind w:left="436"/>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b.招标人直接或间接向投标人泄露标底、评标委员会成员等信息；</w:t>
      </w:r>
    </w:p>
    <w:p w14:paraId="438E237F">
      <w:pPr>
        <w:spacing w:before="162" w:line="226" w:lineRule="auto"/>
        <w:ind w:left="443"/>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c.招标人明示或暗示投标人压低或抬高投标报价；</w:t>
      </w:r>
    </w:p>
    <w:p w14:paraId="03814075">
      <w:pPr>
        <w:spacing w:before="163" w:line="228" w:lineRule="auto"/>
        <w:ind w:left="443"/>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d.招标人授意投标人撤换、修改投标文件；</w:t>
      </w:r>
    </w:p>
    <w:p w14:paraId="0E011CF9">
      <w:pPr>
        <w:spacing w:before="161" w:line="227" w:lineRule="auto"/>
        <w:ind w:left="444"/>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e.招标人明示或暗示投标人为特定投标人中标提供方便；</w:t>
      </w:r>
    </w:p>
    <w:p w14:paraId="7E527595">
      <w:pPr>
        <w:spacing w:before="165" w:line="227" w:lineRule="auto"/>
        <w:ind w:left="443"/>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f.招标人与投标人为谋求特定投标人中标而采取的其他</w:t>
      </w:r>
      <w:r>
        <w:rPr>
          <w:rFonts w:hint="eastAsia" w:ascii="宋体" w:hAnsi="宋体" w:eastAsia="宋体" w:cs="宋体"/>
          <w:color w:val="auto"/>
          <w:spacing w:val="8"/>
          <w:sz w:val="24"/>
          <w:szCs w:val="24"/>
          <w:highlight w:val="none"/>
        </w:rPr>
        <w:t>串通行为。</w:t>
      </w:r>
    </w:p>
    <w:p w14:paraId="6A07A2A9">
      <w:pPr>
        <w:spacing w:before="162" w:line="227" w:lineRule="auto"/>
        <w:ind w:left="44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（4）投标人有下列情形之一的，属于弄虚作假的行为：</w:t>
      </w:r>
    </w:p>
    <w:p w14:paraId="7CDCD4FF">
      <w:pPr>
        <w:spacing w:before="162" w:line="227" w:lineRule="auto"/>
        <w:ind w:left="44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a.使用通过受让或租借等方式获取的资格、</w:t>
      </w:r>
      <w:r>
        <w:rPr>
          <w:rFonts w:hint="eastAsia" w:ascii="宋体" w:hAnsi="宋体" w:eastAsia="宋体" w:cs="宋体"/>
          <w:color w:val="auto"/>
          <w:spacing w:val="8"/>
          <w:sz w:val="24"/>
          <w:szCs w:val="24"/>
          <w:highlight w:val="none"/>
        </w:rPr>
        <w:t>资质证书投标；</w:t>
      </w:r>
    </w:p>
    <w:p w14:paraId="4997A239">
      <w:pPr>
        <w:spacing w:before="162" w:line="228" w:lineRule="auto"/>
        <w:ind w:left="436"/>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b.使用伪造、变造的许可证件；</w:t>
      </w:r>
    </w:p>
    <w:p w14:paraId="6458EA93">
      <w:pPr>
        <w:spacing w:before="161" w:line="227" w:lineRule="auto"/>
        <w:ind w:left="443"/>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c.提供虚假的财务状况或业绩；</w:t>
      </w:r>
    </w:p>
    <w:p w14:paraId="3A894F18">
      <w:pPr>
        <w:spacing w:before="162" w:line="227" w:lineRule="auto"/>
        <w:ind w:left="443"/>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d.提供虚假的项目负责人或主要技术人员简历</w:t>
      </w:r>
      <w:r>
        <w:rPr>
          <w:rFonts w:hint="eastAsia" w:ascii="宋体" w:hAnsi="宋体" w:eastAsia="宋体" w:cs="宋体"/>
          <w:color w:val="auto"/>
          <w:spacing w:val="8"/>
          <w:sz w:val="24"/>
          <w:szCs w:val="24"/>
          <w:highlight w:val="none"/>
        </w:rPr>
        <w:t>、劳动关系证明；</w:t>
      </w:r>
    </w:p>
    <w:p w14:paraId="18707128">
      <w:pPr>
        <w:spacing w:before="164" w:line="227" w:lineRule="auto"/>
        <w:ind w:left="444"/>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e.提供虚假的信用状况；</w:t>
      </w:r>
    </w:p>
    <w:p w14:paraId="528F4CE9">
      <w:pPr>
        <w:spacing w:before="163" w:line="227" w:lineRule="auto"/>
        <w:ind w:left="443"/>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f.其他弄虚作假的行为。</w:t>
      </w:r>
    </w:p>
    <w:p w14:paraId="60E732C7">
      <w:pPr>
        <w:pStyle w:val="4"/>
        <w:spacing w:line="326" w:lineRule="auto"/>
        <w:rPr>
          <w:rFonts w:hint="eastAsia" w:ascii="宋体" w:hAnsi="宋体" w:eastAsia="宋体" w:cs="宋体"/>
          <w:color w:val="auto"/>
          <w:highlight w:val="none"/>
        </w:rPr>
      </w:pPr>
    </w:p>
    <w:p w14:paraId="1BB3DDC2">
      <w:pPr>
        <w:pStyle w:val="4"/>
        <w:spacing w:before="78" w:line="221" w:lineRule="auto"/>
        <w:ind w:left="20"/>
        <w:outlineLvl w:val="3"/>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3.7投标文件的澄清和说明</w:t>
      </w:r>
    </w:p>
    <w:p w14:paraId="418E138A">
      <w:pPr>
        <w:spacing w:before="185" w:line="327" w:lineRule="auto"/>
        <w:ind w:left="20" w:firstLine="423"/>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3.7.1在评标过程中，评标委员会可以书面形式要求投标人对投标文件中</w:t>
      </w:r>
      <w:r>
        <w:rPr>
          <w:rFonts w:hint="eastAsia" w:ascii="宋体" w:hAnsi="宋体" w:eastAsia="宋体" w:cs="宋体"/>
          <w:color w:val="auto"/>
          <w:spacing w:val="5"/>
          <w:sz w:val="24"/>
          <w:szCs w:val="24"/>
          <w:highlight w:val="none"/>
        </w:rPr>
        <w:t>含义不明确的内容、</w:t>
      </w:r>
      <w:r>
        <w:rPr>
          <w:rFonts w:hint="eastAsia" w:ascii="宋体" w:hAnsi="宋体" w:eastAsia="宋体" w:cs="宋体"/>
          <w:color w:val="auto"/>
          <w:spacing w:val="10"/>
          <w:sz w:val="24"/>
          <w:szCs w:val="24"/>
          <w:highlight w:val="none"/>
        </w:rPr>
        <w:t>明显文字或计算错误进行书面澄清或说明。评标委员会不接受投标</w:t>
      </w:r>
      <w:r>
        <w:rPr>
          <w:rFonts w:hint="eastAsia" w:ascii="宋体" w:hAnsi="宋体" w:eastAsia="宋体" w:cs="宋体"/>
          <w:color w:val="auto"/>
          <w:spacing w:val="9"/>
          <w:sz w:val="24"/>
          <w:szCs w:val="24"/>
          <w:highlight w:val="none"/>
        </w:rPr>
        <w:t>人主动提出的澄清、说明。投标人不按评标委员会要求澄清或说明的，评标委员会应否决其投标。</w:t>
      </w:r>
    </w:p>
    <w:p w14:paraId="79BD647D">
      <w:pPr>
        <w:keepNext w:val="0"/>
        <w:keepLines w:val="0"/>
        <w:pageBreakBefore w:val="0"/>
        <w:widowControl/>
        <w:kinsoku w:val="0"/>
        <w:wordWrap/>
        <w:overflowPunct/>
        <w:topLinePunct w:val="0"/>
        <w:autoSpaceDE w:val="0"/>
        <w:autoSpaceDN w:val="0"/>
        <w:bidi w:val="0"/>
        <w:adjustRightInd w:val="0"/>
        <w:snapToGrid w:val="0"/>
        <w:spacing w:before="162" w:line="360" w:lineRule="auto"/>
        <w:ind w:firstLine="258" w:firstLineChars="1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3.7.2澄清和说明不得超出投标文件的范围或改变投标文件的实质性内容（算术性错</w:t>
      </w:r>
      <w:r>
        <w:rPr>
          <w:rFonts w:hint="eastAsia" w:ascii="宋体" w:hAnsi="宋体" w:eastAsia="宋体" w:cs="宋体"/>
          <w:color w:val="auto"/>
          <w:spacing w:val="8"/>
          <w:sz w:val="24"/>
          <w:szCs w:val="24"/>
          <w:highlight w:val="none"/>
        </w:rPr>
        <w:t>误的修</w:t>
      </w:r>
      <w:r>
        <w:rPr>
          <w:rFonts w:hint="eastAsia" w:ascii="宋体" w:hAnsi="宋体" w:eastAsia="宋体" w:cs="宋体"/>
          <w:color w:val="auto"/>
          <w:spacing w:val="9"/>
          <w:sz w:val="24"/>
          <w:szCs w:val="24"/>
          <w:highlight w:val="none"/>
        </w:rPr>
        <w:t>正除外）。投标人的书面澄清、说明属于投标文件的组成部分。</w:t>
      </w:r>
    </w:p>
    <w:p w14:paraId="48C34D60">
      <w:pPr>
        <w:spacing w:before="161" w:line="303" w:lineRule="auto"/>
        <w:ind w:left="43" w:right="1" w:firstLine="40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3.7.3评标委员会不得暗示或诱导投标人作出澄清、说明，对投标人提交的澄清、说</w:t>
      </w:r>
      <w:r>
        <w:rPr>
          <w:rFonts w:hint="eastAsia" w:ascii="宋体" w:hAnsi="宋体" w:eastAsia="宋体" w:cs="宋体"/>
          <w:color w:val="auto"/>
          <w:spacing w:val="8"/>
          <w:sz w:val="24"/>
          <w:szCs w:val="24"/>
          <w:highlight w:val="none"/>
        </w:rPr>
        <w:t>明有疑</w:t>
      </w:r>
      <w:r>
        <w:rPr>
          <w:rFonts w:hint="eastAsia" w:ascii="宋体" w:hAnsi="宋体" w:eastAsia="宋体" w:cs="宋体"/>
          <w:color w:val="auto"/>
          <w:spacing w:val="9"/>
          <w:sz w:val="24"/>
          <w:szCs w:val="24"/>
          <w:highlight w:val="none"/>
        </w:rPr>
        <w:t>问的，可以要求投标人进一步澄清或说明，直</w:t>
      </w:r>
      <w:r>
        <w:rPr>
          <w:rFonts w:hint="eastAsia" w:ascii="宋体" w:hAnsi="宋体" w:eastAsia="宋体" w:cs="宋体"/>
          <w:color w:val="auto"/>
          <w:spacing w:val="8"/>
          <w:sz w:val="24"/>
          <w:szCs w:val="24"/>
          <w:highlight w:val="none"/>
        </w:rPr>
        <w:t>至满足评标委员会的要求。</w:t>
      </w:r>
    </w:p>
    <w:p w14:paraId="085BC025">
      <w:pPr>
        <w:spacing w:before="161" w:line="302" w:lineRule="auto"/>
        <w:ind w:left="20" w:right="1" w:firstLine="423"/>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3.7.4凡超出招标文件规定的或给发包人带来未曾要求的利益的变化、偏差或其他因</w:t>
      </w:r>
      <w:r>
        <w:rPr>
          <w:rFonts w:hint="eastAsia" w:ascii="宋体" w:hAnsi="宋体" w:eastAsia="宋体" w:cs="宋体"/>
          <w:color w:val="auto"/>
          <w:spacing w:val="8"/>
          <w:sz w:val="24"/>
          <w:szCs w:val="24"/>
          <w:highlight w:val="none"/>
        </w:rPr>
        <w:t>素在评</w:t>
      </w:r>
      <w:r>
        <w:rPr>
          <w:rFonts w:hint="eastAsia" w:ascii="宋体" w:hAnsi="宋体" w:eastAsia="宋体" w:cs="宋体"/>
          <w:color w:val="auto"/>
          <w:spacing w:val="6"/>
          <w:sz w:val="24"/>
          <w:szCs w:val="24"/>
          <w:highlight w:val="none"/>
        </w:rPr>
        <w:t>标时不予考虑。</w:t>
      </w:r>
    </w:p>
    <w:p w14:paraId="57D7DEDC">
      <w:pPr>
        <w:pStyle w:val="4"/>
        <w:spacing w:line="327" w:lineRule="auto"/>
        <w:rPr>
          <w:rFonts w:hint="eastAsia" w:ascii="宋体" w:hAnsi="宋体" w:eastAsia="宋体" w:cs="宋体"/>
          <w:color w:val="auto"/>
          <w:sz w:val="24"/>
          <w:szCs w:val="24"/>
          <w:highlight w:val="none"/>
        </w:rPr>
      </w:pPr>
    </w:p>
    <w:p w14:paraId="29A9B7C0">
      <w:pPr>
        <w:pStyle w:val="4"/>
        <w:spacing w:before="78" w:line="222" w:lineRule="auto"/>
        <w:ind w:left="20"/>
        <w:outlineLvl w:val="3"/>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3.8不得否决投标的情形</w:t>
      </w:r>
    </w:p>
    <w:p w14:paraId="2499ED4E">
      <w:pPr>
        <w:keepNext w:val="0"/>
        <w:keepLines w:val="0"/>
        <w:pageBreakBefore w:val="0"/>
        <w:widowControl/>
        <w:kinsoku w:val="0"/>
        <w:wordWrap/>
        <w:overflowPunct/>
        <w:topLinePunct w:val="0"/>
        <w:autoSpaceDE w:val="0"/>
        <w:autoSpaceDN w:val="0"/>
        <w:bidi w:val="0"/>
        <w:adjustRightInd w:val="0"/>
        <w:snapToGrid w:val="0"/>
        <w:spacing w:before="181" w:line="380" w:lineRule="auto"/>
        <w:ind w:right="0" w:firstLine="50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投标文件存在第二章“投标人须知”第1.12.3项所列情形的，均视为细微偏差，评标委员会</w:t>
      </w:r>
      <w:r>
        <w:rPr>
          <w:rFonts w:hint="eastAsia" w:ascii="宋体" w:hAnsi="宋体" w:eastAsia="宋体" w:cs="宋体"/>
          <w:color w:val="auto"/>
          <w:spacing w:val="7"/>
          <w:sz w:val="24"/>
          <w:szCs w:val="24"/>
          <w:highlight w:val="none"/>
        </w:rPr>
        <w:t>不得否决投标人的投标，应按照第二章“投标人须知”第1.12.4项规定的原则处理。</w:t>
      </w:r>
    </w:p>
    <w:p w14:paraId="7486A0C5">
      <w:pPr>
        <w:pStyle w:val="4"/>
        <w:spacing w:before="239" w:line="222" w:lineRule="auto"/>
        <w:ind w:left="20"/>
        <w:outlineLvl w:val="3"/>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3.9评标结果</w:t>
      </w:r>
    </w:p>
    <w:p w14:paraId="6DEE6EE0">
      <w:pPr>
        <w:spacing w:before="182" w:line="302" w:lineRule="auto"/>
        <w:ind w:left="25" w:right="1" w:firstLine="418"/>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3.9.1除第二章“投标人须知”前附表授权直接确定中标人外，评标委员会按照评标价由低</w:t>
      </w:r>
      <w:r>
        <w:rPr>
          <w:rFonts w:hint="eastAsia" w:ascii="宋体" w:hAnsi="宋体" w:eastAsia="宋体" w:cs="宋体"/>
          <w:color w:val="auto"/>
          <w:spacing w:val="8"/>
          <w:sz w:val="24"/>
          <w:szCs w:val="24"/>
          <w:highlight w:val="none"/>
        </w:rPr>
        <w:t>到高的顺序推荐中标候选人，并标明排序。</w:t>
      </w:r>
    </w:p>
    <w:p w14:paraId="37CF0C61">
      <w:pPr>
        <w:spacing w:before="162" w:line="226" w:lineRule="auto"/>
        <w:ind w:left="443"/>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3.9.2评标委员会完成评标后，应向招标人提交书面评标报告。</w:t>
      </w:r>
    </w:p>
    <w:p w14:paraId="32D92C81">
      <w:pPr>
        <w:spacing w:line="226" w:lineRule="auto"/>
        <w:rPr>
          <w:rFonts w:hint="eastAsia" w:ascii="宋体" w:hAnsi="宋体" w:eastAsia="宋体" w:cs="宋体"/>
          <w:color w:val="auto"/>
          <w:sz w:val="24"/>
          <w:szCs w:val="24"/>
          <w:highlight w:val="none"/>
        </w:rPr>
      </w:pPr>
    </w:p>
    <w:p w14:paraId="7FF56A42">
      <w:pPr>
        <w:pStyle w:val="2"/>
        <w:rPr>
          <w:rFonts w:hint="eastAsia" w:ascii="宋体" w:hAnsi="宋体" w:eastAsia="宋体" w:cs="宋体"/>
          <w:color w:val="auto"/>
          <w:sz w:val="24"/>
          <w:szCs w:val="24"/>
          <w:highlight w:val="none"/>
        </w:rPr>
      </w:pPr>
    </w:p>
    <w:p w14:paraId="24925CF4">
      <w:pPr>
        <w:pStyle w:val="2"/>
        <w:rPr>
          <w:rFonts w:hint="eastAsia" w:ascii="宋体" w:hAnsi="宋体" w:eastAsia="宋体" w:cs="宋体"/>
          <w:color w:val="auto"/>
          <w:sz w:val="24"/>
          <w:szCs w:val="24"/>
          <w:highlight w:val="none"/>
        </w:rPr>
      </w:pPr>
    </w:p>
    <w:p w14:paraId="3D803C01">
      <w:pPr>
        <w:pStyle w:val="4"/>
        <w:spacing w:line="241" w:lineRule="auto"/>
        <w:rPr>
          <w:rFonts w:hint="eastAsia" w:ascii="宋体" w:hAnsi="宋体" w:eastAsia="宋体" w:cs="宋体"/>
          <w:color w:val="auto"/>
          <w:highlight w:val="none"/>
        </w:rPr>
      </w:pPr>
    </w:p>
    <w:p w14:paraId="68DFDE5F">
      <w:pPr>
        <w:pStyle w:val="4"/>
        <w:spacing w:line="241" w:lineRule="auto"/>
        <w:rPr>
          <w:rFonts w:hint="eastAsia" w:ascii="宋体" w:hAnsi="宋体" w:eastAsia="宋体" w:cs="宋体"/>
          <w:color w:val="auto"/>
          <w:highlight w:val="none"/>
        </w:rPr>
      </w:pPr>
    </w:p>
    <w:p w14:paraId="11B7EF21">
      <w:pPr>
        <w:pStyle w:val="4"/>
        <w:spacing w:line="241" w:lineRule="auto"/>
        <w:rPr>
          <w:rFonts w:hint="eastAsia" w:ascii="宋体" w:hAnsi="宋体" w:eastAsia="宋体" w:cs="宋体"/>
          <w:color w:val="auto"/>
          <w:highlight w:val="none"/>
        </w:rPr>
      </w:pPr>
    </w:p>
    <w:p w14:paraId="44F0FE1C">
      <w:pPr>
        <w:pStyle w:val="4"/>
        <w:spacing w:line="241" w:lineRule="auto"/>
        <w:rPr>
          <w:rFonts w:hint="eastAsia" w:ascii="宋体" w:hAnsi="宋体" w:eastAsia="宋体" w:cs="宋体"/>
          <w:color w:val="auto"/>
          <w:highlight w:val="none"/>
        </w:rPr>
      </w:pPr>
    </w:p>
    <w:p w14:paraId="4D042FA9">
      <w:pPr>
        <w:pStyle w:val="4"/>
        <w:spacing w:line="241" w:lineRule="auto"/>
        <w:rPr>
          <w:rFonts w:hint="eastAsia" w:ascii="宋体" w:hAnsi="宋体" w:eastAsia="宋体" w:cs="宋体"/>
          <w:color w:val="auto"/>
          <w:highlight w:val="none"/>
        </w:rPr>
      </w:pPr>
    </w:p>
    <w:p w14:paraId="53B4B9F4">
      <w:pPr>
        <w:pStyle w:val="4"/>
        <w:spacing w:line="241" w:lineRule="auto"/>
        <w:rPr>
          <w:rFonts w:hint="eastAsia" w:ascii="宋体" w:hAnsi="宋体" w:eastAsia="宋体" w:cs="宋体"/>
          <w:color w:val="auto"/>
          <w:highlight w:val="none"/>
        </w:rPr>
      </w:pPr>
    </w:p>
    <w:p w14:paraId="366941B0">
      <w:pPr>
        <w:pStyle w:val="4"/>
        <w:spacing w:line="241" w:lineRule="auto"/>
        <w:rPr>
          <w:rFonts w:hint="eastAsia" w:ascii="宋体" w:hAnsi="宋体" w:eastAsia="宋体" w:cs="宋体"/>
          <w:color w:val="auto"/>
          <w:highlight w:val="none"/>
        </w:rPr>
      </w:pPr>
    </w:p>
    <w:p w14:paraId="3390ECE8">
      <w:pPr>
        <w:pStyle w:val="4"/>
        <w:spacing w:line="241" w:lineRule="auto"/>
        <w:rPr>
          <w:rFonts w:hint="eastAsia" w:ascii="宋体" w:hAnsi="宋体" w:eastAsia="宋体" w:cs="宋体"/>
          <w:color w:val="auto"/>
          <w:highlight w:val="none"/>
        </w:rPr>
      </w:pPr>
    </w:p>
    <w:p w14:paraId="35439F33">
      <w:pPr>
        <w:pStyle w:val="4"/>
        <w:spacing w:line="241" w:lineRule="auto"/>
        <w:rPr>
          <w:rFonts w:hint="eastAsia" w:ascii="宋体" w:hAnsi="宋体" w:eastAsia="宋体" w:cs="宋体"/>
          <w:color w:val="auto"/>
          <w:highlight w:val="none"/>
        </w:rPr>
      </w:pPr>
    </w:p>
    <w:p w14:paraId="61064FE8">
      <w:pPr>
        <w:pStyle w:val="4"/>
        <w:spacing w:line="241" w:lineRule="auto"/>
        <w:rPr>
          <w:rFonts w:hint="eastAsia" w:ascii="宋体" w:hAnsi="宋体" w:eastAsia="宋体" w:cs="宋体"/>
          <w:color w:val="auto"/>
          <w:highlight w:val="none"/>
        </w:rPr>
      </w:pPr>
    </w:p>
    <w:p w14:paraId="1D6EC5E6">
      <w:pPr>
        <w:pStyle w:val="4"/>
        <w:spacing w:line="241" w:lineRule="auto"/>
        <w:rPr>
          <w:rFonts w:hint="eastAsia" w:ascii="宋体" w:hAnsi="宋体" w:eastAsia="宋体" w:cs="宋体"/>
          <w:color w:val="auto"/>
          <w:highlight w:val="none"/>
        </w:rPr>
      </w:pPr>
    </w:p>
    <w:p w14:paraId="2DF335A3">
      <w:pPr>
        <w:pStyle w:val="4"/>
        <w:spacing w:line="241" w:lineRule="auto"/>
        <w:rPr>
          <w:rFonts w:hint="eastAsia" w:ascii="宋体" w:hAnsi="宋体" w:eastAsia="宋体" w:cs="宋体"/>
          <w:color w:val="auto"/>
          <w:highlight w:val="none"/>
        </w:rPr>
      </w:pPr>
    </w:p>
    <w:p w14:paraId="622B6DA8">
      <w:pPr>
        <w:pStyle w:val="4"/>
        <w:spacing w:line="241" w:lineRule="auto"/>
        <w:rPr>
          <w:rFonts w:hint="eastAsia" w:ascii="宋体" w:hAnsi="宋体" w:eastAsia="宋体" w:cs="宋体"/>
          <w:color w:val="auto"/>
          <w:highlight w:val="none"/>
        </w:rPr>
      </w:pPr>
    </w:p>
    <w:p w14:paraId="59AEF22D">
      <w:pPr>
        <w:pStyle w:val="4"/>
        <w:spacing w:line="241" w:lineRule="auto"/>
        <w:rPr>
          <w:rFonts w:hint="eastAsia" w:ascii="宋体" w:hAnsi="宋体" w:eastAsia="宋体" w:cs="宋体"/>
          <w:color w:val="auto"/>
          <w:highlight w:val="none"/>
        </w:rPr>
      </w:pPr>
    </w:p>
    <w:p w14:paraId="13AB426D">
      <w:pPr>
        <w:pStyle w:val="4"/>
        <w:spacing w:line="241" w:lineRule="auto"/>
        <w:rPr>
          <w:rFonts w:hint="eastAsia" w:ascii="宋体" w:hAnsi="宋体" w:eastAsia="宋体" w:cs="宋体"/>
          <w:color w:val="auto"/>
          <w:highlight w:val="none"/>
        </w:rPr>
      </w:pPr>
    </w:p>
    <w:p w14:paraId="3F415B3A">
      <w:pPr>
        <w:pStyle w:val="4"/>
        <w:spacing w:line="241" w:lineRule="auto"/>
        <w:rPr>
          <w:rFonts w:hint="eastAsia" w:ascii="宋体" w:hAnsi="宋体" w:eastAsia="宋体" w:cs="宋体"/>
          <w:color w:val="auto"/>
          <w:highlight w:val="none"/>
        </w:rPr>
      </w:pPr>
    </w:p>
    <w:p w14:paraId="1C842898">
      <w:pPr>
        <w:pStyle w:val="4"/>
        <w:spacing w:line="241" w:lineRule="auto"/>
        <w:rPr>
          <w:rFonts w:hint="eastAsia" w:ascii="宋体" w:hAnsi="宋体" w:eastAsia="宋体" w:cs="宋体"/>
          <w:color w:val="auto"/>
          <w:highlight w:val="none"/>
        </w:rPr>
      </w:pPr>
    </w:p>
    <w:p w14:paraId="6272915B">
      <w:pPr>
        <w:pStyle w:val="4"/>
        <w:spacing w:line="241" w:lineRule="auto"/>
        <w:rPr>
          <w:rFonts w:hint="eastAsia" w:ascii="宋体" w:hAnsi="宋体" w:eastAsia="宋体" w:cs="宋体"/>
          <w:color w:val="auto"/>
          <w:highlight w:val="none"/>
        </w:rPr>
      </w:pPr>
    </w:p>
    <w:p w14:paraId="26FF09FC">
      <w:pPr>
        <w:pStyle w:val="4"/>
        <w:spacing w:line="241" w:lineRule="auto"/>
        <w:rPr>
          <w:rFonts w:hint="eastAsia" w:ascii="宋体" w:hAnsi="宋体" w:eastAsia="宋体" w:cs="宋体"/>
          <w:color w:val="auto"/>
          <w:highlight w:val="none"/>
        </w:rPr>
      </w:pPr>
    </w:p>
    <w:p w14:paraId="62D61D93">
      <w:pPr>
        <w:pStyle w:val="4"/>
        <w:spacing w:line="241" w:lineRule="auto"/>
        <w:rPr>
          <w:rFonts w:hint="eastAsia" w:ascii="宋体" w:hAnsi="宋体" w:eastAsia="宋体" w:cs="宋体"/>
          <w:color w:val="auto"/>
          <w:highlight w:val="none"/>
        </w:rPr>
      </w:pPr>
    </w:p>
    <w:p w14:paraId="048AC6AB">
      <w:pPr>
        <w:pStyle w:val="4"/>
        <w:spacing w:line="241" w:lineRule="auto"/>
        <w:rPr>
          <w:rFonts w:hint="eastAsia" w:ascii="宋体" w:hAnsi="宋体" w:eastAsia="宋体" w:cs="宋体"/>
          <w:color w:val="auto"/>
          <w:highlight w:val="none"/>
        </w:rPr>
      </w:pPr>
    </w:p>
    <w:p w14:paraId="1B773300">
      <w:pPr>
        <w:pStyle w:val="4"/>
        <w:spacing w:line="241" w:lineRule="auto"/>
        <w:rPr>
          <w:rFonts w:hint="eastAsia" w:ascii="宋体" w:hAnsi="宋体" w:eastAsia="宋体" w:cs="宋体"/>
          <w:color w:val="auto"/>
          <w:highlight w:val="none"/>
        </w:rPr>
      </w:pPr>
    </w:p>
    <w:p w14:paraId="4B3C64AE">
      <w:pPr>
        <w:pStyle w:val="4"/>
        <w:spacing w:line="241" w:lineRule="auto"/>
        <w:rPr>
          <w:rFonts w:hint="eastAsia" w:ascii="宋体" w:hAnsi="宋体" w:eastAsia="宋体" w:cs="宋体"/>
          <w:color w:val="auto"/>
          <w:highlight w:val="none"/>
        </w:rPr>
      </w:pPr>
    </w:p>
    <w:p w14:paraId="2A178CF1">
      <w:pPr>
        <w:pStyle w:val="4"/>
        <w:spacing w:line="241" w:lineRule="auto"/>
        <w:rPr>
          <w:rFonts w:hint="eastAsia" w:ascii="宋体" w:hAnsi="宋体" w:eastAsia="宋体" w:cs="宋体"/>
          <w:color w:val="auto"/>
          <w:highlight w:val="none"/>
        </w:rPr>
      </w:pPr>
    </w:p>
    <w:p w14:paraId="394CF8F4">
      <w:pPr>
        <w:pStyle w:val="4"/>
        <w:spacing w:line="241" w:lineRule="auto"/>
        <w:rPr>
          <w:rFonts w:hint="eastAsia" w:ascii="宋体" w:hAnsi="宋体" w:eastAsia="宋体" w:cs="宋体"/>
          <w:color w:val="auto"/>
          <w:highlight w:val="none"/>
        </w:rPr>
      </w:pPr>
    </w:p>
    <w:p w14:paraId="3B78CA0F">
      <w:pPr>
        <w:pStyle w:val="4"/>
        <w:spacing w:line="241" w:lineRule="auto"/>
        <w:rPr>
          <w:rFonts w:hint="eastAsia" w:ascii="宋体" w:hAnsi="宋体" w:eastAsia="宋体" w:cs="宋体"/>
          <w:color w:val="auto"/>
          <w:highlight w:val="none"/>
        </w:rPr>
      </w:pPr>
    </w:p>
    <w:p w14:paraId="26D5498D">
      <w:pPr>
        <w:pStyle w:val="4"/>
        <w:spacing w:line="242" w:lineRule="auto"/>
        <w:rPr>
          <w:rFonts w:hint="eastAsia" w:ascii="宋体" w:hAnsi="宋体" w:eastAsia="宋体" w:cs="宋体"/>
          <w:color w:val="auto"/>
          <w:highlight w:val="none"/>
        </w:rPr>
      </w:pPr>
    </w:p>
    <w:p w14:paraId="6E2AE35F">
      <w:pPr>
        <w:pStyle w:val="4"/>
        <w:spacing w:line="242" w:lineRule="auto"/>
        <w:rPr>
          <w:rFonts w:hint="eastAsia" w:ascii="宋体" w:hAnsi="宋体" w:eastAsia="宋体" w:cs="宋体"/>
          <w:color w:val="auto"/>
          <w:highlight w:val="none"/>
        </w:rPr>
      </w:pPr>
    </w:p>
    <w:p w14:paraId="0D1ADFF0">
      <w:pPr>
        <w:pStyle w:val="4"/>
        <w:spacing w:line="242" w:lineRule="auto"/>
        <w:rPr>
          <w:rFonts w:hint="eastAsia" w:ascii="宋体" w:hAnsi="宋体" w:eastAsia="宋体" w:cs="宋体"/>
          <w:color w:val="auto"/>
          <w:highlight w:val="none"/>
        </w:rPr>
      </w:pPr>
    </w:p>
    <w:p w14:paraId="11B6B6C1">
      <w:pPr>
        <w:pStyle w:val="4"/>
        <w:spacing w:line="242" w:lineRule="auto"/>
        <w:rPr>
          <w:rFonts w:hint="eastAsia" w:ascii="宋体" w:hAnsi="宋体" w:eastAsia="宋体" w:cs="宋体"/>
          <w:color w:val="auto"/>
          <w:highlight w:val="none"/>
        </w:rPr>
      </w:pPr>
    </w:p>
    <w:p w14:paraId="45A6636B">
      <w:pPr>
        <w:pStyle w:val="4"/>
        <w:spacing w:line="242" w:lineRule="auto"/>
        <w:rPr>
          <w:rFonts w:hint="eastAsia" w:ascii="宋体" w:hAnsi="宋体" w:eastAsia="宋体" w:cs="宋体"/>
          <w:color w:val="auto"/>
          <w:highlight w:val="none"/>
        </w:rPr>
      </w:pPr>
    </w:p>
    <w:p w14:paraId="7FB69DF7">
      <w:pPr>
        <w:pStyle w:val="4"/>
        <w:spacing w:line="242" w:lineRule="auto"/>
        <w:rPr>
          <w:rFonts w:hint="eastAsia" w:ascii="宋体" w:hAnsi="宋体" w:eastAsia="宋体" w:cs="宋体"/>
          <w:color w:val="auto"/>
          <w:highlight w:val="none"/>
        </w:rPr>
      </w:pPr>
    </w:p>
    <w:p w14:paraId="132303F6">
      <w:pPr>
        <w:pStyle w:val="4"/>
        <w:spacing w:line="242" w:lineRule="auto"/>
        <w:rPr>
          <w:rFonts w:hint="eastAsia" w:ascii="宋体" w:hAnsi="宋体" w:eastAsia="宋体" w:cs="宋体"/>
          <w:color w:val="auto"/>
          <w:highlight w:val="none"/>
        </w:rPr>
      </w:pPr>
    </w:p>
    <w:p w14:paraId="34F763D2">
      <w:pPr>
        <w:spacing w:before="140" w:line="225" w:lineRule="auto"/>
        <w:ind w:firstLine="1767" w:firstLineChars="400"/>
        <w:outlineLvl w:val="0"/>
        <w:rPr>
          <w:rFonts w:hint="eastAsia" w:ascii="宋体" w:hAnsi="宋体" w:eastAsia="宋体" w:cs="宋体"/>
          <w:color w:val="auto"/>
          <w:sz w:val="43"/>
          <w:szCs w:val="43"/>
          <w:highlight w:val="none"/>
        </w:rPr>
        <w:sectPr>
          <w:headerReference r:id="rId49" w:type="default"/>
          <w:footerReference r:id="rId50" w:type="default"/>
          <w:pgSz w:w="11907" w:h="16840"/>
          <w:pgMar w:top="1182" w:right="1290" w:bottom="1014" w:left="1786" w:header="849" w:footer="852" w:gutter="0"/>
          <w:pgNumType w:fmt="decimal"/>
          <w:cols w:space="720" w:num="1"/>
        </w:sectPr>
      </w:pPr>
      <w:bookmarkStart w:id="441" w:name="_Toc22073"/>
      <w:bookmarkStart w:id="442" w:name="_Toc31985"/>
      <w:bookmarkStart w:id="443" w:name="_Toc30873"/>
      <w:bookmarkStart w:id="444" w:name="_Toc28966"/>
      <w:bookmarkStart w:id="445" w:name="_Toc25652"/>
      <w:r>
        <w:rPr>
          <w:rFonts w:hint="eastAsia" w:ascii="宋体" w:hAnsi="宋体" w:eastAsia="宋体" w:cs="宋体"/>
          <w:b/>
          <w:bCs/>
          <w:color w:val="auto"/>
          <w:spacing w:val="5"/>
          <w:sz w:val="43"/>
          <w:szCs w:val="43"/>
          <w:highlight w:val="none"/>
        </w:rPr>
        <w:t>第四章合同条款及格式</w:t>
      </w:r>
      <w:bookmarkEnd w:id="441"/>
      <w:bookmarkEnd w:id="442"/>
      <w:bookmarkEnd w:id="443"/>
      <w:bookmarkEnd w:id="444"/>
      <w:bookmarkEnd w:id="445"/>
    </w:p>
    <w:p w14:paraId="366B63E6">
      <w:pPr>
        <w:spacing w:before="140" w:line="223" w:lineRule="auto"/>
        <w:ind w:firstLine="2198" w:firstLineChars="500"/>
        <w:outlineLvl w:val="1"/>
        <w:rPr>
          <w:rFonts w:hint="eastAsia" w:ascii="宋体" w:hAnsi="宋体" w:eastAsia="宋体" w:cs="宋体"/>
          <w:b/>
          <w:bCs/>
          <w:color w:val="auto"/>
          <w:spacing w:val="4"/>
          <w:sz w:val="43"/>
          <w:szCs w:val="43"/>
          <w:highlight w:val="none"/>
        </w:rPr>
      </w:pPr>
    </w:p>
    <w:p w14:paraId="1DD3F1B9">
      <w:pPr>
        <w:spacing w:before="140" w:line="223" w:lineRule="auto"/>
        <w:ind w:firstLine="2198" w:firstLineChars="500"/>
        <w:outlineLvl w:val="1"/>
        <w:rPr>
          <w:rFonts w:hint="eastAsia" w:ascii="宋体" w:hAnsi="宋体" w:eastAsia="宋体" w:cs="宋体"/>
          <w:b/>
          <w:bCs/>
          <w:color w:val="auto"/>
          <w:spacing w:val="4"/>
          <w:sz w:val="43"/>
          <w:szCs w:val="43"/>
          <w:highlight w:val="none"/>
        </w:rPr>
      </w:pPr>
    </w:p>
    <w:p w14:paraId="673B7ED9">
      <w:pPr>
        <w:spacing w:before="140" w:line="223" w:lineRule="auto"/>
        <w:ind w:firstLine="2638" w:firstLineChars="600"/>
        <w:outlineLvl w:val="1"/>
        <w:rPr>
          <w:rFonts w:hint="eastAsia" w:ascii="宋体" w:hAnsi="宋体" w:eastAsia="宋体" w:cs="宋体"/>
          <w:color w:val="auto"/>
          <w:sz w:val="16"/>
          <w:szCs w:val="16"/>
          <w:highlight w:val="none"/>
        </w:rPr>
      </w:pPr>
      <w:bookmarkStart w:id="446" w:name="_Toc24368"/>
      <w:bookmarkStart w:id="447" w:name="_Toc28578"/>
      <w:bookmarkStart w:id="448" w:name="_Toc16995"/>
      <w:bookmarkStart w:id="449" w:name="_Toc21849"/>
      <w:bookmarkStart w:id="450" w:name="_Toc10062"/>
      <w:r>
        <w:rPr>
          <w:rFonts w:hint="eastAsia" w:ascii="宋体" w:hAnsi="宋体" w:eastAsia="宋体" w:cs="宋体"/>
          <w:b/>
          <w:bCs/>
          <w:color w:val="auto"/>
          <w:spacing w:val="4"/>
          <w:sz w:val="43"/>
          <w:szCs w:val="43"/>
          <w:highlight w:val="none"/>
        </w:rPr>
        <w:t>第一节通用合同条款</w:t>
      </w:r>
      <w:r>
        <w:rPr>
          <w:rFonts w:hint="eastAsia" w:ascii="宋体" w:hAnsi="宋体" w:eastAsia="宋体" w:cs="宋体"/>
          <w:b/>
          <w:bCs/>
          <w:color w:val="auto"/>
          <w:spacing w:val="4"/>
          <w:position w:val="15"/>
          <w:sz w:val="16"/>
          <w:szCs w:val="16"/>
          <w:highlight w:val="none"/>
        </w:rPr>
        <w:t>①</w:t>
      </w:r>
      <w:bookmarkEnd w:id="446"/>
      <w:bookmarkEnd w:id="447"/>
      <w:bookmarkEnd w:id="448"/>
      <w:bookmarkEnd w:id="449"/>
      <w:bookmarkEnd w:id="450"/>
    </w:p>
    <w:p w14:paraId="6D1C5583">
      <w:pPr>
        <w:pStyle w:val="4"/>
        <w:spacing w:line="244" w:lineRule="auto"/>
        <w:rPr>
          <w:rFonts w:hint="eastAsia" w:ascii="宋体" w:hAnsi="宋体" w:eastAsia="宋体" w:cs="宋体"/>
          <w:color w:val="auto"/>
          <w:highlight w:val="none"/>
        </w:rPr>
      </w:pPr>
    </w:p>
    <w:p w14:paraId="055CAEEC">
      <w:pPr>
        <w:pStyle w:val="4"/>
        <w:spacing w:line="244" w:lineRule="auto"/>
        <w:rPr>
          <w:rFonts w:hint="eastAsia" w:ascii="宋体" w:hAnsi="宋体" w:eastAsia="宋体" w:cs="宋体"/>
          <w:color w:val="auto"/>
          <w:highlight w:val="none"/>
        </w:rPr>
      </w:pPr>
    </w:p>
    <w:p w14:paraId="03091A81">
      <w:pPr>
        <w:pStyle w:val="4"/>
        <w:spacing w:line="244" w:lineRule="auto"/>
        <w:rPr>
          <w:rFonts w:hint="eastAsia" w:ascii="宋体" w:hAnsi="宋体" w:eastAsia="宋体" w:cs="宋体"/>
          <w:color w:val="auto"/>
          <w:highlight w:val="none"/>
        </w:rPr>
      </w:pPr>
    </w:p>
    <w:p w14:paraId="214C881A">
      <w:pPr>
        <w:pStyle w:val="4"/>
        <w:spacing w:line="245" w:lineRule="auto"/>
        <w:rPr>
          <w:rFonts w:hint="eastAsia" w:ascii="宋体" w:hAnsi="宋体" w:eastAsia="宋体" w:cs="宋体"/>
          <w:color w:val="auto"/>
          <w:highlight w:val="none"/>
        </w:rPr>
      </w:pPr>
    </w:p>
    <w:p w14:paraId="7A9979F0">
      <w:pPr>
        <w:pStyle w:val="4"/>
        <w:spacing w:line="245" w:lineRule="auto"/>
        <w:rPr>
          <w:rFonts w:hint="eastAsia" w:ascii="宋体" w:hAnsi="宋体" w:eastAsia="宋体" w:cs="宋体"/>
          <w:color w:val="auto"/>
          <w:highlight w:val="none"/>
        </w:rPr>
      </w:pPr>
    </w:p>
    <w:p w14:paraId="755800BF">
      <w:pPr>
        <w:pStyle w:val="4"/>
        <w:spacing w:line="245" w:lineRule="auto"/>
        <w:rPr>
          <w:rFonts w:hint="eastAsia" w:ascii="宋体" w:hAnsi="宋体" w:eastAsia="宋体" w:cs="宋体"/>
          <w:color w:val="auto"/>
          <w:highlight w:val="none"/>
        </w:rPr>
      </w:pPr>
    </w:p>
    <w:p w14:paraId="308A72C2">
      <w:pPr>
        <w:pStyle w:val="4"/>
        <w:spacing w:line="245" w:lineRule="auto"/>
        <w:rPr>
          <w:rFonts w:hint="eastAsia" w:ascii="宋体" w:hAnsi="宋体" w:eastAsia="宋体" w:cs="宋体"/>
          <w:color w:val="auto"/>
          <w:highlight w:val="none"/>
        </w:rPr>
      </w:pPr>
    </w:p>
    <w:p w14:paraId="3A1B131A">
      <w:pPr>
        <w:pStyle w:val="4"/>
        <w:spacing w:line="245" w:lineRule="auto"/>
        <w:rPr>
          <w:rFonts w:hint="eastAsia" w:ascii="宋体" w:hAnsi="宋体" w:eastAsia="宋体" w:cs="宋体"/>
          <w:color w:val="auto"/>
          <w:highlight w:val="none"/>
        </w:rPr>
      </w:pPr>
    </w:p>
    <w:p w14:paraId="08FA7B3C">
      <w:pPr>
        <w:pStyle w:val="4"/>
        <w:spacing w:line="245" w:lineRule="auto"/>
        <w:rPr>
          <w:rFonts w:hint="eastAsia" w:ascii="宋体" w:hAnsi="宋体" w:eastAsia="宋体" w:cs="宋体"/>
          <w:color w:val="auto"/>
          <w:highlight w:val="none"/>
        </w:rPr>
      </w:pPr>
    </w:p>
    <w:p w14:paraId="31ABE878">
      <w:pPr>
        <w:pStyle w:val="4"/>
        <w:spacing w:line="245" w:lineRule="auto"/>
        <w:rPr>
          <w:rFonts w:hint="eastAsia" w:ascii="宋体" w:hAnsi="宋体" w:eastAsia="宋体" w:cs="宋体"/>
          <w:color w:val="auto"/>
          <w:highlight w:val="none"/>
        </w:rPr>
      </w:pPr>
    </w:p>
    <w:p w14:paraId="187F6B1E">
      <w:pPr>
        <w:pStyle w:val="4"/>
        <w:spacing w:line="245" w:lineRule="auto"/>
        <w:rPr>
          <w:rFonts w:hint="eastAsia" w:ascii="宋体" w:hAnsi="宋体" w:eastAsia="宋体" w:cs="宋体"/>
          <w:color w:val="auto"/>
          <w:highlight w:val="none"/>
        </w:rPr>
      </w:pPr>
    </w:p>
    <w:p w14:paraId="1BD17092">
      <w:pPr>
        <w:pStyle w:val="4"/>
        <w:spacing w:line="245" w:lineRule="auto"/>
        <w:rPr>
          <w:rFonts w:hint="eastAsia" w:ascii="宋体" w:hAnsi="宋体" w:eastAsia="宋体" w:cs="宋体"/>
          <w:color w:val="auto"/>
          <w:highlight w:val="none"/>
        </w:rPr>
      </w:pPr>
    </w:p>
    <w:p w14:paraId="0DDD674E">
      <w:pPr>
        <w:pStyle w:val="4"/>
        <w:spacing w:line="245" w:lineRule="auto"/>
        <w:rPr>
          <w:rFonts w:hint="eastAsia" w:ascii="宋体" w:hAnsi="宋体" w:eastAsia="宋体" w:cs="宋体"/>
          <w:color w:val="auto"/>
          <w:highlight w:val="none"/>
        </w:rPr>
      </w:pPr>
    </w:p>
    <w:p w14:paraId="71D2CB05">
      <w:pPr>
        <w:pStyle w:val="4"/>
        <w:spacing w:line="245" w:lineRule="auto"/>
        <w:rPr>
          <w:rFonts w:hint="eastAsia" w:ascii="宋体" w:hAnsi="宋体" w:eastAsia="宋体" w:cs="宋体"/>
          <w:color w:val="auto"/>
          <w:highlight w:val="none"/>
        </w:rPr>
      </w:pPr>
    </w:p>
    <w:p w14:paraId="313D945C">
      <w:pPr>
        <w:pStyle w:val="4"/>
        <w:spacing w:line="245" w:lineRule="auto"/>
        <w:rPr>
          <w:rFonts w:hint="eastAsia" w:ascii="宋体" w:hAnsi="宋体" w:eastAsia="宋体" w:cs="宋体"/>
          <w:color w:val="auto"/>
          <w:highlight w:val="none"/>
        </w:rPr>
      </w:pPr>
    </w:p>
    <w:p w14:paraId="5CA76F1D">
      <w:pPr>
        <w:pStyle w:val="4"/>
        <w:spacing w:line="245" w:lineRule="auto"/>
        <w:rPr>
          <w:rFonts w:hint="eastAsia" w:ascii="宋体" w:hAnsi="宋体" w:eastAsia="宋体" w:cs="宋体"/>
          <w:color w:val="auto"/>
          <w:highlight w:val="none"/>
        </w:rPr>
      </w:pPr>
    </w:p>
    <w:p w14:paraId="0B237130">
      <w:pPr>
        <w:pStyle w:val="4"/>
        <w:spacing w:line="245" w:lineRule="auto"/>
        <w:rPr>
          <w:rFonts w:hint="eastAsia" w:ascii="宋体" w:hAnsi="宋体" w:eastAsia="宋体" w:cs="宋体"/>
          <w:color w:val="auto"/>
          <w:highlight w:val="none"/>
        </w:rPr>
      </w:pPr>
    </w:p>
    <w:p w14:paraId="370CD533">
      <w:pPr>
        <w:pStyle w:val="4"/>
        <w:spacing w:line="245" w:lineRule="auto"/>
        <w:rPr>
          <w:rFonts w:hint="eastAsia" w:ascii="宋体" w:hAnsi="宋体" w:eastAsia="宋体" w:cs="宋体"/>
          <w:color w:val="auto"/>
          <w:highlight w:val="none"/>
        </w:rPr>
      </w:pPr>
    </w:p>
    <w:p w14:paraId="72A060F7">
      <w:pPr>
        <w:pStyle w:val="4"/>
        <w:spacing w:line="245" w:lineRule="auto"/>
        <w:rPr>
          <w:rFonts w:hint="eastAsia" w:ascii="宋体" w:hAnsi="宋体" w:eastAsia="宋体" w:cs="宋体"/>
          <w:color w:val="auto"/>
          <w:highlight w:val="none"/>
        </w:rPr>
      </w:pPr>
    </w:p>
    <w:p w14:paraId="7C1FB1F5">
      <w:pPr>
        <w:pStyle w:val="4"/>
        <w:spacing w:line="245" w:lineRule="auto"/>
        <w:rPr>
          <w:rFonts w:hint="eastAsia" w:ascii="宋体" w:hAnsi="宋体" w:eastAsia="宋体" w:cs="宋体"/>
          <w:color w:val="auto"/>
          <w:highlight w:val="none"/>
        </w:rPr>
      </w:pPr>
    </w:p>
    <w:p w14:paraId="176D9443">
      <w:pPr>
        <w:pStyle w:val="4"/>
        <w:spacing w:line="245" w:lineRule="auto"/>
        <w:rPr>
          <w:rFonts w:hint="eastAsia" w:ascii="宋体" w:hAnsi="宋体" w:eastAsia="宋体" w:cs="宋体"/>
          <w:color w:val="auto"/>
          <w:highlight w:val="none"/>
        </w:rPr>
      </w:pPr>
    </w:p>
    <w:p w14:paraId="3BC87618">
      <w:pPr>
        <w:pStyle w:val="4"/>
        <w:spacing w:line="245" w:lineRule="auto"/>
        <w:rPr>
          <w:rFonts w:hint="eastAsia" w:ascii="宋体" w:hAnsi="宋体" w:eastAsia="宋体" w:cs="宋体"/>
          <w:color w:val="auto"/>
          <w:highlight w:val="none"/>
        </w:rPr>
      </w:pPr>
    </w:p>
    <w:p w14:paraId="38275843">
      <w:pPr>
        <w:pStyle w:val="4"/>
        <w:spacing w:line="245" w:lineRule="auto"/>
        <w:rPr>
          <w:rFonts w:hint="eastAsia" w:ascii="宋体" w:hAnsi="宋体" w:eastAsia="宋体" w:cs="宋体"/>
          <w:color w:val="auto"/>
          <w:highlight w:val="none"/>
        </w:rPr>
      </w:pPr>
    </w:p>
    <w:p w14:paraId="60E65C2F">
      <w:pPr>
        <w:pStyle w:val="4"/>
        <w:spacing w:line="245" w:lineRule="auto"/>
        <w:rPr>
          <w:rFonts w:hint="eastAsia" w:ascii="宋体" w:hAnsi="宋体" w:eastAsia="宋体" w:cs="宋体"/>
          <w:color w:val="auto"/>
          <w:highlight w:val="none"/>
        </w:rPr>
      </w:pPr>
    </w:p>
    <w:p w14:paraId="04DB5A97">
      <w:pPr>
        <w:pStyle w:val="4"/>
        <w:spacing w:line="245" w:lineRule="auto"/>
        <w:rPr>
          <w:rFonts w:hint="eastAsia" w:ascii="宋体" w:hAnsi="宋体" w:eastAsia="宋体" w:cs="宋体"/>
          <w:color w:val="auto"/>
          <w:highlight w:val="none"/>
        </w:rPr>
      </w:pPr>
    </w:p>
    <w:p w14:paraId="79CE527F">
      <w:pPr>
        <w:pStyle w:val="4"/>
        <w:spacing w:line="245" w:lineRule="auto"/>
        <w:rPr>
          <w:rFonts w:hint="eastAsia" w:ascii="宋体" w:hAnsi="宋体" w:eastAsia="宋体" w:cs="宋体"/>
          <w:color w:val="auto"/>
          <w:highlight w:val="none"/>
        </w:rPr>
      </w:pPr>
    </w:p>
    <w:p w14:paraId="75286D16">
      <w:pPr>
        <w:pStyle w:val="4"/>
        <w:spacing w:line="245" w:lineRule="auto"/>
        <w:rPr>
          <w:rFonts w:hint="eastAsia" w:ascii="宋体" w:hAnsi="宋体" w:eastAsia="宋体" w:cs="宋体"/>
          <w:color w:val="auto"/>
          <w:highlight w:val="none"/>
        </w:rPr>
      </w:pPr>
    </w:p>
    <w:p w14:paraId="60C6D58C">
      <w:pPr>
        <w:pStyle w:val="4"/>
        <w:spacing w:line="245" w:lineRule="auto"/>
        <w:rPr>
          <w:rFonts w:hint="eastAsia" w:ascii="宋体" w:hAnsi="宋体" w:eastAsia="宋体" w:cs="宋体"/>
          <w:color w:val="auto"/>
          <w:highlight w:val="none"/>
        </w:rPr>
      </w:pPr>
    </w:p>
    <w:p w14:paraId="3B2B1D00">
      <w:pPr>
        <w:pStyle w:val="4"/>
        <w:spacing w:line="245" w:lineRule="auto"/>
        <w:rPr>
          <w:rFonts w:hint="eastAsia" w:ascii="宋体" w:hAnsi="宋体" w:eastAsia="宋体" w:cs="宋体"/>
          <w:color w:val="auto"/>
          <w:highlight w:val="none"/>
        </w:rPr>
      </w:pPr>
    </w:p>
    <w:p w14:paraId="21F40914">
      <w:pPr>
        <w:pStyle w:val="4"/>
        <w:spacing w:line="245" w:lineRule="auto"/>
        <w:rPr>
          <w:rFonts w:hint="eastAsia" w:ascii="宋体" w:hAnsi="宋体" w:eastAsia="宋体" w:cs="宋体"/>
          <w:color w:val="auto"/>
          <w:highlight w:val="none"/>
        </w:rPr>
      </w:pPr>
    </w:p>
    <w:p w14:paraId="7F63743D">
      <w:pPr>
        <w:pStyle w:val="4"/>
        <w:spacing w:line="245" w:lineRule="auto"/>
        <w:rPr>
          <w:rFonts w:hint="eastAsia" w:ascii="宋体" w:hAnsi="宋体" w:eastAsia="宋体" w:cs="宋体"/>
          <w:color w:val="auto"/>
          <w:highlight w:val="none"/>
        </w:rPr>
      </w:pPr>
    </w:p>
    <w:p w14:paraId="0442528C">
      <w:pPr>
        <w:pStyle w:val="4"/>
        <w:spacing w:line="245" w:lineRule="auto"/>
        <w:rPr>
          <w:rFonts w:hint="eastAsia" w:ascii="宋体" w:hAnsi="宋体" w:eastAsia="宋体" w:cs="宋体"/>
          <w:color w:val="auto"/>
          <w:highlight w:val="none"/>
        </w:rPr>
      </w:pPr>
    </w:p>
    <w:p w14:paraId="44FDF770">
      <w:pPr>
        <w:pStyle w:val="4"/>
        <w:spacing w:line="245" w:lineRule="auto"/>
        <w:rPr>
          <w:rFonts w:hint="eastAsia" w:ascii="宋体" w:hAnsi="宋体" w:eastAsia="宋体" w:cs="宋体"/>
          <w:color w:val="auto"/>
          <w:highlight w:val="none"/>
        </w:rPr>
      </w:pPr>
    </w:p>
    <w:p w14:paraId="3914C9A4">
      <w:pPr>
        <w:pStyle w:val="4"/>
        <w:spacing w:line="245" w:lineRule="auto"/>
        <w:rPr>
          <w:rFonts w:hint="eastAsia" w:ascii="宋体" w:hAnsi="宋体" w:eastAsia="宋体" w:cs="宋体"/>
          <w:color w:val="auto"/>
          <w:highlight w:val="none"/>
        </w:rPr>
      </w:pPr>
    </w:p>
    <w:p w14:paraId="234519E7">
      <w:pPr>
        <w:pStyle w:val="4"/>
        <w:spacing w:line="245" w:lineRule="auto"/>
        <w:rPr>
          <w:rFonts w:hint="eastAsia" w:ascii="宋体" w:hAnsi="宋体" w:eastAsia="宋体" w:cs="宋体"/>
          <w:color w:val="auto"/>
          <w:highlight w:val="none"/>
        </w:rPr>
      </w:pPr>
    </w:p>
    <w:p w14:paraId="058ED013">
      <w:pPr>
        <w:pStyle w:val="4"/>
        <w:spacing w:line="245" w:lineRule="auto"/>
        <w:rPr>
          <w:rFonts w:hint="eastAsia" w:ascii="宋体" w:hAnsi="宋体" w:eastAsia="宋体" w:cs="宋体"/>
          <w:color w:val="auto"/>
          <w:highlight w:val="none"/>
        </w:rPr>
      </w:pPr>
    </w:p>
    <w:p w14:paraId="3F166368">
      <w:pPr>
        <w:pStyle w:val="4"/>
        <w:spacing w:line="245" w:lineRule="auto"/>
        <w:rPr>
          <w:rFonts w:hint="eastAsia" w:ascii="宋体" w:hAnsi="宋体" w:eastAsia="宋体" w:cs="宋体"/>
          <w:color w:val="auto"/>
          <w:highlight w:val="none"/>
        </w:rPr>
      </w:pPr>
    </w:p>
    <w:p w14:paraId="3579312E">
      <w:pPr>
        <w:pStyle w:val="4"/>
        <w:spacing w:line="245" w:lineRule="auto"/>
        <w:rPr>
          <w:rFonts w:hint="eastAsia" w:ascii="宋体" w:hAnsi="宋体" w:eastAsia="宋体" w:cs="宋体"/>
          <w:color w:val="auto"/>
          <w:highlight w:val="none"/>
        </w:rPr>
      </w:pPr>
    </w:p>
    <w:p w14:paraId="36A995EC">
      <w:pPr>
        <w:pStyle w:val="4"/>
        <w:spacing w:line="245" w:lineRule="auto"/>
        <w:rPr>
          <w:rFonts w:hint="eastAsia" w:ascii="宋体" w:hAnsi="宋体" w:eastAsia="宋体" w:cs="宋体"/>
          <w:color w:val="auto"/>
          <w:highlight w:val="none"/>
        </w:rPr>
      </w:pPr>
    </w:p>
    <w:p w14:paraId="337E464B">
      <w:pPr>
        <w:pStyle w:val="4"/>
        <w:spacing w:line="245" w:lineRule="auto"/>
        <w:rPr>
          <w:rFonts w:hint="eastAsia" w:ascii="宋体" w:hAnsi="宋体" w:eastAsia="宋体" w:cs="宋体"/>
          <w:color w:val="auto"/>
          <w:highlight w:val="none"/>
        </w:rPr>
      </w:pPr>
    </w:p>
    <w:p w14:paraId="7F76B225">
      <w:pPr>
        <w:pStyle w:val="4"/>
        <w:spacing w:line="245" w:lineRule="auto"/>
        <w:rPr>
          <w:rFonts w:hint="eastAsia" w:ascii="宋体" w:hAnsi="宋体" w:eastAsia="宋体" w:cs="宋体"/>
          <w:color w:val="auto"/>
          <w:highlight w:val="none"/>
        </w:rPr>
      </w:pPr>
    </w:p>
    <w:p w14:paraId="5EF2A8DC">
      <w:pPr>
        <w:pStyle w:val="4"/>
        <w:spacing w:line="245" w:lineRule="auto"/>
        <w:rPr>
          <w:rFonts w:hint="eastAsia" w:ascii="宋体" w:hAnsi="宋体" w:eastAsia="宋体" w:cs="宋体"/>
          <w:color w:val="auto"/>
          <w:highlight w:val="none"/>
        </w:rPr>
      </w:pPr>
    </w:p>
    <w:p w14:paraId="4F1609E7">
      <w:pPr>
        <w:pStyle w:val="4"/>
        <w:spacing w:line="245" w:lineRule="auto"/>
        <w:rPr>
          <w:rFonts w:hint="eastAsia" w:ascii="宋体" w:hAnsi="宋体" w:eastAsia="宋体" w:cs="宋体"/>
          <w:color w:val="auto"/>
          <w:highlight w:val="none"/>
        </w:rPr>
      </w:pPr>
    </w:p>
    <w:p w14:paraId="0D180B3D">
      <w:pPr>
        <w:pStyle w:val="4"/>
        <w:spacing w:line="245" w:lineRule="auto"/>
        <w:rPr>
          <w:rFonts w:hint="eastAsia" w:ascii="宋体" w:hAnsi="宋体" w:eastAsia="宋体" w:cs="宋体"/>
          <w:color w:val="auto"/>
          <w:highlight w:val="none"/>
        </w:rPr>
      </w:pPr>
    </w:p>
    <w:p w14:paraId="245B5EB5">
      <w:pPr>
        <w:pStyle w:val="4"/>
        <w:spacing w:line="245" w:lineRule="auto"/>
        <w:rPr>
          <w:rFonts w:hint="eastAsia" w:ascii="宋体" w:hAnsi="宋体" w:eastAsia="宋体" w:cs="宋体"/>
          <w:color w:val="auto"/>
          <w:highlight w:val="none"/>
        </w:rPr>
      </w:pPr>
    </w:p>
    <w:p w14:paraId="7AF8D101">
      <w:pPr>
        <w:pStyle w:val="4"/>
        <w:spacing w:line="245" w:lineRule="auto"/>
        <w:rPr>
          <w:rFonts w:hint="eastAsia" w:ascii="宋体" w:hAnsi="宋体" w:eastAsia="宋体" w:cs="宋体"/>
          <w:color w:val="auto"/>
          <w:highlight w:val="none"/>
        </w:rPr>
      </w:pPr>
    </w:p>
    <w:p w14:paraId="3CC9CDAE">
      <w:pPr>
        <w:pStyle w:val="4"/>
        <w:spacing w:line="245" w:lineRule="auto"/>
        <w:rPr>
          <w:rFonts w:hint="eastAsia" w:ascii="宋体" w:hAnsi="宋体" w:eastAsia="宋体" w:cs="宋体"/>
          <w:color w:val="auto"/>
          <w:highlight w:val="none"/>
        </w:rPr>
      </w:pPr>
    </w:p>
    <w:p w14:paraId="0ED25AC5">
      <w:pPr>
        <w:pStyle w:val="4"/>
        <w:spacing w:line="245" w:lineRule="auto"/>
        <w:rPr>
          <w:rFonts w:hint="eastAsia" w:ascii="宋体" w:hAnsi="宋体" w:eastAsia="宋体" w:cs="宋体"/>
          <w:color w:val="auto"/>
          <w:highlight w:val="none"/>
        </w:rPr>
      </w:pPr>
    </w:p>
    <w:p w14:paraId="1B317097">
      <w:pPr>
        <w:pStyle w:val="4"/>
        <w:spacing w:line="245" w:lineRule="auto"/>
        <w:rPr>
          <w:rFonts w:hint="eastAsia" w:ascii="宋体" w:hAnsi="宋体" w:eastAsia="宋体" w:cs="宋体"/>
          <w:color w:val="auto"/>
          <w:highlight w:val="none"/>
        </w:rPr>
      </w:pPr>
      <w:r>
        <w:rPr>
          <w:rFonts w:hint="eastAsia" w:ascii="宋体" w:hAnsi="宋体" w:eastAsia="宋体" w:cs="宋体"/>
          <w:color w:val="auto"/>
          <w:highlight w:val="none"/>
        </w:rPr>
        <w:drawing>
          <wp:anchor distT="0" distB="0" distL="0" distR="0" simplePos="0" relativeHeight="251677696" behindDoc="0" locked="0" layoutInCell="1" allowOverlap="1">
            <wp:simplePos x="0" y="0"/>
            <wp:positionH relativeFrom="column">
              <wp:posOffset>0</wp:posOffset>
            </wp:positionH>
            <wp:positionV relativeFrom="paragraph">
              <wp:posOffset>178435</wp:posOffset>
            </wp:positionV>
            <wp:extent cx="1829435" cy="7620"/>
            <wp:effectExtent l="0" t="0" r="0" b="0"/>
            <wp:wrapNone/>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314"/>
                    <a:stretch>
                      <a:fillRect/>
                    </a:stretch>
                  </pic:blipFill>
                  <pic:spPr>
                    <a:xfrm>
                      <a:off x="0" y="0"/>
                      <a:ext cx="1829435" cy="7619"/>
                    </a:xfrm>
                    <a:prstGeom prst="rect">
                      <a:avLst/>
                    </a:prstGeom>
                  </pic:spPr>
                </pic:pic>
              </a:graphicData>
            </a:graphic>
          </wp:anchor>
        </w:drawing>
      </w:r>
    </w:p>
    <w:p w14:paraId="21C57A46">
      <w:pPr>
        <w:spacing w:before="65" w:line="263" w:lineRule="exact"/>
        <w:ind w:left="517"/>
        <w:rPr>
          <w:rFonts w:hint="eastAsia" w:ascii="宋体" w:hAnsi="宋体" w:eastAsia="宋体" w:cs="宋体"/>
          <w:color w:val="auto"/>
          <w:sz w:val="20"/>
          <w:szCs w:val="20"/>
          <w:highlight w:val="none"/>
        </w:rPr>
      </w:pPr>
      <w:r>
        <w:rPr>
          <w:rFonts w:hint="eastAsia" w:ascii="宋体" w:hAnsi="宋体" w:eastAsia="宋体" w:cs="宋体"/>
          <w:color w:val="auto"/>
          <w:spacing w:val="9"/>
          <w:position w:val="10"/>
          <w:sz w:val="10"/>
          <w:szCs w:val="10"/>
          <w:highlight w:val="none"/>
        </w:rPr>
        <w:t>①</w:t>
      </w:r>
      <w:r>
        <w:rPr>
          <w:rFonts w:hint="eastAsia" w:ascii="宋体" w:hAnsi="宋体" w:eastAsia="宋体" w:cs="宋体"/>
          <w:color w:val="auto"/>
          <w:spacing w:val="9"/>
          <w:sz w:val="20"/>
          <w:szCs w:val="20"/>
          <w:highlight w:val="none"/>
        </w:rPr>
        <w:t>本部分不加修改地引用了国家九部委《标准施工招标文件》（2007</w:t>
      </w:r>
      <w:r>
        <w:rPr>
          <w:rFonts w:hint="eastAsia" w:ascii="宋体" w:hAnsi="宋体" w:eastAsia="宋体" w:cs="宋体"/>
          <w:color w:val="auto"/>
          <w:spacing w:val="8"/>
          <w:sz w:val="20"/>
          <w:szCs w:val="20"/>
          <w:highlight w:val="none"/>
        </w:rPr>
        <w:t>年版）相关内容。</w:t>
      </w:r>
    </w:p>
    <w:p w14:paraId="3D8320B1">
      <w:pPr>
        <w:spacing w:line="263" w:lineRule="exact"/>
        <w:rPr>
          <w:rFonts w:hint="eastAsia" w:ascii="宋体" w:hAnsi="宋体" w:eastAsia="宋体" w:cs="宋体"/>
          <w:color w:val="auto"/>
          <w:sz w:val="20"/>
          <w:szCs w:val="20"/>
          <w:highlight w:val="none"/>
        </w:rPr>
        <w:sectPr>
          <w:headerReference r:id="rId51" w:type="default"/>
          <w:footerReference r:id="rId52" w:type="default"/>
          <w:pgSz w:w="11907" w:h="16840"/>
          <w:pgMar w:top="1182" w:right="1290" w:bottom="1014" w:left="1283" w:header="849" w:footer="852" w:gutter="0"/>
          <w:pgNumType w:fmt="decimal"/>
          <w:cols w:space="720" w:num="1"/>
        </w:sectPr>
      </w:pPr>
    </w:p>
    <w:p w14:paraId="6557487D">
      <w:pPr>
        <w:pStyle w:val="4"/>
        <w:spacing w:line="291" w:lineRule="auto"/>
        <w:rPr>
          <w:rFonts w:hint="eastAsia" w:ascii="宋体" w:hAnsi="宋体" w:eastAsia="宋体" w:cs="宋体"/>
          <w:color w:val="auto"/>
          <w:highlight w:val="none"/>
        </w:rPr>
      </w:pPr>
    </w:p>
    <w:p w14:paraId="5165C83D">
      <w:pPr>
        <w:pStyle w:val="4"/>
        <w:spacing w:line="291" w:lineRule="auto"/>
        <w:rPr>
          <w:rFonts w:hint="eastAsia" w:ascii="宋体" w:hAnsi="宋体" w:eastAsia="宋体" w:cs="宋体"/>
          <w:color w:val="auto"/>
          <w:highlight w:val="none"/>
        </w:rPr>
      </w:pPr>
    </w:p>
    <w:p w14:paraId="1896098B">
      <w:pPr>
        <w:spacing w:before="91" w:line="222" w:lineRule="auto"/>
        <w:ind w:left="44"/>
        <w:rPr>
          <w:rFonts w:hint="eastAsia" w:ascii="宋体" w:hAnsi="宋体" w:eastAsia="宋体" w:cs="宋体"/>
          <w:color w:val="auto"/>
          <w:sz w:val="28"/>
          <w:szCs w:val="28"/>
          <w:highlight w:val="none"/>
        </w:rPr>
      </w:pPr>
      <w:r>
        <w:rPr>
          <w:rFonts w:hint="eastAsia" w:ascii="宋体" w:hAnsi="宋体" w:eastAsia="宋体" w:cs="宋体"/>
          <w:color w:val="auto"/>
          <w:spacing w:val="-8"/>
          <w:sz w:val="28"/>
          <w:szCs w:val="28"/>
          <w:highlight w:val="none"/>
        </w:rPr>
        <w:t>1.一般约定</w:t>
      </w:r>
    </w:p>
    <w:p w14:paraId="1402FBE6">
      <w:pPr>
        <w:pStyle w:val="4"/>
        <w:spacing w:line="240" w:lineRule="auto"/>
        <w:rPr>
          <w:rFonts w:hint="eastAsia" w:ascii="宋体" w:hAnsi="宋体" w:eastAsia="宋体" w:cs="宋体"/>
          <w:color w:val="auto"/>
          <w:highlight w:val="none"/>
        </w:rPr>
      </w:pPr>
    </w:p>
    <w:p w14:paraId="24F2C5D8">
      <w:pPr>
        <w:spacing w:before="78" w:line="240" w:lineRule="auto"/>
        <w:ind w:left="3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1.1词语定义</w:t>
      </w:r>
    </w:p>
    <w:p w14:paraId="7DFC0381">
      <w:pPr>
        <w:pStyle w:val="4"/>
        <w:spacing w:line="240" w:lineRule="auto"/>
        <w:rPr>
          <w:rFonts w:hint="eastAsia" w:ascii="宋体" w:hAnsi="宋体" w:eastAsia="宋体" w:cs="宋体"/>
          <w:color w:val="auto"/>
          <w:highlight w:val="none"/>
        </w:rPr>
      </w:pPr>
    </w:p>
    <w:p w14:paraId="0A33C037">
      <w:pPr>
        <w:spacing w:before="78" w:line="240" w:lineRule="auto"/>
        <w:ind w:left="5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通用合同条款、专用合同条款中的下列词语应</w:t>
      </w:r>
      <w:r>
        <w:rPr>
          <w:rFonts w:hint="eastAsia" w:ascii="宋体" w:hAnsi="宋体" w:eastAsia="宋体" w:cs="宋体"/>
          <w:color w:val="auto"/>
          <w:spacing w:val="-1"/>
          <w:sz w:val="24"/>
          <w:szCs w:val="24"/>
          <w:highlight w:val="none"/>
        </w:rPr>
        <w:t>具有本款所赋予的含义。</w:t>
      </w:r>
    </w:p>
    <w:p w14:paraId="7715FFD2">
      <w:pPr>
        <w:spacing w:before="116" w:line="240" w:lineRule="auto"/>
        <w:ind w:left="51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1.1.1合同</w:t>
      </w:r>
    </w:p>
    <w:p w14:paraId="21CF6812">
      <w:pPr>
        <w:spacing w:before="107" w:line="240" w:lineRule="auto"/>
        <w:ind w:left="39" w:firstLine="72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1.1.1.1合同文件（或称合同</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3"/>
          <w:sz w:val="24"/>
          <w:szCs w:val="24"/>
          <w:highlight w:val="none"/>
        </w:rPr>
        <w:t>指合同协议书、中标通知书、投标函及投标函</w:t>
      </w:r>
      <w:r>
        <w:rPr>
          <w:rFonts w:hint="eastAsia" w:ascii="宋体" w:hAnsi="宋体" w:eastAsia="宋体" w:cs="宋体"/>
          <w:color w:val="auto"/>
          <w:spacing w:val="-2"/>
          <w:sz w:val="24"/>
          <w:szCs w:val="24"/>
          <w:highlight w:val="none"/>
        </w:rPr>
        <w:t>附录、专用合同条款、通用合同条款、技术标准和要</w:t>
      </w:r>
      <w:r>
        <w:rPr>
          <w:rFonts w:hint="eastAsia" w:ascii="宋体" w:hAnsi="宋体" w:eastAsia="宋体" w:cs="宋体"/>
          <w:color w:val="auto"/>
          <w:spacing w:val="-3"/>
          <w:sz w:val="24"/>
          <w:szCs w:val="24"/>
          <w:highlight w:val="none"/>
        </w:rPr>
        <w:t>求、图纸、已标价工程量清单，</w:t>
      </w:r>
      <w:r>
        <w:rPr>
          <w:rFonts w:hint="eastAsia" w:ascii="宋体" w:hAnsi="宋体" w:eastAsia="宋体" w:cs="宋体"/>
          <w:color w:val="auto"/>
          <w:spacing w:val="-4"/>
          <w:sz w:val="24"/>
          <w:szCs w:val="24"/>
          <w:highlight w:val="none"/>
        </w:rPr>
        <w:t>以及其他合同文件。</w:t>
      </w:r>
    </w:p>
    <w:p w14:paraId="1038A409">
      <w:pPr>
        <w:spacing w:before="113" w:line="240" w:lineRule="auto"/>
        <w:ind w:left="75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1.1.1.2合同协议书：指第1.5款所指的合同协议书。</w:t>
      </w:r>
    </w:p>
    <w:p w14:paraId="0AAEF34E">
      <w:pPr>
        <w:spacing w:before="116" w:line="240" w:lineRule="auto"/>
        <w:ind w:left="75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1.1.1.3中标通知书：指发包人通知承包人中</w:t>
      </w:r>
      <w:r>
        <w:rPr>
          <w:rFonts w:hint="eastAsia" w:ascii="宋体" w:hAnsi="宋体" w:eastAsia="宋体" w:cs="宋体"/>
          <w:color w:val="auto"/>
          <w:spacing w:val="-3"/>
          <w:sz w:val="24"/>
          <w:szCs w:val="24"/>
          <w:highlight w:val="none"/>
        </w:rPr>
        <w:t>标的函件。</w:t>
      </w:r>
    </w:p>
    <w:p w14:paraId="76EE169D">
      <w:pPr>
        <w:spacing w:before="117" w:line="240" w:lineRule="auto"/>
        <w:ind w:left="75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1.1.1.4投标函：指构成合同文件组成部分的由承包人填写并签署的投标函。</w:t>
      </w:r>
    </w:p>
    <w:p w14:paraId="1602A24C">
      <w:pPr>
        <w:spacing w:before="113" w:line="240" w:lineRule="auto"/>
        <w:ind w:left="75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1.1.1.5投标函附录：指附在投标函后构成合同文件的投标函附录。</w:t>
      </w:r>
    </w:p>
    <w:p w14:paraId="11188415">
      <w:pPr>
        <w:spacing w:before="116" w:line="240" w:lineRule="auto"/>
        <w:ind w:left="19" w:right="1" w:firstLine="739"/>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1.1.1.6技术标准和要求：指构成合同文件组成部分的名为技术标准和要求的文</w:t>
      </w:r>
      <w:r>
        <w:rPr>
          <w:rFonts w:hint="eastAsia" w:ascii="宋体" w:hAnsi="宋体" w:eastAsia="宋体" w:cs="宋体"/>
          <w:color w:val="auto"/>
          <w:spacing w:val="-1"/>
          <w:sz w:val="24"/>
          <w:szCs w:val="24"/>
          <w:highlight w:val="none"/>
        </w:rPr>
        <w:t>件，包括合同双方当事人约定对其所作的修改或补充。</w:t>
      </w:r>
    </w:p>
    <w:p w14:paraId="2A77FCDB">
      <w:pPr>
        <w:spacing w:before="113" w:line="240" w:lineRule="auto"/>
        <w:ind w:left="24" w:right="1" w:firstLine="734"/>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1.1.1.7图纸：指包含在合同中的工程图纸，以及由发包人按合同约定提供的任</w:t>
      </w:r>
      <w:r>
        <w:rPr>
          <w:rFonts w:hint="eastAsia" w:ascii="宋体" w:hAnsi="宋体" w:eastAsia="宋体" w:cs="宋体"/>
          <w:color w:val="auto"/>
          <w:spacing w:val="-1"/>
          <w:sz w:val="24"/>
          <w:szCs w:val="24"/>
          <w:highlight w:val="none"/>
        </w:rPr>
        <w:t>何补充和修改的图纸，包括配套的说明。</w:t>
      </w:r>
    </w:p>
    <w:p w14:paraId="1D9593F4">
      <w:pPr>
        <w:spacing w:before="116" w:line="240" w:lineRule="auto"/>
        <w:ind w:left="25" w:right="1" w:firstLine="733"/>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1.1.1.8已标价工程量清单：指构成合同文件组成部分的由承包人按照规定的格</w:t>
      </w:r>
      <w:r>
        <w:rPr>
          <w:rFonts w:hint="eastAsia" w:ascii="宋体" w:hAnsi="宋体" w:eastAsia="宋体" w:cs="宋体"/>
          <w:color w:val="auto"/>
          <w:spacing w:val="-1"/>
          <w:sz w:val="24"/>
          <w:szCs w:val="24"/>
          <w:highlight w:val="none"/>
        </w:rPr>
        <w:t>式和要求填写并标明价格的工程量清单。</w:t>
      </w:r>
    </w:p>
    <w:p w14:paraId="7E46CFB6">
      <w:pPr>
        <w:spacing w:before="118" w:line="240" w:lineRule="auto"/>
        <w:ind w:left="75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1.1.1.9其他合同文件：指经合同双方当事人确认构成合同文件的其他文件。</w:t>
      </w:r>
    </w:p>
    <w:p w14:paraId="7A11D0CC">
      <w:pPr>
        <w:spacing w:before="115" w:line="240" w:lineRule="auto"/>
        <w:ind w:left="51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1.1.2合同当事人和人员</w:t>
      </w:r>
    </w:p>
    <w:p w14:paraId="30E9B581">
      <w:pPr>
        <w:spacing w:before="112" w:line="240" w:lineRule="auto"/>
        <w:ind w:left="75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1.1.2.1合同当事人：指发包人和（或）承</w:t>
      </w:r>
      <w:r>
        <w:rPr>
          <w:rFonts w:hint="eastAsia" w:ascii="宋体" w:hAnsi="宋体" w:eastAsia="宋体" w:cs="宋体"/>
          <w:color w:val="auto"/>
          <w:spacing w:val="-2"/>
          <w:sz w:val="24"/>
          <w:szCs w:val="24"/>
          <w:highlight w:val="none"/>
        </w:rPr>
        <w:t>包人。</w:t>
      </w:r>
    </w:p>
    <w:p w14:paraId="68EC9B06">
      <w:pPr>
        <w:spacing w:before="116" w:line="240" w:lineRule="auto"/>
        <w:ind w:left="22" w:right="1" w:firstLine="736"/>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1.1.2.2发包人：指专用合同条款中指明并与承包人在合同协议书中签字的当事</w:t>
      </w:r>
      <w:r>
        <w:rPr>
          <w:rFonts w:hint="eastAsia" w:ascii="宋体" w:hAnsi="宋体" w:eastAsia="宋体" w:cs="宋体"/>
          <w:color w:val="auto"/>
          <w:spacing w:val="-6"/>
          <w:sz w:val="24"/>
          <w:szCs w:val="24"/>
          <w:highlight w:val="none"/>
        </w:rPr>
        <w:t>人。</w:t>
      </w:r>
    </w:p>
    <w:p w14:paraId="09D1A734">
      <w:pPr>
        <w:spacing w:before="109" w:line="240" w:lineRule="auto"/>
        <w:ind w:left="75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1.1.2.3承包人：指与发包人签订合同协议书的当事人。</w:t>
      </w:r>
    </w:p>
    <w:p w14:paraId="6800E092">
      <w:pPr>
        <w:spacing w:before="117" w:line="240" w:lineRule="auto"/>
        <w:ind w:left="75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1.1.2.4承包人项目经理：指承包人派驻施工场地的全权负责人。</w:t>
      </w:r>
    </w:p>
    <w:p w14:paraId="75CD97AB">
      <w:pPr>
        <w:spacing w:before="117" w:line="240" w:lineRule="auto"/>
        <w:ind w:left="40" w:right="1" w:firstLine="71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1.1.2.5分包人：指从承包人处分包合同中某一部分</w:t>
      </w:r>
      <w:r>
        <w:rPr>
          <w:rFonts w:hint="eastAsia" w:ascii="宋体" w:hAnsi="宋体" w:eastAsia="宋体" w:cs="宋体"/>
          <w:color w:val="auto"/>
          <w:spacing w:val="-3"/>
          <w:sz w:val="24"/>
          <w:szCs w:val="24"/>
          <w:highlight w:val="none"/>
        </w:rPr>
        <w:t>工程，并与其签订分包合同</w:t>
      </w:r>
      <w:r>
        <w:rPr>
          <w:rFonts w:hint="eastAsia" w:ascii="宋体" w:hAnsi="宋体" w:eastAsia="宋体" w:cs="宋体"/>
          <w:color w:val="auto"/>
          <w:spacing w:val="-6"/>
          <w:sz w:val="24"/>
          <w:szCs w:val="24"/>
          <w:highlight w:val="none"/>
        </w:rPr>
        <w:t>的分包人。</w:t>
      </w:r>
    </w:p>
    <w:p w14:paraId="4F424C4A">
      <w:pPr>
        <w:spacing w:before="115" w:line="240" w:lineRule="auto"/>
        <w:ind w:left="23" w:right="1" w:firstLine="73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1.1.2.6监理人：指在专用合同条款中指明的，受发</w:t>
      </w:r>
      <w:r>
        <w:rPr>
          <w:rFonts w:hint="eastAsia" w:ascii="宋体" w:hAnsi="宋体" w:eastAsia="宋体" w:cs="宋体"/>
          <w:color w:val="auto"/>
          <w:spacing w:val="-3"/>
          <w:sz w:val="24"/>
          <w:szCs w:val="24"/>
          <w:highlight w:val="none"/>
        </w:rPr>
        <w:t>包人委托对合同履行实施管</w:t>
      </w:r>
      <w:r>
        <w:rPr>
          <w:rFonts w:hint="eastAsia" w:ascii="宋体" w:hAnsi="宋体" w:eastAsia="宋体" w:cs="宋体"/>
          <w:color w:val="auto"/>
          <w:spacing w:val="-2"/>
          <w:sz w:val="24"/>
          <w:szCs w:val="24"/>
          <w:highlight w:val="none"/>
        </w:rPr>
        <w:t>理的法人或其他组织。</w:t>
      </w:r>
    </w:p>
    <w:p w14:paraId="4CE78D92">
      <w:pPr>
        <w:spacing w:before="112" w:line="240" w:lineRule="auto"/>
        <w:ind w:left="26" w:right="1" w:firstLine="73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1.1.2.7总监理工程师（总监</w:t>
      </w:r>
      <w:r>
        <w:rPr>
          <w:rFonts w:hint="eastAsia" w:ascii="宋体" w:hAnsi="宋体" w:eastAsia="宋体" w:cs="宋体"/>
          <w:color w:val="auto"/>
          <w:spacing w:val="-13"/>
          <w:sz w:val="24"/>
          <w:szCs w:val="24"/>
          <w:highlight w:val="none"/>
        </w:rPr>
        <w:t>）：</w:t>
      </w:r>
      <w:r>
        <w:rPr>
          <w:rFonts w:hint="eastAsia" w:ascii="宋体" w:hAnsi="宋体" w:eastAsia="宋体" w:cs="宋体"/>
          <w:color w:val="auto"/>
          <w:spacing w:val="-2"/>
          <w:sz w:val="24"/>
          <w:szCs w:val="24"/>
          <w:highlight w:val="none"/>
        </w:rPr>
        <w:t>指由监理人委派常驻施工场地</w:t>
      </w:r>
      <w:r>
        <w:rPr>
          <w:rFonts w:hint="eastAsia" w:ascii="宋体" w:hAnsi="宋体" w:eastAsia="宋体" w:cs="宋体"/>
          <w:color w:val="auto"/>
          <w:spacing w:val="-3"/>
          <w:sz w:val="24"/>
          <w:szCs w:val="24"/>
          <w:highlight w:val="none"/>
        </w:rPr>
        <w:t>对合同履行实施</w:t>
      </w:r>
      <w:r>
        <w:rPr>
          <w:rFonts w:hint="eastAsia" w:ascii="宋体" w:hAnsi="宋体" w:eastAsia="宋体" w:cs="宋体"/>
          <w:color w:val="auto"/>
          <w:spacing w:val="-2"/>
          <w:sz w:val="24"/>
          <w:szCs w:val="24"/>
          <w:highlight w:val="none"/>
        </w:rPr>
        <w:t>管理的全权负责人。</w:t>
      </w:r>
    </w:p>
    <w:p w14:paraId="6DDBFEEA">
      <w:pPr>
        <w:spacing w:before="115" w:line="240" w:lineRule="auto"/>
        <w:ind w:left="51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1.1.3工程和设备</w:t>
      </w:r>
    </w:p>
    <w:p w14:paraId="7E0FACE6">
      <w:pPr>
        <w:spacing w:before="111" w:line="240" w:lineRule="auto"/>
        <w:ind w:left="75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1.1.3.1工程：指永久工程和（或）临</w:t>
      </w:r>
      <w:r>
        <w:rPr>
          <w:rFonts w:hint="eastAsia" w:ascii="宋体" w:hAnsi="宋体" w:eastAsia="宋体" w:cs="宋体"/>
          <w:color w:val="auto"/>
          <w:spacing w:val="-2"/>
          <w:sz w:val="24"/>
          <w:szCs w:val="24"/>
          <w:highlight w:val="none"/>
        </w:rPr>
        <w:t>时工程。</w:t>
      </w:r>
    </w:p>
    <w:p w14:paraId="71AEACBC">
      <w:pPr>
        <w:spacing w:line="240" w:lineRule="auto"/>
        <w:rPr>
          <w:rFonts w:hint="eastAsia" w:ascii="宋体" w:hAnsi="宋体" w:eastAsia="宋体" w:cs="宋体"/>
          <w:color w:val="auto"/>
          <w:sz w:val="24"/>
          <w:szCs w:val="24"/>
          <w:highlight w:val="none"/>
        </w:rPr>
        <w:sectPr>
          <w:headerReference r:id="rId53" w:type="default"/>
          <w:footerReference r:id="rId54" w:type="default"/>
          <w:pgSz w:w="11907" w:h="16840"/>
          <w:pgMar w:top="1182" w:right="1287" w:bottom="1014" w:left="1786" w:header="849" w:footer="852" w:gutter="0"/>
          <w:pgNumType w:fmt="decimal"/>
          <w:cols w:space="720" w:num="1"/>
        </w:sectPr>
      </w:pPr>
    </w:p>
    <w:p w14:paraId="02BDF0F1">
      <w:pPr>
        <w:pStyle w:val="4"/>
        <w:spacing w:line="240" w:lineRule="auto"/>
        <w:rPr>
          <w:rFonts w:hint="eastAsia" w:ascii="宋体" w:hAnsi="宋体" w:eastAsia="宋体" w:cs="宋体"/>
          <w:color w:val="auto"/>
          <w:highlight w:val="none"/>
        </w:rPr>
      </w:pPr>
    </w:p>
    <w:p w14:paraId="78F12454">
      <w:pPr>
        <w:spacing w:before="78"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1.1.3.2永久工程：指按合同约定建造并移交给发包人的工程，包括工程设备。</w:t>
      </w:r>
    </w:p>
    <w:p w14:paraId="29F2AC85">
      <w:pPr>
        <w:spacing w:before="114" w:line="265" w:lineRule="auto"/>
        <w:ind w:left="20" w:right="80" w:firstLine="738"/>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1.1.3.3临时工程：指为完成合同约定的永久工程所修建的各类临时性工程，不</w:t>
      </w:r>
      <w:r>
        <w:rPr>
          <w:rFonts w:hint="eastAsia" w:ascii="宋体" w:hAnsi="宋体" w:eastAsia="宋体" w:cs="宋体"/>
          <w:color w:val="auto"/>
          <w:spacing w:val="-2"/>
          <w:sz w:val="24"/>
          <w:szCs w:val="24"/>
          <w:highlight w:val="none"/>
        </w:rPr>
        <w:t>包括施工设备。</w:t>
      </w:r>
    </w:p>
    <w:p w14:paraId="741B0AF8">
      <w:pPr>
        <w:spacing w:before="111" w:line="219" w:lineRule="auto"/>
        <w:ind w:left="75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1.1.3.4单位工程：指专用合同条款中指明特定范围的永久工程。</w:t>
      </w:r>
    </w:p>
    <w:p w14:paraId="7F59FE72">
      <w:pPr>
        <w:spacing w:before="115" w:line="264" w:lineRule="auto"/>
        <w:ind w:left="23" w:right="80" w:firstLine="735"/>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1.1.3.5工程设备：指构成或计划构成永久工程一部分的机电设备、金属结构设</w:t>
      </w:r>
      <w:r>
        <w:rPr>
          <w:rFonts w:hint="eastAsia" w:ascii="宋体" w:hAnsi="宋体" w:eastAsia="宋体" w:cs="宋体"/>
          <w:color w:val="auto"/>
          <w:spacing w:val="-1"/>
          <w:sz w:val="24"/>
          <w:szCs w:val="24"/>
          <w:highlight w:val="none"/>
        </w:rPr>
        <w:t>备、仪器装置及其他类似的设备和装置。</w:t>
      </w:r>
    </w:p>
    <w:p w14:paraId="552C3605">
      <w:pPr>
        <w:spacing w:before="114" w:line="263" w:lineRule="auto"/>
        <w:ind w:left="24" w:right="18" w:firstLine="734"/>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1.1.3.6施工设备：指为完成合同约定的各项工作所需的设备、器具和其他物品，</w:t>
      </w:r>
      <w:r>
        <w:rPr>
          <w:rFonts w:hint="eastAsia" w:ascii="宋体" w:hAnsi="宋体" w:eastAsia="宋体" w:cs="宋体"/>
          <w:color w:val="auto"/>
          <w:spacing w:val="-2"/>
          <w:sz w:val="24"/>
          <w:szCs w:val="24"/>
          <w:highlight w:val="none"/>
        </w:rPr>
        <w:t>不包括临时工程和材料。</w:t>
      </w:r>
    </w:p>
    <w:p w14:paraId="39F5E377">
      <w:pPr>
        <w:spacing w:before="117" w:line="264" w:lineRule="auto"/>
        <w:ind w:left="19" w:right="80" w:firstLine="73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1.1.3.7临时设施：指为完成合同约定的各项工作所服务的临时性生产和生活设</w:t>
      </w:r>
      <w:r>
        <w:rPr>
          <w:rFonts w:hint="eastAsia" w:ascii="宋体" w:hAnsi="宋体" w:eastAsia="宋体" w:cs="宋体"/>
          <w:color w:val="auto"/>
          <w:spacing w:val="-5"/>
          <w:sz w:val="24"/>
          <w:szCs w:val="24"/>
          <w:highlight w:val="none"/>
        </w:rPr>
        <w:t>施。</w:t>
      </w:r>
    </w:p>
    <w:p w14:paraId="561A68C4">
      <w:pPr>
        <w:spacing w:before="112" w:line="219" w:lineRule="auto"/>
        <w:ind w:left="75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1.1.3.8承包人设备：指承包人自带的施工</w:t>
      </w:r>
      <w:r>
        <w:rPr>
          <w:rFonts w:hint="eastAsia" w:ascii="宋体" w:hAnsi="宋体" w:eastAsia="宋体" w:cs="宋体"/>
          <w:color w:val="auto"/>
          <w:spacing w:val="-2"/>
          <w:sz w:val="24"/>
          <w:szCs w:val="24"/>
          <w:highlight w:val="none"/>
        </w:rPr>
        <w:t>设备。</w:t>
      </w:r>
    </w:p>
    <w:p w14:paraId="2F71F978">
      <w:pPr>
        <w:spacing w:before="116" w:line="263" w:lineRule="auto"/>
        <w:ind w:left="44" w:right="80" w:firstLine="71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1.1.3.9施工场地（或称工地、现场</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3"/>
          <w:sz w:val="24"/>
          <w:szCs w:val="24"/>
          <w:highlight w:val="none"/>
        </w:rPr>
        <w:t>指用于合同工程施工的场所，以及在合</w:t>
      </w:r>
      <w:r>
        <w:rPr>
          <w:rFonts w:hint="eastAsia" w:ascii="宋体" w:hAnsi="宋体" w:eastAsia="宋体" w:cs="宋体"/>
          <w:color w:val="auto"/>
          <w:spacing w:val="-1"/>
          <w:sz w:val="24"/>
          <w:szCs w:val="24"/>
          <w:highlight w:val="none"/>
        </w:rPr>
        <w:t>同中指定作为施工场地组成部分的其他场所，包括永久占地和临时占</w:t>
      </w:r>
      <w:r>
        <w:rPr>
          <w:rFonts w:hint="eastAsia" w:ascii="宋体" w:hAnsi="宋体" w:eastAsia="宋体" w:cs="宋体"/>
          <w:color w:val="auto"/>
          <w:spacing w:val="-2"/>
          <w:sz w:val="24"/>
          <w:szCs w:val="24"/>
          <w:highlight w:val="none"/>
        </w:rPr>
        <w:t>地。</w:t>
      </w:r>
    </w:p>
    <w:p w14:paraId="5656E4EF">
      <w:pPr>
        <w:spacing w:before="116"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1.1.3.10永久占地：指专用合同条款中指明为实施合同工程需永久占用的土地。</w:t>
      </w:r>
    </w:p>
    <w:p w14:paraId="4C17A0C1">
      <w:pPr>
        <w:spacing w:before="116"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1.1.3.11临时占地：指专用合同条款中指明为实施合同工程需临时占用的土地。</w:t>
      </w:r>
    </w:p>
    <w:p w14:paraId="042E5686">
      <w:pPr>
        <w:spacing w:before="113" w:line="224" w:lineRule="auto"/>
        <w:ind w:left="51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1.1.4日期</w:t>
      </w:r>
    </w:p>
    <w:p w14:paraId="5F5B4E54">
      <w:pPr>
        <w:spacing w:before="110" w:line="219" w:lineRule="auto"/>
        <w:ind w:left="75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1.1.4.1开工通知：指监理人按第11.1款通知承包人开工的函件。</w:t>
      </w:r>
    </w:p>
    <w:p w14:paraId="0FB2BE14">
      <w:pPr>
        <w:spacing w:before="116" w:line="219" w:lineRule="auto"/>
        <w:ind w:left="75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1.1.4.2开工日期：指监理人按第11.1款发出的开工通知中写明的开工日期。</w:t>
      </w:r>
    </w:p>
    <w:p w14:paraId="337862DE">
      <w:pPr>
        <w:spacing w:before="114" w:line="219" w:lineRule="auto"/>
        <w:ind w:left="759"/>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1.1.4.3工期：指承包人在投标函中承诺的完成合同工程所需的期限，包括按第</w:t>
      </w:r>
    </w:p>
    <w:p w14:paraId="585A1974">
      <w:pPr>
        <w:spacing w:before="116" w:line="219" w:lineRule="auto"/>
        <w:ind w:left="39"/>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11.3款、第11.4款和第11.6款约定所作的变更。</w:t>
      </w:r>
    </w:p>
    <w:p w14:paraId="2DA80479">
      <w:pPr>
        <w:spacing w:before="115" w:line="263" w:lineRule="auto"/>
        <w:ind w:left="19" w:right="80" w:firstLine="73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1.1.4.4竣工日期：指第1.1.4.3目约定工期</w:t>
      </w:r>
      <w:r>
        <w:rPr>
          <w:rFonts w:hint="eastAsia" w:ascii="宋体" w:hAnsi="宋体" w:eastAsia="宋体" w:cs="宋体"/>
          <w:color w:val="auto"/>
          <w:spacing w:val="-2"/>
          <w:sz w:val="24"/>
          <w:szCs w:val="24"/>
          <w:highlight w:val="none"/>
        </w:rPr>
        <w:t>届满时的日期。实际竣工日期以工</w:t>
      </w:r>
      <w:r>
        <w:rPr>
          <w:rFonts w:hint="eastAsia" w:ascii="宋体" w:hAnsi="宋体" w:eastAsia="宋体" w:cs="宋体"/>
          <w:color w:val="auto"/>
          <w:spacing w:val="-1"/>
          <w:sz w:val="24"/>
          <w:szCs w:val="24"/>
          <w:highlight w:val="none"/>
        </w:rPr>
        <w:t>程接收证书中写明的日期为准。</w:t>
      </w:r>
    </w:p>
    <w:p w14:paraId="2A9BA5DB">
      <w:pPr>
        <w:spacing w:before="116" w:line="264" w:lineRule="auto"/>
        <w:ind w:left="22" w:right="80" w:firstLine="73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1.1.4.5缺陷责任期：指履行第19.2款约定的缺陷责任的期限，具体期限由专</w:t>
      </w:r>
      <w:r>
        <w:rPr>
          <w:rFonts w:hint="eastAsia" w:ascii="宋体" w:hAnsi="宋体" w:eastAsia="宋体" w:cs="宋体"/>
          <w:color w:val="auto"/>
          <w:spacing w:val="-2"/>
          <w:sz w:val="24"/>
          <w:szCs w:val="24"/>
          <w:highlight w:val="none"/>
        </w:rPr>
        <w:t>用合同条款约定，包括根据第19.3款约定所作的延长。</w:t>
      </w:r>
    </w:p>
    <w:p w14:paraId="687270EE">
      <w:pPr>
        <w:spacing w:before="113" w:line="220" w:lineRule="auto"/>
        <w:ind w:left="75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1.1.4.6基准日期：指投标截止时间前28</w:t>
      </w:r>
      <w:r>
        <w:rPr>
          <w:rFonts w:hint="eastAsia" w:ascii="宋体" w:hAnsi="宋体" w:eastAsia="宋体" w:cs="宋体"/>
          <w:color w:val="auto"/>
          <w:spacing w:val="-2"/>
          <w:sz w:val="24"/>
          <w:szCs w:val="24"/>
          <w:highlight w:val="none"/>
        </w:rPr>
        <w:t>天的日期。</w:t>
      </w:r>
    </w:p>
    <w:p w14:paraId="336C9527">
      <w:pPr>
        <w:spacing w:before="114" w:line="264" w:lineRule="auto"/>
        <w:ind w:left="19" w:right="80" w:firstLine="739"/>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1.1.4.7天：除特别指明外，指日历天。合同中按天计算时间的，开始当天不计</w:t>
      </w:r>
      <w:r>
        <w:rPr>
          <w:rFonts w:hint="eastAsia" w:ascii="宋体" w:hAnsi="宋体" w:eastAsia="宋体" w:cs="宋体"/>
          <w:color w:val="auto"/>
          <w:spacing w:val="-1"/>
          <w:sz w:val="24"/>
          <w:szCs w:val="24"/>
          <w:highlight w:val="none"/>
        </w:rPr>
        <w:t>入，从次日开始计算。期限最后一天的截止时间为当天24:00。</w:t>
      </w:r>
    </w:p>
    <w:p w14:paraId="55D11779">
      <w:pPr>
        <w:spacing w:before="113" w:line="222" w:lineRule="auto"/>
        <w:ind w:left="51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1.1.5合同价格和费用</w:t>
      </w:r>
    </w:p>
    <w:p w14:paraId="4B0C8735">
      <w:pPr>
        <w:spacing w:before="113" w:line="263" w:lineRule="auto"/>
        <w:ind w:left="20" w:right="80" w:firstLine="738"/>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1.1.5.1签约合同价：指签订合同时合同协议书中写明的，包括了暂列金额、暂</w:t>
      </w:r>
      <w:r>
        <w:rPr>
          <w:rFonts w:hint="eastAsia" w:ascii="宋体" w:hAnsi="宋体" w:eastAsia="宋体" w:cs="宋体"/>
          <w:color w:val="auto"/>
          <w:spacing w:val="-2"/>
          <w:sz w:val="24"/>
          <w:szCs w:val="24"/>
          <w:highlight w:val="none"/>
        </w:rPr>
        <w:t>估价的合同总金额。</w:t>
      </w:r>
    </w:p>
    <w:p w14:paraId="2B7721C1">
      <w:pPr>
        <w:spacing w:before="117" w:line="279" w:lineRule="auto"/>
        <w:ind w:left="21" w:right="80" w:firstLine="737"/>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1.1.5.2合同价格：指承包人按合同约定完成了包括缺陷责任期内的全部承包工</w:t>
      </w:r>
      <w:r>
        <w:rPr>
          <w:rFonts w:hint="eastAsia" w:ascii="宋体" w:hAnsi="宋体" w:eastAsia="宋体" w:cs="宋体"/>
          <w:color w:val="auto"/>
          <w:spacing w:val="-2"/>
          <w:sz w:val="24"/>
          <w:szCs w:val="24"/>
          <w:highlight w:val="none"/>
        </w:rPr>
        <w:t>作后，发包人应付给承包人的金额，包括在履行合同过程中按合同约定进行的变更和</w:t>
      </w:r>
      <w:r>
        <w:rPr>
          <w:rFonts w:hint="eastAsia" w:ascii="宋体" w:hAnsi="宋体" w:eastAsia="宋体" w:cs="宋体"/>
          <w:color w:val="auto"/>
          <w:spacing w:val="-4"/>
          <w:sz w:val="24"/>
          <w:szCs w:val="24"/>
          <w:highlight w:val="none"/>
        </w:rPr>
        <w:t>调整。</w:t>
      </w:r>
    </w:p>
    <w:p w14:paraId="631B6CDA">
      <w:pPr>
        <w:spacing w:before="111" w:line="219" w:lineRule="auto"/>
        <w:ind w:left="759"/>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1.1.5.3费用：指为履行合同所发生的或将要发生的所有合理开支，包括管理费</w:t>
      </w:r>
    </w:p>
    <w:p w14:paraId="1F726DD3">
      <w:pPr>
        <w:spacing w:line="219" w:lineRule="auto"/>
        <w:rPr>
          <w:rFonts w:hint="eastAsia" w:ascii="宋体" w:hAnsi="宋体" w:eastAsia="宋体" w:cs="宋体"/>
          <w:color w:val="auto"/>
          <w:sz w:val="24"/>
          <w:szCs w:val="24"/>
          <w:highlight w:val="none"/>
        </w:rPr>
        <w:sectPr>
          <w:headerReference r:id="rId55" w:type="default"/>
          <w:footerReference r:id="rId56" w:type="default"/>
          <w:pgSz w:w="11907" w:h="16840"/>
          <w:pgMar w:top="1182" w:right="1209" w:bottom="1014" w:left="1786" w:header="849" w:footer="852" w:gutter="0"/>
          <w:pgNumType w:fmt="decimal"/>
          <w:cols w:space="720" w:num="1"/>
        </w:sectPr>
      </w:pPr>
    </w:p>
    <w:p w14:paraId="19C761A0">
      <w:pPr>
        <w:pStyle w:val="4"/>
        <w:spacing w:line="302" w:lineRule="auto"/>
        <w:rPr>
          <w:rFonts w:hint="eastAsia" w:ascii="宋体" w:hAnsi="宋体" w:eastAsia="宋体" w:cs="宋体"/>
          <w:color w:val="auto"/>
          <w:highlight w:val="none"/>
        </w:rPr>
      </w:pPr>
    </w:p>
    <w:p w14:paraId="073A104A">
      <w:pPr>
        <w:spacing w:before="78" w:line="219" w:lineRule="auto"/>
        <w:ind w:left="2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和应分摊的其他费用，但不包括利润。</w:t>
      </w:r>
    </w:p>
    <w:p w14:paraId="60D53325">
      <w:pPr>
        <w:spacing w:before="115" w:line="278" w:lineRule="auto"/>
        <w:ind w:left="20" w:right="20" w:firstLine="738"/>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1.1.5.4暂列金额：指已标价工程量清单中所列的暂列金额，用于在签订协议书</w:t>
      </w:r>
      <w:r>
        <w:rPr>
          <w:rFonts w:hint="eastAsia" w:ascii="宋体" w:hAnsi="宋体" w:eastAsia="宋体" w:cs="宋体"/>
          <w:color w:val="auto"/>
          <w:spacing w:val="-2"/>
          <w:sz w:val="24"/>
          <w:szCs w:val="24"/>
          <w:highlight w:val="none"/>
        </w:rPr>
        <w:t>时尚未确定或不可预见变更的施工及其所需材料、工程设备、服务等的金额，包括以</w:t>
      </w:r>
      <w:r>
        <w:rPr>
          <w:rFonts w:hint="eastAsia" w:ascii="宋体" w:hAnsi="宋体" w:eastAsia="宋体" w:cs="宋体"/>
          <w:color w:val="auto"/>
          <w:spacing w:val="-1"/>
          <w:sz w:val="24"/>
          <w:szCs w:val="24"/>
          <w:highlight w:val="none"/>
        </w:rPr>
        <w:t>计日工方式支付的金额。</w:t>
      </w:r>
    </w:p>
    <w:p w14:paraId="00588A3B">
      <w:pPr>
        <w:spacing w:before="115" w:line="263" w:lineRule="auto"/>
        <w:ind w:left="20" w:right="20" w:firstLine="738"/>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1.1.5.5暂估价：指发包人在工程量清单中给定的用于支付必然发生但暂时不能</w:t>
      </w:r>
      <w:r>
        <w:rPr>
          <w:rFonts w:hint="eastAsia" w:ascii="宋体" w:hAnsi="宋体" w:eastAsia="宋体" w:cs="宋体"/>
          <w:color w:val="auto"/>
          <w:spacing w:val="-1"/>
          <w:sz w:val="24"/>
          <w:szCs w:val="24"/>
          <w:highlight w:val="none"/>
        </w:rPr>
        <w:t>确定价格的材料、工程设备以及专业工程的金额。</w:t>
      </w:r>
    </w:p>
    <w:p w14:paraId="12776B7B">
      <w:pPr>
        <w:spacing w:before="115" w:line="263" w:lineRule="auto"/>
        <w:ind w:left="21" w:right="20" w:firstLine="737"/>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1.1.5.6计日工：指对零星工作采取的一种计价方式，按合同中的计日工子目及</w:t>
      </w:r>
      <w:r>
        <w:rPr>
          <w:rFonts w:hint="eastAsia" w:ascii="宋体" w:hAnsi="宋体" w:eastAsia="宋体" w:cs="宋体"/>
          <w:color w:val="auto"/>
          <w:spacing w:val="-2"/>
          <w:sz w:val="24"/>
          <w:szCs w:val="24"/>
          <w:highlight w:val="none"/>
        </w:rPr>
        <w:t>其单价计价付款。</w:t>
      </w:r>
    </w:p>
    <w:p w14:paraId="13286B65">
      <w:pPr>
        <w:spacing w:before="117" w:line="263" w:lineRule="auto"/>
        <w:ind w:left="23" w:right="20" w:firstLine="73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1.1.5.7质量保证金（或称保留金</w:t>
      </w:r>
      <w:r>
        <w:rPr>
          <w:rFonts w:hint="eastAsia" w:ascii="宋体" w:hAnsi="宋体" w:eastAsia="宋体" w:cs="宋体"/>
          <w:color w:val="auto"/>
          <w:spacing w:val="-26"/>
          <w:sz w:val="24"/>
          <w:szCs w:val="24"/>
          <w:highlight w:val="none"/>
        </w:rPr>
        <w:t>）：</w:t>
      </w:r>
      <w:r>
        <w:rPr>
          <w:rFonts w:hint="eastAsia" w:ascii="宋体" w:hAnsi="宋体" w:eastAsia="宋体" w:cs="宋体"/>
          <w:color w:val="auto"/>
          <w:spacing w:val="-3"/>
          <w:sz w:val="24"/>
          <w:szCs w:val="24"/>
          <w:highlight w:val="none"/>
        </w:rPr>
        <w:t>指按第17.4.1项约定用于保证在缺陷责任</w:t>
      </w:r>
      <w:r>
        <w:rPr>
          <w:rFonts w:hint="eastAsia" w:ascii="宋体" w:hAnsi="宋体" w:eastAsia="宋体" w:cs="宋体"/>
          <w:color w:val="auto"/>
          <w:spacing w:val="-1"/>
          <w:sz w:val="24"/>
          <w:szCs w:val="24"/>
          <w:highlight w:val="none"/>
        </w:rPr>
        <w:t>期内履行缺陷修复义务的金额。</w:t>
      </w:r>
    </w:p>
    <w:p w14:paraId="6FC986BB">
      <w:pPr>
        <w:spacing w:before="116" w:line="222" w:lineRule="auto"/>
        <w:ind w:left="51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1.1.6其他</w:t>
      </w:r>
    </w:p>
    <w:p w14:paraId="1428B724">
      <w:pPr>
        <w:spacing w:before="113" w:line="309" w:lineRule="auto"/>
        <w:ind w:left="40" w:right="20" w:firstLine="719"/>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1.1.6.1书面形式：指合同文件、信函、电报、传真等可以有形地表现所载内容</w:t>
      </w:r>
      <w:r>
        <w:rPr>
          <w:rFonts w:hint="eastAsia" w:ascii="宋体" w:hAnsi="宋体" w:eastAsia="宋体" w:cs="宋体"/>
          <w:color w:val="auto"/>
          <w:spacing w:val="-8"/>
          <w:sz w:val="24"/>
          <w:szCs w:val="24"/>
          <w:highlight w:val="none"/>
        </w:rPr>
        <w:t>的形式。</w:t>
      </w:r>
    </w:p>
    <w:p w14:paraId="1E76A0EE">
      <w:pPr>
        <w:spacing w:before="215" w:line="222" w:lineRule="auto"/>
        <w:ind w:left="39"/>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1.2语言文字</w:t>
      </w:r>
    </w:p>
    <w:p w14:paraId="2BA0E919">
      <w:pPr>
        <w:pStyle w:val="4"/>
        <w:spacing w:line="270" w:lineRule="auto"/>
        <w:rPr>
          <w:rFonts w:hint="eastAsia" w:ascii="宋体" w:hAnsi="宋体" w:eastAsia="宋体" w:cs="宋体"/>
          <w:color w:val="auto"/>
          <w:highlight w:val="none"/>
        </w:rPr>
      </w:pPr>
    </w:p>
    <w:p w14:paraId="64E3AB43">
      <w:pPr>
        <w:spacing w:before="78"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除专用术语外，合同使用的语言文字为中文。必要时专用术语应附有中文注释。</w:t>
      </w:r>
    </w:p>
    <w:p w14:paraId="3BDACC67">
      <w:pPr>
        <w:pStyle w:val="4"/>
        <w:spacing w:line="258" w:lineRule="auto"/>
        <w:rPr>
          <w:rFonts w:hint="eastAsia" w:ascii="宋体" w:hAnsi="宋体" w:eastAsia="宋体" w:cs="宋体"/>
          <w:color w:val="auto"/>
          <w:highlight w:val="none"/>
        </w:rPr>
      </w:pPr>
    </w:p>
    <w:p w14:paraId="62A00EA7">
      <w:pPr>
        <w:spacing w:before="78" w:line="222" w:lineRule="auto"/>
        <w:ind w:left="3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1.3法律</w:t>
      </w:r>
    </w:p>
    <w:p w14:paraId="0E60A028">
      <w:pPr>
        <w:pStyle w:val="4"/>
        <w:spacing w:line="269" w:lineRule="auto"/>
        <w:rPr>
          <w:rFonts w:hint="eastAsia" w:ascii="宋体" w:hAnsi="宋体" w:eastAsia="宋体" w:cs="宋体"/>
          <w:color w:val="auto"/>
          <w:highlight w:val="none"/>
        </w:rPr>
      </w:pPr>
    </w:p>
    <w:p w14:paraId="131B84FA">
      <w:pPr>
        <w:spacing w:before="79" w:line="310" w:lineRule="auto"/>
        <w:ind w:left="19" w:right="20" w:firstLine="48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适用于合同的法律包括中华人民共和国法律、行政法规、部门规章，以及工程所</w:t>
      </w:r>
      <w:r>
        <w:rPr>
          <w:rFonts w:hint="eastAsia" w:ascii="宋体" w:hAnsi="宋体" w:eastAsia="宋体" w:cs="宋体"/>
          <w:color w:val="auto"/>
          <w:spacing w:val="-3"/>
          <w:sz w:val="24"/>
          <w:szCs w:val="24"/>
          <w:highlight w:val="none"/>
        </w:rPr>
        <w:t>在地的地方法规、自治条例、单行条例和地方政府规章。</w:t>
      </w:r>
    </w:p>
    <w:p w14:paraId="4A4ED379">
      <w:pPr>
        <w:spacing w:before="214" w:line="221" w:lineRule="auto"/>
        <w:ind w:left="3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1.4合同文件的优先顺序</w:t>
      </w:r>
    </w:p>
    <w:p w14:paraId="03BA4B18">
      <w:pPr>
        <w:pStyle w:val="4"/>
        <w:spacing w:line="275" w:lineRule="auto"/>
        <w:rPr>
          <w:rFonts w:hint="eastAsia" w:ascii="宋体" w:hAnsi="宋体" w:eastAsia="宋体" w:cs="宋体"/>
          <w:color w:val="auto"/>
          <w:highlight w:val="none"/>
        </w:rPr>
      </w:pPr>
    </w:p>
    <w:p w14:paraId="3073F0B9">
      <w:pPr>
        <w:spacing w:before="78" w:line="307" w:lineRule="auto"/>
        <w:ind w:left="21" w:right="20" w:firstLine="48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组成合同的各项文件应互相解释，互为说明。除专用合同条款另有约定</w:t>
      </w:r>
      <w:r>
        <w:rPr>
          <w:rFonts w:hint="eastAsia" w:ascii="宋体" w:hAnsi="宋体" w:eastAsia="宋体" w:cs="宋体"/>
          <w:color w:val="auto"/>
          <w:spacing w:val="-3"/>
          <w:sz w:val="24"/>
          <w:szCs w:val="24"/>
          <w:highlight w:val="none"/>
        </w:rPr>
        <w:t>外，解释</w:t>
      </w:r>
      <w:r>
        <w:rPr>
          <w:rFonts w:hint="eastAsia" w:ascii="宋体" w:hAnsi="宋体" w:eastAsia="宋体" w:cs="宋体"/>
          <w:color w:val="auto"/>
          <w:spacing w:val="-1"/>
          <w:sz w:val="24"/>
          <w:szCs w:val="24"/>
          <w:highlight w:val="none"/>
        </w:rPr>
        <w:t>合同文件的优先顺序如下：</w:t>
      </w:r>
    </w:p>
    <w:p w14:paraId="148D87B6">
      <w:pPr>
        <w:spacing w:before="1" w:line="218" w:lineRule="auto"/>
        <w:ind w:left="51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（1）合同协议书；</w:t>
      </w:r>
    </w:p>
    <w:p w14:paraId="2AF2F05B">
      <w:pPr>
        <w:spacing w:before="116" w:line="219" w:lineRule="auto"/>
        <w:ind w:left="51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（2）中标通知书；</w:t>
      </w:r>
    </w:p>
    <w:p w14:paraId="678656EE">
      <w:pPr>
        <w:spacing w:before="116" w:line="219" w:lineRule="auto"/>
        <w:ind w:left="51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（3）投标函及投标函附录；</w:t>
      </w:r>
    </w:p>
    <w:p w14:paraId="2268A8FE">
      <w:pPr>
        <w:spacing w:before="114" w:line="219" w:lineRule="auto"/>
        <w:ind w:left="51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（4）专用合同条款；</w:t>
      </w:r>
    </w:p>
    <w:p w14:paraId="66245B39">
      <w:pPr>
        <w:spacing w:before="117" w:line="219" w:lineRule="auto"/>
        <w:ind w:left="51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（5）通用合同条款；</w:t>
      </w:r>
    </w:p>
    <w:p w14:paraId="689BF506">
      <w:pPr>
        <w:spacing w:before="116" w:line="219" w:lineRule="auto"/>
        <w:ind w:left="51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（6）技术标准和要求；</w:t>
      </w:r>
    </w:p>
    <w:p w14:paraId="07DC4E1A">
      <w:pPr>
        <w:spacing w:before="113" w:line="221" w:lineRule="auto"/>
        <w:ind w:left="512"/>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（7）图纸；</w:t>
      </w:r>
    </w:p>
    <w:p w14:paraId="79069003">
      <w:pPr>
        <w:spacing w:before="113" w:line="218" w:lineRule="auto"/>
        <w:ind w:left="51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（8）已标价工程量清单；</w:t>
      </w:r>
    </w:p>
    <w:p w14:paraId="49AC44EA">
      <w:pPr>
        <w:spacing w:before="118" w:line="219" w:lineRule="auto"/>
        <w:ind w:left="51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（9）其他合同文件。</w:t>
      </w:r>
    </w:p>
    <w:p w14:paraId="71D247B0">
      <w:pPr>
        <w:spacing w:line="219" w:lineRule="auto"/>
        <w:rPr>
          <w:rFonts w:hint="eastAsia" w:ascii="宋体" w:hAnsi="宋体" w:eastAsia="宋体" w:cs="宋体"/>
          <w:color w:val="auto"/>
          <w:sz w:val="24"/>
          <w:szCs w:val="24"/>
          <w:highlight w:val="none"/>
        </w:rPr>
        <w:sectPr>
          <w:headerReference r:id="rId57" w:type="default"/>
          <w:footerReference r:id="rId58" w:type="default"/>
          <w:pgSz w:w="11907" w:h="16840"/>
          <w:pgMar w:top="1182" w:right="1269" w:bottom="1014" w:left="1786" w:header="849" w:footer="852" w:gutter="0"/>
          <w:pgNumType w:fmt="decimal"/>
          <w:cols w:space="720" w:num="1"/>
        </w:sectPr>
      </w:pPr>
    </w:p>
    <w:p w14:paraId="5A3BF9B6">
      <w:pPr>
        <w:pStyle w:val="4"/>
        <w:spacing w:line="281" w:lineRule="auto"/>
        <w:rPr>
          <w:rFonts w:hint="eastAsia" w:ascii="宋体" w:hAnsi="宋体" w:eastAsia="宋体" w:cs="宋体"/>
          <w:color w:val="auto"/>
          <w:highlight w:val="none"/>
        </w:rPr>
      </w:pPr>
    </w:p>
    <w:p w14:paraId="7791289D">
      <w:pPr>
        <w:spacing w:before="78" w:line="222" w:lineRule="auto"/>
        <w:ind w:left="3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1.5合同协议书</w:t>
      </w:r>
    </w:p>
    <w:p w14:paraId="0E8C4872">
      <w:pPr>
        <w:pStyle w:val="4"/>
        <w:spacing w:line="271" w:lineRule="auto"/>
        <w:rPr>
          <w:rFonts w:hint="eastAsia" w:ascii="宋体" w:hAnsi="宋体" w:eastAsia="宋体" w:cs="宋体"/>
          <w:color w:val="auto"/>
          <w:highlight w:val="none"/>
        </w:rPr>
      </w:pPr>
    </w:p>
    <w:p w14:paraId="6CD32925">
      <w:pPr>
        <w:spacing w:before="78" w:line="309" w:lineRule="auto"/>
        <w:ind w:left="21" w:right="80" w:firstLine="479"/>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承包人按中标通知书规定的时间与发包人签订合同协议书。除法律另有规定或合同另有约定外，发包人和承包人的法定代表人或其委托代理人在合同协议书上签字并</w:t>
      </w:r>
      <w:r>
        <w:rPr>
          <w:rFonts w:hint="eastAsia" w:ascii="宋体" w:hAnsi="宋体" w:eastAsia="宋体" w:cs="宋体"/>
          <w:color w:val="auto"/>
          <w:spacing w:val="-1"/>
          <w:sz w:val="24"/>
          <w:szCs w:val="24"/>
          <w:highlight w:val="none"/>
        </w:rPr>
        <w:t>盖单位章后，合同生效。</w:t>
      </w:r>
    </w:p>
    <w:p w14:paraId="7CA73D8A">
      <w:pPr>
        <w:spacing w:before="214" w:line="222" w:lineRule="auto"/>
        <w:ind w:left="39"/>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1.6图纸和承包人文件</w:t>
      </w:r>
    </w:p>
    <w:p w14:paraId="36505446">
      <w:pPr>
        <w:pStyle w:val="4"/>
        <w:spacing w:line="273" w:lineRule="auto"/>
        <w:rPr>
          <w:rFonts w:hint="eastAsia" w:ascii="宋体" w:hAnsi="宋体" w:eastAsia="宋体" w:cs="宋体"/>
          <w:color w:val="auto"/>
          <w:highlight w:val="none"/>
        </w:rPr>
      </w:pPr>
    </w:p>
    <w:p w14:paraId="15810623">
      <w:pPr>
        <w:spacing w:before="78" w:line="222" w:lineRule="auto"/>
        <w:ind w:left="51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1.6.1图纸的提供</w:t>
      </w:r>
    </w:p>
    <w:p w14:paraId="1659535E">
      <w:pPr>
        <w:spacing w:before="113" w:line="307" w:lineRule="auto"/>
        <w:ind w:left="20" w:right="80" w:firstLine="49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除专用合同条款另有约定外，图纸应在合理的</w:t>
      </w:r>
      <w:r>
        <w:rPr>
          <w:rFonts w:hint="eastAsia" w:ascii="宋体" w:hAnsi="宋体" w:eastAsia="宋体" w:cs="宋体"/>
          <w:color w:val="auto"/>
          <w:spacing w:val="-3"/>
          <w:sz w:val="24"/>
          <w:szCs w:val="24"/>
          <w:highlight w:val="none"/>
        </w:rPr>
        <w:t>期限内按照合同约定的数量提供给</w:t>
      </w:r>
      <w:r>
        <w:rPr>
          <w:rFonts w:hint="eastAsia" w:ascii="宋体" w:hAnsi="宋体" w:eastAsia="宋体" w:cs="宋体"/>
          <w:color w:val="auto"/>
          <w:spacing w:val="-1"/>
          <w:sz w:val="24"/>
          <w:szCs w:val="24"/>
          <w:highlight w:val="none"/>
        </w:rPr>
        <w:t>承包人。由于发包人未按时提供图纸造成工期延误的，按第1</w:t>
      </w:r>
      <w:r>
        <w:rPr>
          <w:rFonts w:hint="eastAsia" w:ascii="宋体" w:hAnsi="宋体" w:eastAsia="宋体" w:cs="宋体"/>
          <w:color w:val="auto"/>
          <w:spacing w:val="-2"/>
          <w:sz w:val="24"/>
          <w:szCs w:val="24"/>
          <w:highlight w:val="none"/>
        </w:rPr>
        <w:t>1.3款的约定办理。</w:t>
      </w:r>
    </w:p>
    <w:p w14:paraId="30A74E0C">
      <w:pPr>
        <w:spacing w:line="221" w:lineRule="auto"/>
        <w:ind w:left="51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1.6.2承包人提供的文件</w:t>
      </w:r>
    </w:p>
    <w:p w14:paraId="690A4F4B">
      <w:pPr>
        <w:spacing w:before="112" w:line="308" w:lineRule="auto"/>
        <w:ind w:left="20" w:right="78" w:firstLine="48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按专用合同条款约定由承包人提供的文件，包括部分工程的大样图、加工图等，承包人应按约定的数量和期限报送监理人。监理人应在专用合同条款约定的期限内批</w:t>
      </w:r>
      <w:r>
        <w:rPr>
          <w:rFonts w:hint="eastAsia" w:ascii="宋体" w:hAnsi="宋体" w:eastAsia="宋体" w:cs="宋体"/>
          <w:color w:val="auto"/>
          <w:spacing w:val="-5"/>
          <w:sz w:val="24"/>
          <w:szCs w:val="24"/>
          <w:highlight w:val="none"/>
        </w:rPr>
        <w:t>复。</w:t>
      </w:r>
    </w:p>
    <w:p w14:paraId="3B228A92">
      <w:pPr>
        <w:spacing w:before="1" w:line="221" w:lineRule="auto"/>
        <w:ind w:left="51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1.6.3图纸的修改</w:t>
      </w:r>
    </w:p>
    <w:p w14:paraId="63FE7B5A">
      <w:pPr>
        <w:spacing w:before="109" w:line="308" w:lineRule="auto"/>
        <w:ind w:left="20" w:right="80" w:firstLine="503"/>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图纸需要修改和补充的，应由监理人取得发包人同意后，在该工程或工程相应部</w:t>
      </w:r>
      <w:r>
        <w:rPr>
          <w:rFonts w:hint="eastAsia" w:ascii="宋体" w:hAnsi="宋体" w:eastAsia="宋体" w:cs="宋体"/>
          <w:color w:val="auto"/>
          <w:spacing w:val="-2"/>
          <w:sz w:val="24"/>
          <w:szCs w:val="24"/>
          <w:highlight w:val="none"/>
        </w:rPr>
        <w:t>位施工前的合理期限内签发图纸修改图给承包人，具体签发期限在专用合同条款中约</w:t>
      </w:r>
      <w:r>
        <w:rPr>
          <w:rFonts w:hint="eastAsia" w:ascii="宋体" w:hAnsi="宋体" w:eastAsia="宋体" w:cs="宋体"/>
          <w:color w:val="auto"/>
          <w:spacing w:val="-1"/>
          <w:sz w:val="24"/>
          <w:szCs w:val="24"/>
          <w:highlight w:val="none"/>
        </w:rPr>
        <w:t>定。承包人应按修改后的图纸施工。</w:t>
      </w:r>
    </w:p>
    <w:p w14:paraId="7406ED6A">
      <w:pPr>
        <w:spacing w:before="1" w:line="221" w:lineRule="auto"/>
        <w:ind w:left="51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1.6.4图纸的错误</w:t>
      </w:r>
    </w:p>
    <w:p w14:paraId="2823C510">
      <w:pPr>
        <w:spacing w:before="112" w:line="219" w:lineRule="auto"/>
        <w:ind w:left="5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承包人发现发包人提供的图纸存在明显错误或疏</w:t>
      </w:r>
      <w:r>
        <w:rPr>
          <w:rFonts w:hint="eastAsia" w:ascii="宋体" w:hAnsi="宋体" w:eastAsia="宋体" w:cs="宋体"/>
          <w:color w:val="auto"/>
          <w:spacing w:val="-1"/>
          <w:sz w:val="24"/>
          <w:szCs w:val="24"/>
          <w:highlight w:val="none"/>
        </w:rPr>
        <w:t>忽，应及时通知监理人。</w:t>
      </w:r>
    </w:p>
    <w:p w14:paraId="12D8888C">
      <w:pPr>
        <w:spacing w:before="116" w:line="222" w:lineRule="auto"/>
        <w:ind w:left="51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1.6.5图纸和承包人文件的保管</w:t>
      </w:r>
    </w:p>
    <w:p w14:paraId="41B4221D">
      <w:pPr>
        <w:spacing w:before="111" w:line="310" w:lineRule="auto"/>
        <w:ind w:left="20" w:right="60" w:firstLine="48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监理人和承包人均应在施工场地各保存一套完整的包含第1.6.1项、第1.6.2项、</w:t>
      </w:r>
      <w:r>
        <w:rPr>
          <w:rFonts w:hint="eastAsia" w:ascii="宋体" w:hAnsi="宋体" w:eastAsia="宋体" w:cs="宋体"/>
          <w:color w:val="auto"/>
          <w:spacing w:val="-2"/>
          <w:sz w:val="24"/>
          <w:szCs w:val="24"/>
          <w:highlight w:val="none"/>
        </w:rPr>
        <w:t>第1.6.3项约定内容的图纸和承包人文件。</w:t>
      </w:r>
    </w:p>
    <w:p w14:paraId="5F6E80B7">
      <w:pPr>
        <w:spacing w:before="213" w:line="221" w:lineRule="auto"/>
        <w:ind w:left="3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1.7联络</w:t>
      </w:r>
    </w:p>
    <w:p w14:paraId="2806B6B7">
      <w:pPr>
        <w:pStyle w:val="4"/>
        <w:spacing w:line="275" w:lineRule="auto"/>
        <w:rPr>
          <w:rFonts w:hint="eastAsia" w:ascii="宋体" w:hAnsi="宋体" w:eastAsia="宋体" w:cs="宋体"/>
          <w:color w:val="auto"/>
          <w:highlight w:val="none"/>
        </w:rPr>
      </w:pPr>
    </w:p>
    <w:p w14:paraId="38DEAEC4">
      <w:pPr>
        <w:spacing w:before="78" w:line="263" w:lineRule="auto"/>
        <w:ind w:left="20" w:firstLine="498"/>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1.7.1与合同有关的通知、批准、证明、证书、指示、要求、</w:t>
      </w:r>
      <w:r>
        <w:rPr>
          <w:rFonts w:hint="eastAsia" w:ascii="宋体" w:hAnsi="宋体" w:eastAsia="宋体" w:cs="宋体"/>
          <w:color w:val="auto"/>
          <w:spacing w:val="-4"/>
          <w:sz w:val="24"/>
          <w:szCs w:val="24"/>
          <w:highlight w:val="none"/>
        </w:rPr>
        <w:t>请求、同意、意见、</w:t>
      </w:r>
      <w:r>
        <w:rPr>
          <w:rFonts w:hint="eastAsia" w:ascii="宋体" w:hAnsi="宋体" w:eastAsia="宋体" w:cs="宋体"/>
          <w:color w:val="auto"/>
          <w:spacing w:val="-1"/>
          <w:sz w:val="24"/>
          <w:szCs w:val="24"/>
          <w:highlight w:val="none"/>
        </w:rPr>
        <w:t>确定和决定等，均应采用书面形式。</w:t>
      </w:r>
    </w:p>
    <w:p w14:paraId="1E55FD01">
      <w:pPr>
        <w:spacing w:before="113" w:line="279" w:lineRule="auto"/>
        <w:ind w:left="20" w:firstLine="49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1.7.2第1.7.1项中的通知、批准、证明、证书、指示、要求、请求、同意、意见、</w:t>
      </w:r>
      <w:r>
        <w:rPr>
          <w:rFonts w:hint="eastAsia" w:ascii="宋体" w:hAnsi="宋体" w:eastAsia="宋体" w:cs="宋体"/>
          <w:color w:val="auto"/>
          <w:spacing w:val="-2"/>
          <w:sz w:val="24"/>
          <w:szCs w:val="24"/>
          <w:highlight w:val="none"/>
        </w:rPr>
        <w:t>确定和决定等来往函件，均应在合同约定的期限内送达指定地点和接收人，并办理签</w:t>
      </w:r>
      <w:r>
        <w:rPr>
          <w:rFonts w:hint="eastAsia" w:ascii="宋体" w:hAnsi="宋体" w:eastAsia="宋体" w:cs="宋体"/>
          <w:color w:val="auto"/>
          <w:spacing w:val="-3"/>
          <w:sz w:val="24"/>
          <w:szCs w:val="24"/>
          <w:highlight w:val="none"/>
        </w:rPr>
        <w:t>收手续。</w:t>
      </w:r>
    </w:p>
    <w:p w14:paraId="26911326">
      <w:pPr>
        <w:pStyle w:val="4"/>
        <w:spacing w:line="253" w:lineRule="auto"/>
        <w:rPr>
          <w:rFonts w:hint="eastAsia" w:ascii="宋体" w:hAnsi="宋体" w:eastAsia="宋体" w:cs="宋体"/>
          <w:color w:val="auto"/>
          <w:highlight w:val="none"/>
        </w:rPr>
      </w:pPr>
    </w:p>
    <w:p w14:paraId="4C201673">
      <w:pPr>
        <w:spacing w:before="78" w:line="222" w:lineRule="auto"/>
        <w:ind w:left="39"/>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1.8转让</w:t>
      </w:r>
    </w:p>
    <w:p w14:paraId="5A3B9F8B">
      <w:pPr>
        <w:pStyle w:val="4"/>
        <w:spacing w:line="271" w:lineRule="auto"/>
        <w:rPr>
          <w:rFonts w:hint="eastAsia" w:ascii="宋体" w:hAnsi="宋体" w:eastAsia="宋体" w:cs="宋体"/>
          <w:color w:val="auto"/>
          <w:highlight w:val="none"/>
        </w:rPr>
      </w:pPr>
    </w:p>
    <w:p w14:paraId="52854DEA">
      <w:pPr>
        <w:spacing w:before="79" w:line="309" w:lineRule="auto"/>
        <w:ind w:left="23" w:right="80"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除合同另有约定外，未经对方当事人同意，一</w:t>
      </w:r>
      <w:r>
        <w:rPr>
          <w:rFonts w:hint="eastAsia" w:ascii="宋体" w:hAnsi="宋体" w:eastAsia="宋体" w:cs="宋体"/>
          <w:color w:val="auto"/>
          <w:spacing w:val="-3"/>
          <w:sz w:val="24"/>
          <w:szCs w:val="24"/>
          <w:highlight w:val="none"/>
        </w:rPr>
        <w:t>方当事人不得将合同权利全部或部</w:t>
      </w:r>
      <w:r>
        <w:rPr>
          <w:rFonts w:hint="eastAsia" w:ascii="宋体" w:hAnsi="宋体" w:eastAsia="宋体" w:cs="宋体"/>
          <w:color w:val="auto"/>
          <w:spacing w:val="-1"/>
          <w:sz w:val="24"/>
          <w:szCs w:val="24"/>
          <w:highlight w:val="none"/>
        </w:rPr>
        <w:t>分转让给第三人，也不得全部或部分转移合同义务。</w:t>
      </w:r>
    </w:p>
    <w:p w14:paraId="4BDBFBF8">
      <w:pPr>
        <w:spacing w:line="309" w:lineRule="auto"/>
        <w:rPr>
          <w:rFonts w:hint="eastAsia" w:ascii="宋体" w:hAnsi="宋体" w:eastAsia="宋体" w:cs="宋体"/>
          <w:color w:val="auto"/>
          <w:sz w:val="24"/>
          <w:szCs w:val="24"/>
          <w:highlight w:val="none"/>
        </w:rPr>
        <w:sectPr>
          <w:headerReference r:id="rId59" w:type="default"/>
          <w:footerReference r:id="rId60" w:type="default"/>
          <w:pgSz w:w="11907" w:h="16840"/>
          <w:pgMar w:top="1182" w:right="1209" w:bottom="1014" w:left="1786" w:header="849" w:footer="852" w:gutter="0"/>
          <w:pgNumType w:fmt="decimal"/>
          <w:cols w:space="720" w:num="1"/>
        </w:sectPr>
      </w:pPr>
    </w:p>
    <w:p w14:paraId="04E3721A">
      <w:pPr>
        <w:pStyle w:val="4"/>
        <w:spacing w:line="281" w:lineRule="auto"/>
        <w:rPr>
          <w:rFonts w:hint="eastAsia" w:ascii="宋体" w:hAnsi="宋体" w:eastAsia="宋体" w:cs="宋体"/>
          <w:color w:val="auto"/>
          <w:highlight w:val="none"/>
        </w:rPr>
      </w:pPr>
    </w:p>
    <w:p w14:paraId="3A41967D">
      <w:pPr>
        <w:spacing w:before="78" w:line="222" w:lineRule="auto"/>
        <w:ind w:left="3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1.9严禁贿赂</w:t>
      </w:r>
    </w:p>
    <w:p w14:paraId="77CD4CC5">
      <w:pPr>
        <w:pStyle w:val="4"/>
        <w:spacing w:line="271" w:lineRule="auto"/>
        <w:rPr>
          <w:rFonts w:hint="eastAsia" w:ascii="宋体" w:hAnsi="宋体" w:eastAsia="宋体" w:cs="宋体"/>
          <w:color w:val="auto"/>
          <w:highlight w:val="none"/>
        </w:rPr>
      </w:pPr>
    </w:p>
    <w:p w14:paraId="1F8B01DC">
      <w:pPr>
        <w:spacing w:before="78" w:line="309" w:lineRule="auto"/>
        <w:ind w:left="39" w:firstLine="46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合同双方当事人不得以贿赂或变相贿赂的方式，谋取不当利益或损害对方权益。</w:t>
      </w:r>
      <w:r>
        <w:rPr>
          <w:rFonts w:hint="eastAsia" w:ascii="宋体" w:hAnsi="宋体" w:eastAsia="宋体" w:cs="宋体"/>
          <w:color w:val="auto"/>
          <w:spacing w:val="-1"/>
          <w:sz w:val="24"/>
          <w:szCs w:val="24"/>
          <w:highlight w:val="none"/>
        </w:rPr>
        <w:t>因贿赂造成对方损失的，行为人应赔偿损失，并承担相应的法律责任。</w:t>
      </w:r>
    </w:p>
    <w:p w14:paraId="3FA74E0E">
      <w:pPr>
        <w:spacing w:before="217" w:line="222" w:lineRule="auto"/>
        <w:ind w:left="3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1.10化石、文物</w:t>
      </w:r>
    </w:p>
    <w:p w14:paraId="16FD4784">
      <w:pPr>
        <w:pStyle w:val="4"/>
        <w:spacing w:line="271" w:lineRule="auto"/>
        <w:rPr>
          <w:rFonts w:hint="eastAsia" w:ascii="宋体" w:hAnsi="宋体" w:eastAsia="宋体" w:cs="宋体"/>
          <w:color w:val="auto"/>
          <w:highlight w:val="none"/>
        </w:rPr>
      </w:pPr>
    </w:p>
    <w:p w14:paraId="393BEA80">
      <w:pPr>
        <w:spacing w:before="78" w:line="290" w:lineRule="auto"/>
        <w:ind w:left="19" w:right="20" w:firstLine="49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1.10.1在施工场地发掘的所有文物、古迹以及具有地质研</w:t>
      </w:r>
      <w:r>
        <w:rPr>
          <w:rFonts w:hint="eastAsia" w:ascii="宋体" w:hAnsi="宋体" w:eastAsia="宋体" w:cs="宋体"/>
          <w:color w:val="auto"/>
          <w:spacing w:val="-3"/>
          <w:sz w:val="24"/>
          <w:szCs w:val="24"/>
          <w:highlight w:val="none"/>
        </w:rPr>
        <w:t>究或考古价值的其他遗</w:t>
      </w:r>
      <w:r>
        <w:rPr>
          <w:rFonts w:hint="eastAsia" w:ascii="宋体" w:hAnsi="宋体" w:eastAsia="宋体" w:cs="宋体"/>
          <w:color w:val="auto"/>
          <w:spacing w:val="-2"/>
          <w:sz w:val="24"/>
          <w:szCs w:val="24"/>
          <w:highlight w:val="none"/>
        </w:rPr>
        <w:t>迹、化石、钱币或物品属于国家所有。一旦发现上述文物，承包人应采取有效合理的保护措施，防止任何人员移动或损坏上述物品，并立即报告当地文物行政部门，同时通知监理人。发包人、监理人和承包人应按文物行政部门要求采取妥善保护措施，由</w:t>
      </w:r>
      <w:r>
        <w:rPr>
          <w:rFonts w:hint="eastAsia" w:ascii="宋体" w:hAnsi="宋体" w:eastAsia="宋体" w:cs="宋体"/>
          <w:color w:val="auto"/>
          <w:spacing w:val="-1"/>
          <w:sz w:val="24"/>
          <w:szCs w:val="24"/>
          <w:highlight w:val="none"/>
        </w:rPr>
        <w:t>此导致费用增加和（或）工期延误由发包人承担。</w:t>
      </w:r>
    </w:p>
    <w:p w14:paraId="364BC3FA">
      <w:pPr>
        <w:spacing w:before="116" w:line="263" w:lineRule="auto"/>
        <w:ind w:left="19" w:right="20" w:firstLine="49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1.10.2承包人发现文物后不及时报告或隐瞒不报，致使文</w:t>
      </w:r>
      <w:r>
        <w:rPr>
          <w:rFonts w:hint="eastAsia" w:ascii="宋体" w:hAnsi="宋体" w:eastAsia="宋体" w:cs="宋体"/>
          <w:color w:val="auto"/>
          <w:spacing w:val="-3"/>
          <w:sz w:val="24"/>
          <w:szCs w:val="24"/>
          <w:highlight w:val="none"/>
        </w:rPr>
        <w:t>物丢失或损坏的，应赔</w:t>
      </w:r>
      <w:r>
        <w:rPr>
          <w:rFonts w:hint="eastAsia" w:ascii="宋体" w:hAnsi="宋体" w:eastAsia="宋体" w:cs="宋体"/>
          <w:color w:val="auto"/>
          <w:spacing w:val="-1"/>
          <w:sz w:val="24"/>
          <w:szCs w:val="24"/>
          <w:highlight w:val="none"/>
        </w:rPr>
        <w:t>偿损失，并承担相应的法律责任。</w:t>
      </w:r>
    </w:p>
    <w:p w14:paraId="5F11C331">
      <w:pPr>
        <w:pStyle w:val="4"/>
        <w:spacing w:line="256" w:lineRule="auto"/>
        <w:rPr>
          <w:rFonts w:hint="eastAsia" w:ascii="宋体" w:hAnsi="宋体" w:eastAsia="宋体" w:cs="宋体"/>
          <w:color w:val="auto"/>
          <w:highlight w:val="none"/>
        </w:rPr>
      </w:pPr>
    </w:p>
    <w:p w14:paraId="60B785B8">
      <w:pPr>
        <w:spacing w:before="78" w:line="222" w:lineRule="auto"/>
        <w:ind w:left="3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1.11专利技术</w:t>
      </w:r>
    </w:p>
    <w:p w14:paraId="18DBFF42">
      <w:pPr>
        <w:pStyle w:val="4"/>
        <w:spacing w:line="269" w:lineRule="auto"/>
        <w:rPr>
          <w:rFonts w:hint="eastAsia" w:ascii="宋体" w:hAnsi="宋体" w:eastAsia="宋体" w:cs="宋体"/>
          <w:color w:val="auto"/>
          <w:highlight w:val="none"/>
        </w:rPr>
      </w:pPr>
    </w:p>
    <w:p w14:paraId="6E975569">
      <w:pPr>
        <w:spacing w:before="78" w:line="279" w:lineRule="auto"/>
        <w:ind w:left="20" w:right="20" w:firstLine="498"/>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1.11.1承包人在使用任何材料、承包人设备、工程设</w:t>
      </w:r>
      <w:r>
        <w:rPr>
          <w:rFonts w:hint="eastAsia" w:ascii="宋体" w:hAnsi="宋体" w:eastAsia="宋体" w:cs="宋体"/>
          <w:color w:val="auto"/>
          <w:spacing w:val="-3"/>
          <w:sz w:val="24"/>
          <w:szCs w:val="24"/>
          <w:highlight w:val="none"/>
        </w:rPr>
        <w:t>备或采用施工工艺时，因侵</w:t>
      </w:r>
      <w:r>
        <w:rPr>
          <w:rFonts w:hint="eastAsia" w:ascii="宋体" w:hAnsi="宋体" w:eastAsia="宋体" w:cs="宋体"/>
          <w:color w:val="auto"/>
          <w:spacing w:val="-2"/>
          <w:sz w:val="24"/>
          <w:szCs w:val="24"/>
          <w:highlight w:val="none"/>
        </w:rPr>
        <w:t>犯专利权或其他知识产权所引起的责任，由承包人承担，但由于遵照发包人提供的设</w:t>
      </w:r>
      <w:r>
        <w:rPr>
          <w:rFonts w:hint="eastAsia" w:ascii="宋体" w:hAnsi="宋体" w:eastAsia="宋体" w:cs="宋体"/>
          <w:color w:val="auto"/>
          <w:spacing w:val="-1"/>
          <w:sz w:val="24"/>
          <w:szCs w:val="24"/>
          <w:highlight w:val="none"/>
        </w:rPr>
        <w:t>计或技术标准和要求引起的除外。</w:t>
      </w:r>
    </w:p>
    <w:p w14:paraId="070A549D">
      <w:pPr>
        <w:spacing w:before="113" w:line="264" w:lineRule="auto"/>
        <w:ind w:left="49" w:right="22" w:firstLine="46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1.11.2承包人在投标文件中采用专利技术的，专利技</w:t>
      </w:r>
      <w:r>
        <w:rPr>
          <w:rFonts w:hint="eastAsia" w:ascii="宋体" w:hAnsi="宋体" w:eastAsia="宋体" w:cs="宋体"/>
          <w:color w:val="auto"/>
          <w:spacing w:val="-3"/>
          <w:sz w:val="24"/>
          <w:szCs w:val="24"/>
          <w:highlight w:val="none"/>
        </w:rPr>
        <w:t>术的使用费包含在投标报价</w:t>
      </w:r>
      <w:r>
        <w:rPr>
          <w:rFonts w:hint="eastAsia" w:ascii="宋体" w:hAnsi="宋体" w:eastAsia="宋体" w:cs="宋体"/>
          <w:color w:val="auto"/>
          <w:spacing w:val="-20"/>
          <w:sz w:val="24"/>
          <w:szCs w:val="24"/>
          <w:highlight w:val="none"/>
        </w:rPr>
        <w:t>内。</w:t>
      </w:r>
    </w:p>
    <w:p w14:paraId="78B7F816">
      <w:pPr>
        <w:spacing w:before="116" w:line="263" w:lineRule="auto"/>
        <w:ind w:left="21" w:right="20" w:firstLine="49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1.11.3承包人的技术秘密和声明需要保密的资料和信息，</w:t>
      </w:r>
      <w:r>
        <w:rPr>
          <w:rFonts w:hint="eastAsia" w:ascii="宋体" w:hAnsi="宋体" w:eastAsia="宋体" w:cs="宋体"/>
          <w:color w:val="auto"/>
          <w:spacing w:val="-3"/>
          <w:sz w:val="24"/>
          <w:szCs w:val="24"/>
          <w:highlight w:val="none"/>
        </w:rPr>
        <w:t>发包人和监理人不得为</w:t>
      </w:r>
      <w:r>
        <w:rPr>
          <w:rFonts w:hint="eastAsia" w:ascii="宋体" w:hAnsi="宋体" w:eastAsia="宋体" w:cs="宋体"/>
          <w:color w:val="auto"/>
          <w:spacing w:val="-1"/>
          <w:sz w:val="24"/>
          <w:szCs w:val="24"/>
          <w:highlight w:val="none"/>
        </w:rPr>
        <w:t>合同以外的目的泄露给他人。</w:t>
      </w:r>
    </w:p>
    <w:p w14:paraId="0BFABB24">
      <w:pPr>
        <w:pStyle w:val="4"/>
        <w:spacing w:line="255" w:lineRule="auto"/>
        <w:rPr>
          <w:rFonts w:hint="eastAsia" w:ascii="宋体" w:hAnsi="宋体" w:eastAsia="宋体" w:cs="宋体"/>
          <w:color w:val="auto"/>
          <w:highlight w:val="none"/>
        </w:rPr>
      </w:pPr>
    </w:p>
    <w:p w14:paraId="2AAD814C">
      <w:pPr>
        <w:spacing w:before="79" w:line="221" w:lineRule="auto"/>
        <w:ind w:left="39"/>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1.12图纸和文件的保密</w:t>
      </w:r>
    </w:p>
    <w:p w14:paraId="6FF071F6">
      <w:pPr>
        <w:pStyle w:val="4"/>
        <w:spacing w:line="272" w:lineRule="auto"/>
        <w:rPr>
          <w:rFonts w:hint="eastAsia" w:ascii="宋体" w:hAnsi="宋体" w:eastAsia="宋体" w:cs="宋体"/>
          <w:color w:val="auto"/>
          <w:highlight w:val="none"/>
        </w:rPr>
      </w:pPr>
    </w:p>
    <w:p w14:paraId="138C3EC4">
      <w:pPr>
        <w:spacing w:before="78" w:line="264" w:lineRule="auto"/>
        <w:ind w:left="40" w:right="20" w:firstLine="47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1.12.1发包人提供的图纸和文件，未经发包人同意，承包</w:t>
      </w:r>
      <w:r>
        <w:rPr>
          <w:rFonts w:hint="eastAsia" w:ascii="宋体" w:hAnsi="宋体" w:eastAsia="宋体" w:cs="宋体"/>
          <w:color w:val="auto"/>
          <w:spacing w:val="-3"/>
          <w:sz w:val="24"/>
          <w:szCs w:val="24"/>
          <w:highlight w:val="none"/>
        </w:rPr>
        <w:t>人不得为合同以外的目</w:t>
      </w:r>
      <w:r>
        <w:rPr>
          <w:rFonts w:hint="eastAsia" w:ascii="宋体" w:hAnsi="宋体" w:eastAsia="宋体" w:cs="宋体"/>
          <w:color w:val="auto"/>
          <w:spacing w:val="-2"/>
          <w:sz w:val="24"/>
          <w:szCs w:val="24"/>
          <w:highlight w:val="none"/>
        </w:rPr>
        <w:t>的泄露给他人或公开发表与引用。</w:t>
      </w:r>
    </w:p>
    <w:p w14:paraId="338F99DA">
      <w:pPr>
        <w:spacing w:before="116" w:line="263" w:lineRule="auto"/>
        <w:ind w:left="66" w:right="20" w:firstLine="45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1.12.2承包人提供的文件，未经承包人同意，发包人和监</w:t>
      </w:r>
      <w:r>
        <w:rPr>
          <w:rFonts w:hint="eastAsia" w:ascii="宋体" w:hAnsi="宋体" w:eastAsia="宋体" w:cs="宋体"/>
          <w:color w:val="auto"/>
          <w:spacing w:val="-3"/>
          <w:sz w:val="24"/>
          <w:szCs w:val="24"/>
          <w:highlight w:val="none"/>
        </w:rPr>
        <w:t>理人不得为合同以外的</w:t>
      </w:r>
      <w:r>
        <w:rPr>
          <w:rFonts w:hint="eastAsia" w:ascii="宋体" w:hAnsi="宋体" w:eastAsia="宋体" w:cs="宋体"/>
          <w:color w:val="auto"/>
          <w:spacing w:val="-4"/>
          <w:sz w:val="24"/>
          <w:szCs w:val="24"/>
          <w:highlight w:val="none"/>
        </w:rPr>
        <w:t>目的泄露给他人或公开发表与引用。</w:t>
      </w:r>
    </w:p>
    <w:p w14:paraId="7C098BAD">
      <w:pPr>
        <w:pStyle w:val="4"/>
        <w:spacing w:line="433" w:lineRule="auto"/>
        <w:rPr>
          <w:rFonts w:hint="eastAsia" w:ascii="宋体" w:hAnsi="宋体" w:eastAsia="宋体" w:cs="宋体"/>
          <w:color w:val="auto"/>
          <w:highlight w:val="none"/>
        </w:rPr>
      </w:pPr>
    </w:p>
    <w:p w14:paraId="268DD582">
      <w:pPr>
        <w:spacing w:before="92" w:line="222" w:lineRule="auto"/>
        <w:ind w:left="17"/>
        <w:outlineLvl w:val="2"/>
        <w:rPr>
          <w:rFonts w:hint="eastAsia" w:ascii="宋体" w:hAnsi="宋体" w:eastAsia="宋体" w:cs="宋体"/>
          <w:color w:val="auto"/>
          <w:sz w:val="28"/>
          <w:szCs w:val="28"/>
          <w:highlight w:val="none"/>
        </w:rPr>
      </w:pPr>
      <w:bookmarkStart w:id="451" w:name="_Toc10740"/>
      <w:bookmarkStart w:id="452" w:name="_Toc24486"/>
      <w:bookmarkStart w:id="453" w:name="_Toc7491"/>
      <w:bookmarkStart w:id="454" w:name="_Toc6926"/>
      <w:bookmarkStart w:id="455" w:name="_Toc26851"/>
      <w:r>
        <w:rPr>
          <w:rFonts w:hint="eastAsia" w:ascii="宋体" w:hAnsi="宋体" w:eastAsia="宋体" w:cs="宋体"/>
          <w:color w:val="auto"/>
          <w:spacing w:val="-1"/>
          <w:sz w:val="28"/>
          <w:szCs w:val="28"/>
          <w:highlight w:val="none"/>
        </w:rPr>
        <w:t>2.发包人义务</w:t>
      </w:r>
      <w:bookmarkEnd w:id="451"/>
      <w:bookmarkEnd w:id="452"/>
      <w:bookmarkEnd w:id="453"/>
      <w:bookmarkEnd w:id="454"/>
      <w:bookmarkEnd w:id="455"/>
    </w:p>
    <w:p w14:paraId="25F6491F">
      <w:pPr>
        <w:pStyle w:val="4"/>
        <w:spacing w:line="250" w:lineRule="auto"/>
        <w:rPr>
          <w:rFonts w:hint="eastAsia" w:ascii="宋体" w:hAnsi="宋体" w:eastAsia="宋体" w:cs="宋体"/>
          <w:color w:val="auto"/>
          <w:highlight w:val="none"/>
        </w:rPr>
      </w:pPr>
    </w:p>
    <w:p w14:paraId="07E01D4E">
      <w:pPr>
        <w:spacing w:before="78" w:line="222" w:lineRule="auto"/>
        <w:ind w:left="16"/>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2.1遵守法律</w:t>
      </w:r>
    </w:p>
    <w:p w14:paraId="4944262D">
      <w:pPr>
        <w:pStyle w:val="4"/>
        <w:spacing w:line="271" w:lineRule="auto"/>
        <w:rPr>
          <w:rFonts w:hint="eastAsia" w:ascii="宋体" w:hAnsi="宋体" w:eastAsia="宋体" w:cs="宋体"/>
          <w:color w:val="auto"/>
          <w:highlight w:val="none"/>
        </w:rPr>
      </w:pPr>
    </w:p>
    <w:p w14:paraId="47807238">
      <w:pPr>
        <w:spacing w:before="79" w:line="309" w:lineRule="auto"/>
        <w:ind w:left="21" w:right="20" w:firstLine="48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发包人在履行合同过程中应遵守法律，并保证承包人免于承担因发包</w:t>
      </w:r>
      <w:r>
        <w:rPr>
          <w:rFonts w:hint="eastAsia" w:ascii="宋体" w:hAnsi="宋体" w:eastAsia="宋体" w:cs="宋体"/>
          <w:color w:val="auto"/>
          <w:spacing w:val="-3"/>
          <w:sz w:val="24"/>
          <w:szCs w:val="24"/>
          <w:highlight w:val="none"/>
        </w:rPr>
        <w:t>人违反法律</w:t>
      </w:r>
      <w:r>
        <w:rPr>
          <w:rFonts w:hint="eastAsia" w:ascii="宋体" w:hAnsi="宋体" w:eastAsia="宋体" w:cs="宋体"/>
          <w:color w:val="auto"/>
          <w:spacing w:val="-2"/>
          <w:sz w:val="24"/>
          <w:szCs w:val="24"/>
          <w:highlight w:val="none"/>
        </w:rPr>
        <w:t>而引起的任何责任。</w:t>
      </w:r>
    </w:p>
    <w:p w14:paraId="4CBDACB8">
      <w:pPr>
        <w:spacing w:line="309" w:lineRule="auto"/>
        <w:rPr>
          <w:rFonts w:hint="eastAsia" w:ascii="宋体" w:hAnsi="宋体" w:eastAsia="宋体" w:cs="宋体"/>
          <w:color w:val="auto"/>
          <w:sz w:val="24"/>
          <w:szCs w:val="24"/>
          <w:highlight w:val="none"/>
        </w:rPr>
        <w:sectPr>
          <w:headerReference r:id="rId61" w:type="default"/>
          <w:footerReference r:id="rId62" w:type="default"/>
          <w:pgSz w:w="11907" w:h="16840"/>
          <w:pgMar w:top="1182" w:right="1269" w:bottom="1014" w:left="1786" w:header="849" w:footer="852" w:gutter="0"/>
          <w:pgNumType w:fmt="decimal"/>
          <w:cols w:space="720" w:num="1"/>
        </w:sectPr>
      </w:pPr>
    </w:p>
    <w:p w14:paraId="5A483AFA">
      <w:pPr>
        <w:pStyle w:val="4"/>
        <w:spacing w:line="282" w:lineRule="auto"/>
        <w:rPr>
          <w:rFonts w:hint="eastAsia" w:ascii="宋体" w:hAnsi="宋体" w:eastAsia="宋体" w:cs="宋体"/>
          <w:color w:val="auto"/>
          <w:highlight w:val="none"/>
        </w:rPr>
      </w:pPr>
    </w:p>
    <w:p w14:paraId="3034565E">
      <w:pPr>
        <w:spacing w:before="78" w:line="221" w:lineRule="auto"/>
        <w:ind w:left="1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2.2发出开工通知</w:t>
      </w:r>
    </w:p>
    <w:p w14:paraId="301C6AA3">
      <w:pPr>
        <w:pStyle w:val="4"/>
        <w:spacing w:line="274" w:lineRule="auto"/>
        <w:rPr>
          <w:rFonts w:hint="eastAsia" w:ascii="宋体" w:hAnsi="宋体" w:eastAsia="宋体" w:cs="宋体"/>
          <w:color w:val="auto"/>
          <w:highlight w:val="none"/>
        </w:rPr>
      </w:pPr>
    </w:p>
    <w:p w14:paraId="756F0A55">
      <w:pPr>
        <w:spacing w:before="78"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发包人应委托监理人按第11.1款的约定向承包人发出开工通知。</w:t>
      </w:r>
    </w:p>
    <w:p w14:paraId="0C337119">
      <w:pPr>
        <w:pStyle w:val="4"/>
        <w:spacing w:line="254" w:lineRule="auto"/>
        <w:rPr>
          <w:rFonts w:hint="eastAsia" w:ascii="宋体" w:hAnsi="宋体" w:eastAsia="宋体" w:cs="宋体"/>
          <w:color w:val="auto"/>
          <w:highlight w:val="none"/>
        </w:rPr>
      </w:pPr>
    </w:p>
    <w:p w14:paraId="4BE80790">
      <w:pPr>
        <w:spacing w:before="78" w:line="222" w:lineRule="auto"/>
        <w:ind w:left="1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2.3提供施工场地</w:t>
      </w:r>
    </w:p>
    <w:p w14:paraId="79479FE7">
      <w:pPr>
        <w:pStyle w:val="4"/>
        <w:spacing w:line="270" w:lineRule="auto"/>
        <w:rPr>
          <w:rFonts w:hint="eastAsia" w:ascii="宋体" w:hAnsi="宋体" w:eastAsia="宋体" w:cs="宋体"/>
          <w:color w:val="auto"/>
          <w:highlight w:val="none"/>
        </w:rPr>
      </w:pPr>
    </w:p>
    <w:p w14:paraId="2F836B95">
      <w:pPr>
        <w:spacing w:before="78" w:line="309" w:lineRule="auto"/>
        <w:ind w:left="21" w:firstLine="48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发包人应按专用合同条款约定向承包人提供施工场地，以及施工场地</w:t>
      </w:r>
      <w:r>
        <w:rPr>
          <w:rFonts w:hint="eastAsia" w:ascii="宋体" w:hAnsi="宋体" w:eastAsia="宋体" w:cs="宋体"/>
          <w:color w:val="auto"/>
          <w:spacing w:val="-3"/>
          <w:sz w:val="24"/>
          <w:szCs w:val="24"/>
          <w:highlight w:val="none"/>
        </w:rPr>
        <w:t>内地下管线</w:t>
      </w:r>
      <w:r>
        <w:rPr>
          <w:rFonts w:hint="eastAsia" w:ascii="宋体" w:hAnsi="宋体" w:eastAsia="宋体" w:cs="宋体"/>
          <w:color w:val="auto"/>
          <w:spacing w:val="-1"/>
          <w:sz w:val="24"/>
          <w:szCs w:val="24"/>
          <w:highlight w:val="none"/>
        </w:rPr>
        <w:t>和地下设施等有关资料，并保证资料的真实、准确、完整。</w:t>
      </w:r>
    </w:p>
    <w:p w14:paraId="067E6FE0">
      <w:pPr>
        <w:spacing w:before="218" w:line="221" w:lineRule="auto"/>
        <w:ind w:left="1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2.4协助承包人办理证件和批件</w:t>
      </w:r>
    </w:p>
    <w:p w14:paraId="2C5A9E7A">
      <w:pPr>
        <w:pStyle w:val="4"/>
        <w:spacing w:line="272" w:lineRule="auto"/>
        <w:rPr>
          <w:rFonts w:hint="eastAsia" w:ascii="宋体" w:hAnsi="宋体" w:eastAsia="宋体" w:cs="宋体"/>
          <w:color w:val="auto"/>
          <w:highlight w:val="none"/>
        </w:rPr>
      </w:pPr>
    </w:p>
    <w:p w14:paraId="16E62587">
      <w:pPr>
        <w:spacing w:before="78"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发包人应协助承包人办理法律规定的有关施工证件和批件。</w:t>
      </w:r>
    </w:p>
    <w:p w14:paraId="33E7334F">
      <w:pPr>
        <w:pStyle w:val="4"/>
        <w:spacing w:line="256" w:lineRule="auto"/>
        <w:rPr>
          <w:rFonts w:hint="eastAsia" w:ascii="宋体" w:hAnsi="宋体" w:eastAsia="宋体" w:cs="宋体"/>
          <w:color w:val="auto"/>
          <w:highlight w:val="none"/>
        </w:rPr>
      </w:pPr>
    </w:p>
    <w:p w14:paraId="67A4507E">
      <w:pPr>
        <w:spacing w:before="78" w:line="222" w:lineRule="auto"/>
        <w:ind w:left="1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2.5组织设计交底</w:t>
      </w:r>
    </w:p>
    <w:p w14:paraId="530948B5">
      <w:pPr>
        <w:pStyle w:val="4"/>
        <w:spacing w:line="270" w:lineRule="auto"/>
        <w:rPr>
          <w:rFonts w:hint="eastAsia" w:ascii="宋体" w:hAnsi="宋体" w:eastAsia="宋体" w:cs="宋体"/>
          <w:color w:val="auto"/>
          <w:highlight w:val="none"/>
        </w:rPr>
      </w:pPr>
    </w:p>
    <w:p w14:paraId="265C928E">
      <w:pPr>
        <w:spacing w:before="79" w:line="483" w:lineRule="auto"/>
        <w:ind w:left="16" w:right="1179" w:firstLine="488"/>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发包人应根据合同进度计划，组织设计单位向承包人进行设计交底。</w:t>
      </w:r>
      <w:r>
        <w:rPr>
          <w:rFonts w:hint="eastAsia" w:ascii="宋体" w:hAnsi="宋体" w:eastAsia="宋体" w:cs="宋体"/>
          <w:color w:val="auto"/>
          <w:spacing w:val="-3"/>
          <w:sz w:val="24"/>
          <w:szCs w:val="24"/>
          <w:highlight w:val="none"/>
        </w:rPr>
        <w:t>2.6支付合同价款</w:t>
      </w:r>
    </w:p>
    <w:p w14:paraId="2F94CE99">
      <w:pPr>
        <w:spacing w:before="4" w:line="218"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发包人应按合同约定向承包人及时支付合同价款。</w:t>
      </w:r>
    </w:p>
    <w:p w14:paraId="09CEBA64">
      <w:pPr>
        <w:pStyle w:val="4"/>
        <w:spacing w:line="258" w:lineRule="auto"/>
        <w:rPr>
          <w:rFonts w:hint="eastAsia" w:ascii="宋体" w:hAnsi="宋体" w:eastAsia="宋体" w:cs="宋体"/>
          <w:color w:val="auto"/>
          <w:highlight w:val="none"/>
        </w:rPr>
      </w:pPr>
    </w:p>
    <w:p w14:paraId="7BA7D738">
      <w:pPr>
        <w:spacing w:before="78" w:line="221" w:lineRule="auto"/>
        <w:ind w:left="1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2.7组织竣工验收</w:t>
      </w:r>
    </w:p>
    <w:p w14:paraId="3A94A492">
      <w:pPr>
        <w:pStyle w:val="4"/>
        <w:spacing w:line="272" w:lineRule="auto"/>
        <w:rPr>
          <w:rFonts w:hint="eastAsia" w:ascii="宋体" w:hAnsi="宋体" w:eastAsia="宋体" w:cs="宋体"/>
          <w:color w:val="auto"/>
          <w:highlight w:val="none"/>
        </w:rPr>
      </w:pPr>
    </w:p>
    <w:p w14:paraId="3ACADEC0">
      <w:pPr>
        <w:spacing w:before="78"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发包人应按合同约定及时组织竣工验收。</w:t>
      </w:r>
    </w:p>
    <w:p w14:paraId="77E415FF">
      <w:pPr>
        <w:pStyle w:val="4"/>
        <w:spacing w:line="256" w:lineRule="auto"/>
        <w:rPr>
          <w:rFonts w:hint="eastAsia" w:ascii="宋体" w:hAnsi="宋体" w:eastAsia="宋体" w:cs="宋体"/>
          <w:color w:val="auto"/>
          <w:highlight w:val="none"/>
        </w:rPr>
      </w:pPr>
    </w:p>
    <w:p w14:paraId="67A5BCF4">
      <w:pPr>
        <w:spacing w:before="79" w:line="221" w:lineRule="auto"/>
        <w:ind w:left="16"/>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2.8其他义务</w:t>
      </w:r>
    </w:p>
    <w:p w14:paraId="6E4E168B">
      <w:pPr>
        <w:pStyle w:val="4"/>
        <w:spacing w:line="272" w:lineRule="auto"/>
        <w:rPr>
          <w:rFonts w:hint="eastAsia" w:ascii="宋体" w:hAnsi="宋体" w:eastAsia="宋体" w:cs="宋体"/>
          <w:color w:val="auto"/>
          <w:highlight w:val="none"/>
        </w:rPr>
      </w:pPr>
    </w:p>
    <w:p w14:paraId="7F912D1A">
      <w:pPr>
        <w:spacing w:before="78"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发包人应履行合同约定的其他义务。</w:t>
      </w:r>
    </w:p>
    <w:p w14:paraId="221E9F74">
      <w:pPr>
        <w:pStyle w:val="4"/>
        <w:spacing w:line="435" w:lineRule="auto"/>
        <w:rPr>
          <w:rFonts w:hint="eastAsia" w:ascii="宋体" w:hAnsi="宋体" w:eastAsia="宋体" w:cs="宋体"/>
          <w:color w:val="auto"/>
          <w:highlight w:val="none"/>
        </w:rPr>
      </w:pPr>
    </w:p>
    <w:p w14:paraId="6004F83B">
      <w:pPr>
        <w:spacing w:before="92" w:line="225" w:lineRule="auto"/>
        <w:ind w:left="23"/>
        <w:outlineLvl w:val="2"/>
        <w:rPr>
          <w:rFonts w:hint="eastAsia" w:ascii="宋体" w:hAnsi="宋体" w:eastAsia="宋体" w:cs="宋体"/>
          <w:color w:val="auto"/>
          <w:sz w:val="28"/>
          <w:szCs w:val="28"/>
          <w:highlight w:val="none"/>
        </w:rPr>
      </w:pPr>
      <w:bookmarkStart w:id="456" w:name="_Toc31154"/>
      <w:bookmarkStart w:id="457" w:name="_Toc21787"/>
      <w:bookmarkStart w:id="458" w:name="_Toc26201"/>
      <w:bookmarkStart w:id="459" w:name="_Toc7068"/>
      <w:bookmarkStart w:id="460" w:name="_Toc14610"/>
      <w:r>
        <w:rPr>
          <w:rFonts w:hint="eastAsia" w:ascii="宋体" w:hAnsi="宋体" w:eastAsia="宋体" w:cs="宋体"/>
          <w:color w:val="auto"/>
          <w:spacing w:val="-4"/>
          <w:sz w:val="28"/>
          <w:szCs w:val="28"/>
          <w:highlight w:val="none"/>
        </w:rPr>
        <w:t>3.监理人</w:t>
      </w:r>
      <w:bookmarkEnd w:id="456"/>
      <w:bookmarkEnd w:id="457"/>
      <w:bookmarkEnd w:id="458"/>
      <w:bookmarkEnd w:id="459"/>
      <w:bookmarkEnd w:id="460"/>
    </w:p>
    <w:p w14:paraId="6496BEF3">
      <w:pPr>
        <w:pStyle w:val="4"/>
        <w:spacing w:line="245" w:lineRule="auto"/>
        <w:rPr>
          <w:rFonts w:hint="eastAsia" w:ascii="宋体" w:hAnsi="宋体" w:eastAsia="宋体" w:cs="宋体"/>
          <w:color w:val="auto"/>
          <w:highlight w:val="none"/>
        </w:rPr>
      </w:pPr>
    </w:p>
    <w:p w14:paraId="6EAEC31B">
      <w:pPr>
        <w:spacing w:before="78" w:line="221" w:lineRule="auto"/>
        <w:ind w:left="2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3.1监理人的职责和权力</w:t>
      </w:r>
    </w:p>
    <w:p w14:paraId="0E33F5B3">
      <w:pPr>
        <w:pStyle w:val="4"/>
        <w:spacing w:line="273" w:lineRule="auto"/>
        <w:rPr>
          <w:rFonts w:hint="eastAsia" w:ascii="宋体" w:hAnsi="宋体" w:eastAsia="宋体" w:cs="宋体"/>
          <w:color w:val="auto"/>
          <w:highlight w:val="none"/>
        </w:rPr>
      </w:pPr>
    </w:p>
    <w:p w14:paraId="4CAD3ECB">
      <w:pPr>
        <w:spacing w:before="79" w:line="263" w:lineRule="auto"/>
        <w:ind w:left="21" w:right="2" w:firstLine="47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3.1.1监理人受发包人委托，享有合同约定的权力。监理人在行使某项权力前需</w:t>
      </w:r>
      <w:r>
        <w:rPr>
          <w:rFonts w:hint="eastAsia" w:ascii="宋体" w:hAnsi="宋体" w:eastAsia="宋体" w:cs="宋体"/>
          <w:color w:val="auto"/>
          <w:sz w:val="24"/>
          <w:szCs w:val="24"/>
          <w:highlight w:val="none"/>
        </w:rPr>
        <w:t>要经发包人事先批准而通用合同条款没有指明的，</w:t>
      </w:r>
      <w:r>
        <w:rPr>
          <w:rFonts w:hint="eastAsia" w:ascii="宋体" w:hAnsi="宋体" w:eastAsia="宋体" w:cs="宋体"/>
          <w:color w:val="auto"/>
          <w:spacing w:val="-1"/>
          <w:sz w:val="24"/>
          <w:szCs w:val="24"/>
          <w:highlight w:val="none"/>
        </w:rPr>
        <w:t>应在专用合同条款中指明。</w:t>
      </w:r>
    </w:p>
    <w:p w14:paraId="43473F81">
      <w:pPr>
        <w:spacing w:before="115" w:line="264" w:lineRule="auto"/>
        <w:ind w:left="20" w:right="2" w:firstLine="48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3.1.2监理人发出的任何指示应视为已得到发包人的批准，但监理人无权免除或</w:t>
      </w:r>
      <w:r>
        <w:rPr>
          <w:rFonts w:hint="eastAsia" w:ascii="宋体" w:hAnsi="宋体" w:eastAsia="宋体" w:cs="宋体"/>
          <w:color w:val="auto"/>
          <w:spacing w:val="-1"/>
          <w:sz w:val="24"/>
          <w:szCs w:val="24"/>
          <w:highlight w:val="none"/>
        </w:rPr>
        <w:t>变更合同约定的发包人和承包人的权利、义务和责任。</w:t>
      </w:r>
    </w:p>
    <w:p w14:paraId="781B1A9C">
      <w:pPr>
        <w:spacing w:before="112" w:line="279" w:lineRule="auto"/>
        <w:ind w:left="24" w:firstLine="47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3.1.3合同约定应由承包人承担的义务和责任，不因监理人对承包人提交文件的</w:t>
      </w:r>
      <w:r>
        <w:rPr>
          <w:rFonts w:hint="eastAsia" w:ascii="宋体" w:hAnsi="宋体" w:eastAsia="宋体" w:cs="宋体"/>
          <w:color w:val="auto"/>
          <w:spacing w:val="-2"/>
          <w:sz w:val="24"/>
          <w:szCs w:val="24"/>
          <w:highlight w:val="none"/>
        </w:rPr>
        <w:t>审查或批准，对工程、材料和设备的检查和检验，以及为实施监理作出的指示等职务行为而减轻或解除。</w:t>
      </w:r>
    </w:p>
    <w:p w14:paraId="78069F2A">
      <w:pPr>
        <w:spacing w:line="279" w:lineRule="auto"/>
        <w:rPr>
          <w:rFonts w:hint="eastAsia" w:ascii="宋体" w:hAnsi="宋体" w:eastAsia="宋体" w:cs="宋体"/>
          <w:color w:val="auto"/>
          <w:sz w:val="24"/>
          <w:szCs w:val="24"/>
          <w:highlight w:val="none"/>
        </w:rPr>
        <w:sectPr>
          <w:headerReference r:id="rId63" w:type="default"/>
          <w:footerReference r:id="rId64" w:type="default"/>
          <w:pgSz w:w="11907" w:h="16840"/>
          <w:pgMar w:top="1182" w:right="1289" w:bottom="1014" w:left="1786" w:header="849" w:footer="852" w:gutter="0"/>
          <w:pgNumType w:fmt="decimal"/>
          <w:cols w:space="720" w:num="1"/>
        </w:sectPr>
      </w:pPr>
    </w:p>
    <w:p w14:paraId="4B104075">
      <w:pPr>
        <w:pStyle w:val="4"/>
        <w:spacing w:line="281" w:lineRule="auto"/>
        <w:rPr>
          <w:rFonts w:hint="eastAsia" w:ascii="宋体" w:hAnsi="宋体" w:eastAsia="宋体" w:cs="宋体"/>
          <w:color w:val="auto"/>
          <w:highlight w:val="none"/>
        </w:rPr>
      </w:pPr>
    </w:p>
    <w:p w14:paraId="57368BBB">
      <w:pPr>
        <w:spacing w:before="78" w:line="222" w:lineRule="auto"/>
        <w:ind w:left="2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3.2总监理工程师</w:t>
      </w:r>
    </w:p>
    <w:p w14:paraId="5911530D">
      <w:pPr>
        <w:pStyle w:val="4"/>
        <w:spacing w:line="272" w:lineRule="auto"/>
        <w:rPr>
          <w:rFonts w:hint="eastAsia" w:ascii="宋体" w:hAnsi="宋体" w:eastAsia="宋体" w:cs="宋体"/>
          <w:color w:val="auto"/>
          <w:highlight w:val="none"/>
        </w:rPr>
      </w:pPr>
    </w:p>
    <w:p w14:paraId="2A0FB3A5">
      <w:pPr>
        <w:spacing w:before="78" w:line="309" w:lineRule="auto"/>
        <w:ind w:left="19" w:right="80" w:firstLine="484"/>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发包人应在发出开工通知前将总监理工程师的任命通知承包人。总监</w:t>
      </w:r>
      <w:r>
        <w:rPr>
          <w:rFonts w:hint="eastAsia" w:ascii="宋体" w:hAnsi="宋体" w:eastAsia="宋体" w:cs="宋体"/>
          <w:color w:val="auto"/>
          <w:spacing w:val="-3"/>
          <w:sz w:val="24"/>
          <w:szCs w:val="24"/>
          <w:highlight w:val="none"/>
        </w:rPr>
        <w:t>理工程师更</w:t>
      </w:r>
      <w:r>
        <w:rPr>
          <w:rFonts w:hint="eastAsia" w:ascii="宋体" w:hAnsi="宋体" w:eastAsia="宋体" w:cs="宋体"/>
          <w:color w:val="auto"/>
          <w:sz w:val="24"/>
          <w:szCs w:val="24"/>
          <w:highlight w:val="none"/>
        </w:rPr>
        <w:t>换时，应在调离14天前通知承包人。总监理工程师短期离开施工场地的，应委派代</w:t>
      </w:r>
      <w:r>
        <w:rPr>
          <w:rFonts w:hint="eastAsia" w:ascii="宋体" w:hAnsi="宋体" w:eastAsia="宋体" w:cs="宋体"/>
          <w:color w:val="auto"/>
          <w:spacing w:val="-1"/>
          <w:sz w:val="24"/>
          <w:szCs w:val="24"/>
          <w:highlight w:val="none"/>
        </w:rPr>
        <w:t>表代行其职责，并通知承包人。</w:t>
      </w:r>
    </w:p>
    <w:p w14:paraId="55A28744">
      <w:pPr>
        <w:spacing w:before="213" w:line="221" w:lineRule="auto"/>
        <w:ind w:left="2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3.3监理人员</w:t>
      </w:r>
    </w:p>
    <w:p w14:paraId="5F2FE8CA">
      <w:pPr>
        <w:pStyle w:val="4"/>
        <w:spacing w:line="274" w:lineRule="auto"/>
        <w:rPr>
          <w:rFonts w:hint="eastAsia" w:ascii="宋体" w:hAnsi="宋体" w:eastAsia="宋体" w:cs="宋体"/>
          <w:color w:val="auto"/>
          <w:highlight w:val="none"/>
        </w:rPr>
      </w:pPr>
    </w:p>
    <w:p w14:paraId="2E7FE83B">
      <w:pPr>
        <w:spacing w:before="79" w:line="290" w:lineRule="auto"/>
        <w:ind w:left="21" w:right="80" w:firstLine="47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3.3.1总监理工程师可以授权其他监理人员负责执行其指派的一项或多项监理工</w:t>
      </w:r>
      <w:r>
        <w:rPr>
          <w:rFonts w:hint="eastAsia" w:ascii="宋体" w:hAnsi="宋体" w:eastAsia="宋体" w:cs="宋体"/>
          <w:color w:val="auto"/>
          <w:spacing w:val="-2"/>
          <w:sz w:val="24"/>
          <w:szCs w:val="24"/>
          <w:highlight w:val="none"/>
        </w:rPr>
        <w:t>作。总监理工程师应将被授权监理人员的姓名及其授权范围通知承包人。被授权的监理人员在授权范围内发出的指示视为已得到总监理工程师的同意，与总监理工程师发出的指示具有同等效力。总监理工程师撤销某项授权时，应将撤销授权的决定及时通</w:t>
      </w:r>
      <w:r>
        <w:rPr>
          <w:rFonts w:hint="eastAsia" w:ascii="宋体" w:hAnsi="宋体" w:eastAsia="宋体" w:cs="宋体"/>
          <w:color w:val="auto"/>
          <w:spacing w:val="-3"/>
          <w:sz w:val="24"/>
          <w:szCs w:val="24"/>
          <w:highlight w:val="none"/>
        </w:rPr>
        <w:t>知承包人。</w:t>
      </w:r>
    </w:p>
    <w:p w14:paraId="1949F705">
      <w:pPr>
        <w:spacing w:before="114" w:line="278" w:lineRule="auto"/>
        <w:ind w:left="23" w:right="80" w:firstLine="477"/>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3.3.2监理人员对承包人的任何工作、工程或其采用的材料和工程设备未在约定</w:t>
      </w:r>
      <w:r>
        <w:rPr>
          <w:rFonts w:hint="eastAsia" w:ascii="宋体" w:hAnsi="宋体" w:eastAsia="宋体" w:cs="宋体"/>
          <w:color w:val="auto"/>
          <w:spacing w:val="-2"/>
          <w:sz w:val="24"/>
          <w:szCs w:val="24"/>
          <w:highlight w:val="none"/>
        </w:rPr>
        <w:t>的或合理的期限内提出否定意见的，视为已获批准，但不影响监理人在以后拒绝该项</w:t>
      </w:r>
      <w:r>
        <w:rPr>
          <w:rFonts w:hint="eastAsia" w:ascii="宋体" w:hAnsi="宋体" w:eastAsia="宋体" w:cs="宋体"/>
          <w:color w:val="auto"/>
          <w:spacing w:val="-1"/>
          <w:sz w:val="24"/>
          <w:szCs w:val="24"/>
          <w:highlight w:val="none"/>
        </w:rPr>
        <w:t>工作、工程、材料或工程设备的权利。</w:t>
      </w:r>
    </w:p>
    <w:p w14:paraId="0270D3A5">
      <w:pPr>
        <w:spacing w:before="116" w:line="263" w:lineRule="auto"/>
        <w:ind w:left="23" w:firstLine="477"/>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3.3.3承包人对总监理工程师授权的监理人员发出的指示有疑问的，可向总监理</w:t>
      </w:r>
      <w:r>
        <w:rPr>
          <w:rFonts w:hint="eastAsia" w:ascii="宋体" w:hAnsi="宋体" w:eastAsia="宋体" w:cs="宋体"/>
          <w:color w:val="auto"/>
          <w:spacing w:val="-3"/>
          <w:sz w:val="24"/>
          <w:szCs w:val="24"/>
          <w:highlight w:val="none"/>
        </w:rPr>
        <w:t>工程师提出书面异议，总监理工程师应在4</w:t>
      </w:r>
      <w:r>
        <w:rPr>
          <w:rFonts w:hint="eastAsia" w:ascii="宋体" w:hAnsi="宋体" w:eastAsia="宋体" w:cs="宋体"/>
          <w:color w:val="auto"/>
          <w:spacing w:val="-4"/>
          <w:sz w:val="24"/>
          <w:szCs w:val="24"/>
          <w:highlight w:val="none"/>
        </w:rPr>
        <w:t>8小时内对该指示予以确认、更改或撤销。</w:t>
      </w:r>
    </w:p>
    <w:p w14:paraId="3C732978">
      <w:pPr>
        <w:spacing w:before="116" w:line="263" w:lineRule="auto"/>
        <w:ind w:left="23" w:firstLine="477"/>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3.3.4除专用合同条款另有约定外，总监理工程师不应将第3.5款约定应由总监理工程师作出确定的权力授权或委托给其他监理人员。</w:t>
      </w:r>
    </w:p>
    <w:p w14:paraId="608E1DEC">
      <w:pPr>
        <w:spacing w:before="116" w:line="263" w:lineRule="auto"/>
        <w:ind w:left="23" w:firstLine="477"/>
        <w:rPr>
          <w:rFonts w:hint="eastAsia" w:ascii="宋体" w:hAnsi="宋体" w:eastAsia="宋体" w:cs="宋体"/>
          <w:color w:val="auto"/>
          <w:spacing w:val="1"/>
          <w:sz w:val="24"/>
          <w:szCs w:val="24"/>
          <w:highlight w:val="none"/>
        </w:rPr>
      </w:pPr>
    </w:p>
    <w:p w14:paraId="2D335CD0">
      <w:pPr>
        <w:spacing w:before="116" w:line="263" w:lineRule="auto"/>
        <w:ind w:left="23" w:firstLine="477"/>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3.4监理人的指示</w:t>
      </w:r>
    </w:p>
    <w:p w14:paraId="44FE612D">
      <w:pPr>
        <w:spacing w:before="116" w:line="263" w:lineRule="auto"/>
        <w:ind w:left="23" w:firstLine="477"/>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3.4.1监理人应按第3.1款的约定向承包人发出指示，监理人的指示应盖有监理人授权的施工场地机构章，并由总监理工程师或总监理工程师按第3.3.1项约定授权的监理人员签字。</w:t>
      </w:r>
    </w:p>
    <w:p w14:paraId="4A2FF3E0">
      <w:pPr>
        <w:spacing w:before="116" w:line="263" w:lineRule="auto"/>
        <w:ind w:left="23" w:firstLine="477"/>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3.4.2承包人收到监理人按第3.4.1项作出的指示后应遵照执行。指示构成变更的，应按第15条处理。</w:t>
      </w:r>
    </w:p>
    <w:p w14:paraId="6649D535">
      <w:pPr>
        <w:spacing w:before="116" w:line="263" w:lineRule="auto"/>
        <w:ind w:left="23" w:firstLine="477"/>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3.4.3在紧急情况下，总监理工程师或被授权的监理人员可以当场签发临时书面指示，承包人应遵照执行。承包人应在收到上述临时书面指示后24小时内，向监理人发出书面确认函。监理人在收到书面确认函后24小时内未予答复的，该书面确认函应被视为监理人的正式指示。</w:t>
      </w:r>
    </w:p>
    <w:p w14:paraId="6CA3C6BD">
      <w:pPr>
        <w:spacing w:before="116" w:line="263" w:lineRule="auto"/>
        <w:ind w:left="23" w:firstLine="477"/>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3.4.4除合同另有约定外，承包人只从总监理工程师或按第3.3.1项被授权的监理人员处取得指示。</w:t>
      </w:r>
    </w:p>
    <w:p w14:paraId="3C4E20ED">
      <w:pPr>
        <w:spacing w:before="116" w:line="263" w:lineRule="auto"/>
        <w:ind w:left="23" w:firstLine="477"/>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3.4.5由于监理人未能按合同约定发出指示、指示延误或指示错误而导致承包人费用增加和（或）工期延误的，由发包人承担赔偿责任。</w:t>
      </w:r>
    </w:p>
    <w:p w14:paraId="3A1042DA">
      <w:pPr>
        <w:spacing w:before="116" w:line="263" w:lineRule="auto"/>
        <w:ind w:left="23" w:firstLine="477"/>
        <w:rPr>
          <w:rFonts w:hint="eastAsia" w:ascii="宋体" w:hAnsi="宋体" w:eastAsia="宋体" w:cs="宋体"/>
          <w:color w:val="auto"/>
          <w:spacing w:val="1"/>
          <w:sz w:val="24"/>
          <w:szCs w:val="24"/>
          <w:highlight w:val="none"/>
        </w:rPr>
        <w:sectPr>
          <w:headerReference r:id="rId65" w:type="default"/>
          <w:footerReference r:id="rId66" w:type="default"/>
          <w:pgSz w:w="11907" w:h="16840"/>
          <w:pgMar w:top="1182" w:right="1209" w:bottom="1011" w:left="1786" w:header="849" w:footer="852" w:gutter="0"/>
          <w:pgNumType w:fmt="decimal"/>
          <w:cols w:space="720" w:num="1"/>
        </w:sectPr>
      </w:pPr>
    </w:p>
    <w:p w14:paraId="781916F9">
      <w:pPr>
        <w:pStyle w:val="4"/>
        <w:spacing w:line="281" w:lineRule="auto"/>
        <w:rPr>
          <w:rFonts w:hint="eastAsia" w:ascii="宋体" w:hAnsi="宋体" w:eastAsia="宋体" w:cs="宋体"/>
          <w:color w:val="auto"/>
          <w:highlight w:val="none"/>
        </w:rPr>
      </w:pPr>
    </w:p>
    <w:p w14:paraId="4E3411A8">
      <w:pPr>
        <w:spacing w:before="78" w:line="222" w:lineRule="auto"/>
        <w:ind w:left="21"/>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3.5商定或确定</w:t>
      </w:r>
    </w:p>
    <w:p w14:paraId="6055A4E0">
      <w:pPr>
        <w:pStyle w:val="4"/>
        <w:spacing w:line="272" w:lineRule="auto"/>
        <w:rPr>
          <w:rFonts w:hint="eastAsia" w:ascii="宋体" w:hAnsi="宋体" w:eastAsia="宋体" w:cs="宋体"/>
          <w:color w:val="auto"/>
          <w:highlight w:val="none"/>
        </w:rPr>
      </w:pPr>
    </w:p>
    <w:p w14:paraId="1A4AB43C">
      <w:pPr>
        <w:spacing w:before="78" w:line="278" w:lineRule="auto"/>
        <w:ind w:left="19" w:right="61" w:firstLine="48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3.5.1合同约定总监理工程师应按照本款对任何事</w:t>
      </w:r>
      <w:r>
        <w:rPr>
          <w:rFonts w:hint="eastAsia" w:ascii="宋体" w:hAnsi="宋体" w:eastAsia="宋体" w:cs="宋体"/>
          <w:color w:val="auto"/>
          <w:spacing w:val="-4"/>
          <w:sz w:val="24"/>
          <w:szCs w:val="24"/>
          <w:highlight w:val="none"/>
        </w:rPr>
        <w:t>项进行商定或确定时，总监理工</w:t>
      </w:r>
      <w:r>
        <w:rPr>
          <w:rFonts w:hint="eastAsia" w:ascii="宋体" w:hAnsi="宋体" w:eastAsia="宋体" w:cs="宋体"/>
          <w:color w:val="auto"/>
          <w:spacing w:val="-2"/>
          <w:sz w:val="24"/>
          <w:szCs w:val="24"/>
          <w:highlight w:val="none"/>
        </w:rPr>
        <w:t>程师应与合同当事人协商，尽量达成一致。不能达成一致的，总监理工程师应认真研究后审慎确定。</w:t>
      </w:r>
    </w:p>
    <w:p w14:paraId="20F8C55A">
      <w:pPr>
        <w:spacing w:before="114" w:line="286" w:lineRule="auto"/>
        <w:ind w:left="20" w:firstLine="48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3.5.2总监理工程师应将商定或确定的事项通知合同当事人，并附详细依据。对</w:t>
      </w:r>
      <w:r>
        <w:rPr>
          <w:rFonts w:hint="eastAsia" w:ascii="宋体" w:hAnsi="宋体" w:eastAsia="宋体" w:cs="宋体"/>
          <w:color w:val="auto"/>
          <w:spacing w:val="-3"/>
          <w:sz w:val="24"/>
          <w:szCs w:val="24"/>
          <w:highlight w:val="none"/>
        </w:rPr>
        <w:t>总监理工程师的确定有异议的，构成争议，按照第</w:t>
      </w:r>
      <w:r>
        <w:rPr>
          <w:rFonts w:hint="eastAsia" w:ascii="宋体" w:hAnsi="宋体" w:eastAsia="宋体" w:cs="宋体"/>
          <w:color w:val="auto"/>
          <w:spacing w:val="-4"/>
          <w:sz w:val="24"/>
          <w:szCs w:val="24"/>
          <w:highlight w:val="none"/>
        </w:rPr>
        <w:t>24条的约定处理。在争议解决前，</w:t>
      </w:r>
      <w:r>
        <w:rPr>
          <w:rFonts w:hint="eastAsia" w:ascii="宋体" w:hAnsi="宋体" w:eastAsia="宋体" w:cs="宋体"/>
          <w:color w:val="auto"/>
          <w:spacing w:val="1"/>
          <w:sz w:val="24"/>
          <w:szCs w:val="24"/>
          <w:highlight w:val="none"/>
        </w:rPr>
        <w:t>双方应暂按总监理工程师的确定执行，按照第24条的约定对总监理工程师的确定作</w:t>
      </w:r>
      <w:r>
        <w:rPr>
          <w:rFonts w:hint="eastAsia" w:ascii="宋体" w:hAnsi="宋体" w:eastAsia="宋体" w:cs="宋体"/>
          <w:color w:val="auto"/>
          <w:spacing w:val="-1"/>
          <w:sz w:val="24"/>
          <w:szCs w:val="24"/>
          <w:highlight w:val="none"/>
        </w:rPr>
        <w:t>出修改的，按修改后的结果执行。</w:t>
      </w:r>
    </w:p>
    <w:p w14:paraId="28BB34EA">
      <w:pPr>
        <w:pStyle w:val="4"/>
        <w:spacing w:line="435" w:lineRule="auto"/>
        <w:rPr>
          <w:rFonts w:hint="eastAsia" w:ascii="宋体" w:hAnsi="宋体" w:eastAsia="宋体" w:cs="宋体"/>
          <w:color w:val="auto"/>
          <w:highlight w:val="none"/>
        </w:rPr>
      </w:pPr>
    </w:p>
    <w:p w14:paraId="62589A56">
      <w:pPr>
        <w:spacing w:before="91" w:line="223" w:lineRule="auto"/>
        <w:ind w:left="16"/>
        <w:outlineLvl w:val="2"/>
        <w:rPr>
          <w:rFonts w:hint="eastAsia" w:ascii="宋体" w:hAnsi="宋体" w:eastAsia="宋体" w:cs="宋体"/>
          <w:color w:val="auto"/>
          <w:sz w:val="28"/>
          <w:szCs w:val="28"/>
          <w:highlight w:val="none"/>
        </w:rPr>
      </w:pPr>
      <w:bookmarkStart w:id="461" w:name="_Toc13692"/>
      <w:bookmarkStart w:id="462" w:name="_Toc31355"/>
      <w:bookmarkStart w:id="463" w:name="_Toc22230"/>
      <w:bookmarkStart w:id="464" w:name="_Toc22795"/>
      <w:bookmarkStart w:id="465" w:name="_Toc12142"/>
      <w:r>
        <w:rPr>
          <w:rFonts w:hint="eastAsia" w:ascii="宋体" w:hAnsi="宋体" w:eastAsia="宋体" w:cs="宋体"/>
          <w:color w:val="auto"/>
          <w:spacing w:val="-1"/>
          <w:sz w:val="28"/>
          <w:szCs w:val="28"/>
          <w:highlight w:val="none"/>
        </w:rPr>
        <w:t>4.承包人</w:t>
      </w:r>
      <w:bookmarkEnd w:id="461"/>
      <w:bookmarkEnd w:id="462"/>
      <w:bookmarkEnd w:id="463"/>
      <w:bookmarkEnd w:id="464"/>
      <w:bookmarkEnd w:id="465"/>
    </w:p>
    <w:p w14:paraId="31337BA3">
      <w:pPr>
        <w:pStyle w:val="4"/>
        <w:spacing w:line="246" w:lineRule="auto"/>
        <w:rPr>
          <w:rFonts w:hint="eastAsia" w:ascii="宋体" w:hAnsi="宋体" w:eastAsia="宋体" w:cs="宋体"/>
          <w:color w:val="auto"/>
          <w:highlight w:val="none"/>
        </w:rPr>
      </w:pPr>
    </w:p>
    <w:p w14:paraId="5FB1B9DC">
      <w:pPr>
        <w:spacing w:before="78" w:line="221" w:lineRule="auto"/>
        <w:ind w:left="1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4.1承包人的一般义务</w:t>
      </w:r>
    </w:p>
    <w:p w14:paraId="53385512">
      <w:pPr>
        <w:pStyle w:val="4"/>
        <w:spacing w:line="273" w:lineRule="auto"/>
        <w:rPr>
          <w:rFonts w:hint="eastAsia" w:ascii="宋体" w:hAnsi="宋体" w:eastAsia="宋体" w:cs="宋体"/>
          <w:color w:val="auto"/>
          <w:highlight w:val="none"/>
        </w:rPr>
      </w:pPr>
    </w:p>
    <w:p w14:paraId="71BAB2A7">
      <w:pPr>
        <w:spacing w:before="78" w:line="222" w:lineRule="auto"/>
        <w:ind w:left="48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4.1.1遵守法律</w:t>
      </w:r>
    </w:p>
    <w:p w14:paraId="39419F9E">
      <w:pPr>
        <w:spacing w:before="114" w:line="307" w:lineRule="auto"/>
        <w:ind w:left="21" w:right="61" w:firstLine="46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承包人在履行合同过程中应遵守法律，并保证发包人免于承担因承包人违反法律而引起的任何责任。</w:t>
      </w:r>
    </w:p>
    <w:p w14:paraId="032559BA">
      <w:pPr>
        <w:spacing w:before="1" w:line="220" w:lineRule="auto"/>
        <w:ind w:left="48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4.1.2依法纳税</w:t>
      </w:r>
    </w:p>
    <w:p w14:paraId="59DB5517">
      <w:pPr>
        <w:spacing w:before="114" w:line="218" w:lineRule="auto"/>
        <w:ind w:left="48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承包人应按有关法律规定纳税，应缴纳的税金包括在合同价格内。</w:t>
      </w:r>
    </w:p>
    <w:p w14:paraId="1223D6A3">
      <w:pPr>
        <w:spacing w:before="115" w:line="221" w:lineRule="auto"/>
        <w:ind w:left="48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4.1.3完成各项承包工作</w:t>
      </w:r>
    </w:p>
    <w:p w14:paraId="6E08FF19">
      <w:pPr>
        <w:spacing w:before="113" w:line="308" w:lineRule="auto"/>
        <w:ind w:left="21" w:firstLine="467"/>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承包人应按合同约定以及监理人根据第3.4款作出的指示，实施、完成全部工程，</w:t>
      </w:r>
      <w:r>
        <w:rPr>
          <w:rFonts w:hint="eastAsia" w:ascii="宋体" w:hAnsi="宋体" w:eastAsia="宋体" w:cs="宋体"/>
          <w:color w:val="auto"/>
          <w:spacing w:val="-2"/>
          <w:sz w:val="24"/>
          <w:szCs w:val="24"/>
          <w:highlight w:val="none"/>
        </w:rPr>
        <w:t>并修补工程中的任何缺陷。除专用合同条款另有约定外，承包人应提供为完成合同工作所需的劳务、材料、施工设备、工程设备和其他物品，并按合同约定负责临时设施</w:t>
      </w:r>
      <w:r>
        <w:rPr>
          <w:rFonts w:hint="eastAsia" w:ascii="宋体" w:hAnsi="宋体" w:eastAsia="宋体" w:cs="宋体"/>
          <w:color w:val="auto"/>
          <w:spacing w:val="-1"/>
          <w:sz w:val="24"/>
          <w:szCs w:val="24"/>
          <w:highlight w:val="none"/>
        </w:rPr>
        <w:t>的设计、建造、运行、维护、管理和拆除。</w:t>
      </w:r>
    </w:p>
    <w:p w14:paraId="4B23A6B9">
      <w:pPr>
        <w:spacing w:before="1" w:line="220" w:lineRule="auto"/>
        <w:ind w:left="48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4.1.4对施工作业和施工方法的完备性负责</w:t>
      </w:r>
    </w:p>
    <w:p w14:paraId="0F55F846">
      <w:pPr>
        <w:spacing w:before="112" w:line="308" w:lineRule="auto"/>
        <w:ind w:left="20" w:right="61" w:firstLine="46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承包人应按合同约定的工作内容和施工进度要求，编制施工组织设计和施工措施</w:t>
      </w:r>
      <w:r>
        <w:rPr>
          <w:rFonts w:hint="eastAsia" w:ascii="宋体" w:hAnsi="宋体" w:eastAsia="宋体" w:cs="宋体"/>
          <w:color w:val="auto"/>
          <w:spacing w:val="-1"/>
          <w:sz w:val="24"/>
          <w:szCs w:val="24"/>
          <w:highlight w:val="none"/>
        </w:rPr>
        <w:t>计划，并对所有施工作业和施工方法的完备性和安全可靠性负责。</w:t>
      </w:r>
    </w:p>
    <w:p w14:paraId="00D47F11">
      <w:pPr>
        <w:spacing w:before="1" w:line="220" w:lineRule="auto"/>
        <w:ind w:left="48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4.1.5保证工程施工和人员的安全</w:t>
      </w:r>
    </w:p>
    <w:p w14:paraId="0E70BE22">
      <w:pPr>
        <w:spacing w:before="112" w:line="308" w:lineRule="auto"/>
        <w:ind w:left="24" w:right="61" w:firstLine="46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承包人应按第9.2款约定采取施工安全措施，确保工程及其</w:t>
      </w:r>
      <w:r>
        <w:rPr>
          <w:rFonts w:hint="eastAsia" w:ascii="宋体" w:hAnsi="宋体" w:eastAsia="宋体" w:cs="宋体"/>
          <w:color w:val="auto"/>
          <w:spacing w:val="-1"/>
          <w:sz w:val="24"/>
          <w:szCs w:val="24"/>
          <w:highlight w:val="none"/>
        </w:rPr>
        <w:t>人员、材料、设备和设施的安全，防止因工程施工造成的人身伤害和财产损失。</w:t>
      </w:r>
    </w:p>
    <w:p w14:paraId="3FD3D4B0">
      <w:pPr>
        <w:spacing w:before="1" w:line="220" w:lineRule="auto"/>
        <w:ind w:left="48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4.1.6负责施工场地及其周边环境与生态</w:t>
      </w:r>
      <w:r>
        <w:rPr>
          <w:rFonts w:hint="eastAsia" w:ascii="宋体" w:hAnsi="宋体" w:eastAsia="宋体" w:cs="宋体"/>
          <w:color w:val="auto"/>
          <w:spacing w:val="-1"/>
          <w:sz w:val="24"/>
          <w:szCs w:val="24"/>
          <w:highlight w:val="none"/>
        </w:rPr>
        <w:t>的保护工作</w:t>
      </w:r>
    </w:p>
    <w:p w14:paraId="47B5E282">
      <w:pPr>
        <w:spacing w:before="112" w:line="219" w:lineRule="auto"/>
        <w:ind w:left="48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承包人应按照第9.4款约定负责施工场地及其周边环境与生态的保护工作。</w:t>
      </w:r>
    </w:p>
    <w:p w14:paraId="1168CE72">
      <w:pPr>
        <w:spacing w:before="115" w:line="222" w:lineRule="auto"/>
        <w:ind w:left="48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4.1.7避免施工对公众与他人的利</w:t>
      </w:r>
      <w:r>
        <w:rPr>
          <w:rFonts w:hint="eastAsia" w:ascii="宋体" w:hAnsi="宋体" w:eastAsia="宋体" w:cs="宋体"/>
          <w:color w:val="auto"/>
          <w:spacing w:val="-1"/>
          <w:sz w:val="24"/>
          <w:szCs w:val="24"/>
          <w:highlight w:val="none"/>
        </w:rPr>
        <w:t>益造成损害</w:t>
      </w:r>
    </w:p>
    <w:p w14:paraId="30C560E1">
      <w:pPr>
        <w:spacing w:before="112" w:line="309" w:lineRule="auto"/>
        <w:ind w:left="19" w:right="61" w:firstLine="468"/>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承包人在进行合同约定的各项工作时，不得侵害发包人与他人使用公用道路、水源、市政管网等公共设施的权利，避免对邻近的公共设施产生干扰。承包人占用或使</w:t>
      </w:r>
      <w:r>
        <w:rPr>
          <w:rFonts w:hint="eastAsia" w:ascii="宋体" w:hAnsi="宋体" w:eastAsia="宋体" w:cs="宋体"/>
          <w:color w:val="auto"/>
          <w:spacing w:val="-1"/>
          <w:sz w:val="24"/>
          <w:szCs w:val="24"/>
          <w:highlight w:val="none"/>
        </w:rPr>
        <w:t>用他人的施工场地，影响他人作业或生活的，应承担相应责任。</w:t>
      </w:r>
    </w:p>
    <w:p w14:paraId="0DC4E10A">
      <w:pPr>
        <w:spacing w:line="309" w:lineRule="auto"/>
        <w:rPr>
          <w:rFonts w:hint="eastAsia" w:ascii="宋体" w:hAnsi="宋体" w:eastAsia="宋体" w:cs="宋体"/>
          <w:color w:val="auto"/>
          <w:sz w:val="24"/>
          <w:szCs w:val="24"/>
          <w:highlight w:val="none"/>
        </w:rPr>
        <w:sectPr>
          <w:headerReference r:id="rId67" w:type="default"/>
          <w:footerReference r:id="rId68" w:type="default"/>
          <w:pgSz w:w="11907" w:h="16840"/>
          <w:pgMar w:top="1182" w:right="1227" w:bottom="1014" w:left="1786" w:header="849" w:footer="852" w:gutter="0"/>
          <w:pgNumType w:fmt="decimal"/>
          <w:cols w:space="720" w:num="1"/>
        </w:sectPr>
      </w:pPr>
    </w:p>
    <w:p w14:paraId="13AE2F68">
      <w:pPr>
        <w:pStyle w:val="4"/>
        <w:spacing w:line="301" w:lineRule="auto"/>
        <w:rPr>
          <w:rFonts w:hint="eastAsia" w:ascii="宋体" w:hAnsi="宋体" w:eastAsia="宋体" w:cs="宋体"/>
          <w:color w:val="auto"/>
          <w:highlight w:val="none"/>
        </w:rPr>
      </w:pPr>
    </w:p>
    <w:p w14:paraId="0FC11B0F">
      <w:pPr>
        <w:spacing w:before="78" w:line="221" w:lineRule="auto"/>
        <w:ind w:left="48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4.1.8为他人提供方便</w:t>
      </w:r>
    </w:p>
    <w:p w14:paraId="28F30C03">
      <w:pPr>
        <w:spacing w:before="112" w:line="308" w:lineRule="auto"/>
        <w:ind w:left="23" w:firstLine="465"/>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承包人应按监理人的指示为他人在施工场地或附近实施与工程有关的其他各项</w:t>
      </w:r>
      <w:r>
        <w:rPr>
          <w:rFonts w:hint="eastAsia" w:ascii="宋体" w:hAnsi="宋体" w:eastAsia="宋体" w:cs="宋体"/>
          <w:color w:val="auto"/>
          <w:spacing w:val="-2"/>
          <w:sz w:val="24"/>
          <w:szCs w:val="24"/>
          <w:highlight w:val="none"/>
        </w:rPr>
        <w:t>工作提供可能的条件。除合同另有约定外，提供有关条件的内容和可能发生的费用，由监理人按第3.5款商定或确定。</w:t>
      </w:r>
    </w:p>
    <w:p w14:paraId="42200619">
      <w:pPr>
        <w:spacing w:line="221" w:lineRule="auto"/>
        <w:ind w:left="48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4.1.9工程的维护和照管</w:t>
      </w:r>
    </w:p>
    <w:p w14:paraId="2075A082">
      <w:pPr>
        <w:spacing w:before="111" w:line="308" w:lineRule="auto"/>
        <w:ind w:left="23" w:right="1" w:firstLine="46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工程接收证书颁发前，承包人应负责照管和维护工程。工程接收证书颁发时尚有部分未竣工工程的，承包人还应负责该未竣工工程的照管和维护工作，直至竣工后移交给发包人为止。</w:t>
      </w:r>
    </w:p>
    <w:p w14:paraId="70096B3F">
      <w:pPr>
        <w:spacing w:before="1" w:line="220" w:lineRule="auto"/>
        <w:ind w:left="48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4.1.10其他义务</w:t>
      </w:r>
    </w:p>
    <w:p w14:paraId="0EE2D176">
      <w:pPr>
        <w:spacing w:before="112" w:line="219" w:lineRule="auto"/>
        <w:ind w:left="48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承包人应履行合同约定的其他义务。</w:t>
      </w:r>
    </w:p>
    <w:p w14:paraId="47410CCB">
      <w:pPr>
        <w:pStyle w:val="4"/>
        <w:spacing w:line="256" w:lineRule="auto"/>
        <w:rPr>
          <w:rFonts w:hint="eastAsia" w:ascii="宋体" w:hAnsi="宋体" w:eastAsia="宋体" w:cs="宋体"/>
          <w:color w:val="auto"/>
          <w:highlight w:val="none"/>
        </w:rPr>
      </w:pPr>
    </w:p>
    <w:p w14:paraId="0D4025E4">
      <w:pPr>
        <w:spacing w:before="78" w:line="222" w:lineRule="auto"/>
        <w:ind w:left="1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4.2履约担保</w:t>
      </w:r>
    </w:p>
    <w:p w14:paraId="5FFA05A4">
      <w:pPr>
        <w:pStyle w:val="4"/>
        <w:spacing w:line="270" w:lineRule="auto"/>
        <w:rPr>
          <w:rFonts w:hint="eastAsia" w:ascii="宋体" w:hAnsi="宋体" w:eastAsia="宋体" w:cs="宋体"/>
          <w:color w:val="auto"/>
          <w:highlight w:val="none"/>
        </w:rPr>
      </w:pPr>
    </w:p>
    <w:p w14:paraId="3B5623AB">
      <w:pPr>
        <w:spacing w:before="79" w:line="310" w:lineRule="auto"/>
        <w:ind w:left="19" w:right="1" w:firstLine="48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承包人应保证其履约担保在发包人颁发工程接收证书前一直有效。发包人应在工</w:t>
      </w:r>
      <w:r>
        <w:rPr>
          <w:rFonts w:hint="eastAsia" w:ascii="宋体" w:hAnsi="宋体" w:eastAsia="宋体" w:cs="宋体"/>
          <w:color w:val="auto"/>
          <w:spacing w:val="-1"/>
          <w:sz w:val="24"/>
          <w:szCs w:val="24"/>
          <w:highlight w:val="none"/>
        </w:rPr>
        <w:t>程接收证书颁发后28天内把履约担保退还给承包人。</w:t>
      </w:r>
    </w:p>
    <w:p w14:paraId="5BA04B63">
      <w:pPr>
        <w:spacing w:before="214" w:line="222" w:lineRule="auto"/>
        <w:ind w:left="15"/>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4.3分包</w:t>
      </w:r>
    </w:p>
    <w:p w14:paraId="0EE7BAE7">
      <w:pPr>
        <w:pStyle w:val="4"/>
        <w:spacing w:line="271" w:lineRule="auto"/>
        <w:rPr>
          <w:rFonts w:hint="eastAsia" w:ascii="宋体" w:hAnsi="宋体" w:eastAsia="宋体" w:cs="宋体"/>
          <w:color w:val="auto"/>
          <w:highlight w:val="none"/>
        </w:rPr>
      </w:pPr>
    </w:p>
    <w:p w14:paraId="76F2FB03">
      <w:pPr>
        <w:spacing w:before="79" w:line="264" w:lineRule="auto"/>
        <w:ind w:left="19" w:right="4" w:firstLine="47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4.3.1承包人不得将其承包的全部工程转包给第三人，或将其承包的全部工程肢</w:t>
      </w:r>
      <w:r>
        <w:rPr>
          <w:rFonts w:hint="eastAsia" w:ascii="宋体" w:hAnsi="宋体" w:eastAsia="宋体" w:cs="宋体"/>
          <w:color w:val="auto"/>
          <w:spacing w:val="-1"/>
          <w:sz w:val="24"/>
          <w:szCs w:val="24"/>
          <w:highlight w:val="none"/>
        </w:rPr>
        <w:t>解后以分包的名义转包给第三人。</w:t>
      </w:r>
    </w:p>
    <w:p w14:paraId="2C8BEA6A">
      <w:pPr>
        <w:spacing w:before="112" w:line="264" w:lineRule="auto"/>
        <w:ind w:left="26" w:right="4" w:firstLine="46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4.3.2承包人不得将工程主体、关键性工作分包给第三人。除专用合同条款另有</w:t>
      </w:r>
      <w:r>
        <w:rPr>
          <w:rFonts w:hint="eastAsia" w:ascii="宋体" w:hAnsi="宋体" w:eastAsia="宋体" w:cs="宋体"/>
          <w:color w:val="auto"/>
          <w:spacing w:val="-1"/>
          <w:sz w:val="24"/>
          <w:szCs w:val="24"/>
          <w:highlight w:val="none"/>
        </w:rPr>
        <w:t>约定外，未经发包人同意，承包人不得将工程的其他部分或工作分包给第三人。</w:t>
      </w:r>
    </w:p>
    <w:p w14:paraId="4A731A3C">
      <w:pPr>
        <w:spacing w:before="117" w:line="219" w:lineRule="auto"/>
        <w:ind w:left="49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4.3.3分包人的资格能力应与其分包工程的标准和规</w:t>
      </w:r>
      <w:r>
        <w:rPr>
          <w:rFonts w:hint="eastAsia" w:ascii="宋体" w:hAnsi="宋体" w:eastAsia="宋体" w:cs="宋体"/>
          <w:color w:val="auto"/>
          <w:spacing w:val="-1"/>
          <w:sz w:val="24"/>
          <w:szCs w:val="24"/>
          <w:highlight w:val="none"/>
        </w:rPr>
        <w:t>模相适应。</w:t>
      </w:r>
    </w:p>
    <w:p w14:paraId="1D2342BC">
      <w:pPr>
        <w:spacing w:before="114" w:line="263" w:lineRule="auto"/>
        <w:ind w:left="21" w:right="1" w:firstLine="473"/>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4.3.4按投标函附录约定分包工程的，承包人应向发包人和监理</w:t>
      </w:r>
      <w:r>
        <w:rPr>
          <w:rFonts w:hint="eastAsia" w:ascii="宋体" w:hAnsi="宋体" w:eastAsia="宋体" w:cs="宋体"/>
          <w:color w:val="auto"/>
          <w:spacing w:val="-4"/>
          <w:sz w:val="24"/>
          <w:szCs w:val="24"/>
          <w:highlight w:val="none"/>
        </w:rPr>
        <w:t>人提交分包合同副</w:t>
      </w:r>
      <w:r>
        <w:rPr>
          <w:rFonts w:hint="eastAsia" w:ascii="宋体" w:hAnsi="宋体" w:eastAsia="宋体" w:cs="宋体"/>
          <w:color w:val="auto"/>
          <w:spacing w:val="-6"/>
          <w:sz w:val="24"/>
          <w:szCs w:val="24"/>
          <w:highlight w:val="none"/>
        </w:rPr>
        <w:t>本。</w:t>
      </w:r>
    </w:p>
    <w:p w14:paraId="39382EDD">
      <w:pPr>
        <w:spacing w:before="117" w:line="219" w:lineRule="auto"/>
        <w:ind w:left="49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4.3.5承包人应与分包人就分包工程向发包人承担</w:t>
      </w:r>
      <w:r>
        <w:rPr>
          <w:rFonts w:hint="eastAsia" w:ascii="宋体" w:hAnsi="宋体" w:eastAsia="宋体" w:cs="宋体"/>
          <w:color w:val="auto"/>
          <w:spacing w:val="-1"/>
          <w:sz w:val="24"/>
          <w:szCs w:val="24"/>
          <w:highlight w:val="none"/>
        </w:rPr>
        <w:t>连带责任。</w:t>
      </w:r>
    </w:p>
    <w:p w14:paraId="1D5E00E3">
      <w:pPr>
        <w:pStyle w:val="4"/>
        <w:spacing w:line="253" w:lineRule="auto"/>
        <w:rPr>
          <w:rFonts w:hint="eastAsia" w:ascii="宋体" w:hAnsi="宋体" w:eastAsia="宋体" w:cs="宋体"/>
          <w:color w:val="auto"/>
          <w:highlight w:val="none"/>
        </w:rPr>
      </w:pPr>
    </w:p>
    <w:p w14:paraId="06313926">
      <w:pPr>
        <w:spacing w:before="79" w:line="222" w:lineRule="auto"/>
        <w:ind w:left="1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4.4联合体</w:t>
      </w:r>
    </w:p>
    <w:p w14:paraId="2F6354B4">
      <w:pPr>
        <w:pStyle w:val="4"/>
        <w:spacing w:line="272" w:lineRule="auto"/>
        <w:rPr>
          <w:rFonts w:hint="eastAsia" w:ascii="宋体" w:hAnsi="宋体" w:eastAsia="宋体" w:cs="宋体"/>
          <w:color w:val="auto"/>
          <w:highlight w:val="none"/>
        </w:rPr>
      </w:pPr>
    </w:p>
    <w:p w14:paraId="60FD3238">
      <w:pPr>
        <w:spacing w:before="79" w:line="263" w:lineRule="auto"/>
        <w:ind w:left="21" w:right="4" w:firstLine="47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4.4.1联合体各方应共同与发包人签订合同协议书。联合体各方应为履行合同承</w:t>
      </w:r>
      <w:r>
        <w:rPr>
          <w:rFonts w:hint="eastAsia" w:ascii="宋体" w:hAnsi="宋体" w:eastAsia="宋体" w:cs="宋体"/>
          <w:color w:val="auto"/>
          <w:spacing w:val="-2"/>
          <w:sz w:val="24"/>
          <w:szCs w:val="24"/>
          <w:highlight w:val="none"/>
        </w:rPr>
        <w:t>担连带责任。</w:t>
      </w:r>
    </w:p>
    <w:p w14:paraId="652ACB10">
      <w:pPr>
        <w:spacing w:before="115" w:line="264" w:lineRule="auto"/>
        <w:ind w:left="22" w:right="3" w:firstLine="47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4.4.2联合体协议经发包人确认后作为合同附件。在履行合同过程中，未经发包</w:t>
      </w:r>
      <w:r>
        <w:rPr>
          <w:rFonts w:hint="eastAsia" w:ascii="宋体" w:hAnsi="宋体" w:eastAsia="宋体" w:cs="宋体"/>
          <w:color w:val="auto"/>
          <w:spacing w:val="-1"/>
          <w:sz w:val="24"/>
          <w:szCs w:val="24"/>
          <w:highlight w:val="none"/>
        </w:rPr>
        <w:t>人同意，不得修改联合体协议。</w:t>
      </w:r>
    </w:p>
    <w:p w14:paraId="30289FE5">
      <w:pPr>
        <w:spacing w:before="114" w:line="264" w:lineRule="auto"/>
        <w:ind w:left="23" w:right="4" w:firstLine="47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4.4.3联合体牵头人负责与发包人和监理人联系，并接受指示，负责组织联合体</w:t>
      </w:r>
      <w:r>
        <w:rPr>
          <w:rFonts w:hint="eastAsia" w:ascii="宋体" w:hAnsi="宋体" w:eastAsia="宋体" w:cs="宋体"/>
          <w:color w:val="auto"/>
          <w:spacing w:val="-2"/>
          <w:sz w:val="24"/>
          <w:szCs w:val="24"/>
          <w:highlight w:val="none"/>
        </w:rPr>
        <w:t>各成员全面履行合同。</w:t>
      </w:r>
    </w:p>
    <w:p w14:paraId="19BA14D5">
      <w:pPr>
        <w:spacing w:line="264" w:lineRule="auto"/>
        <w:rPr>
          <w:rFonts w:hint="eastAsia" w:ascii="宋体" w:hAnsi="宋体" w:eastAsia="宋体" w:cs="宋体"/>
          <w:color w:val="auto"/>
          <w:sz w:val="24"/>
          <w:szCs w:val="24"/>
          <w:highlight w:val="none"/>
        </w:rPr>
        <w:sectPr>
          <w:headerReference r:id="rId69" w:type="default"/>
          <w:footerReference r:id="rId70" w:type="default"/>
          <w:pgSz w:w="11907" w:h="16840"/>
          <w:pgMar w:top="1182" w:right="1287" w:bottom="1011" w:left="1786" w:header="849" w:footer="852" w:gutter="0"/>
          <w:pgNumType w:fmt="decimal"/>
          <w:cols w:space="720" w:num="1"/>
        </w:sectPr>
      </w:pPr>
    </w:p>
    <w:p w14:paraId="12E6048B">
      <w:pPr>
        <w:pStyle w:val="4"/>
        <w:spacing w:line="281" w:lineRule="auto"/>
        <w:rPr>
          <w:rFonts w:hint="eastAsia" w:ascii="宋体" w:hAnsi="宋体" w:eastAsia="宋体" w:cs="宋体"/>
          <w:color w:val="auto"/>
          <w:highlight w:val="none"/>
        </w:rPr>
      </w:pPr>
    </w:p>
    <w:p w14:paraId="59C676F5">
      <w:pPr>
        <w:spacing w:before="78" w:line="222" w:lineRule="auto"/>
        <w:ind w:left="1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4.5承包人项目经理</w:t>
      </w:r>
    </w:p>
    <w:p w14:paraId="3C9F6B8C">
      <w:pPr>
        <w:pStyle w:val="4"/>
        <w:spacing w:line="273" w:lineRule="auto"/>
        <w:rPr>
          <w:rFonts w:hint="eastAsia" w:ascii="宋体" w:hAnsi="宋体" w:eastAsia="宋体" w:cs="宋体"/>
          <w:color w:val="auto"/>
          <w:highlight w:val="none"/>
        </w:rPr>
      </w:pPr>
    </w:p>
    <w:p w14:paraId="79DA2547">
      <w:pPr>
        <w:spacing w:before="78" w:line="278" w:lineRule="auto"/>
        <w:ind w:left="66" w:firstLine="428"/>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4.5.1承包人应按合同约定指派项目经理，并在约定的期限内到</w:t>
      </w:r>
      <w:r>
        <w:rPr>
          <w:rFonts w:hint="eastAsia" w:ascii="宋体" w:hAnsi="宋体" w:eastAsia="宋体" w:cs="宋体"/>
          <w:color w:val="auto"/>
          <w:spacing w:val="-4"/>
          <w:sz w:val="24"/>
          <w:szCs w:val="24"/>
          <w:highlight w:val="none"/>
        </w:rPr>
        <w:t>职。承包人更换项</w:t>
      </w:r>
      <w:r>
        <w:rPr>
          <w:rFonts w:hint="eastAsia" w:ascii="宋体" w:hAnsi="宋体" w:eastAsia="宋体" w:cs="宋体"/>
          <w:color w:val="auto"/>
          <w:spacing w:val="-1"/>
          <w:sz w:val="24"/>
          <w:szCs w:val="24"/>
          <w:highlight w:val="none"/>
        </w:rPr>
        <w:t>目经理应事先征得发包人同意，并应在更换14天前通知发包人和监理人</w:t>
      </w:r>
      <w:r>
        <w:rPr>
          <w:rFonts w:hint="eastAsia" w:ascii="宋体" w:hAnsi="宋体" w:eastAsia="宋体" w:cs="宋体"/>
          <w:color w:val="auto"/>
          <w:spacing w:val="-2"/>
          <w:sz w:val="24"/>
          <w:szCs w:val="24"/>
          <w:highlight w:val="none"/>
        </w:rPr>
        <w:t>。承包人项目经理短期离开施工场地，应事先征得监理人同意，并委派代表代行其职责。</w:t>
      </w:r>
    </w:p>
    <w:p w14:paraId="17ACCDD5">
      <w:pPr>
        <w:spacing w:before="113" w:line="278" w:lineRule="auto"/>
        <w:ind w:left="19" w:firstLine="47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4.5.2承包人项目经理应按合同约定以及监理人按第3.4款作</w:t>
      </w:r>
      <w:r>
        <w:rPr>
          <w:rFonts w:hint="eastAsia" w:ascii="宋体" w:hAnsi="宋体" w:eastAsia="宋体" w:cs="宋体"/>
          <w:color w:val="auto"/>
          <w:spacing w:val="-4"/>
          <w:sz w:val="24"/>
          <w:szCs w:val="24"/>
          <w:highlight w:val="none"/>
        </w:rPr>
        <w:t>出的指示，负责组织</w:t>
      </w:r>
      <w:r>
        <w:rPr>
          <w:rFonts w:hint="eastAsia" w:ascii="宋体" w:hAnsi="宋体" w:eastAsia="宋体" w:cs="宋体"/>
          <w:color w:val="auto"/>
          <w:spacing w:val="-2"/>
          <w:sz w:val="24"/>
          <w:szCs w:val="24"/>
          <w:highlight w:val="none"/>
        </w:rPr>
        <w:t>合同工程的实施。在情况紧急且无法与监理人取得联系时，可采取保证工程和人员生</w:t>
      </w:r>
      <w:r>
        <w:rPr>
          <w:rFonts w:hint="eastAsia" w:ascii="宋体" w:hAnsi="宋体" w:eastAsia="宋体" w:cs="宋体"/>
          <w:color w:val="auto"/>
          <w:spacing w:val="-1"/>
          <w:sz w:val="24"/>
          <w:szCs w:val="24"/>
          <w:highlight w:val="none"/>
        </w:rPr>
        <w:t>命财产安全的紧急措施，并在采取措施后24小时内向监理人提交书面报告。</w:t>
      </w:r>
    </w:p>
    <w:p w14:paraId="165E654B">
      <w:pPr>
        <w:spacing w:before="116" w:line="263" w:lineRule="auto"/>
        <w:ind w:left="23" w:right="2" w:firstLine="47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4.5.3承包人为履行合同发出的一切函件均应盖有承包人授权的施工场地管</w:t>
      </w:r>
      <w:r>
        <w:rPr>
          <w:rFonts w:hint="eastAsia" w:ascii="宋体" w:hAnsi="宋体" w:eastAsia="宋体" w:cs="宋体"/>
          <w:color w:val="auto"/>
          <w:spacing w:val="2"/>
          <w:sz w:val="24"/>
          <w:szCs w:val="24"/>
          <w:highlight w:val="none"/>
        </w:rPr>
        <w:t>理机</w:t>
      </w:r>
      <w:r>
        <w:rPr>
          <w:rFonts w:hint="eastAsia" w:ascii="宋体" w:hAnsi="宋体" w:eastAsia="宋体" w:cs="宋体"/>
          <w:color w:val="auto"/>
          <w:spacing w:val="-1"/>
          <w:sz w:val="24"/>
          <w:szCs w:val="24"/>
          <w:highlight w:val="none"/>
        </w:rPr>
        <w:t>构章，并由承包人项目经理或其授权代表签字。</w:t>
      </w:r>
    </w:p>
    <w:p w14:paraId="149EC4FA">
      <w:pPr>
        <w:spacing w:before="116" w:line="264" w:lineRule="auto"/>
        <w:ind w:left="30" w:right="2" w:firstLine="46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4.5.4承包人项目经理可以授权其下属人员履行其某项职责，但事先应将这些人</w:t>
      </w:r>
      <w:r>
        <w:rPr>
          <w:rFonts w:hint="eastAsia" w:ascii="宋体" w:hAnsi="宋体" w:eastAsia="宋体" w:cs="宋体"/>
          <w:color w:val="auto"/>
          <w:spacing w:val="-2"/>
          <w:sz w:val="24"/>
          <w:szCs w:val="24"/>
          <w:highlight w:val="none"/>
        </w:rPr>
        <w:t>员的姓名和授权范围通知监理人。</w:t>
      </w:r>
    </w:p>
    <w:p w14:paraId="1974BC4B">
      <w:pPr>
        <w:pStyle w:val="4"/>
        <w:spacing w:line="254" w:lineRule="auto"/>
        <w:rPr>
          <w:rFonts w:hint="eastAsia" w:ascii="宋体" w:hAnsi="宋体" w:eastAsia="宋体" w:cs="宋体"/>
          <w:color w:val="auto"/>
          <w:highlight w:val="none"/>
        </w:rPr>
      </w:pPr>
    </w:p>
    <w:p w14:paraId="3CD87D38">
      <w:pPr>
        <w:spacing w:before="78" w:line="221" w:lineRule="auto"/>
        <w:ind w:left="1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4.6承包人人员的管理</w:t>
      </w:r>
    </w:p>
    <w:p w14:paraId="56151854">
      <w:pPr>
        <w:pStyle w:val="4"/>
        <w:spacing w:line="275" w:lineRule="auto"/>
        <w:rPr>
          <w:rFonts w:hint="eastAsia" w:ascii="宋体" w:hAnsi="宋体" w:eastAsia="宋体" w:cs="宋体"/>
          <w:color w:val="auto"/>
          <w:highlight w:val="none"/>
        </w:rPr>
      </w:pPr>
    </w:p>
    <w:p w14:paraId="63E594B0">
      <w:pPr>
        <w:spacing w:before="79" w:line="285" w:lineRule="auto"/>
        <w:ind w:left="19" w:firstLine="475"/>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4.6.1承包人应在接到开工通知后28天内，向监理人提交承包人在施工场地的管</w:t>
      </w:r>
      <w:r>
        <w:rPr>
          <w:rFonts w:hint="eastAsia" w:ascii="宋体" w:hAnsi="宋体" w:eastAsia="宋体" w:cs="宋体"/>
          <w:color w:val="auto"/>
          <w:spacing w:val="-1"/>
          <w:sz w:val="24"/>
          <w:szCs w:val="24"/>
          <w:highlight w:val="none"/>
        </w:rPr>
        <w:t>理机构以及人员安排的</w:t>
      </w:r>
      <w:r>
        <w:rPr>
          <w:rFonts w:hint="eastAsia" w:ascii="宋体" w:hAnsi="宋体" w:eastAsia="宋体" w:cs="宋体"/>
          <w:color w:val="auto"/>
          <w:spacing w:val="-2"/>
          <w:sz w:val="24"/>
          <w:szCs w:val="24"/>
          <w:highlight w:val="none"/>
        </w:rPr>
        <w:t>报告，其内容应包括管理机构的设置、各主要岗位的技术和管理人员名单及其资格，以及各工种技术工人的安排状况。承包人应向监理人提交施工场地人员变动情况的报告。</w:t>
      </w:r>
    </w:p>
    <w:p w14:paraId="4A2FC169">
      <w:pPr>
        <w:spacing w:before="114" w:line="265" w:lineRule="auto"/>
        <w:ind w:left="28" w:right="2" w:firstLine="467"/>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4.6.2为完成合同约定的各项工作，承包人应向施工场地派遣或雇佣足够数量的</w:t>
      </w:r>
      <w:r>
        <w:rPr>
          <w:rFonts w:hint="eastAsia" w:ascii="宋体" w:hAnsi="宋体" w:eastAsia="宋体" w:cs="宋体"/>
          <w:color w:val="auto"/>
          <w:spacing w:val="-4"/>
          <w:sz w:val="24"/>
          <w:szCs w:val="24"/>
          <w:highlight w:val="none"/>
        </w:rPr>
        <w:t>下列人员：</w:t>
      </w:r>
    </w:p>
    <w:p w14:paraId="08D4546F">
      <w:pPr>
        <w:spacing w:before="114" w:line="219" w:lineRule="auto"/>
        <w:ind w:left="75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（1）具有相应资格的专业技工和合格的普工；</w:t>
      </w:r>
    </w:p>
    <w:p w14:paraId="378D29BE">
      <w:pPr>
        <w:spacing w:before="114" w:line="219" w:lineRule="auto"/>
        <w:ind w:left="75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（2）具有相应施工经验的技术人员；</w:t>
      </w:r>
    </w:p>
    <w:p w14:paraId="765D2D77">
      <w:pPr>
        <w:spacing w:before="116" w:line="219" w:lineRule="auto"/>
        <w:ind w:left="75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（3）具有相应岗位资格的各级管理人员。</w:t>
      </w:r>
    </w:p>
    <w:p w14:paraId="2EBC954C">
      <w:pPr>
        <w:spacing w:before="114" w:line="263" w:lineRule="auto"/>
        <w:ind w:left="22" w:right="2" w:firstLine="47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4.6.3承包人安排在施工场地的主要管理人员和技术骨干应相对稳定。承包人更</w:t>
      </w:r>
      <w:r>
        <w:rPr>
          <w:rFonts w:hint="eastAsia" w:ascii="宋体" w:hAnsi="宋体" w:eastAsia="宋体" w:cs="宋体"/>
          <w:color w:val="auto"/>
          <w:spacing w:val="-1"/>
          <w:sz w:val="24"/>
          <w:szCs w:val="24"/>
          <w:highlight w:val="none"/>
        </w:rPr>
        <w:t>换主要管理人员和技术骨干时，应取得监理人的同意。</w:t>
      </w:r>
    </w:p>
    <w:p w14:paraId="287DB3FB">
      <w:pPr>
        <w:spacing w:before="116" w:line="264" w:lineRule="auto"/>
        <w:ind w:left="23" w:right="2" w:firstLine="47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4.6.4特殊岗位的工作人员均应持有相应的资格证明，监理人有权随时检查。监</w:t>
      </w:r>
      <w:r>
        <w:rPr>
          <w:rFonts w:hint="eastAsia" w:ascii="宋体" w:hAnsi="宋体" w:eastAsia="宋体" w:cs="宋体"/>
          <w:color w:val="auto"/>
          <w:spacing w:val="-1"/>
          <w:sz w:val="24"/>
          <w:szCs w:val="24"/>
          <w:highlight w:val="none"/>
        </w:rPr>
        <w:t>理人认为有必要时，可进行现场考核。</w:t>
      </w:r>
    </w:p>
    <w:p w14:paraId="288428F0">
      <w:pPr>
        <w:pStyle w:val="4"/>
        <w:spacing w:line="254" w:lineRule="auto"/>
        <w:rPr>
          <w:rFonts w:hint="eastAsia" w:ascii="宋体" w:hAnsi="宋体" w:eastAsia="宋体" w:cs="宋体"/>
          <w:color w:val="auto"/>
          <w:highlight w:val="none"/>
        </w:rPr>
      </w:pPr>
    </w:p>
    <w:p w14:paraId="7B9BDC7C">
      <w:pPr>
        <w:spacing w:before="79" w:line="221" w:lineRule="auto"/>
        <w:ind w:left="1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4.7撤换承包人项目经理和其他人员</w:t>
      </w:r>
    </w:p>
    <w:p w14:paraId="49F65310">
      <w:pPr>
        <w:pStyle w:val="4"/>
        <w:spacing w:line="272" w:lineRule="auto"/>
        <w:rPr>
          <w:rFonts w:hint="eastAsia" w:ascii="宋体" w:hAnsi="宋体" w:eastAsia="宋体" w:cs="宋体"/>
          <w:color w:val="auto"/>
          <w:highlight w:val="none"/>
        </w:rPr>
      </w:pPr>
    </w:p>
    <w:p w14:paraId="210B430E">
      <w:pPr>
        <w:spacing w:before="78" w:line="309" w:lineRule="auto"/>
        <w:ind w:left="23" w:firstLine="47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承包人应对其项目经理和其他人员进行有效管理。监理人要求撤换不能胜任本职</w:t>
      </w:r>
      <w:r>
        <w:rPr>
          <w:rFonts w:hint="eastAsia" w:ascii="宋体" w:hAnsi="宋体" w:eastAsia="宋体" w:cs="宋体"/>
          <w:color w:val="auto"/>
          <w:sz w:val="24"/>
          <w:szCs w:val="24"/>
          <w:highlight w:val="none"/>
        </w:rPr>
        <w:t>工作、行为不端或玩忽职守的承包人项目经理和其</w:t>
      </w:r>
      <w:r>
        <w:rPr>
          <w:rFonts w:hint="eastAsia" w:ascii="宋体" w:hAnsi="宋体" w:eastAsia="宋体" w:cs="宋体"/>
          <w:color w:val="auto"/>
          <w:spacing w:val="-1"/>
          <w:sz w:val="24"/>
          <w:szCs w:val="24"/>
          <w:highlight w:val="none"/>
        </w:rPr>
        <w:t>他人员的，承包人应予以撤换。</w:t>
      </w:r>
    </w:p>
    <w:p w14:paraId="1C45A0FD">
      <w:pPr>
        <w:spacing w:before="218" w:line="221" w:lineRule="auto"/>
        <w:ind w:left="1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4.8保障承包人人员的合法权益</w:t>
      </w:r>
    </w:p>
    <w:p w14:paraId="7F6BA70E">
      <w:pPr>
        <w:pStyle w:val="4"/>
        <w:spacing w:line="272" w:lineRule="auto"/>
        <w:rPr>
          <w:rFonts w:hint="eastAsia" w:ascii="宋体" w:hAnsi="宋体" w:eastAsia="宋体" w:cs="宋体"/>
          <w:color w:val="auto"/>
          <w:highlight w:val="none"/>
        </w:rPr>
      </w:pPr>
    </w:p>
    <w:p w14:paraId="29E4FF61">
      <w:pPr>
        <w:spacing w:before="78" w:line="219" w:lineRule="auto"/>
        <w:ind w:left="49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4.8.1承包人应与其雇佣的人员签订劳动合同，并按时</w:t>
      </w:r>
      <w:r>
        <w:rPr>
          <w:rFonts w:hint="eastAsia" w:ascii="宋体" w:hAnsi="宋体" w:eastAsia="宋体" w:cs="宋体"/>
          <w:color w:val="auto"/>
          <w:spacing w:val="-1"/>
          <w:sz w:val="24"/>
          <w:szCs w:val="24"/>
          <w:highlight w:val="none"/>
        </w:rPr>
        <w:t>发放工资。</w:t>
      </w:r>
    </w:p>
    <w:p w14:paraId="6E7B26AB">
      <w:pPr>
        <w:spacing w:line="219" w:lineRule="auto"/>
        <w:rPr>
          <w:rFonts w:hint="eastAsia" w:ascii="宋体" w:hAnsi="宋体" w:eastAsia="宋体" w:cs="宋体"/>
          <w:color w:val="auto"/>
          <w:sz w:val="24"/>
          <w:szCs w:val="24"/>
          <w:highlight w:val="none"/>
        </w:rPr>
        <w:sectPr>
          <w:headerReference r:id="rId71" w:type="default"/>
          <w:footerReference r:id="rId72" w:type="default"/>
          <w:pgSz w:w="11907" w:h="16840"/>
          <w:pgMar w:top="1182" w:right="1289" w:bottom="1014" w:left="1786" w:header="849" w:footer="852" w:gutter="0"/>
          <w:pgNumType w:fmt="decimal"/>
          <w:cols w:space="720" w:num="1"/>
        </w:sectPr>
      </w:pPr>
    </w:p>
    <w:p w14:paraId="2CF3C875">
      <w:pPr>
        <w:pStyle w:val="4"/>
        <w:spacing w:line="300" w:lineRule="auto"/>
        <w:rPr>
          <w:rFonts w:hint="eastAsia" w:ascii="宋体" w:hAnsi="宋体" w:eastAsia="宋体" w:cs="宋体"/>
          <w:color w:val="auto"/>
          <w:highlight w:val="none"/>
        </w:rPr>
      </w:pPr>
    </w:p>
    <w:p w14:paraId="2EDD1458">
      <w:pPr>
        <w:spacing w:before="78" w:line="279" w:lineRule="auto"/>
        <w:ind w:left="37" w:firstLine="457"/>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4.8.2承包人应按劳动法的规定安排工作时间，保证其雇佣人员享有休息和休假</w:t>
      </w:r>
      <w:r>
        <w:rPr>
          <w:rFonts w:hint="eastAsia" w:ascii="宋体" w:hAnsi="宋体" w:eastAsia="宋体" w:cs="宋体"/>
          <w:color w:val="auto"/>
          <w:spacing w:val="-2"/>
          <w:sz w:val="24"/>
          <w:szCs w:val="24"/>
          <w:highlight w:val="none"/>
        </w:rPr>
        <w:t>的权利。因工程施工的特殊需要占用休假日或延长工</w:t>
      </w:r>
      <w:r>
        <w:rPr>
          <w:rFonts w:hint="eastAsia" w:ascii="宋体" w:hAnsi="宋体" w:eastAsia="宋体" w:cs="宋体"/>
          <w:color w:val="auto"/>
          <w:spacing w:val="-3"/>
          <w:sz w:val="24"/>
          <w:szCs w:val="24"/>
          <w:highlight w:val="none"/>
        </w:rPr>
        <w:t>作时间的，应不超过法律规定的</w:t>
      </w:r>
      <w:r>
        <w:rPr>
          <w:rFonts w:hint="eastAsia" w:ascii="宋体" w:hAnsi="宋体" w:eastAsia="宋体" w:cs="宋体"/>
          <w:color w:val="auto"/>
          <w:spacing w:val="-2"/>
          <w:sz w:val="24"/>
          <w:szCs w:val="24"/>
          <w:highlight w:val="none"/>
        </w:rPr>
        <w:t>限度，并按法律规定给予补休或付酬。</w:t>
      </w:r>
    </w:p>
    <w:p w14:paraId="608E1784">
      <w:pPr>
        <w:spacing w:before="112" w:line="279" w:lineRule="auto"/>
        <w:ind w:left="22" w:firstLine="47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4.8.3承包人应为其雇佣人员提供必要的食宿条件，以及符合环境保护和卫生要</w:t>
      </w:r>
      <w:r>
        <w:rPr>
          <w:rFonts w:hint="eastAsia" w:ascii="宋体" w:hAnsi="宋体" w:eastAsia="宋体" w:cs="宋体"/>
          <w:color w:val="auto"/>
          <w:spacing w:val="-2"/>
          <w:sz w:val="24"/>
          <w:szCs w:val="24"/>
          <w:highlight w:val="none"/>
        </w:rPr>
        <w:t>求的生活环境，在远离城镇的施工场地，还应配备必要的伤病防治和急救的医务人员与医疗设施。</w:t>
      </w:r>
    </w:p>
    <w:p w14:paraId="1D7733DB">
      <w:pPr>
        <w:spacing w:before="113" w:line="278" w:lineRule="auto"/>
        <w:ind w:left="19" w:firstLine="47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4.8.4承包人应按国家有关劳动保护的规定，采取有效的防止粉尘、降低噪声、</w:t>
      </w:r>
      <w:r>
        <w:rPr>
          <w:rFonts w:hint="eastAsia" w:ascii="宋体" w:hAnsi="宋体" w:eastAsia="宋体" w:cs="宋体"/>
          <w:color w:val="auto"/>
          <w:spacing w:val="-2"/>
          <w:sz w:val="24"/>
          <w:szCs w:val="24"/>
          <w:highlight w:val="none"/>
        </w:rPr>
        <w:t>控制有害气体和保障高温、高寒、高空作业安全等劳动保护措施。其雇佣人员在施工</w:t>
      </w:r>
      <w:r>
        <w:rPr>
          <w:rFonts w:hint="eastAsia" w:ascii="宋体" w:hAnsi="宋体" w:eastAsia="宋体" w:cs="宋体"/>
          <w:color w:val="auto"/>
          <w:spacing w:val="-1"/>
          <w:sz w:val="24"/>
          <w:szCs w:val="24"/>
          <w:highlight w:val="none"/>
        </w:rPr>
        <w:t>中受到伤害的，承包人应立即采取有效措施进行抢救和治疗。</w:t>
      </w:r>
    </w:p>
    <w:p w14:paraId="4A4CDEB2">
      <w:pPr>
        <w:spacing w:before="114" w:line="219" w:lineRule="auto"/>
        <w:ind w:left="49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4.8.5承包人应按有关法律规定和合同约定，为其雇佣人员</w:t>
      </w:r>
      <w:r>
        <w:rPr>
          <w:rFonts w:hint="eastAsia" w:ascii="宋体" w:hAnsi="宋体" w:eastAsia="宋体" w:cs="宋体"/>
          <w:color w:val="auto"/>
          <w:spacing w:val="-1"/>
          <w:sz w:val="24"/>
          <w:szCs w:val="24"/>
          <w:highlight w:val="none"/>
        </w:rPr>
        <w:t>办理保险。</w:t>
      </w:r>
    </w:p>
    <w:p w14:paraId="39711322">
      <w:pPr>
        <w:spacing w:before="116" w:line="219" w:lineRule="auto"/>
        <w:ind w:left="49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4.8.6承包人应负责处理其雇佣人员因工伤亡事故的</w:t>
      </w:r>
      <w:r>
        <w:rPr>
          <w:rFonts w:hint="eastAsia" w:ascii="宋体" w:hAnsi="宋体" w:eastAsia="宋体" w:cs="宋体"/>
          <w:color w:val="auto"/>
          <w:spacing w:val="-1"/>
          <w:sz w:val="24"/>
          <w:szCs w:val="24"/>
          <w:highlight w:val="none"/>
        </w:rPr>
        <w:t>善后事宜。</w:t>
      </w:r>
    </w:p>
    <w:p w14:paraId="2335A6A2">
      <w:pPr>
        <w:pStyle w:val="4"/>
        <w:spacing w:line="253" w:lineRule="auto"/>
        <w:rPr>
          <w:rFonts w:hint="eastAsia" w:ascii="宋体" w:hAnsi="宋体" w:eastAsia="宋体" w:cs="宋体"/>
          <w:color w:val="auto"/>
          <w:highlight w:val="none"/>
        </w:rPr>
      </w:pPr>
    </w:p>
    <w:p w14:paraId="6A07A626">
      <w:pPr>
        <w:spacing w:before="79" w:line="222" w:lineRule="auto"/>
        <w:ind w:left="1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4.9工程价款应专款专用</w:t>
      </w:r>
    </w:p>
    <w:p w14:paraId="6EECD16F">
      <w:pPr>
        <w:pStyle w:val="4"/>
        <w:spacing w:line="272" w:lineRule="auto"/>
        <w:rPr>
          <w:rFonts w:hint="eastAsia" w:ascii="宋体" w:hAnsi="宋体" w:eastAsia="宋体" w:cs="宋体"/>
          <w:color w:val="auto"/>
          <w:highlight w:val="none"/>
        </w:rPr>
      </w:pPr>
    </w:p>
    <w:p w14:paraId="5FB939B6">
      <w:pPr>
        <w:spacing w:before="79" w:line="218" w:lineRule="auto"/>
        <w:ind w:left="38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发包人按合同约定支付给承包人的各项价款应专用于合同工程。</w:t>
      </w:r>
    </w:p>
    <w:p w14:paraId="643BBAB0">
      <w:pPr>
        <w:pStyle w:val="4"/>
        <w:spacing w:line="255" w:lineRule="auto"/>
        <w:rPr>
          <w:rFonts w:hint="eastAsia" w:ascii="宋体" w:hAnsi="宋体" w:eastAsia="宋体" w:cs="宋体"/>
          <w:color w:val="auto"/>
          <w:highlight w:val="none"/>
        </w:rPr>
      </w:pPr>
    </w:p>
    <w:p w14:paraId="0227FE1C">
      <w:pPr>
        <w:spacing w:before="79" w:line="222" w:lineRule="auto"/>
        <w:ind w:left="1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4.10承包人现场查勘</w:t>
      </w:r>
    </w:p>
    <w:p w14:paraId="4F0DAD57">
      <w:pPr>
        <w:pStyle w:val="4"/>
        <w:spacing w:line="272" w:lineRule="auto"/>
        <w:rPr>
          <w:rFonts w:hint="eastAsia" w:ascii="宋体" w:hAnsi="宋体" w:eastAsia="宋体" w:cs="宋体"/>
          <w:color w:val="auto"/>
          <w:highlight w:val="none"/>
        </w:rPr>
      </w:pPr>
    </w:p>
    <w:p w14:paraId="535D45EE">
      <w:pPr>
        <w:spacing w:before="79" w:line="264" w:lineRule="auto"/>
        <w:ind w:left="19" w:firstLine="47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4.10.1发包人应将其持有的现场地质勘探资料、水文气象资料提供给承包人，并</w:t>
      </w:r>
      <w:r>
        <w:rPr>
          <w:rFonts w:hint="eastAsia" w:ascii="宋体" w:hAnsi="宋体" w:eastAsia="宋体" w:cs="宋体"/>
          <w:color w:val="auto"/>
          <w:sz w:val="24"/>
          <w:szCs w:val="24"/>
          <w:highlight w:val="none"/>
        </w:rPr>
        <w:t>对其准确性负责。但承包人应对其阅读上述有关资料后所作</w:t>
      </w:r>
      <w:r>
        <w:rPr>
          <w:rFonts w:hint="eastAsia" w:ascii="宋体" w:hAnsi="宋体" w:eastAsia="宋体" w:cs="宋体"/>
          <w:color w:val="auto"/>
          <w:spacing w:val="-1"/>
          <w:sz w:val="24"/>
          <w:szCs w:val="24"/>
          <w:highlight w:val="none"/>
        </w:rPr>
        <w:t>出的解释和推断负责。</w:t>
      </w:r>
    </w:p>
    <w:p w14:paraId="2B390F34">
      <w:pPr>
        <w:spacing w:before="113" w:line="278" w:lineRule="auto"/>
        <w:ind w:left="21" w:firstLine="47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4.10.2承包人应对施工场地和周围环境进行查勘，并收集有关地质、水文、气象条件、交通条件、风俗习惯以及其他为完成合同工作有关的当地资料。在全部合同工</w:t>
      </w:r>
      <w:r>
        <w:rPr>
          <w:rFonts w:hint="eastAsia" w:ascii="宋体" w:hAnsi="宋体" w:eastAsia="宋体" w:cs="宋体"/>
          <w:color w:val="auto"/>
          <w:spacing w:val="-1"/>
          <w:sz w:val="24"/>
          <w:szCs w:val="24"/>
          <w:highlight w:val="none"/>
        </w:rPr>
        <w:t>作中，应视为承包人已充分估计了应承担的责任和风险。</w:t>
      </w:r>
    </w:p>
    <w:p w14:paraId="76CC2CB5">
      <w:pPr>
        <w:pStyle w:val="4"/>
        <w:spacing w:line="255" w:lineRule="auto"/>
        <w:rPr>
          <w:rFonts w:hint="eastAsia" w:ascii="宋体" w:hAnsi="宋体" w:eastAsia="宋体" w:cs="宋体"/>
          <w:color w:val="auto"/>
          <w:highlight w:val="none"/>
        </w:rPr>
      </w:pPr>
    </w:p>
    <w:p w14:paraId="4B791537">
      <w:pPr>
        <w:spacing w:before="79" w:line="222" w:lineRule="auto"/>
        <w:ind w:left="1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4.11不利物质条件</w:t>
      </w:r>
    </w:p>
    <w:p w14:paraId="79FD78EA">
      <w:pPr>
        <w:pStyle w:val="4"/>
        <w:spacing w:line="273" w:lineRule="auto"/>
        <w:rPr>
          <w:rFonts w:hint="eastAsia" w:ascii="宋体" w:hAnsi="宋体" w:eastAsia="宋体" w:cs="宋体"/>
          <w:color w:val="auto"/>
          <w:highlight w:val="none"/>
        </w:rPr>
      </w:pPr>
    </w:p>
    <w:p w14:paraId="76E7185D">
      <w:pPr>
        <w:spacing w:before="79" w:line="278" w:lineRule="auto"/>
        <w:ind w:firstLine="242" w:firstLineChars="1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4.11.1不利物质条件，除专用合同条款另有约定外，是指承包人在施工场地遇到</w:t>
      </w:r>
      <w:r>
        <w:rPr>
          <w:rFonts w:hint="eastAsia" w:ascii="宋体" w:hAnsi="宋体" w:eastAsia="宋体" w:cs="宋体"/>
          <w:color w:val="auto"/>
          <w:spacing w:val="-2"/>
          <w:sz w:val="24"/>
          <w:szCs w:val="24"/>
          <w:highlight w:val="none"/>
        </w:rPr>
        <w:t>的不可预见的自然物质条件、非自然的物质障碍和污染物，包括地下和水文条件，但不包括气候条件。</w:t>
      </w:r>
    </w:p>
    <w:p w14:paraId="3F2B8D50">
      <w:pPr>
        <w:spacing w:before="113" w:line="286" w:lineRule="auto"/>
        <w:ind w:left="21" w:firstLine="41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4.11.2承包人遇到不利物质条件时，应采取适应不利物质条件的合理措施继续施工，并及时通知监理人。监理人应当及时发出</w:t>
      </w:r>
      <w:r>
        <w:rPr>
          <w:rFonts w:hint="eastAsia" w:ascii="宋体" w:hAnsi="宋体" w:eastAsia="宋体" w:cs="宋体"/>
          <w:color w:val="auto"/>
          <w:sz w:val="24"/>
          <w:szCs w:val="24"/>
          <w:highlight w:val="none"/>
        </w:rPr>
        <w:t>指示，指示构成变更的，按第15条约</w:t>
      </w:r>
      <w:r>
        <w:rPr>
          <w:rFonts w:hint="eastAsia" w:ascii="宋体" w:hAnsi="宋体" w:eastAsia="宋体" w:cs="宋体"/>
          <w:color w:val="auto"/>
          <w:spacing w:val="-2"/>
          <w:sz w:val="24"/>
          <w:szCs w:val="24"/>
          <w:highlight w:val="none"/>
        </w:rPr>
        <w:t>定办理。监理人没有发出指示的，承包人因采取合理措施而增加的费用和（或）工期延误，由发包人承担。</w:t>
      </w:r>
    </w:p>
    <w:p w14:paraId="7261AA7D">
      <w:pPr>
        <w:spacing w:line="286" w:lineRule="auto"/>
        <w:rPr>
          <w:rFonts w:hint="eastAsia" w:ascii="宋体" w:hAnsi="宋体" w:eastAsia="宋体" w:cs="宋体"/>
          <w:color w:val="auto"/>
          <w:sz w:val="24"/>
          <w:szCs w:val="24"/>
          <w:highlight w:val="none"/>
        </w:rPr>
        <w:sectPr>
          <w:headerReference r:id="rId73" w:type="default"/>
          <w:footerReference r:id="rId74" w:type="default"/>
          <w:pgSz w:w="11907" w:h="16840"/>
          <w:pgMar w:top="1182" w:right="1289" w:bottom="1014" w:left="1786" w:header="849" w:footer="852" w:gutter="0"/>
          <w:pgNumType w:fmt="decimal"/>
          <w:cols w:space="720" w:num="1"/>
        </w:sectPr>
      </w:pPr>
    </w:p>
    <w:p w14:paraId="714C9000">
      <w:pPr>
        <w:spacing w:before="317" w:line="222" w:lineRule="auto"/>
        <w:ind w:left="25"/>
        <w:outlineLvl w:val="2"/>
        <w:rPr>
          <w:rFonts w:hint="eastAsia" w:ascii="宋体" w:hAnsi="宋体" w:eastAsia="宋体" w:cs="宋体"/>
          <w:color w:val="auto"/>
          <w:sz w:val="28"/>
          <w:szCs w:val="28"/>
          <w:highlight w:val="none"/>
        </w:rPr>
      </w:pPr>
      <w:bookmarkStart w:id="466" w:name="_Toc13867"/>
      <w:bookmarkStart w:id="467" w:name="_Toc24139"/>
      <w:bookmarkStart w:id="468" w:name="_Toc6341"/>
      <w:bookmarkStart w:id="469" w:name="_Toc26545"/>
      <w:bookmarkStart w:id="470" w:name="_Toc26260"/>
      <w:r>
        <w:rPr>
          <w:rFonts w:hint="eastAsia" w:ascii="宋体" w:hAnsi="宋体" w:eastAsia="宋体" w:cs="宋体"/>
          <w:color w:val="auto"/>
          <w:spacing w:val="-2"/>
          <w:sz w:val="28"/>
          <w:szCs w:val="28"/>
          <w:highlight w:val="none"/>
        </w:rPr>
        <w:t>5.材料和工程设备</w:t>
      </w:r>
      <w:bookmarkEnd w:id="466"/>
      <w:bookmarkEnd w:id="467"/>
      <w:bookmarkEnd w:id="468"/>
      <w:bookmarkEnd w:id="469"/>
      <w:bookmarkEnd w:id="470"/>
    </w:p>
    <w:p w14:paraId="2931D4AA">
      <w:pPr>
        <w:pStyle w:val="4"/>
        <w:spacing w:line="246" w:lineRule="auto"/>
        <w:rPr>
          <w:rFonts w:hint="eastAsia" w:ascii="宋体" w:hAnsi="宋体" w:eastAsia="宋体" w:cs="宋体"/>
          <w:color w:val="auto"/>
          <w:highlight w:val="none"/>
        </w:rPr>
      </w:pPr>
    </w:p>
    <w:p w14:paraId="1FDFC9AA">
      <w:pPr>
        <w:spacing w:before="78" w:line="222" w:lineRule="auto"/>
        <w:ind w:left="2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5.1承包人提供的材料和工程设备</w:t>
      </w:r>
    </w:p>
    <w:p w14:paraId="46C656B6">
      <w:pPr>
        <w:pStyle w:val="4"/>
        <w:spacing w:line="274" w:lineRule="auto"/>
        <w:rPr>
          <w:rFonts w:hint="eastAsia" w:ascii="宋体" w:hAnsi="宋体" w:eastAsia="宋体" w:cs="宋体"/>
          <w:color w:val="auto"/>
          <w:highlight w:val="none"/>
        </w:rPr>
      </w:pPr>
    </w:p>
    <w:p w14:paraId="3CBC766A">
      <w:pPr>
        <w:spacing w:before="78" w:line="263" w:lineRule="auto"/>
        <w:ind w:left="29" w:right="82" w:firstLine="47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5.1.1除专用合同条款另有约定外，承包人提供的材料和工程设备均由承包人负</w:t>
      </w:r>
      <w:r>
        <w:rPr>
          <w:rFonts w:hint="eastAsia" w:ascii="宋体" w:hAnsi="宋体" w:eastAsia="宋体" w:cs="宋体"/>
          <w:color w:val="auto"/>
          <w:spacing w:val="-1"/>
          <w:sz w:val="24"/>
          <w:szCs w:val="24"/>
          <w:highlight w:val="none"/>
        </w:rPr>
        <w:t>责采购、运输和保管。承包人应对其采购的材料和工程设备负责。</w:t>
      </w:r>
    </w:p>
    <w:p w14:paraId="3251B1D2">
      <w:pPr>
        <w:spacing w:before="112" w:line="279" w:lineRule="auto"/>
        <w:ind w:left="21" w:firstLine="48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5.1.2承包人应按专用合同条款的约定，将各项材料和工程设备的供货人及品种、</w:t>
      </w:r>
      <w:r>
        <w:rPr>
          <w:rFonts w:hint="eastAsia" w:ascii="宋体" w:hAnsi="宋体" w:eastAsia="宋体" w:cs="宋体"/>
          <w:color w:val="auto"/>
          <w:spacing w:val="-2"/>
          <w:sz w:val="24"/>
          <w:szCs w:val="24"/>
          <w:highlight w:val="none"/>
        </w:rPr>
        <w:t>规格、数量和供货时间等报送监理人审批。承包人应向监理人提交其负责提供的材料</w:t>
      </w:r>
      <w:r>
        <w:rPr>
          <w:rFonts w:hint="eastAsia" w:ascii="宋体" w:hAnsi="宋体" w:eastAsia="宋体" w:cs="宋体"/>
          <w:color w:val="auto"/>
          <w:spacing w:val="-1"/>
          <w:sz w:val="24"/>
          <w:szCs w:val="24"/>
          <w:highlight w:val="none"/>
        </w:rPr>
        <w:t>和工程设备的质量证明文件，并满足合同约定的质量标准。</w:t>
      </w:r>
    </w:p>
    <w:p w14:paraId="502C6183">
      <w:pPr>
        <w:spacing w:before="112" w:line="286" w:lineRule="auto"/>
        <w:ind w:left="19" w:right="80" w:firstLine="483"/>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5.1.3对承包人提供的材料和工程设备，承包人应会同监</w:t>
      </w:r>
      <w:r>
        <w:rPr>
          <w:rFonts w:hint="eastAsia" w:ascii="宋体" w:hAnsi="宋体" w:eastAsia="宋体" w:cs="宋体"/>
          <w:color w:val="auto"/>
          <w:spacing w:val="2"/>
          <w:sz w:val="24"/>
          <w:szCs w:val="24"/>
          <w:highlight w:val="none"/>
        </w:rPr>
        <w:t>理人进行检验和交货验</w:t>
      </w:r>
      <w:r>
        <w:rPr>
          <w:rFonts w:hint="eastAsia" w:ascii="宋体" w:hAnsi="宋体" w:eastAsia="宋体" w:cs="宋体"/>
          <w:color w:val="auto"/>
          <w:spacing w:val="-2"/>
          <w:sz w:val="24"/>
          <w:szCs w:val="24"/>
          <w:highlight w:val="none"/>
        </w:rPr>
        <w:t>收，查验材料合格证明和产品合格证书，并按合同约定和监理人指示，进行材料的抽样检验和工程设备的检验测试，检验和测试结果应提交监理人，所需费用由承包人承</w:t>
      </w:r>
      <w:r>
        <w:rPr>
          <w:rFonts w:hint="eastAsia" w:ascii="宋体" w:hAnsi="宋体" w:eastAsia="宋体" w:cs="宋体"/>
          <w:color w:val="auto"/>
          <w:spacing w:val="-5"/>
          <w:sz w:val="24"/>
          <w:szCs w:val="24"/>
          <w:highlight w:val="none"/>
        </w:rPr>
        <w:t>担。</w:t>
      </w:r>
    </w:p>
    <w:p w14:paraId="0551AC34">
      <w:pPr>
        <w:pStyle w:val="4"/>
        <w:spacing w:line="255" w:lineRule="auto"/>
        <w:rPr>
          <w:rFonts w:hint="eastAsia" w:ascii="宋体" w:hAnsi="宋体" w:eastAsia="宋体" w:cs="宋体"/>
          <w:color w:val="auto"/>
          <w:highlight w:val="none"/>
        </w:rPr>
      </w:pPr>
    </w:p>
    <w:p w14:paraId="643A7EF4">
      <w:pPr>
        <w:spacing w:before="79" w:line="221" w:lineRule="auto"/>
        <w:ind w:left="2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5.2发包人提供的材料和工程设备</w:t>
      </w:r>
    </w:p>
    <w:p w14:paraId="11F8D523">
      <w:pPr>
        <w:pStyle w:val="4"/>
        <w:spacing w:line="271" w:lineRule="auto"/>
        <w:rPr>
          <w:rFonts w:hint="eastAsia" w:ascii="宋体" w:hAnsi="宋体" w:eastAsia="宋体" w:cs="宋体"/>
          <w:color w:val="auto"/>
          <w:highlight w:val="none"/>
        </w:rPr>
      </w:pPr>
    </w:p>
    <w:p w14:paraId="0DDEA953">
      <w:pPr>
        <w:spacing w:before="79" w:line="263" w:lineRule="auto"/>
        <w:ind w:left="40" w:right="82" w:firstLine="46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5.2.1发包人提供的材料和工程设备，应在专用合同条款中写明材料和工程设备</w:t>
      </w:r>
      <w:r>
        <w:rPr>
          <w:rFonts w:hint="eastAsia" w:ascii="宋体" w:hAnsi="宋体" w:eastAsia="宋体" w:cs="宋体"/>
          <w:color w:val="auto"/>
          <w:spacing w:val="-1"/>
          <w:sz w:val="24"/>
          <w:szCs w:val="24"/>
          <w:highlight w:val="none"/>
        </w:rPr>
        <w:t>的名称、规格、数量、价格、交货方式、交货地点和计划交货日期等。</w:t>
      </w:r>
    </w:p>
    <w:p w14:paraId="03BF3F88">
      <w:pPr>
        <w:spacing w:before="119" w:line="278" w:lineRule="auto"/>
        <w:ind w:left="20" w:right="80" w:firstLine="48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5.2.2承包人应根据合同进度计划的安排，向监理人报送要求发包人交货的日期</w:t>
      </w:r>
      <w:r>
        <w:rPr>
          <w:rFonts w:hint="eastAsia" w:ascii="宋体" w:hAnsi="宋体" w:eastAsia="宋体" w:cs="宋体"/>
          <w:color w:val="auto"/>
          <w:spacing w:val="-2"/>
          <w:sz w:val="24"/>
          <w:szCs w:val="24"/>
          <w:highlight w:val="none"/>
        </w:rPr>
        <w:t>计划。发包人应按照监理人与合同双方当事人商定的交货日期，向承包人提交材料和工程设备。</w:t>
      </w:r>
    </w:p>
    <w:p w14:paraId="7FE9E75F">
      <w:pPr>
        <w:spacing w:before="114" w:line="278" w:lineRule="auto"/>
        <w:ind w:left="19" w:right="80" w:firstLine="48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5.2.3发包人应在材料和工程设备到货7天前通知承包人，承包人应会同监理人</w:t>
      </w:r>
      <w:r>
        <w:rPr>
          <w:rFonts w:hint="eastAsia" w:ascii="宋体" w:hAnsi="宋体" w:eastAsia="宋体" w:cs="宋体"/>
          <w:color w:val="auto"/>
          <w:spacing w:val="-2"/>
          <w:sz w:val="24"/>
          <w:szCs w:val="24"/>
          <w:highlight w:val="none"/>
        </w:rPr>
        <w:t>在约定的时间内，赴交货地点共同进行验收。除专用合同条款另有约定外，发包人提</w:t>
      </w:r>
      <w:r>
        <w:rPr>
          <w:rFonts w:hint="eastAsia" w:ascii="宋体" w:hAnsi="宋体" w:eastAsia="宋体" w:cs="宋体"/>
          <w:color w:val="auto"/>
          <w:spacing w:val="-1"/>
          <w:sz w:val="24"/>
          <w:szCs w:val="24"/>
          <w:highlight w:val="none"/>
        </w:rPr>
        <w:t>供的材料和工程设备验收后，由承包人负责接收、运输和保管。</w:t>
      </w:r>
    </w:p>
    <w:p w14:paraId="73E1F08D">
      <w:pPr>
        <w:spacing w:before="117" w:line="263" w:lineRule="auto"/>
        <w:ind w:left="22" w:right="82" w:firstLine="48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5.2.4发包人要求向承包人提前交货的，承包人不得拒绝，但发包人应承担承包</w:t>
      </w:r>
      <w:r>
        <w:rPr>
          <w:rFonts w:hint="eastAsia" w:ascii="宋体" w:hAnsi="宋体" w:eastAsia="宋体" w:cs="宋体"/>
          <w:color w:val="auto"/>
          <w:spacing w:val="-2"/>
          <w:sz w:val="24"/>
          <w:szCs w:val="24"/>
          <w:highlight w:val="none"/>
        </w:rPr>
        <w:t>人由此增加的费用。</w:t>
      </w:r>
    </w:p>
    <w:p w14:paraId="15F08775">
      <w:pPr>
        <w:spacing w:before="116" w:line="263" w:lineRule="auto"/>
        <w:ind w:left="21" w:right="82" w:firstLine="48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5.2.5承包人要求更改交货日期或地点的，应事先报请监理人批准。由于承包人</w:t>
      </w:r>
      <w:r>
        <w:rPr>
          <w:rFonts w:hint="eastAsia" w:ascii="宋体" w:hAnsi="宋体" w:eastAsia="宋体" w:cs="宋体"/>
          <w:color w:val="auto"/>
          <w:sz w:val="24"/>
          <w:szCs w:val="24"/>
          <w:highlight w:val="none"/>
        </w:rPr>
        <w:t>要求更改交货时间或地点所增加的费用和（或</w:t>
      </w:r>
      <w:r>
        <w:rPr>
          <w:rFonts w:hint="eastAsia" w:ascii="宋体" w:hAnsi="宋体" w:eastAsia="宋体" w:cs="宋体"/>
          <w:color w:val="auto"/>
          <w:spacing w:val="-1"/>
          <w:sz w:val="24"/>
          <w:szCs w:val="24"/>
          <w:highlight w:val="none"/>
        </w:rPr>
        <w:t>）工期延误由承包人承担。</w:t>
      </w:r>
    </w:p>
    <w:p w14:paraId="619BD4E1">
      <w:pPr>
        <w:spacing w:before="113" w:line="279" w:lineRule="auto"/>
        <w:ind w:left="24" w:right="80" w:firstLine="47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5.2.6发包人提供的材料和工程设备的规格、数量或质量不符合合同要求，或由</w:t>
      </w:r>
      <w:r>
        <w:rPr>
          <w:rFonts w:hint="eastAsia" w:ascii="宋体" w:hAnsi="宋体" w:eastAsia="宋体" w:cs="宋体"/>
          <w:color w:val="auto"/>
          <w:spacing w:val="-2"/>
          <w:sz w:val="24"/>
          <w:szCs w:val="24"/>
          <w:highlight w:val="none"/>
        </w:rPr>
        <w:t>于发包人原因发生交货日期延误及交货地点变更等情况的，发包人应承担由此增加的</w:t>
      </w:r>
      <w:r>
        <w:rPr>
          <w:rFonts w:hint="eastAsia" w:ascii="宋体" w:hAnsi="宋体" w:eastAsia="宋体" w:cs="宋体"/>
          <w:color w:val="auto"/>
          <w:spacing w:val="-1"/>
          <w:sz w:val="24"/>
          <w:szCs w:val="24"/>
          <w:highlight w:val="none"/>
        </w:rPr>
        <w:t>费用和（或）工期延误，并向承包人支付合理利润。</w:t>
      </w:r>
    </w:p>
    <w:p w14:paraId="644B09B0">
      <w:pPr>
        <w:pStyle w:val="4"/>
        <w:spacing w:line="253" w:lineRule="auto"/>
        <w:rPr>
          <w:rFonts w:hint="eastAsia" w:ascii="宋体" w:hAnsi="宋体" w:eastAsia="宋体" w:cs="宋体"/>
          <w:color w:val="auto"/>
          <w:highlight w:val="none"/>
        </w:rPr>
      </w:pPr>
    </w:p>
    <w:p w14:paraId="1E58999E">
      <w:pPr>
        <w:spacing w:before="79" w:line="222" w:lineRule="auto"/>
        <w:ind w:left="2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5.3材料和工程设备专用于合同工程</w:t>
      </w:r>
    </w:p>
    <w:p w14:paraId="528C40F2">
      <w:pPr>
        <w:pStyle w:val="4"/>
        <w:spacing w:line="272" w:lineRule="auto"/>
        <w:rPr>
          <w:rFonts w:hint="eastAsia" w:ascii="宋体" w:hAnsi="宋体" w:eastAsia="宋体" w:cs="宋体"/>
          <w:color w:val="auto"/>
          <w:highlight w:val="none"/>
        </w:rPr>
      </w:pPr>
    </w:p>
    <w:p w14:paraId="16DD331F">
      <w:pPr>
        <w:spacing w:before="79" w:line="222" w:lineRule="auto"/>
        <w:ind w:left="23" w:firstLine="238" w:firstLineChars="10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5.3.1运入施工场地的材料、工程设备，包括备品备件、安装专用工器具与随机资料，必须专用于合同工程，未经监理人同意，承包人不得运出施工场地或挪作他用。</w:t>
      </w:r>
    </w:p>
    <w:p w14:paraId="7FDB749E">
      <w:pPr>
        <w:spacing w:before="79" w:line="222" w:lineRule="auto"/>
        <w:ind w:left="23" w:firstLine="238" w:firstLineChars="100"/>
        <w:rPr>
          <w:rFonts w:hint="eastAsia" w:ascii="宋体" w:hAnsi="宋体" w:eastAsia="宋体" w:cs="宋体"/>
          <w:color w:val="auto"/>
          <w:spacing w:val="-1"/>
          <w:sz w:val="24"/>
          <w:szCs w:val="24"/>
          <w:highlight w:val="none"/>
        </w:rPr>
        <w:sectPr>
          <w:headerReference r:id="rId75" w:type="default"/>
          <w:footerReference r:id="rId76" w:type="default"/>
          <w:pgSz w:w="11907" w:h="16840"/>
          <w:pgMar w:top="1182" w:right="1209" w:bottom="1014" w:left="1786" w:header="849" w:footer="852" w:gutter="0"/>
          <w:pgNumType w:fmt="decimal"/>
          <w:cols w:space="720" w:num="1"/>
        </w:sectPr>
      </w:pPr>
      <w:r>
        <w:rPr>
          <w:rFonts w:hint="eastAsia" w:ascii="宋体" w:hAnsi="宋体" w:eastAsia="宋体" w:cs="宋体"/>
          <w:color w:val="auto"/>
          <w:spacing w:val="-1"/>
          <w:sz w:val="24"/>
          <w:szCs w:val="24"/>
          <w:highlight w:val="none"/>
        </w:rPr>
        <w:t>5.3.</w:t>
      </w:r>
      <w:r>
        <w:rPr>
          <w:rFonts w:hint="eastAsia" w:ascii="宋体" w:hAnsi="宋体" w:eastAsia="宋体" w:cs="宋体"/>
          <w:color w:val="auto"/>
          <w:spacing w:val="1"/>
          <w:sz w:val="24"/>
          <w:szCs w:val="24"/>
          <w:highlight w:val="none"/>
        </w:rPr>
        <w:t>2随同工程</w:t>
      </w:r>
      <w:r>
        <w:rPr>
          <w:rFonts w:hint="eastAsia" w:ascii="宋体" w:hAnsi="宋体" w:eastAsia="宋体" w:cs="宋体"/>
          <w:color w:val="auto"/>
          <w:spacing w:val="-1"/>
          <w:sz w:val="24"/>
          <w:szCs w:val="24"/>
          <w:highlight w:val="none"/>
        </w:rPr>
        <w:t>设备运入施工场地的备品备件、专用工器具与随机资料，应由承</w:t>
      </w:r>
    </w:p>
    <w:p w14:paraId="08AE0CD5">
      <w:pPr>
        <w:spacing w:before="78" w:line="310" w:lineRule="auto"/>
        <w:ind w:right="9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包人会同监理人按供货人的装箱单清点后共同封存，未经监理人同意不得启用。承包</w:t>
      </w:r>
      <w:r>
        <w:rPr>
          <w:rFonts w:hint="eastAsia" w:ascii="宋体" w:hAnsi="宋体" w:eastAsia="宋体" w:cs="宋体"/>
          <w:color w:val="auto"/>
          <w:spacing w:val="-1"/>
          <w:sz w:val="24"/>
          <w:szCs w:val="24"/>
          <w:highlight w:val="none"/>
        </w:rPr>
        <w:t>人因合同工作需要使用上述物品时，应向监理人提出申请。</w:t>
      </w:r>
    </w:p>
    <w:p w14:paraId="488F1EBB">
      <w:pPr>
        <w:spacing w:before="212" w:line="222" w:lineRule="auto"/>
        <w:ind w:left="2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5.4禁止使用不合格的材料和工程设备</w:t>
      </w:r>
    </w:p>
    <w:p w14:paraId="5310FE46">
      <w:pPr>
        <w:pStyle w:val="4"/>
        <w:spacing w:line="273" w:lineRule="auto"/>
        <w:rPr>
          <w:rFonts w:hint="eastAsia" w:ascii="宋体" w:hAnsi="宋体" w:eastAsia="宋体" w:cs="宋体"/>
          <w:color w:val="auto"/>
          <w:highlight w:val="none"/>
        </w:rPr>
      </w:pPr>
    </w:p>
    <w:p w14:paraId="372174D3">
      <w:pPr>
        <w:spacing w:before="78" w:line="278" w:lineRule="auto"/>
        <w:ind w:left="18" w:right="99" w:firstLine="48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5.4.1监理人有权拒绝承包人提供的不合格材料或工程设备，并要求承包人立即</w:t>
      </w:r>
      <w:r>
        <w:rPr>
          <w:rFonts w:hint="eastAsia" w:ascii="宋体" w:hAnsi="宋体" w:eastAsia="宋体" w:cs="宋体"/>
          <w:color w:val="auto"/>
          <w:spacing w:val="-2"/>
          <w:sz w:val="24"/>
          <w:szCs w:val="24"/>
          <w:highlight w:val="none"/>
        </w:rPr>
        <w:t>进行更换。监理人应在更换后再次进行检查和检验，由此增加的费用和（或）工期延</w:t>
      </w:r>
      <w:r>
        <w:rPr>
          <w:rFonts w:hint="eastAsia" w:ascii="宋体" w:hAnsi="宋体" w:eastAsia="宋体" w:cs="宋体"/>
          <w:color w:val="auto"/>
          <w:spacing w:val="-1"/>
          <w:sz w:val="24"/>
          <w:szCs w:val="24"/>
          <w:highlight w:val="none"/>
        </w:rPr>
        <w:t>误由承包人承担。</w:t>
      </w:r>
    </w:p>
    <w:p w14:paraId="47C74E42">
      <w:pPr>
        <w:spacing w:before="116" w:line="263" w:lineRule="auto"/>
        <w:ind w:left="20" w:right="101" w:firstLine="48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5.4.2监理人发现承包人使用了不合格的材料和工程设备，应即时发出指示要求</w:t>
      </w:r>
      <w:r>
        <w:rPr>
          <w:rFonts w:hint="eastAsia" w:ascii="宋体" w:hAnsi="宋体" w:eastAsia="宋体" w:cs="宋体"/>
          <w:color w:val="auto"/>
          <w:sz w:val="24"/>
          <w:szCs w:val="24"/>
          <w:highlight w:val="none"/>
        </w:rPr>
        <w:t>承包人立即改正，并禁止在工程中继续使用不</w:t>
      </w:r>
      <w:r>
        <w:rPr>
          <w:rFonts w:hint="eastAsia" w:ascii="宋体" w:hAnsi="宋体" w:eastAsia="宋体" w:cs="宋体"/>
          <w:color w:val="auto"/>
          <w:spacing w:val="-1"/>
          <w:sz w:val="24"/>
          <w:szCs w:val="24"/>
          <w:highlight w:val="none"/>
        </w:rPr>
        <w:t>合格的材料和工程设备。</w:t>
      </w:r>
    </w:p>
    <w:p w14:paraId="1D233F36">
      <w:pPr>
        <w:spacing w:before="113" w:line="264" w:lineRule="auto"/>
        <w:ind w:left="21" w:right="101" w:firstLine="48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5.4.3发包人提供的材料或工程设备不符合合同要求的，承包人有权拒绝，并可</w:t>
      </w:r>
      <w:r>
        <w:rPr>
          <w:rFonts w:hint="eastAsia" w:ascii="宋体" w:hAnsi="宋体" w:eastAsia="宋体" w:cs="宋体"/>
          <w:color w:val="auto"/>
          <w:spacing w:val="-1"/>
          <w:sz w:val="24"/>
          <w:szCs w:val="24"/>
          <w:highlight w:val="none"/>
        </w:rPr>
        <w:t>要求发包人更换，由此增加的费用和（或）工期延误由发包人承担。</w:t>
      </w:r>
    </w:p>
    <w:p w14:paraId="6BFA4BC0">
      <w:pPr>
        <w:pStyle w:val="4"/>
        <w:spacing w:line="435" w:lineRule="auto"/>
        <w:rPr>
          <w:rFonts w:hint="eastAsia" w:ascii="宋体" w:hAnsi="宋体" w:eastAsia="宋体" w:cs="宋体"/>
          <w:color w:val="auto"/>
          <w:highlight w:val="none"/>
        </w:rPr>
      </w:pPr>
    </w:p>
    <w:p w14:paraId="4E7BC325">
      <w:pPr>
        <w:spacing w:before="92" w:line="222" w:lineRule="auto"/>
        <w:ind w:left="23"/>
        <w:outlineLvl w:val="2"/>
        <w:rPr>
          <w:rFonts w:hint="eastAsia" w:ascii="宋体" w:hAnsi="宋体" w:eastAsia="宋体" w:cs="宋体"/>
          <w:color w:val="auto"/>
          <w:sz w:val="28"/>
          <w:szCs w:val="28"/>
          <w:highlight w:val="none"/>
        </w:rPr>
      </w:pPr>
      <w:bookmarkStart w:id="471" w:name="_Toc5956"/>
      <w:bookmarkStart w:id="472" w:name="_Toc30033"/>
      <w:bookmarkStart w:id="473" w:name="_Toc17825"/>
      <w:bookmarkStart w:id="474" w:name="_Toc30652"/>
      <w:bookmarkStart w:id="475" w:name="_Toc16465"/>
      <w:r>
        <w:rPr>
          <w:rFonts w:hint="eastAsia" w:ascii="宋体" w:hAnsi="宋体" w:eastAsia="宋体" w:cs="宋体"/>
          <w:color w:val="auto"/>
          <w:spacing w:val="-1"/>
          <w:sz w:val="28"/>
          <w:szCs w:val="28"/>
          <w:highlight w:val="none"/>
        </w:rPr>
        <w:t>6.施工设备和临时设施</w:t>
      </w:r>
      <w:bookmarkEnd w:id="471"/>
      <w:bookmarkEnd w:id="472"/>
      <w:bookmarkEnd w:id="473"/>
      <w:bookmarkEnd w:id="474"/>
      <w:bookmarkEnd w:id="475"/>
    </w:p>
    <w:p w14:paraId="03EBF857">
      <w:pPr>
        <w:pStyle w:val="4"/>
        <w:spacing w:line="249" w:lineRule="auto"/>
        <w:rPr>
          <w:rFonts w:hint="eastAsia" w:ascii="宋体" w:hAnsi="宋体" w:eastAsia="宋体" w:cs="宋体"/>
          <w:color w:val="auto"/>
          <w:highlight w:val="none"/>
        </w:rPr>
      </w:pPr>
    </w:p>
    <w:p w14:paraId="2C5F8C8E">
      <w:pPr>
        <w:spacing w:before="79" w:line="222" w:lineRule="auto"/>
        <w:ind w:left="2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6.1承包人提供的施工设备和临时设施</w:t>
      </w:r>
    </w:p>
    <w:p w14:paraId="42717DC8">
      <w:pPr>
        <w:pStyle w:val="4"/>
        <w:spacing w:line="269" w:lineRule="auto"/>
        <w:rPr>
          <w:rFonts w:hint="eastAsia" w:ascii="宋体" w:hAnsi="宋体" w:eastAsia="宋体" w:cs="宋体"/>
          <w:color w:val="auto"/>
          <w:highlight w:val="none"/>
        </w:rPr>
      </w:pPr>
    </w:p>
    <w:p w14:paraId="4846A091">
      <w:pPr>
        <w:spacing w:before="78" w:line="279" w:lineRule="auto"/>
        <w:ind w:left="19" w:right="99" w:firstLine="48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6.1.1承包人应按合同进度计划的要求，及时配置施工设备和修建临时设施。进</w:t>
      </w:r>
      <w:r>
        <w:rPr>
          <w:rFonts w:hint="eastAsia" w:ascii="宋体" w:hAnsi="宋体" w:eastAsia="宋体" w:cs="宋体"/>
          <w:color w:val="auto"/>
          <w:spacing w:val="-2"/>
          <w:sz w:val="24"/>
          <w:szCs w:val="24"/>
          <w:highlight w:val="none"/>
        </w:rPr>
        <w:t>入施工场地的承包人设备需经监理人核查后才能投入使用。承包人更换合同约定的承</w:t>
      </w:r>
      <w:r>
        <w:rPr>
          <w:rFonts w:hint="eastAsia" w:ascii="宋体" w:hAnsi="宋体" w:eastAsia="宋体" w:cs="宋体"/>
          <w:color w:val="auto"/>
          <w:spacing w:val="-1"/>
          <w:sz w:val="24"/>
          <w:szCs w:val="24"/>
          <w:highlight w:val="none"/>
        </w:rPr>
        <w:t>包人设备的，应报监理人批准。</w:t>
      </w:r>
    </w:p>
    <w:p w14:paraId="0AC15D41">
      <w:pPr>
        <w:spacing w:before="113" w:line="264" w:lineRule="auto"/>
        <w:ind w:left="21" w:right="101" w:firstLine="48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6.1.2除专用合同条款另有约定外，承包人应自行承担修建临时设施的费用，需</w:t>
      </w:r>
      <w:r>
        <w:rPr>
          <w:rFonts w:hint="eastAsia" w:ascii="宋体" w:hAnsi="宋体" w:eastAsia="宋体" w:cs="宋体"/>
          <w:color w:val="auto"/>
          <w:spacing w:val="-1"/>
          <w:sz w:val="24"/>
          <w:szCs w:val="24"/>
          <w:highlight w:val="none"/>
        </w:rPr>
        <w:t>要临时占地的，应由发包人办理申请手续并承担相应费用。</w:t>
      </w:r>
    </w:p>
    <w:p w14:paraId="6082B67D">
      <w:pPr>
        <w:pStyle w:val="4"/>
        <w:spacing w:line="254" w:lineRule="auto"/>
        <w:rPr>
          <w:rFonts w:hint="eastAsia" w:ascii="宋体" w:hAnsi="宋体" w:eastAsia="宋体" w:cs="宋体"/>
          <w:color w:val="auto"/>
          <w:highlight w:val="none"/>
        </w:rPr>
      </w:pPr>
    </w:p>
    <w:p w14:paraId="5B2423E5">
      <w:pPr>
        <w:spacing w:before="78" w:line="221" w:lineRule="auto"/>
        <w:ind w:left="2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6.2发包人提供的施工设备和临时设施</w:t>
      </w:r>
    </w:p>
    <w:p w14:paraId="046FA7F8">
      <w:pPr>
        <w:pStyle w:val="4"/>
        <w:spacing w:line="273" w:lineRule="auto"/>
        <w:rPr>
          <w:rFonts w:hint="eastAsia" w:ascii="宋体" w:hAnsi="宋体" w:eastAsia="宋体" w:cs="宋体"/>
          <w:color w:val="auto"/>
          <w:highlight w:val="none"/>
        </w:rPr>
      </w:pPr>
    </w:p>
    <w:p w14:paraId="70E563E6">
      <w:pPr>
        <w:spacing w:before="79"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发包人提供的施工设备或临时设施在专用合同条款中约定。</w:t>
      </w:r>
    </w:p>
    <w:p w14:paraId="155770D4">
      <w:pPr>
        <w:pStyle w:val="4"/>
        <w:spacing w:line="254" w:lineRule="auto"/>
        <w:rPr>
          <w:rFonts w:hint="eastAsia" w:ascii="宋体" w:hAnsi="宋体" w:eastAsia="宋体" w:cs="宋体"/>
          <w:color w:val="auto"/>
          <w:highlight w:val="none"/>
        </w:rPr>
      </w:pPr>
    </w:p>
    <w:p w14:paraId="2AEAF5F2">
      <w:pPr>
        <w:spacing w:before="78" w:line="222" w:lineRule="auto"/>
        <w:ind w:left="2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6.3要求承包人增加或更换施工设备</w:t>
      </w:r>
    </w:p>
    <w:p w14:paraId="766A48BE">
      <w:pPr>
        <w:pStyle w:val="4"/>
        <w:spacing w:line="272" w:lineRule="auto"/>
        <w:rPr>
          <w:rFonts w:hint="eastAsia" w:ascii="宋体" w:hAnsi="宋体" w:eastAsia="宋体" w:cs="宋体"/>
          <w:color w:val="auto"/>
          <w:highlight w:val="none"/>
        </w:rPr>
      </w:pPr>
    </w:p>
    <w:p w14:paraId="4642183F">
      <w:pPr>
        <w:spacing w:before="79" w:line="309" w:lineRule="auto"/>
        <w:ind w:left="21" w:firstLine="479"/>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承包人使用的施工设备不能满足合同进度计划和（或）质量要求时，监理人有权</w:t>
      </w:r>
      <w:r>
        <w:rPr>
          <w:rFonts w:hint="eastAsia" w:ascii="宋体" w:hAnsi="宋体" w:eastAsia="宋体" w:cs="宋体"/>
          <w:color w:val="auto"/>
          <w:spacing w:val="-6"/>
          <w:sz w:val="24"/>
          <w:szCs w:val="24"/>
          <w:highlight w:val="none"/>
        </w:rPr>
        <w:t>要求承包人增加或更换施工设备，承包人应及时增加或更换，由此增加的费用和（或）</w:t>
      </w:r>
      <w:r>
        <w:rPr>
          <w:rFonts w:hint="eastAsia" w:ascii="宋体" w:hAnsi="宋体" w:eastAsia="宋体" w:cs="宋体"/>
          <w:color w:val="auto"/>
          <w:spacing w:val="-1"/>
          <w:sz w:val="24"/>
          <w:szCs w:val="24"/>
          <w:highlight w:val="none"/>
        </w:rPr>
        <w:t>工期延误由承包人承担。</w:t>
      </w:r>
    </w:p>
    <w:p w14:paraId="2C567C2F">
      <w:pPr>
        <w:spacing w:before="216" w:line="222" w:lineRule="auto"/>
        <w:ind w:left="2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6.4施工设备和临时设施专用于合同工程</w:t>
      </w:r>
    </w:p>
    <w:p w14:paraId="2661D2F0">
      <w:pPr>
        <w:pStyle w:val="4"/>
        <w:spacing w:line="269" w:lineRule="auto"/>
        <w:rPr>
          <w:rFonts w:hint="eastAsia" w:ascii="宋体" w:hAnsi="宋体" w:eastAsia="宋体" w:cs="宋体"/>
          <w:color w:val="auto"/>
          <w:highlight w:val="none"/>
        </w:rPr>
      </w:pPr>
    </w:p>
    <w:p w14:paraId="473EA28B">
      <w:pPr>
        <w:spacing w:before="216" w:line="222" w:lineRule="auto"/>
        <w:ind w:left="21"/>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6.4.1除合同另有约定外，运入施工场地的所有施工设备以及在施工场地建设的临时设施应专用于合同工程。未经监理人同意，不得将上述施工设备和临时设施中的任何部分运出施工场地或挪作他用。</w:t>
      </w:r>
    </w:p>
    <w:p w14:paraId="26B8A46B">
      <w:pPr>
        <w:spacing w:before="216" w:line="222" w:lineRule="auto"/>
        <w:ind w:left="2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6.4.2经监理人同意，承包人可根据合同</w:t>
      </w:r>
      <w:r>
        <w:rPr>
          <w:rFonts w:hint="eastAsia" w:ascii="宋体" w:hAnsi="宋体" w:eastAsia="宋体" w:cs="宋体"/>
          <w:color w:val="auto"/>
          <w:sz w:val="24"/>
          <w:szCs w:val="24"/>
          <w:highlight w:val="none"/>
        </w:rPr>
        <w:t>进度</w:t>
      </w:r>
      <w:r>
        <w:rPr>
          <w:rFonts w:hint="eastAsia" w:ascii="宋体" w:hAnsi="宋体" w:eastAsia="宋体" w:cs="宋体"/>
          <w:color w:val="auto"/>
          <w:spacing w:val="-1"/>
          <w:sz w:val="24"/>
          <w:szCs w:val="24"/>
          <w:highlight w:val="none"/>
        </w:rPr>
        <w:t>计划撤走闲置的施工设备。</w:t>
      </w:r>
    </w:p>
    <w:p w14:paraId="6594D1A7">
      <w:pPr>
        <w:spacing w:line="219" w:lineRule="auto"/>
        <w:rPr>
          <w:rFonts w:hint="eastAsia" w:ascii="宋体" w:hAnsi="宋体" w:eastAsia="宋体" w:cs="宋体"/>
          <w:color w:val="auto"/>
          <w:sz w:val="24"/>
          <w:szCs w:val="24"/>
          <w:highlight w:val="none"/>
        </w:rPr>
        <w:sectPr>
          <w:headerReference r:id="rId77" w:type="default"/>
          <w:footerReference r:id="rId78" w:type="default"/>
          <w:pgSz w:w="11907" w:h="16840"/>
          <w:pgMar w:top="1182" w:right="1190" w:bottom="1014" w:left="1786" w:header="849" w:footer="852" w:gutter="0"/>
          <w:pgNumType w:fmt="decimal"/>
          <w:cols w:space="720" w:num="1"/>
        </w:sectPr>
      </w:pPr>
    </w:p>
    <w:p w14:paraId="7075F036">
      <w:pPr>
        <w:spacing w:before="317" w:line="222" w:lineRule="auto"/>
        <w:ind w:left="21"/>
        <w:outlineLvl w:val="2"/>
        <w:rPr>
          <w:rFonts w:hint="eastAsia" w:ascii="宋体" w:hAnsi="宋体" w:eastAsia="宋体" w:cs="宋体"/>
          <w:color w:val="auto"/>
          <w:sz w:val="28"/>
          <w:szCs w:val="28"/>
          <w:highlight w:val="none"/>
        </w:rPr>
      </w:pPr>
      <w:bookmarkStart w:id="476" w:name="_Toc24942"/>
      <w:bookmarkStart w:id="477" w:name="_Toc16664"/>
      <w:bookmarkStart w:id="478" w:name="_Toc23231"/>
      <w:bookmarkStart w:id="479" w:name="_Toc31295"/>
      <w:bookmarkStart w:id="480" w:name="_Toc18647"/>
      <w:r>
        <w:rPr>
          <w:rFonts w:hint="eastAsia" w:ascii="宋体" w:hAnsi="宋体" w:eastAsia="宋体" w:cs="宋体"/>
          <w:color w:val="auto"/>
          <w:spacing w:val="-5"/>
          <w:sz w:val="28"/>
          <w:szCs w:val="28"/>
          <w:highlight w:val="none"/>
        </w:rPr>
        <w:t>7.交通运输</w:t>
      </w:r>
      <w:bookmarkEnd w:id="476"/>
      <w:bookmarkEnd w:id="477"/>
      <w:bookmarkEnd w:id="478"/>
      <w:bookmarkEnd w:id="479"/>
      <w:bookmarkEnd w:id="480"/>
    </w:p>
    <w:p w14:paraId="6C52CDA9">
      <w:pPr>
        <w:pStyle w:val="4"/>
        <w:spacing w:line="246" w:lineRule="auto"/>
        <w:rPr>
          <w:rFonts w:hint="eastAsia" w:ascii="宋体" w:hAnsi="宋体" w:eastAsia="宋体" w:cs="宋体"/>
          <w:color w:val="auto"/>
          <w:highlight w:val="none"/>
        </w:rPr>
      </w:pPr>
    </w:p>
    <w:p w14:paraId="06631EDF">
      <w:pPr>
        <w:spacing w:before="78" w:line="222" w:lineRule="auto"/>
        <w:ind w:left="2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7.1道路通行权和场外设施</w:t>
      </w:r>
    </w:p>
    <w:p w14:paraId="0032B75F">
      <w:pPr>
        <w:pStyle w:val="4"/>
        <w:spacing w:line="272" w:lineRule="auto"/>
        <w:rPr>
          <w:rFonts w:hint="eastAsia" w:ascii="宋体" w:hAnsi="宋体" w:eastAsia="宋体" w:cs="宋体"/>
          <w:color w:val="auto"/>
          <w:highlight w:val="none"/>
        </w:rPr>
      </w:pPr>
    </w:p>
    <w:p w14:paraId="64E10317">
      <w:pPr>
        <w:spacing w:before="78" w:line="309" w:lineRule="auto"/>
        <w:ind w:left="19" w:right="49" w:firstLine="435"/>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除专用合同条款另有约定外，发包人应根据合同工程的施工需要，负责办理取得</w:t>
      </w:r>
      <w:r>
        <w:rPr>
          <w:rFonts w:hint="eastAsia" w:ascii="宋体" w:hAnsi="宋体" w:eastAsia="宋体" w:cs="宋体"/>
          <w:color w:val="auto"/>
          <w:spacing w:val="-2"/>
          <w:sz w:val="24"/>
          <w:szCs w:val="24"/>
          <w:highlight w:val="none"/>
        </w:rPr>
        <w:t>出入施工场地的专用和临时道路的通行权，以及取得为工程建设所需修建场外设施的</w:t>
      </w:r>
      <w:r>
        <w:rPr>
          <w:rFonts w:hint="eastAsia" w:ascii="宋体" w:hAnsi="宋体" w:eastAsia="宋体" w:cs="宋体"/>
          <w:color w:val="auto"/>
          <w:spacing w:val="-1"/>
          <w:sz w:val="24"/>
          <w:szCs w:val="24"/>
          <w:highlight w:val="none"/>
        </w:rPr>
        <w:t>权利，并承担有关费用。承包人应协助发包人办理上述手续。</w:t>
      </w:r>
    </w:p>
    <w:p w14:paraId="7A743D1B">
      <w:pPr>
        <w:spacing w:before="216" w:line="224" w:lineRule="auto"/>
        <w:ind w:left="2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7.2场内施工道路</w:t>
      </w:r>
    </w:p>
    <w:p w14:paraId="2F95A9E1">
      <w:pPr>
        <w:pStyle w:val="4"/>
        <w:spacing w:line="266" w:lineRule="auto"/>
        <w:rPr>
          <w:rFonts w:hint="eastAsia" w:ascii="宋体" w:hAnsi="宋体" w:eastAsia="宋体" w:cs="宋体"/>
          <w:color w:val="auto"/>
          <w:highlight w:val="none"/>
        </w:rPr>
      </w:pPr>
    </w:p>
    <w:p w14:paraId="14F6976E">
      <w:pPr>
        <w:spacing w:before="78" w:line="279" w:lineRule="auto"/>
        <w:ind w:left="20" w:right="47" w:firstLine="47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7.2.1除专用合同条款另有约定外，承包人应负责修建、维修、养护和管理施工</w:t>
      </w:r>
      <w:r>
        <w:rPr>
          <w:rFonts w:hint="eastAsia" w:ascii="宋体" w:hAnsi="宋体" w:eastAsia="宋体" w:cs="宋体"/>
          <w:color w:val="auto"/>
          <w:spacing w:val="-2"/>
          <w:sz w:val="24"/>
          <w:szCs w:val="24"/>
          <w:highlight w:val="none"/>
        </w:rPr>
        <w:t>所需的临时道路和交通设施，包括维修、养护和管理发包人提供的道路和交通设施，并承担相应费用。</w:t>
      </w:r>
    </w:p>
    <w:p w14:paraId="595C9ED8">
      <w:pPr>
        <w:spacing w:before="115" w:line="263" w:lineRule="auto"/>
        <w:ind w:left="20" w:right="51" w:firstLine="47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7.2.2除专用合同条款另有约定外，承包人修建的临时道路和交通设施应免费提</w:t>
      </w:r>
      <w:r>
        <w:rPr>
          <w:rFonts w:hint="eastAsia" w:ascii="宋体" w:hAnsi="宋体" w:eastAsia="宋体" w:cs="宋体"/>
          <w:color w:val="auto"/>
          <w:spacing w:val="-1"/>
          <w:sz w:val="24"/>
          <w:szCs w:val="24"/>
          <w:highlight w:val="none"/>
        </w:rPr>
        <w:t>供发包人和监理人使用。</w:t>
      </w:r>
    </w:p>
    <w:p w14:paraId="1E2224F6">
      <w:pPr>
        <w:pStyle w:val="4"/>
        <w:spacing w:line="255" w:lineRule="auto"/>
        <w:rPr>
          <w:rFonts w:hint="eastAsia" w:ascii="宋体" w:hAnsi="宋体" w:eastAsia="宋体" w:cs="宋体"/>
          <w:color w:val="auto"/>
          <w:highlight w:val="none"/>
        </w:rPr>
      </w:pPr>
    </w:p>
    <w:p w14:paraId="24508B02">
      <w:pPr>
        <w:spacing w:before="78" w:line="222" w:lineRule="auto"/>
        <w:ind w:left="2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7.3场外交通</w:t>
      </w:r>
    </w:p>
    <w:p w14:paraId="3EB65D7B">
      <w:pPr>
        <w:pStyle w:val="4"/>
        <w:spacing w:line="271" w:lineRule="auto"/>
        <w:rPr>
          <w:rFonts w:hint="eastAsia" w:ascii="宋体" w:hAnsi="宋体" w:eastAsia="宋体" w:cs="宋体"/>
          <w:color w:val="auto"/>
          <w:highlight w:val="none"/>
        </w:rPr>
      </w:pPr>
    </w:p>
    <w:p w14:paraId="65588E10">
      <w:pPr>
        <w:spacing w:before="79" w:line="264" w:lineRule="auto"/>
        <w:ind w:left="20" w:right="51" w:firstLine="47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7.3.1承包人车辆外出行驶所需的场外公共道路的通行费、养路费和税款等由承</w:t>
      </w:r>
      <w:r>
        <w:rPr>
          <w:rFonts w:hint="eastAsia" w:ascii="宋体" w:hAnsi="宋体" w:eastAsia="宋体" w:cs="宋体"/>
          <w:color w:val="auto"/>
          <w:spacing w:val="-2"/>
          <w:sz w:val="24"/>
          <w:szCs w:val="24"/>
          <w:highlight w:val="none"/>
        </w:rPr>
        <w:t>包人承担。</w:t>
      </w:r>
    </w:p>
    <w:p w14:paraId="79F3A191">
      <w:pPr>
        <w:spacing w:before="113" w:line="264" w:lineRule="auto"/>
        <w:ind w:left="26" w:right="110" w:firstLine="47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7.3.2承包人应遵守有关交通法规，严格按照道路和</w:t>
      </w:r>
      <w:r>
        <w:rPr>
          <w:rFonts w:hint="eastAsia" w:ascii="宋体" w:hAnsi="宋体" w:eastAsia="宋体" w:cs="宋体"/>
          <w:color w:val="auto"/>
          <w:spacing w:val="-1"/>
          <w:sz w:val="24"/>
          <w:szCs w:val="24"/>
          <w:highlight w:val="none"/>
        </w:rPr>
        <w:t>桥梁的限制荷重安全行驶，并服从交通管理部门的检查和监督。</w:t>
      </w:r>
    </w:p>
    <w:p w14:paraId="06A196F6">
      <w:pPr>
        <w:pStyle w:val="4"/>
        <w:spacing w:line="253" w:lineRule="auto"/>
        <w:rPr>
          <w:rFonts w:hint="eastAsia" w:ascii="宋体" w:hAnsi="宋体" w:eastAsia="宋体" w:cs="宋体"/>
          <w:color w:val="auto"/>
          <w:highlight w:val="none"/>
        </w:rPr>
      </w:pPr>
    </w:p>
    <w:p w14:paraId="19273BED">
      <w:pPr>
        <w:spacing w:before="79" w:line="222" w:lineRule="auto"/>
        <w:ind w:left="2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7.4超大件和超重件的运输</w:t>
      </w:r>
    </w:p>
    <w:p w14:paraId="51FFF38F">
      <w:pPr>
        <w:pStyle w:val="4"/>
        <w:spacing w:line="272" w:lineRule="auto"/>
        <w:rPr>
          <w:rFonts w:hint="eastAsia" w:ascii="宋体" w:hAnsi="宋体" w:eastAsia="宋体" w:cs="宋体"/>
          <w:color w:val="auto"/>
          <w:highlight w:val="none"/>
        </w:rPr>
      </w:pPr>
    </w:p>
    <w:p w14:paraId="0F5823A5">
      <w:pPr>
        <w:spacing w:before="78" w:line="309" w:lineRule="auto"/>
        <w:ind w:left="20" w:right="49" w:firstLine="509"/>
        <w:jc w:val="both"/>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由承包人负责运输的超大件或超重件，应由承包人负责向交通管理部门办理申请</w:t>
      </w:r>
      <w:r>
        <w:rPr>
          <w:rFonts w:hint="eastAsia" w:ascii="宋体" w:hAnsi="宋体" w:eastAsia="宋体" w:cs="宋体"/>
          <w:color w:val="auto"/>
          <w:spacing w:val="-2"/>
          <w:sz w:val="24"/>
          <w:szCs w:val="24"/>
          <w:highlight w:val="none"/>
        </w:rPr>
        <w:t>手续，发包人给予协助。运输超大件或超重件所需的道路和桥梁临时加固改造费用和</w:t>
      </w:r>
      <w:r>
        <w:rPr>
          <w:rFonts w:hint="eastAsia" w:ascii="宋体" w:hAnsi="宋体" w:eastAsia="宋体" w:cs="宋体"/>
          <w:color w:val="auto"/>
          <w:spacing w:val="-1"/>
          <w:sz w:val="24"/>
          <w:szCs w:val="24"/>
          <w:highlight w:val="none"/>
        </w:rPr>
        <w:t>其他有关费用，由承包人承担，但专用合同条款另有约定除外。</w:t>
      </w:r>
    </w:p>
    <w:p w14:paraId="16BCF4FD">
      <w:pPr>
        <w:spacing w:before="216" w:line="221" w:lineRule="auto"/>
        <w:ind w:left="2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7.5道路和桥梁的损坏责任</w:t>
      </w:r>
    </w:p>
    <w:p w14:paraId="0C6DED81">
      <w:pPr>
        <w:pStyle w:val="4"/>
        <w:spacing w:line="272" w:lineRule="auto"/>
        <w:rPr>
          <w:rFonts w:hint="eastAsia" w:ascii="宋体" w:hAnsi="宋体" w:eastAsia="宋体" w:cs="宋体"/>
          <w:color w:val="auto"/>
          <w:highlight w:val="none"/>
        </w:rPr>
      </w:pPr>
    </w:p>
    <w:p w14:paraId="4707D3EA">
      <w:pPr>
        <w:spacing w:before="79" w:line="310" w:lineRule="auto"/>
        <w:ind w:left="40" w:right="49" w:firstLine="47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因承包人运输造成施工场地内外公共道路和桥梁损坏的，由承包人承担修复损坏的全部费用和可能引起的赔偿。</w:t>
      </w:r>
    </w:p>
    <w:p w14:paraId="6E43F0EF">
      <w:pPr>
        <w:spacing w:before="213" w:line="222" w:lineRule="auto"/>
        <w:ind w:left="2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7.6水路和航空运输</w:t>
      </w:r>
    </w:p>
    <w:p w14:paraId="1F252650">
      <w:pPr>
        <w:pStyle w:val="4"/>
        <w:spacing w:line="271" w:lineRule="auto"/>
        <w:rPr>
          <w:rFonts w:hint="eastAsia" w:ascii="宋体" w:hAnsi="宋体" w:eastAsia="宋体" w:cs="宋体"/>
          <w:color w:val="auto"/>
          <w:highlight w:val="none"/>
        </w:rPr>
      </w:pPr>
    </w:p>
    <w:p w14:paraId="62CC392B">
      <w:pPr>
        <w:spacing w:before="78" w:line="309" w:lineRule="auto"/>
        <w:ind w:left="19" w:firstLine="481"/>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本条上述各款的内容适用于水路运输和航空运输，其中“道路</w:t>
      </w:r>
      <w:r>
        <w:rPr>
          <w:rFonts w:hint="eastAsia" w:ascii="宋体" w:hAnsi="宋体" w:eastAsia="宋体" w:cs="宋体"/>
          <w:color w:val="auto"/>
          <w:spacing w:val="-2"/>
          <w:sz w:val="24"/>
          <w:szCs w:val="24"/>
          <w:highlight w:val="none"/>
        </w:rPr>
        <w:t>”一词的涵义包括河</w:t>
      </w:r>
      <w:r>
        <w:rPr>
          <w:rFonts w:hint="eastAsia" w:ascii="宋体" w:hAnsi="宋体" w:eastAsia="宋体" w:cs="宋体"/>
          <w:color w:val="auto"/>
          <w:sz w:val="24"/>
          <w:szCs w:val="24"/>
          <w:highlight w:val="none"/>
        </w:rPr>
        <w:t>道、航线、船闸、机场、码头、堤防以及水路或航空运输中其他相似结构物；“车辆”</w:t>
      </w:r>
      <w:r>
        <w:rPr>
          <w:rFonts w:hint="eastAsia" w:ascii="宋体" w:hAnsi="宋体" w:eastAsia="宋体" w:cs="宋体"/>
          <w:color w:val="auto"/>
          <w:spacing w:val="-1"/>
          <w:sz w:val="24"/>
          <w:szCs w:val="24"/>
          <w:highlight w:val="none"/>
        </w:rPr>
        <w:t>一词的涵义包括船舶和飞机等。</w:t>
      </w:r>
    </w:p>
    <w:p w14:paraId="062F5A13">
      <w:pPr>
        <w:spacing w:line="309" w:lineRule="auto"/>
        <w:rPr>
          <w:rFonts w:hint="eastAsia" w:ascii="宋体" w:hAnsi="宋体" w:eastAsia="宋体" w:cs="宋体"/>
          <w:color w:val="auto"/>
          <w:sz w:val="24"/>
          <w:szCs w:val="24"/>
          <w:highlight w:val="none"/>
        </w:rPr>
        <w:sectPr>
          <w:headerReference r:id="rId79" w:type="default"/>
          <w:footerReference r:id="rId80" w:type="default"/>
          <w:pgSz w:w="11907" w:h="16840"/>
          <w:pgMar w:top="1182" w:right="1240" w:bottom="1014" w:left="1786" w:header="849" w:footer="852" w:gutter="0"/>
          <w:pgNumType w:fmt="decimal"/>
          <w:cols w:space="720" w:num="1"/>
        </w:sectPr>
      </w:pPr>
    </w:p>
    <w:p w14:paraId="2320BF2D">
      <w:pPr>
        <w:spacing w:before="317" w:line="220" w:lineRule="auto"/>
        <w:ind w:left="28"/>
        <w:outlineLvl w:val="2"/>
        <w:rPr>
          <w:rFonts w:hint="eastAsia" w:ascii="宋体" w:hAnsi="宋体" w:eastAsia="宋体" w:cs="宋体"/>
          <w:color w:val="auto"/>
          <w:sz w:val="28"/>
          <w:szCs w:val="28"/>
          <w:highlight w:val="none"/>
        </w:rPr>
      </w:pPr>
      <w:bookmarkStart w:id="481" w:name="_Toc24193"/>
      <w:bookmarkStart w:id="482" w:name="_Toc8245"/>
      <w:bookmarkStart w:id="483" w:name="_Toc12136"/>
      <w:bookmarkStart w:id="484" w:name="_Toc20445"/>
      <w:bookmarkStart w:id="485" w:name="_Toc8931"/>
      <w:r>
        <w:rPr>
          <w:rFonts w:hint="eastAsia" w:ascii="宋体" w:hAnsi="宋体" w:eastAsia="宋体" w:cs="宋体"/>
          <w:color w:val="auto"/>
          <w:spacing w:val="-2"/>
          <w:sz w:val="28"/>
          <w:szCs w:val="28"/>
          <w:highlight w:val="none"/>
        </w:rPr>
        <w:t>8.测量放线</w:t>
      </w:r>
      <w:bookmarkEnd w:id="481"/>
      <w:bookmarkEnd w:id="482"/>
      <w:bookmarkEnd w:id="483"/>
      <w:bookmarkEnd w:id="484"/>
      <w:bookmarkEnd w:id="485"/>
    </w:p>
    <w:p w14:paraId="4F4925FA">
      <w:pPr>
        <w:pStyle w:val="4"/>
        <w:spacing w:line="250" w:lineRule="auto"/>
        <w:rPr>
          <w:rFonts w:hint="eastAsia" w:ascii="宋体" w:hAnsi="宋体" w:eastAsia="宋体" w:cs="宋体"/>
          <w:color w:val="auto"/>
          <w:highlight w:val="none"/>
        </w:rPr>
      </w:pPr>
    </w:p>
    <w:p w14:paraId="37DDF3F0">
      <w:pPr>
        <w:spacing w:before="78" w:line="223" w:lineRule="auto"/>
        <w:ind w:left="26"/>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8.1施工控制网</w:t>
      </w:r>
    </w:p>
    <w:p w14:paraId="5C071A86">
      <w:pPr>
        <w:pStyle w:val="4"/>
        <w:spacing w:line="273" w:lineRule="auto"/>
        <w:rPr>
          <w:rFonts w:hint="eastAsia" w:ascii="宋体" w:hAnsi="宋体" w:eastAsia="宋体" w:cs="宋体"/>
          <w:color w:val="auto"/>
          <w:highlight w:val="none"/>
        </w:rPr>
      </w:pPr>
    </w:p>
    <w:p w14:paraId="56A398F3">
      <w:pPr>
        <w:spacing w:before="78" w:line="290" w:lineRule="auto"/>
        <w:ind w:left="21" w:firstLine="484"/>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8.1.1发包人应在专用合同条款约定的</w:t>
      </w:r>
      <w:r>
        <w:rPr>
          <w:rFonts w:hint="eastAsia" w:ascii="宋体" w:hAnsi="宋体" w:eastAsia="宋体" w:cs="宋体"/>
          <w:color w:val="auto"/>
          <w:spacing w:val="-4"/>
          <w:sz w:val="24"/>
          <w:szCs w:val="24"/>
          <w:highlight w:val="none"/>
        </w:rPr>
        <w:t>期限内，通过监理人向承包人提供测量基准</w:t>
      </w:r>
      <w:r>
        <w:rPr>
          <w:rFonts w:hint="eastAsia" w:ascii="宋体" w:hAnsi="宋体" w:eastAsia="宋体" w:cs="宋体"/>
          <w:color w:val="auto"/>
          <w:spacing w:val="-2"/>
          <w:sz w:val="24"/>
          <w:szCs w:val="24"/>
          <w:highlight w:val="none"/>
        </w:rPr>
        <w:t>点、基准线和水准点及其书面资料。除专用合同条款另有约定外，承包人应根据国家测绘基准、测绘系统和工程测量技术规范，按上述基准点（线）以及合同工程精度要求，测设施工控制网，并在专用合同条款约定的期限内，将施工控制网资料报送监理</w:t>
      </w:r>
      <w:r>
        <w:rPr>
          <w:rFonts w:hint="eastAsia" w:ascii="宋体" w:hAnsi="宋体" w:eastAsia="宋体" w:cs="宋体"/>
          <w:color w:val="auto"/>
          <w:spacing w:val="-3"/>
          <w:sz w:val="24"/>
          <w:szCs w:val="24"/>
          <w:highlight w:val="none"/>
        </w:rPr>
        <w:t>人审批。</w:t>
      </w:r>
    </w:p>
    <w:p w14:paraId="53AA8A96">
      <w:pPr>
        <w:spacing w:before="111" w:line="279" w:lineRule="auto"/>
        <w:ind w:left="32" w:firstLine="474"/>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8.1.2承包人应负责管理施工控制网点</w:t>
      </w:r>
      <w:r>
        <w:rPr>
          <w:rFonts w:hint="eastAsia" w:ascii="宋体" w:hAnsi="宋体" w:eastAsia="宋体" w:cs="宋体"/>
          <w:color w:val="auto"/>
          <w:spacing w:val="-4"/>
          <w:sz w:val="24"/>
          <w:szCs w:val="24"/>
          <w:highlight w:val="none"/>
        </w:rPr>
        <w:t>。施工控制网点丢失或损坏的，承包人应及</w:t>
      </w:r>
      <w:r>
        <w:rPr>
          <w:rFonts w:hint="eastAsia" w:ascii="宋体" w:hAnsi="宋体" w:eastAsia="宋体" w:cs="宋体"/>
          <w:color w:val="auto"/>
          <w:spacing w:val="-2"/>
          <w:sz w:val="24"/>
          <w:szCs w:val="24"/>
          <w:highlight w:val="none"/>
        </w:rPr>
        <w:t>时修复。承包人应承担施工控制网点的管理与修复费用，并在工程</w:t>
      </w:r>
      <w:r>
        <w:rPr>
          <w:rFonts w:hint="eastAsia" w:ascii="宋体" w:hAnsi="宋体" w:eastAsia="宋体" w:cs="宋体"/>
          <w:color w:val="auto"/>
          <w:spacing w:val="-3"/>
          <w:sz w:val="24"/>
          <w:szCs w:val="24"/>
          <w:highlight w:val="none"/>
        </w:rPr>
        <w:t>竣工后将施工控制网点移交发包人。</w:t>
      </w:r>
    </w:p>
    <w:p w14:paraId="3EFC5B2A">
      <w:pPr>
        <w:pStyle w:val="4"/>
        <w:spacing w:line="253" w:lineRule="auto"/>
        <w:rPr>
          <w:rFonts w:hint="eastAsia" w:ascii="宋体" w:hAnsi="宋体" w:eastAsia="宋体" w:cs="宋体"/>
          <w:color w:val="auto"/>
          <w:highlight w:val="none"/>
        </w:rPr>
      </w:pPr>
    </w:p>
    <w:p w14:paraId="24FE494A">
      <w:pPr>
        <w:spacing w:before="78" w:line="224" w:lineRule="auto"/>
        <w:ind w:left="26"/>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8</w:t>
      </w:r>
      <w:r>
        <w:rPr>
          <w:rFonts w:hint="eastAsia" w:ascii="宋体" w:hAnsi="宋体" w:eastAsia="宋体" w:cs="宋体"/>
          <w:color w:val="auto"/>
          <w:spacing w:val="-1"/>
          <w:sz w:val="24"/>
          <w:szCs w:val="24"/>
          <w:highlight w:val="none"/>
        </w:rPr>
        <w:t>.2施工</w:t>
      </w:r>
      <w:r>
        <w:rPr>
          <w:rFonts w:hint="eastAsia" w:ascii="宋体" w:hAnsi="宋体" w:eastAsia="宋体" w:cs="宋体"/>
          <w:color w:val="auto"/>
          <w:spacing w:val="-2"/>
          <w:sz w:val="24"/>
          <w:szCs w:val="24"/>
          <w:highlight w:val="none"/>
        </w:rPr>
        <w:t>测量</w:t>
      </w:r>
    </w:p>
    <w:p w14:paraId="582BC68C">
      <w:pPr>
        <w:pStyle w:val="4"/>
        <w:spacing w:line="270" w:lineRule="auto"/>
        <w:rPr>
          <w:rFonts w:hint="eastAsia" w:ascii="宋体" w:hAnsi="宋体" w:eastAsia="宋体" w:cs="宋体"/>
          <w:color w:val="auto"/>
          <w:highlight w:val="none"/>
        </w:rPr>
      </w:pPr>
    </w:p>
    <w:p w14:paraId="4415731F">
      <w:pPr>
        <w:spacing w:before="79" w:line="263" w:lineRule="auto"/>
        <w:ind w:left="20" w:firstLine="48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8.2.1承包人应负责施工过程中的全部</w:t>
      </w:r>
      <w:r>
        <w:rPr>
          <w:rFonts w:hint="eastAsia" w:ascii="宋体" w:hAnsi="宋体" w:eastAsia="宋体" w:cs="宋体"/>
          <w:color w:val="auto"/>
          <w:spacing w:val="-4"/>
          <w:sz w:val="24"/>
          <w:szCs w:val="24"/>
          <w:highlight w:val="none"/>
        </w:rPr>
        <w:t>施工测量放线工作，并配置合格的人员、仪</w:t>
      </w:r>
      <w:r>
        <w:rPr>
          <w:rFonts w:hint="eastAsia" w:ascii="宋体" w:hAnsi="宋体" w:eastAsia="宋体" w:cs="宋体"/>
          <w:color w:val="auto"/>
          <w:spacing w:val="-1"/>
          <w:sz w:val="24"/>
          <w:szCs w:val="24"/>
          <w:highlight w:val="none"/>
        </w:rPr>
        <w:t>器、设备和其他物品。</w:t>
      </w:r>
    </w:p>
    <w:p w14:paraId="51186BE3">
      <w:pPr>
        <w:spacing w:before="114" w:line="264" w:lineRule="auto"/>
        <w:ind w:left="26" w:firstLine="47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8.2.2监理人可以指示承包人进行抽样</w:t>
      </w:r>
      <w:r>
        <w:rPr>
          <w:rFonts w:hint="eastAsia" w:ascii="宋体" w:hAnsi="宋体" w:eastAsia="宋体" w:cs="宋体"/>
          <w:color w:val="auto"/>
          <w:spacing w:val="-4"/>
          <w:sz w:val="24"/>
          <w:szCs w:val="24"/>
          <w:highlight w:val="none"/>
        </w:rPr>
        <w:t>复测，当复测中发现错误或出现超过合同约</w:t>
      </w:r>
      <w:r>
        <w:rPr>
          <w:rFonts w:hint="eastAsia" w:ascii="宋体" w:hAnsi="宋体" w:eastAsia="宋体" w:cs="宋体"/>
          <w:color w:val="auto"/>
          <w:spacing w:val="-1"/>
          <w:sz w:val="24"/>
          <w:szCs w:val="24"/>
          <w:highlight w:val="none"/>
        </w:rPr>
        <w:t>定的误差时，承包人应按监理人指示进行修正或补测，并承担相应的复测费用。</w:t>
      </w:r>
    </w:p>
    <w:p w14:paraId="2175059E">
      <w:pPr>
        <w:pStyle w:val="4"/>
        <w:spacing w:line="254" w:lineRule="auto"/>
        <w:rPr>
          <w:rFonts w:hint="eastAsia" w:ascii="宋体" w:hAnsi="宋体" w:eastAsia="宋体" w:cs="宋体"/>
          <w:color w:val="auto"/>
          <w:highlight w:val="none"/>
        </w:rPr>
      </w:pPr>
    </w:p>
    <w:p w14:paraId="2BD7A028">
      <w:pPr>
        <w:spacing w:before="79" w:line="263" w:lineRule="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2"/>
          <w:sz w:val="24"/>
          <w:szCs w:val="24"/>
          <w:highlight w:val="none"/>
        </w:rPr>
        <w:t>8.3基准资料</w:t>
      </w:r>
      <w:r>
        <w:rPr>
          <w:rFonts w:hint="eastAsia" w:ascii="宋体" w:hAnsi="宋体" w:eastAsia="宋体" w:cs="宋体"/>
          <w:color w:val="auto"/>
          <w:spacing w:val="-3"/>
          <w:sz w:val="24"/>
          <w:szCs w:val="24"/>
          <w:highlight w:val="none"/>
        </w:rPr>
        <w:t>错误的责任</w:t>
      </w:r>
    </w:p>
    <w:p w14:paraId="462244AC">
      <w:pPr>
        <w:pStyle w:val="4"/>
        <w:spacing w:line="271" w:lineRule="auto"/>
        <w:rPr>
          <w:rFonts w:hint="eastAsia" w:ascii="宋体" w:hAnsi="宋体" w:eastAsia="宋体" w:cs="宋体"/>
          <w:color w:val="auto"/>
          <w:highlight w:val="none"/>
        </w:rPr>
      </w:pPr>
    </w:p>
    <w:p w14:paraId="50953926">
      <w:pPr>
        <w:spacing w:before="78" w:line="309" w:lineRule="auto"/>
        <w:ind w:left="21" w:firstLine="482"/>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发包人应对其提供的测量基准点、基准线和水准点及其书面资料的真</w:t>
      </w:r>
      <w:r>
        <w:rPr>
          <w:rFonts w:hint="eastAsia" w:ascii="宋体" w:hAnsi="宋体" w:eastAsia="宋体" w:cs="宋体"/>
          <w:color w:val="auto"/>
          <w:spacing w:val="-3"/>
          <w:sz w:val="24"/>
          <w:szCs w:val="24"/>
          <w:highlight w:val="none"/>
        </w:rPr>
        <w:t>实性、准确</w:t>
      </w:r>
      <w:r>
        <w:rPr>
          <w:rFonts w:hint="eastAsia" w:ascii="宋体" w:hAnsi="宋体" w:eastAsia="宋体" w:cs="宋体"/>
          <w:color w:val="auto"/>
          <w:spacing w:val="-2"/>
          <w:sz w:val="24"/>
          <w:szCs w:val="24"/>
          <w:highlight w:val="none"/>
        </w:rPr>
        <w:t>性和完整性负责。发包人提供上述基准资料错误导致承包人测量放线工作的返工或造成工程损失的，发包人应当承担由此增加的费用和（或）工期延误，并向承包人支付合理利润。承包人发现发包人提供的上述基准资料存在明显错误或疏忽的，应及时通</w:t>
      </w:r>
      <w:r>
        <w:rPr>
          <w:rFonts w:hint="eastAsia" w:ascii="宋体" w:hAnsi="宋体" w:eastAsia="宋体" w:cs="宋体"/>
          <w:color w:val="auto"/>
          <w:spacing w:val="-3"/>
          <w:sz w:val="24"/>
          <w:szCs w:val="24"/>
          <w:highlight w:val="none"/>
        </w:rPr>
        <w:t>知监理人。</w:t>
      </w:r>
    </w:p>
    <w:p w14:paraId="5602E0FC">
      <w:pPr>
        <w:spacing w:before="213" w:line="222" w:lineRule="auto"/>
        <w:ind w:left="2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8.4监理人使用施工控制网</w:t>
      </w:r>
    </w:p>
    <w:p w14:paraId="23A048F4">
      <w:pPr>
        <w:pStyle w:val="4"/>
        <w:spacing w:line="270" w:lineRule="auto"/>
        <w:rPr>
          <w:rFonts w:hint="eastAsia" w:ascii="宋体" w:hAnsi="宋体" w:eastAsia="宋体" w:cs="宋体"/>
          <w:color w:val="auto"/>
          <w:highlight w:val="none"/>
        </w:rPr>
      </w:pPr>
    </w:p>
    <w:p w14:paraId="4B001002">
      <w:pPr>
        <w:spacing w:before="79" w:line="311" w:lineRule="auto"/>
        <w:ind w:left="34" w:right="2" w:firstLine="37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监理人需要使用施工控制网的，承包人应提供必要的协助，发包人不再为此支付</w:t>
      </w:r>
      <w:r>
        <w:rPr>
          <w:rFonts w:hint="eastAsia" w:ascii="宋体" w:hAnsi="宋体" w:eastAsia="宋体" w:cs="宋体"/>
          <w:color w:val="auto"/>
          <w:spacing w:val="-8"/>
          <w:sz w:val="24"/>
          <w:szCs w:val="24"/>
          <w:highlight w:val="none"/>
        </w:rPr>
        <w:t>费用。</w:t>
      </w:r>
    </w:p>
    <w:p w14:paraId="2FB7DFE8">
      <w:pPr>
        <w:pStyle w:val="4"/>
        <w:spacing w:line="314" w:lineRule="auto"/>
        <w:rPr>
          <w:rFonts w:hint="eastAsia" w:ascii="宋体" w:hAnsi="宋体" w:eastAsia="宋体" w:cs="宋体"/>
          <w:color w:val="auto"/>
          <w:highlight w:val="none"/>
        </w:rPr>
      </w:pPr>
    </w:p>
    <w:p w14:paraId="653C5CEC">
      <w:pPr>
        <w:spacing w:before="91" w:line="222" w:lineRule="auto"/>
        <w:ind w:left="22"/>
        <w:outlineLvl w:val="2"/>
        <w:rPr>
          <w:rFonts w:hint="eastAsia" w:ascii="宋体" w:hAnsi="宋体" w:eastAsia="宋体" w:cs="宋体"/>
          <w:color w:val="auto"/>
          <w:sz w:val="28"/>
          <w:szCs w:val="28"/>
          <w:highlight w:val="none"/>
        </w:rPr>
      </w:pPr>
      <w:bookmarkStart w:id="486" w:name="_Toc25296"/>
      <w:bookmarkStart w:id="487" w:name="_Toc14686"/>
      <w:bookmarkStart w:id="488" w:name="_Toc7297"/>
      <w:bookmarkStart w:id="489" w:name="_Toc18295"/>
      <w:bookmarkStart w:id="490" w:name="_Toc14589"/>
      <w:r>
        <w:rPr>
          <w:rFonts w:hint="eastAsia" w:ascii="宋体" w:hAnsi="宋体" w:eastAsia="宋体" w:cs="宋体"/>
          <w:color w:val="auto"/>
          <w:spacing w:val="-1"/>
          <w:sz w:val="28"/>
          <w:szCs w:val="28"/>
          <w:highlight w:val="none"/>
        </w:rPr>
        <w:t>9.施工安全、治安保卫和环境保护</w:t>
      </w:r>
      <w:bookmarkEnd w:id="486"/>
      <w:bookmarkEnd w:id="487"/>
      <w:bookmarkEnd w:id="488"/>
      <w:bookmarkEnd w:id="489"/>
      <w:bookmarkEnd w:id="490"/>
    </w:p>
    <w:p w14:paraId="5E9334CA">
      <w:pPr>
        <w:pStyle w:val="4"/>
        <w:spacing w:line="249" w:lineRule="auto"/>
        <w:rPr>
          <w:rFonts w:hint="eastAsia" w:ascii="宋体" w:hAnsi="宋体" w:eastAsia="宋体" w:cs="宋体"/>
          <w:color w:val="auto"/>
          <w:highlight w:val="none"/>
        </w:rPr>
      </w:pPr>
    </w:p>
    <w:p w14:paraId="2A1783EA">
      <w:pPr>
        <w:spacing w:before="79" w:line="221" w:lineRule="auto"/>
        <w:ind w:left="2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9.1发包人的施工安全责任</w:t>
      </w:r>
    </w:p>
    <w:p w14:paraId="1E427E4A">
      <w:pPr>
        <w:pStyle w:val="4"/>
        <w:spacing w:line="272" w:lineRule="auto"/>
        <w:rPr>
          <w:rFonts w:hint="eastAsia" w:ascii="宋体" w:hAnsi="宋体" w:eastAsia="宋体" w:cs="宋体"/>
          <w:color w:val="auto"/>
          <w:highlight w:val="none"/>
        </w:rPr>
      </w:pPr>
    </w:p>
    <w:p w14:paraId="68A7F07F">
      <w:pPr>
        <w:spacing w:before="78" w:line="310" w:lineRule="auto"/>
        <w:ind w:left="21" w:firstLine="38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9.1.1发包人应按合同约定履行安全职责，授权监理人按合同约定的安全工作内容</w:t>
      </w:r>
      <w:r>
        <w:rPr>
          <w:rFonts w:hint="eastAsia" w:ascii="宋体" w:hAnsi="宋体" w:eastAsia="宋体" w:cs="宋体"/>
          <w:color w:val="auto"/>
          <w:sz w:val="24"/>
          <w:szCs w:val="24"/>
          <w:highlight w:val="none"/>
        </w:rPr>
        <w:t>监督、检查承包人安全工作的实施，组织承包人</w:t>
      </w:r>
      <w:r>
        <w:rPr>
          <w:rFonts w:hint="eastAsia" w:ascii="宋体" w:hAnsi="宋体" w:eastAsia="宋体" w:cs="宋体"/>
          <w:color w:val="auto"/>
          <w:spacing w:val="-1"/>
          <w:sz w:val="24"/>
          <w:szCs w:val="24"/>
          <w:highlight w:val="none"/>
        </w:rPr>
        <w:t>和有关单位进行安全检查。</w:t>
      </w:r>
    </w:p>
    <w:p w14:paraId="31635A3B">
      <w:pPr>
        <w:spacing w:line="310" w:lineRule="auto"/>
        <w:rPr>
          <w:rFonts w:hint="eastAsia" w:ascii="宋体" w:hAnsi="宋体" w:eastAsia="宋体" w:cs="宋体"/>
          <w:color w:val="auto"/>
          <w:sz w:val="24"/>
          <w:szCs w:val="24"/>
          <w:highlight w:val="none"/>
        </w:rPr>
        <w:sectPr>
          <w:headerReference r:id="rId81" w:type="default"/>
          <w:footerReference r:id="rId82" w:type="default"/>
          <w:pgSz w:w="11907" w:h="16840"/>
          <w:pgMar w:top="1182" w:right="1289" w:bottom="1014" w:left="1786" w:header="849" w:footer="852" w:gutter="0"/>
          <w:pgNumType w:fmt="decimal"/>
          <w:cols w:space="720" w:num="1"/>
        </w:sectPr>
      </w:pPr>
    </w:p>
    <w:p w14:paraId="1CD0A1B4">
      <w:pPr>
        <w:pStyle w:val="4"/>
        <w:spacing w:line="301" w:lineRule="auto"/>
        <w:rPr>
          <w:rFonts w:hint="eastAsia" w:ascii="宋体" w:hAnsi="宋体" w:eastAsia="宋体" w:cs="宋体"/>
          <w:color w:val="auto"/>
          <w:highlight w:val="none"/>
        </w:rPr>
      </w:pPr>
    </w:p>
    <w:p w14:paraId="02F4011A">
      <w:pPr>
        <w:spacing w:before="78" w:line="264" w:lineRule="auto"/>
        <w:ind w:left="26" w:right="80" w:firstLine="38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9.1.2发包人应对其现场机构雇佣的全部人员的工伤事故承担责任，但由于承包人原因造成发包人人员工伤的，应由承包人承担责任。</w:t>
      </w:r>
    </w:p>
    <w:p w14:paraId="7391B714">
      <w:pPr>
        <w:spacing w:before="116" w:line="219" w:lineRule="auto"/>
        <w:ind w:left="40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9.1.3发包人应负责赔偿以下各种情况造成的第三</w:t>
      </w:r>
      <w:r>
        <w:rPr>
          <w:rFonts w:hint="eastAsia" w:ascii="宋体" w:hAnsi="宋体" w:eastAsia="宋体" w:cs="宋体"/>
          <w:color w:val="auto"/>
          <w:spacing w:val="-1"/>
          <w:sz w:val="24"/>
          <w:szCs w:val="24"/>
          <w:highlight w:val="none"/>
        </w:rPr>
        <w:t>者人身伤亡和财产损失：</w:t>
      </w:r>
    </w:p>
    <w:p w14:paraId="3DCBBEA9">
      <w:pPr>
        <w:spacing w:before="113" w:line="219" w:lineRule="auto"/>
        <w:ind w:left="9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（1）工程或工程的任何部分对土地的占用所造成的第三者财产损失；</w:t>
      </w:r>
    </w:p>
    <w:p w14:paraId="4D9A0C10">
      <w:pPr>
        <w:spacing w:before="114" w:line="265" w:lineRule="auto"/>
        <w:ind w:left="20" w:right="80" w:firstLine="88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（2）由于发包人原因在施工场地及其毗邻地带造成的第</w:t>
      </w:r>
      <w:r>
        <w:rPr>
          <w:rFonts w:hint="eastAsia" w:ascii="宋体" w:hAnsi="宋体" w:eastAsia="宋体" w:cs="宋体"/>
          <w:color w:val="auto"/>
          <w:spacing w:val="-4"/>
          <w:sz w:val="24"/>
          <w:szCs w:val="24"/>
          <w:highlight w:val="none"/>
        </w:rPr>
        <w:t>三者人身伤亡和财产损失。</w:t>
      </w:r>
    </w:p>
    <w:p w14:paraId="512F52B5">
      <w:pPr>
        <w:pStyle w:val="4"/>
        <w:spacing w:line="252" w:lineRule="auto"/>
        <w:rPr>
          <w:rFonts w:hint="eastAsia" w:ascii="宋体" w:hAnsi="宋体" w:eastAsia="宋体" w:cs="宋体"/>
          <w:color w:val="auto"/>
          <w:highlight w:val="none"/>
        </w:rPr>
      </w:pPr>
    </w:p>
    <w:p w14:paraId="7AE6ED5F">
      <w:pPr>
        <w:spacing w:before="78" w:line="221" w:lineRule="auto"/>
        <w:ind w:left="2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9.2承包人的施工安全责任</w:t>
      </w:r>
    </w:p>
    <w:p w14:paraId="229976E3">
      <w:pPr>
        <w:pStyle w:val="4"/>
        <w:spacing w:line="274" w:lineRule="auto"/>
        <w:rPr>
          <w:rFonts w:hint="eastAsia" w:ascii="宋体" w:hAnsi="宋体" w:eastAsia="宋体" w:cs="宋体"/>
          <w:color w:val="auto"/>
          <w:highlight w:val="none"/>
        </w:rPr>
      </w:pPr>
    </w:p>
    <w:p w14:paraId="44C64A1E">
      <w:pPr>
        <w:spacing w:before="78" w:line="278" w:lineRule="auto"/>
        <w:ind w:left="18" w:right="80" w:firstLine="48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9.2.1承包人应按合同约定履行安全职责，执行监理人有关安全工作的指示，并</w:t>
      </w:r>
      <w:r>
        <w:rPr>
          <w:rFonts w:hint="eastAsia" w:ascii="宋体" w:hAnsi="宋体" w:eastAsia="宋体" w:cs="宋体"/>
          <w:color w:val="auto"/>
          <w:spacing w:val="-2"/>
          <w:sz w:val="24"/>
          <w:szCs w:val="24"/>
          <w:highlight w:val="none"/>
        </w:rPr>
        <w:t>在专用合同条款约定的期限内，按合同约定的安全工作内容，编制施工安全措施计划</w:t>
      </w:r>
      <w:r>
        <w:rPr>
          <w:rFonts w:hint="eastAsia" w:ascii="宋体" w:hAnsi="宋体" w:eastAsia="宋体" w:cs="宋体"/>
          <w:color w:val="auto"/>
          <w:spacing w:val="-1"/>
          <w:sz w:val="24"/>
          <w:szCs w:val="24"/>
          <w:highlight w:val="none"/>
        </w:rPr>
        <w:t>报送监理人审批。</w:t>
      </w:r>
    </w:p>
    <w:p w14:paraId="32905FB0">
      <w:pPr>
        <w:spacing w:before="115" w:line="278" w:lineRule="auto"/>
        <w:ind w:left="21" w:firstLine="47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9.2.2承包人应加强施工作业安全管理，特别应加强易燃、易爆材料、火工器材、</w:t>
      </w:r>
      <w:r>
        <w:rPr>
          <w:rFonts w:hint="eastAsia" w:ascii="宋体" w:hAnsi="宋体" w:eastAsia="宋体" w:cs="宋体"/>
          <w:color w:val="auto"/>
          <w:spacing w:val="-2"/>
          <w:sz w:val="24"/>
          <w:szCs w:val="24"/>
          <w:highlight w:val="none"/>
        </w:rPr>
        <w:t>有毒与腐蚀性材料和其他危险品的管理，以及对爆破作业和地下工程施工等危险作业</w:t>
      </w:r>
      <w:r>
        <w:rPr>
          <w:rFonts w:hint="eastAsia" w:ascii="宋体" w:hAnsi="宋体" w:eastAsia="宋体" w:cs="宋体"/>
          <w:color w:val="auto"/>
          <w:spacing w:val="-3"/>
          <w:sz w:val="24"/>
          <w:szCs w:val="24"/>
          <w:highlight w:val="none"/>
        </w:rPr>
        <w:t>的管理。</w:t>
      </w:r>
    </w:p>
    <w:p w14:paraId="641B8AEB">
      <w:pPr>
        <w:spacing w:before="117" w:line="278" w:lineRule="auto"/>
        <w:ind w:left="21" w:right="80" w:firstLine="47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9.2.3承包人应严格按照国家安全标准制定施工安全操作规程，配备必要的安全</w:t>
      </w:r>
      <w:r>
        <w:rPr>
          <w:rFonts w:hint="eastAsia" w:ascii="宋体" w:hAnsi="宋体" w:eastAsia="宋体" w:cs="宋体"/>
          <w:color w:val="auto"/>
          <w:spacing w:val="-2"/>
          <w:sz w:val="24"/>
          <w:szCs w:val="24"/>
          <w:highlight w:val="none"/>
        </w:rPr>
        <w:t>生产和劳动保护设施，加强对承包人人员的安全教育，并发放安全工作手册和劳动保</w:t>
      </w:r>
      <w:r>
        <w:rPr>
          <w:rFonts w:hint="eastAsia" w:ascii="宋体" w:hAnsi="宋体" w:eastAsia="宋体" w:cs="宋体"/>
          <w:color w:val="auto"/>
          <w:spacing w:val="-3"/>
          <w:sz w:val="24"/>
          <w:szCs w:val="24"/>
          <w:highlight w:val="none"/>
        </w:rPr>
        <w:t>护用具。</w:t>
      </w:r>
    </w:p>
    <w:p w14:paraId="313DCFCD">
      <w:pPr>
        <w:spacing w:before="115" w:line="278" w:lineRule="auto"/>
        <w:ind w:left="20" w:right="80" w:firstLine="48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9.2.4承包人应按监理人的指示制定应对灾害的紧急预案，报送监理人审批。承</w:t>
      </w:r>
      <w:r>
        <w:rPr>
          <w:rFonts w:hint="eastAsia" w:ascii="宋体" w:hAnsi="宋体" w:eastAsia="宋体" w:cs="宋体"/>
          <w:color w:val="auto"/>
          <w:spacing w:val="-2"/>
          <w:sz w:val="24"/>
          <w:szCs w:val="24"/>
          <w:highlight w:val="none"/>
        </w:rPr>
        <w:t>包人还应按预案做好安全检查，配置必要的救助物资和器材，切实保护好有关人员的人身和财产安全。</w:t>
      </w:r>
    </w:p>
    <w:p w14:paraId="5BF1B5F0">
      <w:pPr>
        <w:spacing w:before="116" w:line="278" w:lineRule="auto"/>
        <w:ind w:left="20" w:right="80" w:firstLine="48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9.2.5合同约定的安全作业环境及安全施工措施所需费用应遵守有关规定，并包</w:t>
      </w:r>
      <w:r>
        <w:rPr>
          <w:rFonts w:hint="eastAsia" w:ascii="宋体" w:hAnsi="宋体" w:eastAsia="宋体" w:cs="宋体"/>
          <w:color w:val="auto"/>
          <w:spacing w:val="-2"/>
          <w:sz w:val="24"/>
          <w:szCs w:val="24"/>
          <w:highlight w:val="none"/>
        </w:rPr>
        <w:t>括在相关工作的合同价格中。因采取合同未约定的安全作业环境及安全施工措施增加</w:t>
      </w:r>
      <w:r>
        <w:rPr>
          <w:rFonts w:hint="eastAsia" w:ascii="宋体" w:hAnsi="宋体" w:eastAsia="宋体" w:cs="宋体"/>
          <w:color w:val="auto"/>
          <w:spacing w:val="-1"/>
          <w:sz w:val="24"/>
          <w:szCs w:val="24"/>
          <w:highlight w:val="none"/>
        </w:rPr>
        <w:t>的费用，由监理人按第3.5款商定或确定。</w:t>
      </w:r>
    </w:p>
    <w:p w14:paraId="296F5BFA">
      <w:pPr>
        <w:spacing w:before="115" w:line="263" w:lineRule="auto"/>
        <w:ind w:left="21" w:right="82" w:firstLine="47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9.2.6承包人应对其履行合同所雇佣的全部人员，包括分包人人员的工伤事故承</w:t>
      </w:r>
      <w:r>
        <w:rPr>
          <w:rFonts w:hint="eastAsia" w:ascii="宋体" w:hAnsi="宋体" w:eastAsia="宋体" w:cs="宋体"/>
          <w:color w:val="auto"/>
          <w:sz w:val="24"/>
          <w:szCs w:val="24"/>
          <w:highlight w:val="none"/>
        </w:rPr>
        <w:t>担责任，但由于发包人原因造成承包人人员工伤事故</w:t>
      </w:r>
      <w:r>
        <w:rPr>
          <w:rFonts w:hint="eastAsia" w:ascii="宋体" w:hAnsi="宋体" w:eastAsia="宋体" w:cs="宋体"/>
          <w:color w:val="auto"/>
          <w:spacing w:val="-1"/>
          <w:sz w:val="24"/>
          <w:szCs w:val="24"/>
          <w:highlight w:val="none"/>
        </w:rPr>
        <w:t>的，应由发包人承担责任。</w:t>
      </w:r>
    </w:p>
    <w:p w14:paraId="0220D92D">
      <w:pPr>
        <w:spacing w:before="115" w:line="264" w:lineRule="auto"/>
        <w:ind w:left="20" w:right="82"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9.2.7由于承包人原因在施工场地内及其毗邻地带造成的第三者人员伤亡和财产</w:t>
      </w:r>
      <w:r>
        <w:rPr>
          <w:rFonts w:hint="eastAsia" w:ascii="宋体" w:hAnsi="宋体" w:eastAsia="宋体" w:cs="宋体"/>
          <w:color w:val="auto"/>
          <w:spacing w:val="-1"/>
          <w:sz w:val="24"/>
          <w:szCs w:val="24"/>
          <w:highlight w:val="none"/>
        </w:rPr>
        <w:t>损失，由承包人负责赔偿。</w:t>
      </w:r>
    </w:p>
    <w:p w14:paraId="54499AF9">
      <w:pPr>
        <w:pStyle w:val="4"/>
        <w:spacing w:line="253" w:lineRule="auto"/>
        <w:rPr>
          <w:rFonts w:hint="eastAsia" w:ascii="宋体" w:hAnsi="宋体" w:eastAsia="宋体" w:cs="宋体"/>
          <w:color w:val="auto"/>
          <w:highlight w:val="none"/>
        </w:rPr>
      </w:pPr>
    </w:p>
    <w:p w14:paraId="5ACE158B">
      <w:pPr>
        <w:spacing w:before="79" w:line="222" w:lineRule="auto"/>
        <w:ind w:left="21"/>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9.3治安保卫</w:t>
      </w:r>
    </w:p>
    <w:p w14:paraId="0943DEFB">
      <w:pPr>
        <w:pStyle w:val="4"/>
        <w:spacing w:line="271" w:lineRule="auto"/>
        <w:rPr>
          <w:rFonts w:hint="eastAsia" w:ascii="宋体" w:hAnsi="宋体" w:eastAsia="宋体" w:cs="宋体"/>
          <w:color w:val="auto"/>
          <w:highlight w:val="none"/>
        </w:rPr>
      </w:pPr>
    </w:p>
    <w:p w14:paraId="5166F003">
      <w:pPr>
        <w:spacing w:before="79" w:line="263" w:lineRule="auto"/>
        <w:ind w:left="19" w:firstLine="48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9.3.1除合同另有约定外，发包人应与当地公安部门协商，在现场建立治安管理</w:t>
      </w:r>
      <w:r>
        <w:rPr>
          <w:rFonts w:hint="eastAsia" w:ascii="宋体" w:hAnsi="宋体" w:eastAsia="宋体" w:cs="宋体"/>
          <w:color w:val="auto"/>
          <w:spacing w:val="-6"/>
          <w:sz w:val="24"/>
          <w:szCs w:val="24"/>
          <w:highlight w:val="none"/>
        </w:rPr>
        <w:t>机构或联防组织，统一管理施工场地的治安保卫事项，履行合同工程的治安保卫职</w:t>
      </w:r>
      <w:r>
        <w:rPr>
          <w:rFonts w:hint="eastAsia" w:ascii="宋体" w:hAnsi="宋体" w:eastAsia="宋体" w:cs="宋体"/>
          <w:color w:val="auto"/>
          <w:spacing w:val="-7"/>
          <w:sz w:val="24"/>
          <w:szCs w:val="24"/>
          <w:highlight w:val="none"/>
        </w:rPr>
        <w:t>责。</w:t>
      </w:r>
    </w:p>
    <w:p w14:paraId="4FBE5848">
      <w:pPr>
        <w:spacing w:before="118" w:line="263" w:lineRule="auto"/>
        <w:ind w:left="19" w:right="82" w:firstLine="48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9.3.2发包人和承包人除应协助现场治安管理机构或联防组织维护施工场地的社</w:t>
      </w:r>
      <w:r>
        <w:rPr>
          <w:rFonts w:hint="eastAsia" w:ascii="宋体" w:hAnsi="宋体" w:eastAsia="宋体" w:cs="宋体"/>
          <w:color w:val="auto"/>
          <w:sz w:val="24"/>
          <w:szCs w:val="24"/>
          <w:highlight w:val="none"/>
        </w:rPr>
        <w:t>会治安外，还应做好包括生活区在内的各自管</w:t>
      </w:r>
      <w:r>
        <w:rPr>
          <w:rFonts w:hint="eastAsia" w:ascii="宋体" w:hAnsi="宋体" w:eastAsia="宋体" w:cs="宋体"/>
          <w:color w:val="auto"/>
          <w:spacing w:val="-1"/>
          <w:sz w:val="24"/>
          <w:szCs w:val="24"/>
          <w:highlight w:val="none"/>
        </w:rPr>
        <w:t>辖区的治安保卫工作。</w:t>
      </w:r>
    </w:p>
    <w:p w14:paraId="5DFC4D77">
      <w:pPr>
        <w:spacing w:before="115"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9.3.3除合同另有约定外，发包人和承包人应在工程开工后，共同编制施工场地</w:t>
      </w:r>
    </w:p>
    <w:p w14:paraId="21ECDFDA">
      <w:pPr>
        <w:spacing w:line="219" w:lineRule="auto"/>
        <w:rPr>
          <w:rFonts w:hint="eastAsia" w:ascii="宋体" w:hAnsi="宋体" w:eastAsia="宋体" w:cs="宋体"/>
          <w:color w:val="auto"/>
          <w:sz w:val="24"/>
          <w:szCs w:val="24"/>
          <w:highlight w:val="none"/>
        </w:rPr>
        <w:sectPr>
          <w:headerReference r:id="rId83" w:type="default"/>
          <w:footerReference r:id="rId84" w:type="default"/>
          <w:pgSz w:w="11907" w:h="16840"/>
          <w:pgMar w:top="1182" w:right="1209" w:bottom="1014" w:left="1786" w:header="849" w:footer="852" w:gutter="0"/>
          <w:pgNumType w:fmt="decimal"/>
          <w:cols w:space="720" w:num="1"/>
        </w:sectPr>
      </w:pPr>
    </w:p>
    <w:p w14:paraId="3AF0D9EC">
      <w:pPr>
        <w:pStyle w:val="4"/>
        <w:spacing w:line="300" w:lineRule="auto"/>
        <w:rPr>
          <w:rFonts w:hint="eastAsia" w:ascii="宋体" w:hAnsi="宋体" w:eastAsia="宋体" w:cs="宋体"/>
          <w:color w:val="auto"/>
          <w:highlight w:val="none"/>
        </w:rPr>
      </w:pPr>
    </w:p>
    <w:p w14:paraId="60AA8054">
      <w:pPr>
        <w:spacing w:before="78" w:line="309" w:lineRule="auto"/>
        <w:ind w:left="20" w:firstLine="5"/>
        <w:jc w:val="both"/>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治安管理计划，并制定应对突发治安事件的紧急预案。在工程施工过</w:t>
      </w:r>
      <w:r>
        <w:rPr>
          <w:rFonts w:hint="eastAsia" w:ascii="宋体" w:hAnsi="宋体" w:eastAsia="宋体" w:cs="宋体"/>
          <w:color w:val="auto"/>
          <w:spacing w:val="-7"/>
          <w:sz w:val="24"/>
          <w:szCs w:val="24"/>
          <w:highlight w:val="none"/>
        </w:rPr>
        <w:t>程中，发生暴乱、</w:t>
      </w:r>
      <w:r>
        <w:rPr>
          <w:rFonts w:hint="eastAsia" w:ascii="宋体" w:hAnsi="宋体" w:eastAsia="宋体" w:cs="宋体"/>
          <w:color w:val="auto"/>
          <w:spacing w:val="-2"/>
          <w:sz w:val="24"/>
          <w:szCs w:val="24"/>
          <w:highlight w:val="none"/>
        </w:rPr>
        <w:t>爆炸等恐怖事件，以及群殴、械斗等群体性突发治安事件的，发包人和承包人应立即向当地政府报告。发包人和承包人应积极协助当地有关部门采取措施平息事态，防止</w:t>
      </w:r>
      <w:r>
        <w:rPr>
          <w:rFonts w:hint="eastAsia" w:ascii="宋体" w:hAnsi="宋体" w:eastAsia="宋体" w:cs="宋体"/>
          <w:color w:val="auto"/>
          <w:spacing w:val="-1"/>
          <w:sz w:val="24"/>
          <w:szCs w:val="24"/>
          <w:highlight w:val="none"/>
        </w:rPr>
        <w:t>事态扩大，尽量减少财产损失和避免人员伤亡。</w:t>
      </w:r>
    </w:p>
    <w:p w14:paraId="66DF64AD">
      <w:pPr>
        <w:spacing w:before="215" w:line="222" w:lineRule="auto"/>
        <w:ind w:left="2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9.4环境保护</w:t>
      </w:r>
    </w:p>
    <w:p w14:paraId="6A0F7EBF">
      <w:pPr>
        <w:pStyle w:val="4"/>
        <w:spacing w:line="271" w:lineRule="auto"/>
        <w:rPr>
          <w:rFonts w:hint="eastAsia" w:ascii="宋体" w:hAnsi="宋体" w:eastAsia="宋体" w:cs="宋体"/>
          <w:color w:val="auto"/>
          <w:highlight w:val="none"/>
        </w:rPr>
      </w:pPr>
    </w:p>
    <w:p w14:paraId="7E522607">
      <w:pPr>
        <w:spacing w:before="78" w:line="279" w:lineRule="auto"/>
        <w:ind w:left="21" w:right="80" w:firstLine="47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9.4.1承包人在施工过程中，应遵守有关环境保护的法律，履行合同约定的环境</w:t>
      </w:r>
      <w:r>
        <w:rPr>
          <w:rFonts w:hint="eastAsia" w:ascii="宋体" w:hAnsi="宋体" w:eastAsia="宋体" w:cs="宋体"/>
          <w:color w:val="auto"/>
          <w:spacing w:val="-2"/>
          <w:sz w:val="24"/>
          <w:szCs w:val="24"/>
          <w:highlight w:val="none"/>
        </w:rPr>
        <w:t>保护义务，并对违反法律和合同约定义务所造成的环境破坏、人身伤害和财产损失负</w:t>
      </w:r>
      <w:r>
        <w:rPr>
          <w:rFonts w:hint="eastAsia" w:ascii="宋体" w:hAnsi="宋体" w:eastAsia="宋体" w:cs="宋体"/>
          <w:color w:val="auto"/>
          <w:spacing w:val="-6"/>
          <w:sz w:val="24"/>
          <w:szCs w:val="24"/>
          <w:highlight w:val="none"/>
        </w:rPr>
        <w:t>责。</w:t>
      </w:r>
    </w:p>
    <w:p w14:paraId="73A9D0B1">
      <w:pPr>
        <w:spacing w:before="111" w:line="264" w:lineRule="auto"/>
        <w:ind w:left="22" w:right="82" w:firstLine="47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9.4.2承包人应按合同约定的环保工作内容，编制施工环保措施计划，报送监理</w:t>
      </w:r>
      <w:r>
        <w:rPr>
          <w:rFonts w:hint="eastAsia" w:ascii="宋体" w:hAnsi="宋体" w:eastAsia="宋体" w:cs="宋体"/>
          <w:color w:val="auto"/>
          <w:spacing w:val="-3"/>
          <w:sz w:val="24"/>
          <w:szCs w:val="24"/>
          <w:highlight w:val="none"/>
        </w:rPr>
        <w:t>人审批。</w:t>
      </w:r>
    </w:p>
    <w:p w14:paraId="1479F683">
      <w:pPr>
        <w:spacing w:before="112" w:line="286" w:lineRule="auto"/>
        <w:ind w:left="20" w:right="80" w:firstLine="48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9.4.3承包人应按照批准的施工环保措施计划有序地堆放和处理施工废弃物，避</w:t>
      </w:r>
      <w:r>
        <w:rPr>
          <w:rFonts w:hint="eastAsia" w:ascii="宋体" w:hAnsi="宋体" w:eastAsia="宋体" w:cs="宋体"/>
          <w:color w:val="auto"/>
          <w:spacing w:val="-2"/>
          <w:sz w:val="24"/>
          <w:szCs w:val="24"/>
          <w:highlight w:val="none"/>
        </w:rPr>
        <w:t>免对环境造成破坏。因承包人任意堆放或弃置施工废弃物造成妨碍公共交通、影响城镇居民生活、降低河流行洪能力、危及居民安全、破坏周边环境，或者影响其他承包</w:t>
      </w:r>
      <w:r>
        <w:rPr>
          <w:rFonts w:hint="eastAsia" w:ascii="宋体" w:hAnsi="宋体" w:eastAsia="宋体" w:cs="宋体"/>
          <w:color w:val="auto"/>
          <w:spacing w:val="-1"/>
          <w:sz w:val="24"/>
          <w:szCs w:val="24"/>
          <w:highlight w:val="none"/>
        </w:rPr>
        <w:t>人施工等后果的，承包人应承担责任。</w:t>
      </w:r>
    </w:p>
    <w:p w14:paraId="64FADBEB">
      <w:pPr>
        <w:spacing w:before="113" w:line="264" w:lineRule="auto"/>
        <w:ind w:left="21" w:right="80" w:firstLine="47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9.4.4承包人应按合同约定采取有效措施，对施工开挖的边坡及时进行支护，维</w:t>
      </w:r>
      <w:r>
        <w:rPr>
          <w:rFonts w:hint="eastAsia" w:ascii="宋体" w:hAnsi="宋体" w:eastAsia="宋体" w:cs="宋体"/>
          <w:color w:val="auto"/>
          <w:spacing w:val="-1"/>
          <w:sz w:val="24"/>
          <w:szCs w:val="24"/>
          <w:highlight w:val="none"/>
        </w:rPr>
        <w:t>护排水设施，并进行水土保护，避免因施工造成的地质灾害。</w:t>
      </w:r>
    </w:p>
    <w:p w14:paraId="5B373048">
      <w:pPr>
        <w:spacing w:before="115" w:line="263" w:lineRule="auto"/>
        <w:ind w:left="22" w:right="82" w:firstLine="47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9.4.5承包人应按国家饮用水管理标准定期对饮用水源进行监测，防止施工活动</w:t>
      </w:r>
      <w:r>
        <w:rPr>
          <w:rFonts w:hint="eastAsia" w:ascii="宋体" w:hAnsi="宋体" w:eastAsia="宋体" w:cs="宋体"/>
          <w:color w:val="auto"/>
          <w:spacing w:val="-2"/>
          <w:sz w:val="24"/>
          <w:szCs w:val="24"/>
          <w:highlight w:val="none"/>
        </w:rPr>
        <w:t>污染饮用水源。</w:t>
      </w:r>
    </w:p>
    <w:p w14:paraId="2D5E85CE">
      <w:pPr>
        <w:spacing w:before="115" w:line="264" w:lineRule="auto"/>
        <w:ind w:left="24" w:right="82" w:firstLine="47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9.4.6承包人应按合同约定，加强对噪声、粉尘、废气、废水和废油的控制，努</w:t>
      </w:r>
      <w:r>
        <w:rPr>
          <w:rFonts w:hint="eastAsia" w:ascii="宋体" w:hAnsi="宋体" w:eastAsia="宋体" w:cs="宋体"/>
          <w:color w:val="auto"/>
          <w:spacing w:val="-1"/>
          <w:sz w:val="24"/>
          <w:szCs w:val="24"/>
          <w:highlight w:val="none"/>
        </w:rPr>
        <w:t>力降低噪声，控制粉尘和废气浓度，做好废水和废油的治理和排放。</w:t>
      </w:r>
    </w:p>
    <w:p w14:paraId="284A520C">
      <w:pPr>
        <w:pStyle w:val="4"/>
        <w:spacing w:line="254" w:lineRule="auto"/>
        <w:rPr>
          <w:rFonts w:hint="eastAsia" w:ascii="宋体" w:hAnsi="宋体" w:eastAsia="宋体" w:cs="宋体"/>
          <w:color w:val="auto"/>
          <w:highlight w:val="none"/>
        </w:rPr>
      </w:pPr>
    </w:p>
    <w:p w14:paraId="5CED93A9">
      <w:pPr>
        <w:spacing w:before="79" w:line="223" w:lineRule="auto"/>
        <w:ind w:left="21"/>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9.5事故处理</w:t>
      </w:r>
    </w:p>
    <w:p w14:paraId="6A842659">
      <w:pPr>
        <w:pStyle w:val="4"/>
        <w:spacing w:line="270" w:lineRule="auto"/>
        <w:rPr>
          <w:rFonts w:hint="eastAsia" w:ascii="宋体" w:hAnsi="宋体" w:eastAsia="宋体" w:cs="宋体"/>
          <w:color w:val="auto"/>
          <w:highlight w:val="none"/>
        </w:rPr>
      </w:pPr>
    </w:p>
    <w:p w14:paraId="074D6060">
      <w:pPr>
        <w:spacing w:before="79" w:line="308" w:lineRule="auto"/>
        <w:ind w:left="19" w:right="80" w:firstLine="483"/>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工程施工过程中发生事故的，承包人应立即通知监理人，监理人应立即</w:t>
      </w:r>
      <w:r>
        <w:rPr>
          <w:rFonts w:hint="eastAsia" w:ascii="宋体" w:hAnsi="宋体" w:eastAsia="宋体" w:cs="宋体"/>
          <w:color w:val="auto"/>
          <w:spacing w:val="-3"/>
          <w:sz w:val="24"/>
          <w:szCs w:val="24"/>
          <w:highlight w:val="none"/>
        </w:rPr>
        <w:t>通知发包</w:t>
      </w:r>
      <w:r>
        <w:rPr>
          <w:rFonts w:hint="eastAsia" w:ascii="宋体" w:hAnsi="宋体" w:eastAsia="宋体" w:cs="宋体"/>
          <w:color w:val="auto"/>
          <w:spacing w:val="-2"/>
          <w:sz w:val="24"/>
          <w:szCs w:val="24"/>
          <w:highlight w:val="none"/>
        </w:rPr>
        <w:t>人。发包人和承包人应立即组织人员和设备进行紧急抢救和抢修，减少人员伤亡和财产损失，防止事故扩大，并保护事故现场。需要移动现场物品时，应作出标记和书面记录，妥善保管有关证据。发包人和承包人应按国家有关规定，及时如实地向有关部</w:t>
      </w:r>
      <w:r>
        <w:rPr>
          <w:rFonts w:hint="eastAsia" w:ascii="宋体" w:hAnsi="宋体" w:eastAsia="宋体" w:cs="宋体"/>
          <w:color w:val="auto"/>
          <w:spacing w:val="-1"/>
          <w:sz w:val="24"/>
          <w:szCs w:val="24"/>
          <w:highlight w:val="none"/>
        </w:rPr>
        <w:t>门报告事故发生的情况，以及正在采取的紧急措施等。</w:t>
      </w:r>
    </w:p>
    <w:p w14:paraId="513F2722">
      <w:pPr>
        <w:pStyle w:val="4"/>
        <w:spacing w:line="318" w:lineRule="auto"/>
        <w:rPr>
          <w:rFonts w:hint="eastAsia" w:ascii="宋体" w:hAnsi="宋体" w:eastAsia="宋体" w:cs="宋体"/>
          <w:color w:val="auto"/>
          <w:highlight w:val="none"/>
        </w:rPr>
      </w:pPr>
    </w:p>
    <w:p w14:paraId="05D67E0A">
      <w:pPr>
        <w:spacing w:before="91" w:line="222" w:lineRule="auto"/>
        <w:ind w:left="44"/>
        <w:outlineLvl w:val="2"/>
        <w:rPr>
          <w:rFonts w:hint="eastAsia" w:ascii="宋体" w:hAnsi="宋体" w:eastAsia="宋体" w:cs="宋体"/>
          <w:color w:val="auto"/>
          <w:sz w:val="28"/>
          <w:szCs w:val="28"/>
          <w:highlight w:val="none"/>
        </w:rPr>
      </w:pPr>
      <w:bookmarkStart w:id="491" w:name="_Toc32631"/>
      <w:bookmarkStart w:id="492" w:name="_Toc18527"/>
      <w:bookmarkStart w:id="493" w:name="_Toc8682"/>
      <w:bookmarkStart w:id="494" w:name="_Toc12930"/>
      <w:bookmarkStart w:id="495" w:name="_Toc8211"/>
      <w:r>
        <w:rPr>
          <w:rFonts w:hint="eastAsia" w:ascii="宋体" w:hAnsi="宋体" w:eastAsia="宋体" w:cs="宋体"/>
          <w:color w:val="auto"/>
          <w:spacing w:val="-4"/>
          <w:sz w:val="28"/>
          <w:szCs w:val="28"/>
          <w:highlight w:val="none"/>
        </w:rPr>
        <w:t>10.进度计划</w:t>
      </w:r>
      <w:bookmarkEnd w:id="491"/>
      <w:bookmarkEnd w:id="492"/>
      <w:bookmarkEnd w:id="493"/>
      <w:bookmarkEnd w:id="494"/>
      <w:bookmarkEnd w:id="495"/>
    </w:p>
    <w:p w14:paraId="1B9DD76B">
      <w:pPr>
        <w:pStyle w:val="4"/>
        <w:spacing w:line="249" w:lineRule="auto"/>
        <w:rPr>
          <w:rFonts w:hint="eastAsia" w:ascii="宋体" w:hAnsi="宋体" w:eastAsia="宋体" w:cs="宋体"/>
          <w:color w:val="auto"/>
          <w:highlight w:val="none"/>
        </w:rPr>
      </w:pPr>
    </w:p>
    <w:p w14:paraId="11E6323E">
      <w:pPr>
        <w:spacing w:before="79" w:line="222" w:lineRule="auto"/>
        <w:ind w:left="3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10.1合同进度计划</w:t>
      </w:r>
    </w:p>
    <w:p w14:paraId="272AB94C">
      <w:pPr>
        <w:pStyle w:val="4"/>
        <w:spacing w:line="271" w:lineRule="auto"/>
        <w:rPr>
          <w:rFonts w:hint="eastAsia" w:ascii="宋体" w:hAnsi="宋体" w:eastAsia="宋体" w:cs="宋体"/>
          <w:color w:val="auto"/>
          <w:highlight w:val="none"/>
        </w:rPr>
      </w:pPr>
    </w:p>
    <w:p w14:paraId="30A2F8AC">
      <w:pPr>
        <w:spacing w:before="79" w:line="309" w:lineRule="auto"/>
        <w:ind w:left="22" w:right="80" w:firstLine="478"/>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承包人应按专用合同条款约定的内容和期限，编制详细的施工进度计划和施工方案说明报送监理人。监理人应在专用合同条款约定的期限内批复或提出修改意见，否</w:t>
      </w:r>
    </w:p>
    <w:p w14:paraId="6D04ED7C">
      <w:pPr>
        <w:spacing w:line="309" w:lineRule="auto"/>
        <w:rPr>
          <w:rFonts w:hint="eastAsia" w:ascii="宋体" w:hAnsi="宋体" w:eastAsia="宋体" w:cs="宋体"/>
          <w:color w:val="auto"/>
          <w:sz w:val="24"/>
          <w:szCs w:val="24"/>
          <w:highlight w:val="none"/>
        </w:rPr>
        <w:sectPr>
          <w:footerReference r:id="rId85" w:type="default"/>
          <w:pgSz w:w="11907" w:h="16840"/>
          <w:pgMar w:top="1182" w:right="1209" w:bottom="1014" w:left="1786" w:header="849" w:footer="852" w:gutter="0"/>
          <w:pgNumType w:fmt="decimal"/>
          <w:cols w:space="720" w:num="1"/>
        </w:sectPr>
      </w:pPr>
    </w:p>
    <w:p w14:paraId="3DE8CF9F">
      <w:pPr>
        <w:pStyle w:val="4"/>
        <w:spacing w:line="300" w:lineRule="auto"/>
        <w:rPr>
          <w:rFonts w:hint="eastAsia" w:ascii="宋体" w:hAnsi="宋体" w:eastAsia="宋体" w:cs="宋体"/>
          <w:color w:val="auto"/>
          <w:highlight w:val="none"/>
        </w:rPr>
      </w:pPr>
    </w:p>
    <w:p w14:paraId="30F6439F">
      <w:pPr>
        <w:spacing w:before="78" w:line="310" w:lineRule="auto"/>
        <w:ind w:left="21" w:firstLine="3"/>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则该进度计划视为已得到批准。经监理人批准的施工进度计划称合同进度计划，</w:t>
      </w:r>
      <w:r>
        <w:rPr>
          <w:rFonts w:hint="eastAsia" w:ascii="宋体" w:hAnsi="宋体" w:eastAsia="宋体" w:cs="宋体"/>
          <w:color w:val="auto"/>
          <w:spacing w:val="-3"/>
          <w:sz w:val="24"/>
          <w:szCs w:val="24"/>
          <w:highlight w:val="none"/>
        </w:rPr>
        <w:t>是控</w:t>
      </w:r>
      <w:r>
        <w:rPr>
          <w:rFonts w:hint="eastAsia" w:ascii="宋体" w:hAnsi="宋体" w:eastAsia="宋体" w:cs="宋体"/>
          <w:color w:val="auto"/>
          <w:spacing w:val="-2"/>
          <w:sz w:val="24"/>
          <w:szCs w:val="24"/>
          <w:highlight w:val="none"/>
        </w:rPr>
        <w:t>制合同工程进度的依据。承包人还应根据合同进度计划，编制更为详细的分阶段或分</w:t>
      </w:r>
      <w:r>
        <w:rPr>
          <w:rFonts w:hint="eastAsia" w:ascii="宋体" w:hAnsi="宋体" w:eastAsia="宋体" w:cs="宋体"/>
          <w:color w:val="auto"/>
          <w:spacing w:val="-1"/>
          <w:sz w:val="24"/>
          <w:szCs w:val="24"/>
          <w:highlight w:val="none"/>
        </w:rPr>
        <w:t>项进度计划，报监理人审批。</w:t>
      </w:r>
    </w:p>
    <w:p w14:paraId="3D382EF1">
      <w:pPr>
        <w:spacing w:before="212" w:line="222" w:lineRule="auto"/>
        <w:ind w:left="3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10.2合同进度计划的修订</w:t>
      </w:r>
    </w:p>
    <w:p w14:paraId="1DB479DD">
      <w:pPr>
        <w:pStyle w:val="4"/>
        <w:spacing w:line="274" w:lineRule="auto"/>
        <w:rPr>
          <w:rFonts w:hint="eastAsia" w:ascii="宋体" w:hAnsi="宋体" w:eastAsia="宋体" w:cs="宋体"/>
          <w:color w:val="auto"/>
          <w:highlight w:val="none"/>
        </w:rPr>
      </w:pPr>
    </w:p>
    <w:p w14:paraId="2979C3FF">
      <w:pPr>
        <w:spacing w:before="78" w:line="308" w:lineRule="auto"/>
        <w:ind w:left="19" w:firstLine="393"/>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不论何种原因造成工程的实际进度与第10.1款的合同进度计划不符时，承包人可以在专用合同条款约定的期限内向监理人提交修订合同进度计划的申请报告，并附有关措施和相关资料，报监理人审批；监理人也可以直接向承包人作出修订合同进度计划的指示，承包人应按该指示修订合同进度计划，报监理人审批。监理人应在专用合</w:t>
      </w:r>
      <w:r>
        <w:rPr>
          <w:rFonts w:hint="eastAsia" w:ascii="宋体" w:hAnsi="宋体" w:eastAsia="宋体" w:cs="宋体"/>
          <w:color w:val="auto"/>
          <w:spacing w:val="-1"/>
          <w:sz w:val="24"/>
          <w:szCs w:val="24"/>
          <w:highlight w:val="none"/>
        </w:rPr>
        <w:t>同条款约定的期限内批复。监理人在批复前应获得发包人同意。</w:t>
      </w:r>
    </w:p>
    <w:p w14:paraId="05DB18F7">
      <w:pPr>
        <w:pStyle w:val="4"/>
        <w:spacing w:line="315" w:lineRule="auto"/>
        <w:rPr>
          <w:rFonts w:hint="eastAsia" w:ascii="宋体" w:hAnsi="宋体" w:eastAsia="宋体" w:cs="宋体"/>
          <w:color w:val="auto"/>
          <w:highlight w:val="none"/>
        </w:rPr>
      </w:pPr>
    </w:p>
    <w:p w14:paraId="716EE524">
      <w:pPr>
        <w:spacing w:before="91" w:line="222" w:lineRule="auto"/>
        <w:ind w:left="44"/>
        <w:outlineLvl w:val="2"/>
        <w:rPr>
          <w:rFonts w:hint="eastAsia" w:ascii="宋体" w:hAnsi="宋体" w:eastAsia="宋体" w:cs="宋体"/>
          <w:color w:val="auto"/>
          <w:sz w:val="28"/>
          <w:szCs w:val="28"/>
          <w:highlight w:val="none"/>
        </w:rPr>
      </w:pPr>
      <w:bookmarkStart w:id="496" w:name="_Toc29153"/>
      <w:bookmarkStart w:id="497" w:name="_Toc28854"/>
      <w:bookmarkStart w:id="498" w:name="_Toc28431"/>
      <w:bookmarkStart w:id="499" w:name="_Toc5763"/>
      <w:bookmarkStart w:id="500" w:name="_Toc14912"/>
      <w:r>
        <w:rPr>
          <w:rFonts w:hint="eastAsia" w:ascii="宋体" w:hAnsi="宋体" w:eastAsia="宋体" w:cs="宋体"/>
          <w:color w:val="auto"/>
          <w:spacing w:val="-6"/>
          <w:sz w:val="28"/>
          <w:szCs w:val="28"/>
          <w:highlight w:val="none"/>
        </w:rPr>
        <w:t>11.开工和竣工</w:t>
      </w:r>
      <w:bookmarkEnd w:id="496"/>
      <w:bookmarkEnd w:id="497"/>
      <w:bookmarkEnd w:id="498"/>
      <w:bookmarkEnd w:id="499"/>
      <w:bookmarkEnd w:id="500"/>
    </w:p>
    <w:p w14:paraId="2504E51E">
      <w:pPr>
        <w:pStyle w:val="4"/>
        <w:spacing w:line="251" w:lineRule="auto"/>
        <w:rPr>
          <w:rFonts w:hint="eastAsia" w:ascii="宋体" w:hAnsi="宋体" w:eastAsia="宋体" w:cs="宋体"/>
          <w:color w:val="auto"/>
          <w:highlight w:val="none"/>
        </w:rPr>
      </w:pPr>
    </w:p>
    <w:p w14:paraId="5179A9A8">
      <w:pPr>
        <w:spacing w:before="78" w:line="224" w:lineRule="auto"/>
        <w:ind w:left="39"/>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11.1开工</w:t>
      </w:r>
    </w:p>
    <w:p w14:paraId="72444064">
      <w:pPr>
        <w:pStyle w:val="4"/>
        <w:spacing w:line="270" w:lineRule="auto"/>
        <w:rPr>
          <w:rFonts w:hint="eastAsia" w:ascii="宋体" w:hAnsi="宋体" w:eastAsia="宋体" w:cs="宋体"/>
          <w:color w:val="auto"/>
          <w:highlight w:val="none"/>
        </w:rPr>
      </w:pPr>
    </w:p>
    <w:p w14:paraId="1868F6E1">
      <w:pPr>
        <w:spacing w:before="78" w:line="308" w:lineRule="auto"/>
        <w:ind w:left="19" w:firstLine="393"/>
        <w:jc w:val="both"/>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11.1.1监理人应在开工日期7天前向承包人发出开工通知。监理人在发出开工通知前应获得发包人同意。工期自监理人发出的开工通知中载明的开工日期起计算。承包人应在开工日期后尽快施工。</w:t>
      </w:r>
    </w:p>
    <w:p w14:paraId="61701563">
      <w:pPr>
        <w:spacing w:before="78" w:line="308" w:lineRule="auto"/>
        <w:ind w:firstLine="236" w:firstLineChars="100"/>
        <w:jc w:val="both"/>
        <w:rPr>
          <w:rFonts w:hint="eastAsia" w:ascii="宋体" w:hAnsi="宋体" w:eastAsia="宋体" w:cs="宋体"/>
          <w:color w:val="auto"/>
          <w:spacing w:val="-7"/>
          <w:sz w:val="24"/>
          <w:szCs w:val="24"/>
          <w:highlight w:val="none"/>
        </w:rPr>
      </w:pPr>
      <w:r>
        <w:rPr>
          <w:rFonts w:hint="eastAsia" w:ascii="宋体" w:hAnsi="宋体" w:eastAsia="宋体" w:cs="宋体"/>
          <w:color w:val="auto"/>
          <w:spacing w:val="-2"/>
          <w:sz w:val="24"/>
          <w:szCs w:val="24"/>
          <w:highlight w:val="none"/>
        </w:rPr>
        <w:t>11.1.2承包人应按第10.1款约定的合同进度计划，向监理人提交工程开工报审表，经监理人审批后执行。开工报审表应详细说明按合同进度计划正常施工所需的施工道路、临时设施、材料设备、施工人员等施工组织措施的落实情况以及工程的进度安排</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7"/>
          <w:sz w:val="24"/>
          <w:szCs w:val="24"/>
          <w:highlight w:val="none"/>
          <w:lang w:val="en-US" w:eastAsia="zh-CN"/>
        </w:rPr>
        <w:tab/>
      </w:r>
    </w:p>
    <w:p w14:paraId="42CC3472">
      <w:pPr>
        <w:spacing w:before="78" w:line="224" w:lineRule="auto"/>
        <w:ind w:left="39"/>
        <w:rPr>
          <w:rFonts w:hint="eastAsia" w:ascii="宋体" w:hAnsi="宋体" w:eastAsia="宋体" w:cs="宋体"/>
          <w:color w:val="auto"/>
          <w:spacing w:val="-7"/>
          <w:sz w:val="24"/>
          <w:szCs w:val="24"/>
          <w:highlight w:val="none"/>
        </w:rPr>
      </w:pPr>
      <w:r>
        <w:rPr>
          <w:rFonts w:hint="eastAsia" w:ascii="宋体" w:hAnsi="宋体" w:eastAsia="宋体" w:cs="宋体"/>
          <w:color w:val="auto"/>
          <w:spacing w:val="-7"/>
          <w:sz w:val="24"/>
          <w:szCs w:val="24"/>
          <w:highlight w:val="none"/>
        </w:rPr>
        <w:t>11.2</w:t>
      </w:r>
      <w:r>
        <w:rPr>
          <w:rFonts w:hint="eastAsia" w:ascii="宋体" w:hAnsi="宋体" w:eastAsia="宋体" w:cs="宋体"/>
          <w:color w:val="auto"/>
          <w:spacing w:val="-7"/>
          <w:sz w:val="24"/>
          <w:szCs w:val="24"/>
          <w:highlight w:val="none"/>
          <w:lang w:val="en-US" w:eastAsia="zh-CN"/>
        </w:rPr>
        <w:t xml:space="preserve"> </w:t>
      </w:r>
      <w:r>
        <w:rPr>
          <w:rFonts w:hint="eastAsia" w:ascii="宋体" w:hAnsi="宋体" w:eastAsia="宋体" w:cs="宋体"/>
          <w:color w:val="auto"/>
          <w:spacing w:val="-7"/>
          <w:sz w:val="24"/>
          <w:szCs w:val="24"/>
          <w:highlight w:val="none"/>
        </w:rPr>
        <w:t>竣工</w:t>
      </w:r>
    </w:p>
    <w:p w14:paraId="6BD5178C">
      <w:pPr>
        <w:spacing w:before="78" w:line="224" w:lineRule="auto"/>
        <w:ind w:left="39"/>
        <w:rPr>
          <w:rFonts w:hint="eastAsia" w:ascii="宋体" w:hAnsi="宋体" w:eastAsia="宋体" w:cs="宋体"/>
          <w:color w:val="auto"/>
          <w:spacing w:val="-7"/>
          <w:sz w:val="24"/>
          <w:szCs w:val="24"/>
          <w:highlight w:val="none"/>
        </w:rPr>
      </w:pPr>
    </w:p>
    <w:p w14:paraId="77E9FB46">
      <w:pPr>
        <w:spacing w:before="79" w:line="309" w:lineRule="auto"/>
        <w:ind w:left="27" w:firstLine="473"/>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承包人应在第1.1.4.3目约定的期限内完成合同工程。实际竣工日期在接收证书中</w:t>
      </w:r>
      <w:r>
        <w:rPr>
          <w:rFonts w:hint="eastAsia" w:ascii="宋体" w:hAnsi="宋体" w:eastAsia="宋体" w:cs="宋体"/>
          <w:color w:val="auto"/>
          <w:spacing w:val="-6"/>
          <w:sz w:val="24"/>
          <w:szCs w:val="24"/>
          <w:highlight w:val="none"/>
        </w:rPr>
        <w:t>写明。</w:t>
      </w:r>
    </w:p>
    <w:p w14:paraId="7E2A96B3">
      <w:pPr>
        <w:spacing w:before="218" w:line="221" w:lineRule="auto"/>
        <w:ind w:left="3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11.3发包人的工期延误</w:t>
      </w:r>
    </w:p>
    <w:p w14:paraId="7ADF6328">
      <w:pPr>
        <w:pStyle w:val="4"/>
        <w:spacing w:line="270" w:lineRule="auto"/>
        <w:rPr>
          <w:rFonts w:hint="eastAsia" w:ascii="宋体" w:hAnsi="宋体" w:eastAsia="宋体" w:cs="宋体"/>
          <w:color w:val="auto"/>
          <w:highlight w:val="none"/>
        </w:rPr>
      </w:pPr>
    </w:p>
    <w:p w14:paraId="403319F8">
      <w:pPr>
        <w:spacing w:before="78" w:line="308" w:lineRule="auto"/>
        <w:ind w:left="20" w:firstLine="479"/>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在履行合同过程中，由于发包人的下列原因造成工期延误的，承包人有权要求发包人延长工期和（或）增加费用，并支付合理利润。需要修订合同进度计划的，按照</w:t>
      </w:r>
      <w:r>
        <w:rPr>
          <w:rFonts w:hint="eastAsia" w:ascii="宋体" w:hAnsi="宋体" w:eastAsia="宋体" w:cs="宋体"/>
          <w:color w:val="auto"/>
          <w:spacing w:val="-3"/>
          <w:sz w:val="24"/>
          <w:szCs w:val="24"/>
          <w:highlight w:val="none"/>
        </w:rPr>
        <w:t>第10.2款的约定办理。</w:t>
      </w:r>
    </w:p>
    <w:p w14:paraId="5867304A">
      <w:pPr>
        <w:spacing w:line="212" w:lineRule="auto"/>
        <w:ind w:left="51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（1）增加合同工作内容;</w:t>
      </w:r>
    </w:p>
    <w:p w14:paraId="2BF13219">
      <w:pPr>
        <w:spacing w:before="126" w:line="219" w:lineRule="auto"/>
        <w:ind w:left="51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（2）改变合同中任何一项工作的质量要求或其他特性；</w:t>
      </w:r>
    </w:p>
    <w:p w14:paraId="02D820E7">
      <w:pPr>
        <w:spacing w:before="115" w:line="219" w:lineRule="auto"/>
        <w:ind w:left="51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（3）发包人迟延提供材料、工程设备或变更交货地点的；</w:t>
      </w:r>
    </w:p>
    <w:p w14:paraId="0454ED24">
      <w:pPr>
        <w:spacing w:before="114" w:line="220" w:lineRule="auto"/>
        <w:ind w:left="51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（4）因发包人原因导致的暂停施工；</w:t>
      </w:r>
    </w:p>
    <w:p w14:paraId="3AD5B7C6">
      <w:pPr>
        <w:spacing w:line="220" w:lineRule="auto"/>
        <w:rPr>
          <w:rFonts w:hint="eastAsia" w:ascii="宋体" w:hAnsi="宋体" w:eastAsia="宋体" w:cs="宋体"/>
          <w:color w:val="auto"/>
          <w:sz w:val="24"/>
          <w:szCs w:val="24"/>
          <w:highlight w:val="none"/>
        </w:rPr>
        <w:sectPr>
          <w:headerReference r:id="rId86" w:type="default"/>
          <w:footerReference r:id="rId87" w:type="default"/>
          <w:pgSz w:w="11907" w:h="16840"/>
          <w:pgMar w:top="1182" w:right="1289" w:bottom="1014" w:left="1786" w:header="849" w:footer="852" w:gutter="0"/>
          <w:pgNumType w:fmt="decimal"/>
          <w:cols w:space="720" w:num="1"/>
        </w:sectPr>
      </w:pPr>
    </w:p>
    <w:p w14:paraId="4282B2FF">
      <w:pPr>
        <w:pStyle w:val="4"/>
        <w:spacing w:line="301" w:lineRule="auto"/>
        <w:rPr>
          <w:rFonts w:hint="eastAsia" w:ascii="宋体" w:hAnsi="宋体" w:eastAsia="宋体" w:cs="宋体"/>
          <w:color w:val="auto"/>
          <w:highlight w:val="none"/>
        </w:rPr>
      </w:pPr>
    </w:p>
    <w:p w14:paraId="5EC8E22B">
      <w:pPr>
        <w:spacing w:before="78" w:line="219" w:lineRule="auto"/>
        <w:ind w:left="51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（5）提供图纸延误；</w:t>
      </w:r>
    </w:p>
    <w:p w14:paraId="2D79EB15">
      <w:pPr>
        <w:spacing w:before="117" w:line="219" w:lineRule="auto"/>
        <w:ind w:left="51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（6）未按合同约定及时支付预付款、进度款；</w:t>
      </w:r>
    </w:p>
    <w:p w14:paraId="6FD4EBA7">
      <w:pPr>
        <w:spacing w:before="115" w:line="220" w:lineRule="auto"/>
        <w:ind w:left="51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（7）发包人造成工期延误的其他原因。</w:t>
      </w:r>
    </w:p>
    <w:p w14:paraId="43E11A29">
      <w:pPr>
        <w:pStyle w:val="4"/>
        <w:spacing w:line="253" w:lineRule="auto"/>
        <w:rPr>
          <w:rFonts w:hint="eastAsia" w:ascii="宋体" w:hAnsi="宋体" w:eastAsia="宋体" w:cs="宋体"/>
          <w:color w:val="auto"/>
          <w:highlight w:val="none"/>
        </w:rPr>
      </w:pPr>
    </w:p>
    <w:p w14:paraId="7E531D16">
      <w:pPr>
        <w:spacing w:before="78" w:line="221" w:lineRule="auto"/>
        <w:ind w:left="3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11.4异常恶劣的气候条件</w:t>
      </w:r>
    </w:p>
    <w:p w14:paraId="104F5D47">
      <w:pPr>
        <w:pStyle w:val="4"/>
        <w:spacing w:line="273" w:lineRule="auto"/>
        <w:rPr>
          <w:rFonts w:hint="eastAsia" w:ascii="宋体" w:hAnsi="宋体" w:eastAsia="宋体" w:cs="宋体"/>
          <w:color w:val="auto"/>
          <w:highlight w:val="none"/>
        </w:rPr>
      </w:pPr>
    </w:p>
    <w:p w14:paraId="040C1BB0">
      <w:pPr>
        <w:spacing w:before="78" w:line="309" w:lineRule="auto"/>
        <w:ind w:left="21" w:right="20" w:firstLine="508"/>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由于出现专用合同条款约定的异常恶劣气候的条件导致工期延误的，承包人有权</w:t>
      </w:r>
      <w:r>
        <w:rPr>
          <w:rFonts w:hint="eastAsia" w:ascii="宋体" w:hAnsi="宋体" w:eastAsia="宋体" w:cs="宋体"/>
          <w:color w:val="auto"/>
          <w:spacing w:val="-2"/>
          <w:sz w:val="24"/>
          <w:szCs w:val="24"/>
          <w:highlight w:val="none"/>
        </w:rPr>
        <w:t>要求发包人延长工期。</w:t>
      </w:r>
    </w:p>
    <w:p w14:paraId="11DA1480">
      <w:pPr>
        <w:spacing w:before="216" w:line="222" w:lineRule="auto"/>
        <w:ind w:left="3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11.5承包人的工期延误</w:t>
      </w:r>
    </w:p>
    <w:p w14:paraId="667314D4">
      <w:pPr>
        <w:pStyle w:val="4"/>
        <w:spacing w:line="268" w:lineRule="auto"/>
        <w:rPr>
          <w:rFonts w:hint="eastAsia" w:ascii="宋体" w:hAnsi="宋体" w:eastAsia="宋体" w:cs="宋体"/>
          <w:color w:val="auto"/>
          <w:highlight w:val="none"/>
        </w:rPr>
      </w:pPr>
    </w:p>
    <w:p w14:paraId="39209201">
      <w:pPr>
        <w:spacing w:before="78" w:line="309" w:lineRule="auto"/>
        <w:ind w:left="22" w:right="20" w:firstLine="507"/>
        <w:jc w:val="both"/>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由于承包人原因，未能按合同进度计划完成工作，或监理人认为承包人施工进度</w:t>
      </w:r>
      <w:r>
        <w:rPr>
          <w:rFonts w:hint="eastAsia" w:ascii="宋体" w:hAnsi="宋体" w:eastAsia="宋体" w:cs="宋体"/>
          <w:color w:val="auto"/>
          <w:spacing w:val="-2"/>
          <w:sz w:val="24"/>
          <w:szCs w:val="24"/>
          <w:highlight w:val="none"/>
        </w:rPr>
        <w:t>不能满足合同工期要求的，承包人应采取措施加快进度，并承担加快进度所增加的费用。由于承包人原因造成工期延误，承包人应支付逾期竣工违约金。逾期竣工违约金的计算方法在专用合同条款中约定。承包人支付逾期竣工违约金，不免除承包人完成工程及修补缺陷的义务。</w:t>
      </w:r>
    </w:p>
    <w:p w14:paraId="50B83928">
      <w:pPr>
        <w:spacing w:before="214" w:line="222" w:lineRule="auto"/>
        <w:ind w:left="39"/>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11.6工期提前</w:t>
      </w:r>
    </w:p>
    <w:p w14:paraId="2AF0EF7C">
      <w:pPr>
        <w:pStyle w:val="4"/>
        <w:spacing w:line="273" w:lineRule="auto"/>
        <w:rPr>
          <w:rFonts w:hint="eastAsia" w:ascii="宋体" w:hAnsi="宋体" w:eastAsia="宋体" w:cs="宋体"/>
          <w:color w:val="auto"/>
          <w:highlight w:val="none"/>
        </w:rPr>
      </w:pPr>
    </w:p>
    <w:p w14:paraId="1DB0F6D1">
      <w:pPr>
        <w:spacing w:before="79" w:line="310" w:lineRule="auto"/>
        <w:ind w:left="22" w:firstLine="481"/>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发包人要求承包人提前竣工，或承包人提出提前竣工的建议能够给发</w:t>
      </w:r>
      <w:r>
        <w:rPr>
          <w:rFonts w:hint="eastAsia" w:ascii="宋体" w:hAnsi="宋体" w:eastAsia="宋体" w:cs="宋体"/>
          <w:color w:val="auto"/>
          <w:spacing w:val="-3"/>
          <w:sz w:val="24"/>
          <w:szCs w:val="24"/>
          <w:highlight w:val="none"/>
        </w:rPr>
        <w:t>包人带来效</w:t>
      </w:r>
      <w:r>
        <w:rPr>
          <w:rFonts w:hint="eastAsia" w:ascii="宋体" w:hAnsi="宋体" w:eastAsia="宋体" w:cs="宋体"/>
          <w:color w:val="auto"/>
          <w:spacing w:val="-1"/>
          <w:sz w:val="24"/>
          <w:szCs w:val="24"/>
          <w:highlight w:val="none"/>
        </w:rPr>
        <w:t>益的，应由监理人与承包人共同协商采取加快工</w:t>
      </w:r>
      <w:r>
        <w:rPr>
          <w:rFonts w:hint="eastAsia" w:ascii="宋体" w:hAnsi="宋体" w:eastAsia="宋体" w:cs="宋体"/>
          <w:color w:val="auto"/>
          <w:spacing w:val="-2"/>
          <w:sz w:val="24"/>
          <w:szCs w:val="24"/>
          <w:highlight w:val="none"/>
        </w:rPr>
        <w:t>程进度的措施和修订合同进度计划。</w:t>
      </w:r>
      <w:r>
        <w:rPr>
          <w:rFonts w:hint="eastAsia" w:ascii="宋体" w:hAnsi="宋体" w:eastAsia="宋体" w:cs="宋体"/>
          <w:color w:val="auto"/>
          <w:spacing w:val="5"/>
          <w:sz w:val="24"/>
          <w:szCs w:val="24"/>
          <w:highlight w:val="none"/>
        </w:rPr>
        <w:t>发包人应承担承包人由此增加的费用，并向承包人支</w:t>
      </w:r>
      <w:r>
        <w:rPr>
          <w:rFonts w:hint="eastAsia" w:ascii="宋体" w:hAnsi="宋体" w:eastAsia="宋体" w:cs="宋体"/>
          <w:color w:val="auto"/>
          <w:spacing w:val="4"/>
          <w:sz w:val="24"/>
          <w:szCs w:val="24"/>
          <w:highlight w:val="none"/>
        </w:rPr>
        <w:t>付专用合同条款约定的相应奖</w:t>
      </w:r>
      <w:r>
        <w:rPr>
          <w:rFonts w:hint="eastAsia" w:ascii="宋体" w:hAnsi="宋体" w:eastAsia="宋体" w:cs="宋体"/>
          <w:color w:val="auto"/>
          <w:spacing w:val="-6"/>
          <w:sz w:val="24"/>
          <w:szCs w:val="24"/>
          <w:highlight w:val="none"/>
        </w:rPr>
        <w:t>金。</w:t>
      </w:r>
    </w:p>
    <w:p w14:paraId="7F8A0DAB">
      <w:pPr>
        <w:pStyle w:val="4"/>
        <w:spacing w:line="307" w:lineRule="auto"/>
        <w:rPr>
          <w:rFonts w:hint="eastAsia" w:ascii="宋体" w:hAnsi="宋体" w:eastAsia="宋体" w:cs="宋体"/>
          <w:color w:val="auto"/>
          <w:highlight w:val="none"/>
        </w:rPr>
      </w:pPr>
    </w:p>
    <w:p w14:paraId="30B87698">
      <w:pPr>
        <w:spacing w:before="92" w:line="224" w:lineRule="auto"/>
        <w:ind w:left="44"/>
        <w:outlineLvl w:val="2"/>
        <w:rPr>
          <w:rFonts w:hint="eastAsia" w:ascii="宋体" w:hAnsi="宋体" w:eastAsia="宋体" w:cs="宋体"/>
          <w:color w:val="auto"/>
          <w:sz w:val="28"/>
          <w:szCs w:val="28"/>
          <w:highlight w:val="none"/>
        </w:rPr>
      </w:pPr>
      <w:bookmarkStart w:id="501" w:name="_Toc14719"/>
      <w:bookmarkStart w:id="502" w:name="_Toc12500"/>
      <w:bookmarkStart w:id="503" w:name="_Toc6523"/>
      <w:bookmarkStart w:id="504" w:name="_Toc12848"/>
      <w:bookmarkStart w:id="505" w:name="_Toc12313"/>
      <w:r>
        <w:rPr>
          <w:rFonts w:hint="eastAsia" w:ascii="宋体" w:hAnsi="宋体" w:eastAsia="宋体" w:cs="宋体"/>
          <w:color w:val="auto"/>
          <w:spacing w:val="-8"/>
          <w:sz w:val="28"/>
          <w:szCs w:val="28"/>
          <w:highlight w:val="none"/>
        </w:rPr>
        <w:t>12.暂停施工</w:t>
      </w:r>
      <w:bookmarkEnd w:id="501"/>
      <w:bookmarkEnd w:id="502"/>
      <w:bookmarkEnd w:id="503"/>
      <w:bookmarkEnd w:id="504"/>
      <w:bookmarkEnd w:id="505"/>
    </w:p>
    <w:p w14:paraId="045F33EE">
      <w:pPr>
        <w:pStyle w:val="4"/>
        <w:spacing w:line="247" w:lineRule="auto"/>
        <w:rPr>
          <w:rFonts w:hint="eastAsia" w:ascii="宋体" w:hAnsi="宋体" w:eastAsia="宋体" w:cs="宋体"/>
          <w:color w:val="auto"/>
          <w:highlight w:val="none"/>
        </w:rPr>
      </w:pPr>
    </w:p>
    <w:p w14:paraId="6693A17C">
      <w:pPr>
        <w:spacing w:before="78" w:line="221" w:lineRule="auto"/>
        <w:ind w:left="3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12.1承包人暂停施工的责任</w:t>
      </w:r>
    </w:p>
    <w:p w14:paraId="03A2DE55">
      <w:pPr>
        <w:pStyle w:val="4"/>
        <w:spacing w:line="272" w:lineRule="auto"/>
        <w:rPr>
          <w:rFonts w:hint="eastAsia" w:ascii="宋体" w:hAnsi="宋体" w:eastAsia="宋体" w:cs="宋体"/>
          <w:color w:val="auto"/>
          <w:highlight w:val="none"/>
        </w:rPr>
      </w:pPr>
    </w:p>
    <w:p w14:paraId="0AB8C085">
      <w:pPr>
        <w:spacing w:before="78" w:line="219" w:lineRule="auto"/>
        <w:ind w:left="51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因下列暂停施工增加的费用和（或）工期延误由承包人</w:t>
      </w:r>
      <w:r>
        <w:rPr>
          <w:rFonts w:hint="eastAsia" w:ascii="宋体" w:hAnsi="宋体" w:eastAsia="宋体" w:cs="宋体"/>
          <w:color w:val="auto"/>
          <w:spacing w:val="-2"/>
          <w:sz w:val="24"/>
          <w:szCs w:val="24"/>
          <w:highlight w:val="none"/>
        </w:rPr>
        <w:t>承担：</w:t>
      </w:r>
    </w:p>
    <w:p w14:paraId="070A7CCD">
      <w:pPr>
        <w:spacing w:before="116" w:line="219" w:lineRule="auto"/>
        <w:ind w:left="51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（1）承包人违约引起的暂停施工；</w:t>
      </w:r>
    </w:p>
    <w:p w14:paraId="79DEBABB">
      <w:pPr>
        <w:spacing w:before="116" w:line="219" w:lineRule="auto"/>
        <w:ind w:left="51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（2）由于承包人原因为工程合理施工和安全保障所必需的暂停施工；</w:t>
      </w:r>
    </w:p>
    <w:p w14:paraId="2D5A96AB">
      <w:pPr>
        <w:spacing w:before="114" w:line="219" w:lineRule="auto"/>
        <w:ind w:left="51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（3）承包人擅自暂停施工；</w:t>
      </w:r>
    </w:p>
    <w:p w14:paraId="27D4121C">
      <w:pPr>
        <w:spacing w:before="116" w:line="219" w:lineRule="auto"/>
        <w:ind w:left="51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（4）承包人其他原因引起的暂停施工；</w:t>
      </w:r>
    </w:p>
    <w:p w14:paraId="43080C8D">
      <w:pPr>
        <w:spacing w:before="116" w:line="219" w:lineRule="auto"/>
        <w:ind w:left="51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（5）专用合同条款约定由承包人承担的其他暂停施工。</w:t>
      </w:r>
    </w:p>
    <w:p w14:paraId="6F3E39AC">
      <w:pPr>
        <w:pStyle w:val="4"/>
        <w:spacing w:line="254" w:lineRule="auto"/>
        <w:rPr>
          <w:rFonts w:hint="eastAsia" w:ascii="宋体" w:hAnsi="宋体" w:eastAsia="宋体" w:cs="宋体"/>
          <w:color w:val="auto"/>
          <w:highlight w:val="none"/>
        </w:rPr>
      </w:pPr>
    </w:p>
    <w:p w14:paraId="5EE7542C">
      <w:pPr>
        <w:spacing w:before="78" w:line="221" w:lineRule="auto"/>
        <w:ind w:left="3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12.2发包人暂停施工的责任</w:t>
      </w:r>
    </w:p>
    <w:p w14:paraId="05DE9F9C">
      <w:pPr>
        <w:pStyle w:val="4"/>
        <w:spacing w:line="272" w:lineRule="auto"/>
        <w:rPr>
          <w:rFonts w:hint="eastAsia" w:ascii="宋体" w:hAnsi="宋体" w:eastAsia="宋体" w:cs="宋体"/>
          <w:color w:val="auto"/>
          <w:highlight w:val="none"/>
        </w:rPr>
      </w:pPr>
    </w:p>
    <w:p w14:paraId="239E830C">
      <w:pPr>
        <w:spacing w:before="79" w:line="309" w:lineRule="auto"/>
        <w:ind w:left="23" w:right="20" w:firstLine="506"/>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由于发包人原因引起的暂停施工造成工期延误的，承包人有权要求发包人延长工</w:t>
      </w:r>
      <w:r>
        <w:rPr>
          <w:rFonts w:hint="eastAsia" w:ascii="宋体" w:hAnsi="宋体" w:eastAsia="宋体" w:cs="宋体"/>
          <w:color w:val="auto"/>
          <w:spacing w:val="-1"/>
          <w:sz w:val="24"/>
          <w:szCs w:val="24"/>
          <w:highlight w:val="none"/>
        </w:rPr>
        <w:t>期和（或）增加费用，并支付合理利润。</w:t>
      </w:r>
    </w:p>
    <w:p w14:paraId="18EEFB2A">
      <w:pPr>
        <w:spacing w:line="309" w:lineRule="auto"/>
        <w:rPr>
          <w:rFonts w:hint="eastAsia" w:ascii="宋体" w:hAnsi="宋体" w:eastAsia="宋体" w:cs="宋体"/>
          <w:color w:val="auto"/>
          <w:sz w:val="24"/>
          <w:szCs w:val="24"/>
          <w:highlight w:val="none"/>
        </w:rPr>
        <w:sectPr>
          <w:headerReference r:id="rId88" w:type="default"/>
          <w:footerReference r:id="rId89" w:type="default"/>
          <w:pgSz w:w="11907" w:h="16840"/>
          <w:pgMar w:top="1182" w:right="1269" w:bottom="1014" w:left="1786" w:header="849" w:footer="852" w:gutter="0"/>
          <w:pgNumType w:fmt="decimal"/>
          <w:cols w:space="720" w:num="1"/>
        </w:sectPr>
      </w:pPr>
    </w:p>
    <w:p w14:paraId="0F6A56B2">
      <w:pPr>
        <w:pStyle w:val="4"/>
        <w:spacing w:line="281" w:lineRule="auto"/>
        <w:rPr>
          <w:rFonts w:hint="eastAsia" w:ascii="宋体" w:hAnsi="宋体" w:eastAsia="宋体" w:cs="宋体"/>
          <w:color w:val="auto"/>
          <w:highlight w:val="none"/>
        </w:rPr>
      </w:pPr>
    </w:p>
    <w:p w14:paraId="0530A0D7">
      <w:pPr>
        <w:spacing w:before="78" w:line="222" w:lineRule="auto"/>
        <w:ind w:left="3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12.3监理人暂停施工指示</w:t>
      </w:r>
    </w:p>
    <w:p w14:paraId="5C375888">
      <w:pPr>
        <w:pStyle w:val="4"/>
        <w:spacing w:line="272" w:lineRule="auto"/>
        <w:rPr>
          <w:rFonts w:hint="eastAsia" w:ascii="宋体" w:hAnsi="宋体" w:eastAsia="宋体" w:cs="宋体"/>
          <w:color w:val="auto"/>
          <w:highlight w:val="none"/>
        </w:rPr>
      </w:pPr>
    </w:p>
    <w:p w14:paraId="5EF28B18">
      <w:pPr>
        <w:spacing w:before="78" w:line="278" w:lineRule="auto"/>
        <w:ind w:left="22" w:right="58" w:firstLine="496"/>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12.3.1监理人认为有必要时，可向承包人作出暂停施工的</w:t>
      </w:r>
      <w:r>
        <w:rPr>
          <w:rFonts w:hint="eastAsia" w:ascii="宋体" w:hAnsi="宋体" w:eastAsia="宋体" w:cs="宋体"/>
          <w:color w:val="auto"/>
          <w:spacing w:val="-3"/>
          <w:sz w:val="24"/>
          <w:szCs w:val="24"/>
          <w:highlight w:val="none"/>
        </w:rPr>
        <w:t>指示，承包人应按监理</w:t>
      </w:r>
      <w:r>
        <w:rPr>
          <w:rFonts w:hint="eastAsia" w:ascii="宋体" w:hAnsi="宋体" w:eastAsia="宋体" w:cs="宋体"/>
          <w:color w:val="auto"/>
          <w:spacing w:val="-2"/>
          <w:sz w:val="24"/>
          <w:szCs w:val="24"/>
          <w:highlight w:val="none"/>
        </w:rPr>
        <w:t>人指示暂停施工。不论由于何种原因引起的暂停施工，暂停施工期间承包人应负责妥</w:t>
      </w:r>
      <w:r>
        <w:rPr>
          <w:rFonts w:hint="eastAsia" w:ascii="宋体" w:hAnsi="宋体" w:eastAsia="宋体" w:cs="宋体"/>
          <w:color w:val="auto"/>
          <w:spacing w:val="-1"/>
          <w:sz w:val="24"/>
          <w:szCs w:val="24"/>
          <w:highlight w:val="none"/>
        </w:rPr>
        <w:t>善保护工程并提供安全保障。</w:t>
      </w:r>
    </w:p>
    <w:p w14:paraId="4DC2A35C">
      <w:pPr>
        <w:spacing w:before="115" w:line="286" w:lineRule="auto"/>
        <w:ind w:left="19" w:right="58" w:firstLine="49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12.3.2由于发包人的原因发生暂停施工的紧急情</w:t>
      </w:r>
      <w:r>
        <w:rPr>
          <w:rFonts w:hint="eastAsia" w:ascii="宋体" w:hAnsi="宋体" w:eastAsia="宋体" w:cs="宋体"/>
          <w:color w:val="auto"/>
          <w:spacing w:val="-4"/>
          <w:sz w:val="24"/>
          <w:szCs w:val="24"/>
          <w:highlight w:val="none"/>
        </w:rPr>
        <w:t>况，且监理人未及时下达暂停施</w:t>
      </w:r>
      <w:r>
        <w:rPr>
          <w:rFonts w:hint="eastAsia" w:ascii="宋体" w:hAnsi="宋体" w:eastAsia="宋体" w:cs="宋体"/>
          <w:color w:val="auto"/>
          <w:spacing w:val="-2"/>
          <w:sz w:val="24"/>
          <w:szCs w:val="24"/>
          <w:highlight w:val="none"/>
        </w:rPr>
        <w:t>工指示的，承包人可先暂停施工，并及时向监理人提出暂停施工的书面请求。监理人</w:t>
      </w:r>
      <w:r>
        <w:rPr>
          <w:rFonts w:hint="eastAsia" w:ascii="宋体" w:hAnsi="宋体" w:eastAsia="宋体" w:cs="宋体"/>
          <w:color w:val="auto"/>
          <w:spacing w:val="1"/>
          <w:sz w:val="24"/>
          <w:szCs w:val="24"/>
          <w:highlight w:val="none"/>
        </w:rPr>
        <w:t>应在接到书面请求后的24小时内予以答复，逾期未答</w:t>
      </w:r>
      <w:r>
        <w:rPr>
          <w:rFonts w:hint="eastAsia" w:ascii="宋体" w:hAnsi="宋体" w:eastAsia="宋体" w:cs="宋体"/>
          <w:color w:val="auto"/>
          <w:sz w:val="24"/>
          <w:szCs w:val="24"/>
          <w:highlight w:val="none"/>
        </w:rPr>
        <w:t>复的，视为同意承包人的暂停</w:t>
      </w:r>
      <w:r>
        <w:rPr>
          <w:rFonts w:hint="eastAsia" w:ascii="宋体" w:hAnsi="宋体" w:eastAsia="宋体" w:cs="宋体"/>
          <w:color w:val="auto"/>
          <w:spacing w:val="-2"/>
          <w:sz w:val="24"/>
          <w:szCs w:val="24"/>
          <w:highlight w:val="none"/>
        </w:rPr>
        <w:t>施工请求。</w:t>
      </w:r>
    </w:p>
    <w:p w14:paraId="0AED05E0">
      <w:pPr>
        <w:pStyle w:val="4"/>
        <w:spacing w:line="253" w:lineRule="auto"/>
        <w:rPr>
          <w:rFonts w:hint="eastAsia" w:ascii="宋体" w:hAnsi="宋体" w:eastAsia="宋体" w:cs="宋体"/>
          <w:color w:val="auto"/>
          <w:highlight w:val="none"/>
        </w:rPr>
      </w:pPr>
    </w:p>
    <w:p w14:paraId="1F66A539">
      <w:pPr>
        <w:spacing w:before="78" w:line="222" w:lineRule="auto"/>
        <w:ind w:left="3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12.4暂停施工后的复工</w:t>
      </w:r>
    </w:p>
    <w:p w14:paraId="3415FC04">
      <w:pPr>
        <w:pStyle w:val="4"/>
        <w:spacing w:line="273" w:lineRule="auto"/>
        <w:rPr>
          <w:rFonts w:hint="eastAsia" w:ascii="宋体" w:hAnsi="宋体" w:eastAsia="宋体" w:cs="宋体"/>
          <w:color w:val="auto"/>
          <w:highlight w:val="none"/>
        </w:rPr>
      </w:pPr>
    </w:p>
    <w:p w14:paraId="6C9F98EE">
      <w:pPr>
        <w:spacing w:before="78" w:line="278" w:lineRule="auto"/>
        <w:ind w:left="21" w:right="58" w:firstLine="497"/>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12.4.1暂停施工后，监理人应与发包人和承包人协商，采取有</w:t>
      </w:r>
      <w:r>
        <w:rPr>
          <w:rFonts w:hint="eastAsia" w:ascii="宋体" w:hAnsi="宋体" w:eastAsia="宋体" w:cs="宋体"/>
          <w:color w:val="auto"/>
          <w:spacing w:val="-2"/>
          <w:sz w:val="24"/>
          <w:szCs w:val="24"/>
          <w:highlight w:val="none"/>
        </w:rPr>
        <w:t>效措施积极消除暂停施工的影响。当工程具备复工条件时，监理人应立即向承包人发出复工通知。承包</w:t>
      </w:r>
      <w:r>
        <w:rPr>
          <w:rFonts w:hint="eastAsia" w:ascii="宋体" w:hAnsi="宋体" w:eastAsia="宋体" w:cs="宋体"/>
          <w:color w:val="auto"/>
          <w:spacing w:val="-1"/>
          <w:sz w:val="24"/>
          <w:szCs w:val="24"/>
          <w:highlight w:val="none"/>
        </w:rPr>
        <w:t>人收到复工通知后，应在监理人指定的期限内复工。</w:t>
      </w:r>
    </w:p>
    <w:p w14:paraId="2E964712">
      <w:pPr>
        <w:spacing w:before="115" w:line="278" w:lineRule="auto"/>
        <w:ind w:firstLine="230" w:firstLineChars="10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12.4.2承包人无故拖延和拒绝复工的，由此增加的费用和</w:t>
      </w:r>
      <w:r>
        <w:rPr>
          <w:rFonts w:hint="eastAsia" w:ascii="宋体" w:hAnsi="宋体" w:eastAsia="宋体" w:cs="宋体"/>
          <w:color w:val="auto"/>
          <w:spacing w:val="-6"/>
          <w:sz w:val="24"/>
          <w:szCs w:val="24"/>
          <w:highlight w:val="none"/>
        </w:rPr>
        <w:t>工期延误由承包人承担；</w:t>
      </w:r>
      <w:r>
        <w:rPr>
          <w:rFonts w:hint="eastAsia" w:ascii="宋体" w:hAnsi="宋体" w:eastAsia="宋体" w:cs="宋体"/>
          <w:color w:val="auto"/>
          <w:sz w:val="24"/>
          <w:szCs w:val="24"/>
          <w:highlight w:val="none"/>
        </w:rPr>
        <w:t>因发包人原因无法按时复工的，承包人有权</w:t>
      </w:r>
      <w:r>
        <w:rPr>
          <w:rFonts w:hint="eastAsia" w:ascii="宋体" w:hAnsi="宋体" w:eastAsia="宋体" w:cs="宋体"/>
          <w:color w:val="auto"/>
          <w:spacing w:val="-1"/>
          <w:sz w:val="24"/>
          <w:szCs w:val="24"/>
          <w:highlight w:val="none"/>
        </w:rPr>
        <w:t>要求发包人延长工期和（或）增加费用，</w:t>
      </w:r>
      <w:r>
        <w:rPr>
          <w:rFonts w:hint="eastAsia" w:ascii="宋体" w:hAnsi="宋体" w:eastAsia="宋体" w:cs="宋体"/>
          <w:color w:val="auto"/>
          <w:spacing w:val="-2"/>
          <w:sz w:val="24"/>
          <w:szCs w:val="24"/>
          <w:highlight w:val="none"/>
        </w:rPr>
        <w:t>并支付合理利润。</w:t>
      </w:r>
    </w:p>
    <w:p w14:paraId="4DA14F54">
      <w:pPr>
        <w:pStyle w:val="4"/>
        <w:spacing w:line="254" w:lineRule="auto"/>
        <w:rPr>
          <w:rFonts w:hint="eastAsia" w:ascii="宋体" w:hAnsi="宋体" w:eastAsia="宋体" w:cs="宋体"/>
          <w:color w:val="auto"/>
          <w:highlight w:val="none"/>
        </w:rPr>
      </w:pPr>
    </w:p>
    <w:p w14:paraId="5E641A2F">
      <w:pPr>
        <w:spacing w:before="79" w:line="221" w:lineRule="auto"/>
        <w:ind w:left="3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12.5暂停施工持续56天以上</w:t>
      </w:r>
    </w:p>
    <w:p w14:paraId="44644517">
      <w:pPr>
        <w:pStyle w:val="4"/>
        <w:spacing w:line="270" w:lineRule="auto"/>
        <w:rPr>
          <w:rFonts w:hint="eastAsia" w:ascii="宋体" w:hAnsi="宋体" w:eastAsia="宋体" w:cs="宋体"/>
          <w:color w:val="auto"/>
          <w:highlight w:val="none"/>
        </w:rPr>
      </w:pPr>
    </w:p>
    <w:p w14:paraId="0D05BD08">
      <w:pPr>
        <w:spacing w:before="78" w:line="295" w:lineRule="auto"/>
        <w:ind w:left="20" w:right="58" w:firstLine="498"/>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12.5.1监理人发出暂停施工指示后56天内未向承包人发出复工</w:t>
      </w:r>
      <w:r>
        <w:rPr>
          <w:rFonts w:hint="eastAsia" w:ascii="宋体" w:hAnsi="宋体" w:eastAsia="宋体" w:cs="宋体"/>
          <w:color w:val="auto"/>
          <w:spacing w:val="-3"/>
          <w:sz w:val="24"/>
          <w:szCs w:val="24"/>
          <w:highlight w:val="none"/>
        </w:rPr>
        <w:t>通知，除了该项停</w:t>
      </w:r>
      <w:r>
        <w:rPr>
          <w:rFonts w:hint="eastAsia" w:ascii="宋体" w:hAnsi="宋体" w:eastAsia="宋体" w:cs="宋体"/>
          <w:color w:val="auto"/>
          <w:spacing w:val="-4"/>
          <w:sz w:val="24"/>
          <w:szCs w:val="24"/>
          <w:highlight w:val="none"/>
        </w:rPr>
        <w:t>工属于第12.1款的情况外，承包人可向监理人提交书面通知，要求监理人在收到书面</w:t>
      </w:r>
      <w:r>
        <w:rPr>
          <w:rFonts w:hint="eastAsia" w:ascii="宋体" w:hAnsi="宋体" w:eastAsia="宋体" w:cs="宋体"/>
          <w:color w:val="auto"/>
          <w:spacing w:val="1"/>
          <w:sz w:val="24"/>
          <w:szCs w:val="24"/>
          <w:highlight w:val="none"/>
        </w:rPr>
        <w:t>通知后28天内准许已暂停施工的工程或其中一部分工程继续施工。如监理人逾期不</w:t>
      </w:r>
      <w:r>
        <w:rPr>
          <w:rFonts w:hint="eastAsia" w:ascii="宋体" w:hAnsi="宋体" w:eastAsia="宋体" w:cs="宋体"/>
          <w:color w:val="auto"/>
          <w:sz w:val="24"/>
          <w:szCs w:val="24"/>
          <w:highlight w:val="none"/>
        </w:rPr>
        <w:t>予批准，则承包人可以通知监理人，将工程受影响的部分视为按第15.1（1）项的可</w:t>
      </w:r>
      <w:r>
        <w:rPr>
          <w:rFonts w:hint="eastAsia" w:ascii="宋体" w:hAnsi="宋体" w:eastAsia="宋体" w:cs="宋体"/>
          <w:color w:val="auto"/>
          <w:spacing w:val="-3"/>
          <w:sz w:val="24"/>
          <w:szCs w:val="24"/>
          <w:highlight w:val="none"/>
        </w:rPr>
        <w:t>取消工作。如暂停施工影响到整个工程，可视为发包人</w:t>
      </w:r>
      <w:r>
        <w:rPr>
          <w:rFonts w:hint="eastAsia" w:ascii="宋体" w:hAnsi="宋体" w:eastAsia="宋体" w:cs="宋体"/>
          <w:color w:val="auto"/>
          <w:spacing w:val="-4"/>
          <w:sz w:val="24"/>
          <w:szCs w:val="24"/>
          <w:highlight w:val="none"/>
        </w:rPr>
        <w:t>违约，应按第22.2款的约定办</w:t>
      </w:r>
      <w:r>
        <w:rPr>
          <w:rFonts w:hint="eastAsia" w:ascii="宋体" w:hAnsi="宋体" w:eastAsia="宋体" w:cs="宋体"/>
          <w:color w:val="auto"/>
          <w:spacing w:val="-5"/>
          <w:sz w:val="24"/>
          <w:szCs w:val="24"/>
          <w:highlight w:val="none"/>
        </w:rPr>
        <w:t>理。</w:t>
      </w:r>
    </w:p>
    <w:p w14:paraId="3EFB2288">
      <w:pPr>
        <w:spacing w:before="103" w:line="219" w:lineRule="auto"/>
        <w:ind w:left="51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12.5.2由于承包人责任引起的暂停施工，如承包人在收到监理人暂停施工指示后</w:t>
      </w:r>
    </w:p>
    <w:p w14:paraId="78C0E443">
      <w:pPr>
        <w:spacing w:before="115" w:line="309" w:lineRule="auto"/>
        <w:ind w:left="21" w:right="58" w:firstLine="1"/>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56天内不认真采取有效的复工措施，造成工期延误，可视为承包人违约，应按第22.1</w:t>
      </w:r>
      <w:r>
        <w:rPr>
          <w:rFonts w:hint="eastAsia" w:ascii="宋体" w:hAnsi="宋体" w:eastAsia="宋体" w:cs="宋体"/>
          <w:color w:val="auto"/>
          <w:spacing w:val="-2"/>
          <w:sz w:val="24"/>
          <w:szCs w:val="24"/>
          <w:highlight w:val="none"/>
        </w:rPr>
        <w:t>款的约定办理。</w:t>
      </w:r>
    </w:p>
    <w:p w14:paraId="0332A656">
      <w:pPr>
        <w:pStyle w:val="4"/>
        <w:spacing w:line="317" w:lineRule="auto"/>
        <w:rPr>
          <w:rFonts w:hint="eastAsia" w:ascii="宋体" w:hAnsi="宋体" w:eastAsia="宋体" w:cs="宋体"/>
          <w:color w:val="auto"/>
          <w:highlight w:val="none"/>
        </w:rPr>
      </w:pPr>
    </w:p>
    <w:p w14:paraId="7222B2ED">
      <w:pPr>
        <w:spacing w:before="91" w:line="222" w:lineRule="auto"/>
        <w:ind w:left="44"/>
        <w:outlineLvl w:val="2"/>
        <w:rPr>
          <w:rFonts w:hint="eastAsia" w:ascii="宋体" w:hAnsi="宋体" w:eastAsia="宋体" w:cs="宋体"/>
          <w:color w:val="auto"/>
          <w:sz w:val="28"/>
          <w:szCs w:val="28"/>
          <w:highlight w:val="none"/>
        </w:rPr>
      </w:pPr>
      <w:bookmarkStart w:id="506" w:name="_Toc13208"/>
      <w:bookmarkStart w:id="507" w:name="_Toc22069"/>
      <w:bookmarkStart w:id="508" w:name="_Toc2556"/>
      <w:bookmarkStart w:id="509" w:name="_Toc11853"/>
      <w:bookmarkStart w:id="510" w:name="_Toc26731"/>
      <w:r>
        <w:rPr>
          <w:rFonts w:hint="eastAsia" w:ascii="宋体" w:hAnsi="宋体" w:eastAsia="宋体" w:cs="宋体"/>
          <w:color w:val="auto"/>
          <w:spacing w:val="-7"/>
          <w:sz w:val="28"/>
          <w:szCs w:val="28"/>
          <w:highlight w:val="none"/>
        </w:rPr>
        <w:t>13.工程质量</w:t>
      </w:r>
      <w:bookmarkEnd w:id="506"/>
      <w:bookmarkEnd w:id="507"/>
      <w:bookmarkEnd w:id="508"/>
      <w:bookmarkEnd w:id="509"/>
      <w:bookmarkEnd w:id="510"/>
    </w:p>
    <w:p w14:paraId="2306BF00">
      <w:pPr>
        <w:pStyle w:val="4"/>
        <w:spacing w:line="249" w:lineRule="auto"/>
        <w:rPr>
          <w:rFonts w:hint="eastAsia" w:ascii="宋体" w:hAnsi="宋体" w:eastAsia="宋体" w:cs="宋体"/>
          <w:color w:val="auto"/>
          <w:highlight w:val="none"/>
        </w:rPr>
      </w:pPr>
    </w:p>
    <w:p w14:paraId="2E70E6B0">
      <w:pPr>
        <w:spacing w:before="79" w:line="222" w:lineRule="auto"/>
        <w:ind w:left="3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13.1工程质量要求</w:t>
      </w:r>
    </w:p>
    <w:p w14:paraId="6CA4CCD2">
      <w:pPr>
        <w:pStyle w:val="4"/>
        <w:spacing w:line="273" w:lineRule="auto"/>
        <w:rPr>
          <w:rFonts w:hint="eastAsia" w:ascii="宋体" w:hAnsi="宋体" w:eastAsia="宋体" w:cs="宋体"/>
          <w:color w:val="auto"/>
          <w:highlight w:val="none"/>
        </w:rPr>
      </w:pPr>
    </w:p>
    <w:p w14:paraId="67681EEA">
      <w:pPr>
        <w:spacing w:before="78" w:line="219" w:lineRule="auto"/>
        <w:ind w:left="51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13.1.1工程质量验收按合同约定验收标</w:t>
      </w:r>
      <w:r>
        <w:rPr>
          <w:rFonts w:hint="eastAsia" w:ascii="宋体" w:hAnsi="宋体" w:eastAsia="宋体" w:cs="宋体"/>
          <w:color w:val="auto"/>
          <w:spacing w:val="-2"/>
          <w:sz w:val="24"/>
          <w:szCs w:val="24"/>
          <w:highlight w:val="none"/>
        </w:rPr>
        <w:t>准执行。</w:t>
      </w:r>
    </w:p>
    <w:p w14:paraId="5CAC3521">
      <w:pPr>
        <w:spacing w:before="114" w:line="219" w:lineRule="auto"/>
        <w:ind w:left="51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13.1.2因承包人原因造成工程质量达不到合同约定验收标</w:t>
      </w:r>
      <w:r>
        <w:rPr>
          <w:rFonts w:hint="eastAsia" w:ascii="宋体" w:hAnsi="宋体" w:eastAsia="宋体" w:cs="宋体"/>
          <w:color w:val="auto"/>
          <w:spacing w:val="-3"/>
          <w:sz w:val="24"/>
          <w:szCs w:val="24"/>
          <w:highlight w:val="none"/>
        </w:rPr>
        <w:t>准的，监理人有权要求</w:t>
      </w:r>
    </w:p>
    <w:p w14:paraId="4D07F701">
      <w:pPr>
        <w:spacing w:line="219" w:lineRule="auto"/>
        <w:rPr>
          <w:rFonts w:hint="eastAsia" w:ascii="宋体" w:hAnsi="宋体" w:eastAsia="宋体" w:cs="宋体"/>
          <w:color w:val="auto"/>
          <w:sz w:val="24"/>
          <w:szCs w:val="24"/>
          <w:highlight w:val="none"/>
        </w:rPr>
        <w:sectPr>
          <w:headerReference r:id="rId90" w:type="default"/>
          <w:footerReference r:id="rId91" w:type="default"/>
          <w:pgSz w:w="11907" w:h="16840"/>
          <w:pgMar w:top="1182" w:right="1230" w:bottom="1014" w:left="1786" w:header="849" w:footer="852" w:gutter="0"/>
          <w:pgNumType w:fmt="decimal"/>
          <w:cols w:space="720" w:num="1"/>
        </w:sectPr>
      </w:pPr>
    </w:p>
    <w:p w14:paraId="3E768D4D">
      <w:pPr>
        <w:pStyle w:val="4"/>
        <w:spacing w:line="302" w:lineRule="auto"/>
        <w:rPr>
          <w:rFonts w:hint="eastAsia" w:ascii="宋体" w:hAnsi="宋体" w:eastAsia="宋体" w:cs="宋体"/>
          <w:color w:val="auto"/>
          <w:highlight w:val="none"/>
        </w:rPr>
      </w:pPr>
    </w:p>
    <w:p w14:paraId="000E84A8">
      <w:pPr>
        <w:spacing w:before="78" w:line="308" w:lineRule="auto"/>
        <w:ind w:left="20" w:right="6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承包人返工直至符合合同要求为止，由此造成的费用增加和（或）工期延误由承包人</w:t>
      </w:r>
      <w:r>
        <w:rPr>
          <w:rFonts w:hint="eastAsia" w:ascii="宋体" w:hAnsi="宋体" w:eastAsia="宋体" w:cs="宋体"/>
          <w:color w:val="auto"/>
          <w:spacing w:val="-4"/>
          <w:sz w:val="24"/>
          <w:szCs w:val="24"/>
          <w:highlight w:val="none"/>
        </w:rPr>
        <w:t>承担。</w:t>
      </w:r>
    </w:p>
    <w:p w14:paraId="449DB6C5">
      <w:pPr>
        <w:spacing w:before="1" w:line="308" w:lineRule="auto"/>
        <w:ind w:left="24" w:right="61" w:firstLine="49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13.1.3因发包人原因造成工程质量达不到合同约定验收标</w:t>
      </w:r>
      <w:r>
        <w:rPr>
          <w:rFonts w:hint="eastAsia" w:ascii="宋体" w:hAnsi="宋体" w:eastAsia="宋体" w:cs="宋体"/>
          <w:color w:val="auto"/>
          <w:spacing w:val="-3"/>
          <w:sz w:val="24"/>
          <w:szCs w:val="24"/>
          <w:highlight w:val="none"/>
        </w:rPr>
        <w:t>准的，发包人应承担由</w:t>
      </w:r>
      <w:r>
        <w:rPr>
          <w:rFonts w:hint="eastAsia" w:ascii="宋体" w:hAnsi="宋体" w:eastAsia="宋体" w:cs="宋体"/>
          <w:color w:val="auto"/>
          <w:spacing w:val="-1"/>
          <w:sz w:val="24"/>
          <w:szCs w:val="24"/>
          <w:highlight w:val="none"/>
        </w:rPr>
        <w:t>于承包人返工造成的费用增加和（或）工期延误，并支付承包人合理利润。</w:t>
      </w:r>
    </w:p>
    <w:p w14:paraId="71DDAAA6">
      <w:pPr>
        <w:spacing w:before="218" w:line="222" w:lineRule="auto"/>
        <w:ind w:left="3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13.2承包人的质量管理</w:t>
      </w:r>
    </w:p>
    <w:p w14:paraId="505089BA">
      <w:pPr>
        <w:pStyle w:val="4"/>
        <w:spacing w:line="267" w:lineRule="auto"/>
        <w:rPr>
          <w:rFonts w:hint="eastAsia" w:ascii="宋体" w:hAnsi="宋体" w:eastAsia="宋体" w:cs="宋体"/>
          <w:color w:val="auto"/>
          <w:highlight w:val="none"/>
        </w:rPr>
      </w:pPr>
    </w:p>
    <w:p w14:paraId="06849353">
      <w:pPr>
        <w:spacing w:before="78" w:line="286" w:lineRule="auto"/>
        <w:ind w:left="19" w:right="60" w:firstLine="49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13.2.1承包人应在施工场地设置专门的质量检查机构，配备专</w:t>
      </w:r>
      <w:r>
        <w:rPr>
          <w:rFonts w:hint="eastAsia" w:ascii="宋体" w:hAnsi="宋体" w:eastAsia="宋体" w:cs="宋体"/>
          <w:color w:val="auto"/>
          <w:spacing w:val="-3"/>
          <w:sz w:val="24"/>
          <w:szCs w:val="24"/>
          <w:highlight w:val="none"/>
        </w:rPr>
        <w:t>职质量检查人员，</w:t>
      </w:r>
      <w:r>
        <w:rPr>
          <w:rFonts w:hint="eastAsia" w:ascii="宋体" w:hAnsi="宋体" w:eastAsia="宋体" w:cs="宋体"/>
          <w:color w:val="auto"/>
          <w:spacing w:val="-2"/>
          <w:sz w:val="24"/>
          <w:szCs w:val="24"/>
          <w:highlight w:val="none"/>
        </w:rPr>
        <w:t>建立完善的质量检查制度。承包人应在合同约定的期限内，提交工程质量保证措施文件，包括质量检查机构的组织和岗位责任、质检人员的组成、质量检查程序和实施细</w:t>
      </w:r>
      <w:r>
        <w:rPr>
          <w:rFonts w:hint="eastAsia" w:ascii="宋体" w:hAnsi="宋体" w:eastAsia="宋体" w:cs="宋体"/>
          <w:color w:val="auto"/>
          <w:spacing w:val="-1"/>
          <w:sz w:val="24"/>
          <w:szCs w:val="24"/>
          <w:highlight w:val="none"/>
        </w:rPr>
        <w:t>则等，报送监理人审批。</w:t>
      </w:r>
    </w:p>
    <w:p w14:paraId="7761353A">
      <w:pPr>
        <w:spacing w:before="115" w:line="264" w:lineRule="auto"/>
        <w:ind w:left="21" w:right="61" w:firstLine="49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13.2.2承包人应加强对施工人员的质量教育和技术培训，</w:t>
      </w:r>
      <w:r>
        <w:rPr>
          <w:rFonts w:hint="eastAsia" w:ascii="宋体" w:hAnsi="宋体" w:eastAsia="宋体" w:cs="宋体"/>
          <w:color w:val="auto"/>
          <w:spacing w:val="-3"/>
          <w:sz w:val="24"/>
          <w:szCs w:val="24"/>
          <w:highlight w:val="none"/>
        </w:rPr>
        <w:t>定期考核施工人员的劳</w:t>
      </w:r>
      <w:r>
        <w:rPr>
          <w:rFonts w:hint="eastAsia" w:ascii="宋体" w:hAnsi="宋体" w:eastAsia="宋体" w:cs="宋体"/>
          <w:color w:val="auto"/>
          <w:spacing w:val="-1"/>
          <w:sz w:val="24"/>
          <w:szCs w:val="24"/>
          <w:highlight w:val="none"/>
        </w:rPr>
        <w:t>动技能，严格执行规范和操作规程。</w:t>
      </w:r>
    </w:p>
    <w:p w14:paraId="63F6E6B4">
      <w:pPr>
        <w:pStyle w:val="4"/>
        <w:spacing w:line="254" w:lineRule="auto"/>
        <w:rPr>
          <w:rFonts w:hint="eastAsia" w:ascii="宋体" w:hAnsi="宋体" w:eastAsia="宋体" w:cs="宋体"/>
          <w:color w:val="auto"/>
          <w:highlight w:val="none"/>
        </w:rPr>
      </w:pPr>
    </w:p>
    <w:p w14:paraId="38DFD696">
      <w:pPr>
        <w:spacing w:before="78" w:line="222" w:lineRule="auto"/>
        <w:ind w:left="3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13.3承包人的质量检查</w:t>
      </w:r>
    </w:p>
    <w:p w14:paraId="23EFA18C">
      <w:pPr>
        <w:pStyle w:val="4"/>
        <w:spacing w:line="270" w:lineRule="auto"/>
        <w:rPr>
          <w:rFonts w:hint="eastAsia" w:ascii="宋体" w:hAnsi="宋体" w:eastAsia="宋体" w:cs="宋体"/>
          <w:color w:val="auto"/>
          <w:highlight w:val="none"/>
        </w:rPr>
      </w:pPr>
    </w:p>
    <w:p w14:paraId="40C0B167">
      <w:pPr>
        <w:spacing w:before="79" w:line="309" w:lineRule="auto"/>
        <w:ind w:left="21" w:right="61" w:firstLine="47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承包人应按合同约定对材料、工程设备以及工程的所有部位及其施工工艺进行全</w:t>
      </w:r>
      <w:r>
        <w:rPr>
          <w:rFonts w:hint="eastAsia" w:ascii="宋体" w:hAnsi="宋体" w:eastAsia="宋体" w:cs="宋体"/>
          <w:color w:val="auto"/>
          <w:sz w:val="24"/>
          <w:szCs w:val="24"/>
          <w:highlight w:val="none"/>
        </w:rPr>
        <w:t>过程的质量检查和检验，并作详细记录，编制工程质</w:t>
      </w:r>
      <w:r>
        <w:rPr>
          <w:rFonts w:hint="eastAsia" w:ascii="宋体" w:hAnsi="宋体" w:eastAsia="宋体" w:cs="宋体"/>
          <w:color w:val="auto"/>
          <w:spacing w:val="-1"/>
          <w:sz w:val="24"/>
          <w:szCs w:val="24"/>
          <w:highlight w:val="none"/>
        </w:rPr>
        <w:t>量报表，报送监理人审查。</w:t>
      </w:r>
    </w:p>
    <w:p w14:paraId="76C93048">
      <w:pPr>
        <w:spacing w:before="218" w:line="222" w:lineRule="auto"/>
        <w:ind w:left="3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13.4监理人的质量检查</w:t>
      </w:r>
    </w:p>
    <w:p w14:paraId="741855D6">
      <w:pPr>
        <w:pStyle w:val="4"/>
        <w:spacing w:line="266" w:lineRule="auto"/>
        <w:rPr>
          <w:rFonts w:hint="eastAsia" w:ascii="宋体" w:hAnsi="宋体" w:eastAsia="宋体" w:cs="宋体"/>
          <w:color w:val="auto"/>
          <w:highlight w:val="none"/>
        </w:rPr>
      </w:pPr>
    </w:p>
    <w:p w14:paraId="14FEA4BF">
      <w:pPr>
        <w:spacing w:before="79" w:line="309" w:lineRule="auto"/>
        <w:ind w:left="18" w:firstLine="482"/>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监理人有权对工程的所有部位及其施工工艺、材料和工程</w:t>
      </w:r>
      <w:r>
        <w:rPr>
          <w:rFonts w:hint="eastAsia" w:ascii="宋体" w:hAnsi="宋体" w:eastAsia="宋体" w:cs="宋体"/>
          <w:color w:val="auto"/>
          <w:spacing w:val="-1"/>
          <w:sz w:val="24"/>
          <w:szCs w:val="24"/>
          <w:highlight w:val="none"/>
        </w:rPr>
        <w:t>设备进行检查和检验。</w:t>
      </w:r>
      <w:r>
        <w:rPr>
          <w:rFonts w:hint="eastAsia" w:ascii="宋体" w:hAnsi="宋体" w:eastAsia="宋体" w:cs="宋体"/>
          <w:color w:val="auto"/>
          <w:spacing w:val="-2"/>
          <w:sz w:val="24"/>
          <w:szCs w:val="24"/>
          <w:highlight w:val="none"/>
        </w:rPr>
        <w:t>承包人应为监理人的检查和检验提供方便，包括监理人到施工场地，或制造、加工地</w:t>
      </w:r>
      <w:r>
        <w:rPr>
          <w:rFonts w:hint="eastAsia" w:ascii="宋体" w:hAnsi="宋体" w:eastAsia="宋体" w:cs="宋体"/>
          <w:color w:val="auto"/>
          <w:spacing w:val="-6"/>
          <w:sz w:val="24"/>
          <w:szCs w:val="24"/>
          <w:highlight w:val="none"/>
        </w:rPr>
        <w:t>点，或合同约定的其他地方进行察看和查阅</w:t>
      </w:r>
      <w:r>
        <w:rPr>
          <w:rFonts w:hint="eastAsia" w:ascii="宋体" w:hAnsi="宋体" w:eastAsia="宋体" w:cs="宋体"/>
          <w:color w:val="auto"/>
          <w:spacing w:val="-7"/>
          <w:sz w:val="24"/>
          <w:szCs w:val="24"/>
          <w:highlight w:val="none"/>
        </w:rPr>
        <w:t>施工原始记录。承包人还应按监理人指示，</w:t>
      </w:r>
      <w:r>
        <w:rPr>
          <w:rFonts w:hint="eastAsia" w:ascii="宋体" w:hAnsi="宋体" w:eastAsia="宋体" w:cs="宋体"/>
          <w:color w:val="auto"/>
          <w:spacing w:val="-2"/>
          <w:sz w:val="24"/>
          <w:szCs w:val="24"/>
          <w:highlight w:val="none"/>
        </w:rPr>
        <w:t>进行施工场地取样试验、工程复核测量和设备性能检测，提供试验样品、提交试验报告和测量成果以及监理人要求进行的其他工作。监理人的检查和检验，不免除承包人</w:t>
      </w:r>
      <w:r>
        <w:rPr>
          <w:rFonts w:hint="eastAsia" w:ascii="宋体" w:hAnsi="宋体" w:eastAsia="宋体" w:cs="宋体"/>
          <w:color w:val="auto"/>
          <w:spacing w:val="-1"/>
          <w:sz w:val="24"/>
          <w:szCs w:val="24"/>
          <w:highlight w:val="none"/>
        </w:rPr>
        <w:t>按合同约定应负的责任。</w:t>
      </w:r>
    </w:p>
    <w:p w14:paraId="46BFFBDC">
      <w:pPr>
        <w:spacing w:before="213" w:line="222" w:lineRule="auto"/>
        <w:ind w:left="3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13.5工程隐蔽部位覆盖前的检查</w:t>
      </w:r>
    </w:p>
    <w:p w14:paraId="0C2451D7">
      <w:pPr>
        <w:pStyle w:val="4"/>
        <w:spacing w:line="273" w:lineRule="auto"/>
        <w:rPr>
          <w:rFonts w:hint="eastAsia" w:ascii="宋体" w:hAnsi="宋体" w:eastAsia="宋体" w:cs="宋体"/>
          <w:color w:val="auto"/>
          <w:highlight w:val="none"/>
        </w:rPr>
      </w:pPr>
    </w:p>
    <w:p w14:paraId="26BAD0A9">
      <w:pPr>
        <w:spacing w:before="79" w:line="222" w:lineRule="auto"/>
        <w:ind w:left="51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13.5.1通知监理人检查</w:t>
      </w:r>
    </w:p>
    <w:p w14:paraId="659A135B">
      <w:pPr>
        <w:spacing w:before="109" w:line="308" w:lineRule="auto"/>
        <w:ind w:left="20" w:firstLine="48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经承包人自检确认的工程隐蔽部位具备覆盖条件后，承包人应通知监理人</w:t>
      </w:r>
      <w:r>
        <w:rPr>
          <w:rFonts w:hint="eastAsia" w:ascii="宋体" w:hAnsi="宋体" w:eastAsia="宋体" w:cs="宋体"/>
          <w:color w:val="auto"/>
          <w:spacing w:val="-3"/>
          <w:sz w:val="24"/>
          <w:szCs w:val="24"/>
          <w:highlight w:val="none"/>
        </w:rPr>
        <w:t>在约定</w:t>
      </w:r>
      <w:r>
        <w:rPr>
          <w:rFonts w:hint="eastAsia" w:ascii="宋体" w:hAnsi="宋体" w:eastAsia="宋体" w:cs="宋体"/>
          <w:color w:val="auto"/>
          <w:spacing w:val="-2"/>
          <w:sz w:val="24"/>
          <w:szCs w:val="24"/>
          <w:highlight w:val="none"/>
        </w:rPr>
        <w:t>的期限内检查。承包人的通知应附有自检记录和必要的检查资料。监理人应按时到场检查。经监理人检查确认质量符合隐蔽要求，并在检查记录上签字后，承包人才能进</w:t>
      </w:r>
      <w:r>
        <w:rPr>
          <w:rFonts w:hint="eastAsia" w:ascii="宋体" w:hAnsi="宋体" w:eastAsia="宋体" w:cs="宋体"/>
          <w:color w:val="auto"/>
          <w:spacing w:val="-7"/>
          <w:sz w:val="24"/>
          <w:szCs w:val="24"/>
          <w:highlight w:val="none"/>
        </w:rPr>
        <w:t>行覆盖。监理人检查确认质量不合格的，承包人应在监理人指示的时间内修整返工后，</w:t>
      </w:r>
      <w:r>
        <w:rPr>
          <w:rFonts w:hint="eastAsia" w:ascii="宋体" w:hAnsi="宋体" w:eastAsia="宋体" w:cs="宋体"/>
          <w:color w:val="auto"/>
          <w:spacing w:val="-2"/>
          <w:sz w:val="24"/>
          <w:szCs w:val="24"/>
          <w:highlight w:val="none"/>
        </w:rPr>
        <w:t>由监理人重新检查。</w:t>
      </w:r>
    </w:p>
    <w:p w14:paraId="3D21A4A4">
      <w:pPr>
        <w:spacing w:line="221" w:lineRule="auto"/>
        <w:ind w:left="51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13.5.2监理人未到场检查</w:t>
      </w:r>
    </w:p>
    <w:p w14:paraId="53B0DF39">
      <w:pPr>
        <w:spacing w:before="111"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监理人未按第13.5.1项约定的时间进行检查的，除监理人另有指示外，承包人可</w:t>
      </w:r>
    </w:p>
    <w:p w14:paraId="4FF4A5D0">
      <w:pPr>
        <w:spacing w:line="219" w:lineRule="auto"/>
        <w:rPr>
          <w:rFonts w:hint="eastAsia" w:ascii="宋体" w:hAnsi="宋体" w:eastAsia="宋体" w:cs="宋体"/>
          <w:color w:val="auto"/>
          <w:sz w:val="24"/>
          <w:szCs w:val="24"/>
          <w:highlight w:val="none"/>
        </w:rPr>
        <w:sectPr>
          <w:headerReference r:id="rId92" w:type="default"/>
          <w:footerReference r:id="rId93" w:type="default"/>
          <w:pgSz w:w="11907" w:h="16840"/>
          <w:pgMar w:top="1182" w:right="1227" w:bottom="1014" w:left="1786" w:header="849" w:footer="852" w:gutter="0"/>
          <w:pgNumType w:fmt="decimal"/>
          <w:cols w:space="720" w:num="1"/>
        </w:sectPr>
      </w:pPr>
    </w:p>
    <w:p w14:paraId="5B25B190">
      <w:pPr>
        <w:pStyle w:val="4"/>
        <w:spacing w:line="302" w:lineRule="auto"/>
        <w:rPr>
          <w:rFonts w:hint="eastAsia" w:ascii="宋体" w:hAnsi="宋体" w:eastAsia="宋体" w:cs="宋体"/>
          <w:color w:val="auto"/>
          <w:highlight w:val="none"/>
        </w:rPr>
      </w:pPr>
    </w:p>
    <w:p w14:paraId="36B0AE7B">
      <w:pPr>
        <w:spacing w:before="78" w:line="308" w:lineRule="auto"/>
        <w:ind w:left="23" w:right="80" w:firstLine="36"/>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自行完成覆盖工作，并作相应记录报送监理人，监理人应签字确认。监理人事后对检</w:t>
      </w:r>
      <w:r>
        <w:rPr>
          <w:rFonts w:hint="eastAsia" w:ascii="宋体" w:hAnsi="宋体" w:eastAsia="宋体" w:cs="宋体"/>
          <w:color w:val="auto"/>
          <w:spacing w:val="-2"/>
          <w:sz w:val="24"/>
          <w:szCs w:val="24"/>
          <w:highlight w:val="none"/>
        </w:rPr>
        <w:t>查记录有疑问的，可按第13.5.3项的约定重新检查。</w:t>
      </w:r>
    </w:p>
    <w:p w14:paraId="3E59DBCF">
      <w:pPr>
        <w:spacing w:before="1" w:line="220" w:lineRule="auto"/>
        <w:ind w:left="51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13.5.3监理人重新检查</w:t>
      </w:r>
    </w:p>
    <w:p w14:paraId="16F5284D">
      <w:pPr>
        <w:spacing w:before="110" w:line="308" w:lineRule="auto"/>
        <w:ind w:left="19" w:right="78" w:firstLine="48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承包人按第13.5.1项或13.5.2项覆盖工程隐蔽部位后，监理人对质量有疑问的，</w:t>
      </w:r>
      <w:r>
        <w:rPr>
          <w:rFonts w:hint="eastAsia" w:ascii="宋体" w:hAnsi="宋体" w:eastAsia="宋体" w:cs="宋体"/>
          <w:color w:val="auto"/>
          <w:spacing w:val="-2"/>
          <w:sz w:val="24"/>
          <w:szCs w:val="24"/>
          <w:highlight w:val="none"/>
        </w:rPr>
        <w:t>可要求承包人对已覆盖的部位进行钻孔探测或揭开重新检验，承包人应遵照执行，并在检验后重新覆盖恢复原状。经检验证明工程质量符合合同要求的，由发包人承担由此增加的费用和（或）工期延误，并支付承包人合理利润；经检验证明工程质量不符</w:t>
      </w:r>
      <w:r>
        <w:rPr>
          <w:rFonts w:hint="eastAsia" w:ascii="宋体" w:hAnsi="宋体" w:eastAsia="宋体" w:cs="宋体"/>
          <w:color w:val="auto"/>
          <w:sz w:val="24"/>
          <w:szCs w:val="24"/>
          <w:highlight w:val="none"/>
        </w:rPr>
        <w:t>合合同要求的，由此增加的费用和（或）工</w:t>
      </w:r>
      <w:r>
        <w:rPr>
          <w:rFonts w:hint="eastAsia" w:ascii="宋体" w:hAnsi="宋体" w:eastAsia="宋体" w:cs="宋体"/>
          <w:color w:val="auto"/>
          <w:spacing w:val="-1"/>
          <w:sz w:val="24"/>
          <w:szCs w:val="24"/>
          <w:highlight w:val="none"/>
        </w:rPr>
        <w:t>期延误由承包人承担。</w:t>
      </w:r>
    </w:p>
    <w:p w14:paraId="3DEF5C77">
      <w:pPr>
        <w:spacing w:line="222" w:lineRule="auto"/>
        <w:ind w:left="51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13.5.4承包人私自覆盖</w:t>
      </w:r>
    </w:p>
    <w:p w14:paraId="02505F8D">
      <w:pPr>
        <w:spacing w:before="110" w:line="310" w:lineRule="auto"/>
        <w:ind w:left="20" w:right="80" w:firstLine="48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承包人未通知监理人到场检查，私自将工程隐蔽部位覆盖的，监理人有权指示承</w:t>
      </w:r>
      <w:r>
        <w:rPr>
          <w:rFonts w:hint="eastAsia" w:ascii="宋体" w:hAnsi="宋体" w:eastAsia="宋体" w:cs="宋体"/>
          <w:color w:val="auto"/>
          <w:sz w:val="24"/>
          <w:szCs w:val="24"/>
          <w:highlight w:val="none"/>
        </w:rPr>
        <w:t>包人钻孔探测或揭开检查，由此增加的费用和（或）</w:t>
      </w:r>
      <w:r>
        <w:rPr>
          <w:rFonts w:hint="eastAsia" w:ascii="宋体" w:hAnsi="宋体" w:eastAsia="宋体" w:cs="宋体"/>
          <w:color w:val="auto"/>
          <w:spacing w:val="-1"/>
          <w:sz w:val="24"/>
          <w:szCs w:val="24"/>
          <w:highlight w:val="none"/>
        </w:rPr>
        <w:t>工期延误由承包人承担。</w:t>
      </w:r>
    </w:p>
    <w:p w14:paraId="5B3364B7">
      <w:pPr>
        <w:spacing w:before="212" w:line="222" w:lineRule="auto"/>
        <w:ind w:left="3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13.6清除不合格工程</w:t>
      </w:r>
    </w:p>
    <w:p w14:paraId="43FA59E9">
      <w:pPr>
        <w:pStyle w:val="4"/>
        <w:spacing w:line="273" w:lineRule="auto"/>
        <w:rPr>
          <w:rFonts w:hint="eastAsia" w:ascii="宋体" w:hAnsi="宋体" w:eastAsia="宋体" w:cs="宋体"/>
          <w:color w:val="auto"/>
          <w:highlight w:val="none"/>
        </w:rPr>
      </w:pPr>
    </w:p>
    <w:p w14:paraId="383C4779">
      <w:pPr>
        <w:spacing w:before="78" w:line="278" w:lineRule="auto"/>
        <w:ind w:left="22" w:firstLine="49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13.6.1承包人使用不合格材料、工程设备，或采用不适当的施工工艺，或施工不</w:t>
      </w:r>
      <w:r>
        <w:rPr>
          <w:rFonts w:hint="eastAsia" w:ascii="宋体" w:hAnsi="宋体" w:eastAsia="宋体" w:cs="宋体"/>
          <w:color w:val="auto"/>
          <w:spacing w:val="-2"/>
          <w:sz w:val="24"/>
          <w:szCs w:val="24"/>
          <w:highlight w:val="none"/>
        </w:rPr>
        <w:t>当，造成工程不合格的，监理人可以随时发出指示，要求承包人立即采取措施进行补</w:t>
      </w:r>
      <w:r>
        <w:rPr>
          <w:rFonts w:hint="eastAsia" w:ascii="宋体" w:hAnsi="宋体" w:eastAsia="宋体" w:cs="宋体"/>
          <w:color w:val="auto"/>
          <w:spacing w:val="-6"/>
          <w:sz w:val="24"/>
          <w:szCs w:val="24"/>
          <w:highlight w:val="none"/>
        </w:rPr>
        <w:t>救，直至达到合同要求的质量标准，由此增加的费用和（或）工期延误由承</w:t>
      </w:r>
      <w:r>
        <w:rPr>
          <w:rFonts w:hint="eastAsia" w:ascii="宋体" w:hAnsi="宋体" w:eastAsia="宋体" w:cs="宋体"/>
          <w:color w:val="auto"/>
          <w:spacing w:val="-7"/>
          <w:sz w:val="24"/>
          <w:szCs w:val="24"/>
          <w:highlight w:val="none"/>
        </w:rPr>
        <w:t>包人承担。</w:t>
      </w:r>
    </w:p>
    <w:p w14:paraId="5EA876CF">
      <w:pPr>
        <w:spacing w:before="117" w:line="278" w:lineRule="auto"/>
        <w:ind w:left="19" w:right="80" w:firstLine="49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13.6.2由于发包人提供的材料或工程设备不合格造成的工程不合格，需要承包人采取措施补救的，发包人应承担由此增加的费用和（或）工期延误，并支付承包人合</w:t>
      </w:r>
      <w:r>
        <w:rPr>
          <w:rFonts w:hint="eastAsia" w:ascii="宋体" w:hAnsi="宋体" w:eastAsia="宋体" w:cs="宋体"/>
          <w:color w:val="auto"/>
          <w:spacing w:val="-3"/>
          <w:sz w:val="24"/>
          <w:szCs w:val="24"/>
          <w:highlight w:val="none"/>
        </w:rPr>
        <w:t>理利润。</w:t>
      </w:r>
    </w:p>
    <w:p w14:paraId="25A097C6">
      <w:pPr>
        <w:pStyle w:val="4"/>
        <w:spacing w:line="433" w:lineRule="auto"/>
        <w:rPr>
          <w:rFonts w:hint="eastAsia" w:ascii="宋体" w:hAnsi="宋体" w:eastAsia="宋体" w:cs="宋体"/>
          <w:color w:val="auto"/>
          <w:highlight w:val="none"/>
        </w:rPr>
      </w:pPr>
    </w:p>
    <w:p w14:paraId="0B809AE2">
      <w:pPr>
        <w:spacing w:before="92" w:line="222" w:lineRule="auto"/>
        <w:ind w:left="44"/>
        <w:outlineLvl w:val="2"/>
        <w:rPr>
          <w:rFonts w:hint="eastAsia" w:ascii="宋体" w:hAnsi="宋体" w:eastAsia="宋体" w:cs="宋体"/>
          <w:color w:val="auto"/>
          <w:sz w:val="28"/>
          <w:szCs w:val="28"/>
          <w:highlight w:val="none"/>
        </w:rPr>
      </w:pPr>
      <w:bookmarkStart w:id="511" w:name="_Toc25163"/>
      <w:bookmarkStart w:id="512" w:name="_Toc16756"/>
      <w:bookmarkStart w:id="513" w:name="_Toc9097"/>
      <w:bookmarkStart w:id="514" w:name="_Toc14283"/>
      <w:bookmarkStart w:id="515" w:name="_Toc31037"/>
      <w:r>
        <w:rPr>
          <w:rFonts w:hint="eastAsia" w:ascii="宋体" w:hAnsi="宋体" w:eastAsia="宋体" w:cs="宋体"/>
          <w:color w:val="auto"/>
          <w:spacing w:val="-4"/>
          <w:sz w:val="28"/>
          <w:szCs w:val="28"/>
          <w:highlight w:val="none"/>
        </w:rPr>
        <w:t>14.试验和检验</w:t>
      </w:r>
      <w:bookmarkEnd w:id="511"/>
      <w:bookmarkEnd w:id="512"/>
      <w:bookmarkEnd w:id="513"/>
      <w:bookmarkEnd w:id="514"/>
      <w:bookmarkEnd w:id="515"/>
    </w:p>
    <w:p w14:paraId="40465958">
      <w:pPr>
        <w:pStyle w:val="4"/>
        <w:spacing w:line="250" w:lineRule="auto"/>
        <w:rPr>
          <w:rFonts w:hint="eastAsia" w:ascii="宋体" w:hAnsi="宋体" w:eastAsia="宋体" w:cs="宋体"/>
          <w:color w:val="auto"/>
          <w:highlight w:val="none"/>
        </w:rPr>
      </w:pPr>
    </w:p>
    <w:p w14:paraId="1A6EE739">
      <w:pPr>
        <w:spacing w:before="79" w:line="221" w:lineRule="auto"/>
        <w:ind w:left="3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14.1材料、工程设备和工程的试验和检验</w:t>
      </w:r>
    </w:p>
    <w:p w14:paraId="5F067169">
      <w:pPr>
        <w:pStyle w:val="4"/>
        <w:spacing w:line="273" w:lineRule="auto"/>
        <w:rPr>
          <w:rFonts w:hint="eastAsia" w:ascii="宋体" w:hAnsi="宋体" w:eastAsia="宋体" w:cs="宋体"/>
          <w:color w:val="auto"/>
          <w:highlight w:val="none"/>
        </w:rPr>
      </w:pPr>
    </w:p>
    <w:p w14:paraId="13EDA8FE">
      <w:pPr>
        <w:spacing w:before="79" w:line="286" w:lineRule="auto"/>
        <w:ind w:left="21" w:right="80" w:firstLine="49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14.1.1承包人应按合同约定进行材料、工程设备和工程的</w:t>
      </w:r>
      <w:r>
        <w:rPr>
          <w:rFonts w:hint="eastAsia" w:ascii="宋体" w:hAnsi="宋体" w:eastAsia="宋体" w:cs="宋体"/>
          <w:color w:val="auto"/>
          <w:spacing w:val="-3"/>
          <w:sz w:val="24"/>
          <w:szCs w:val="24"/>
          <w:highlight w:val="none"/>
        </w:rPr>
        <w:t>试验和检验，并为监理</w:t>
      </w:r>
      <w:r>
        <w:rPr>
          <w:rFonts w:hint="eastAsia" w:ascii="宋体" w:hAnsi="宋体" w:eastAsia="宋体" w:cs="宋体"/>
          <w:color w:val="auto"/>
          <w:spacing w:val="-2"/>
          <w:sz w:val="24"/>
          <w:szCs w:val="24"/>
          <w:highlight w:val="none"/>
        </w:rPr>
        <w:t>人对上述材料、工程设备和工程的质量检查提供必要的试验资料和原始记录。按合同约定应由监理人与承包人共同进行试验和检验的，由承包人负责提供必要的试验资料和原始记录。</w:t>
      </w:r>
    </w:p>
    <w:p w14:paraId="581F544F">
      <w:pPr>
        <w:spacing w:before="110" w:line="264" w:lineRule="auto"/>
        <w:ind w:left="22" w:right="60" w:firstLine="496"/>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14.1.2监理人未按合同约定派员参加试验和检验的，除监</w:t>
      </w:r>
      <w:r>
        <w:rPr>
          <w:rFonts w:hint="eastAsia" w:ascii="宋体" w:hAnsi="宋体" w:eastAsia="宋体" w:cs="宋体"/>
          <w:color w:val="auto"/>
          <w:spacing w:val="-3"/>
          <w:sz w:val="24"/>
          <w:szCs w:val="24"/>
          <w:highlight w:val="none"/>
        </w:rPr>
        <w:t>理人另有指示外，承包</w:t>
      </w:r>
      <w:r>
        <w:rPr>
          <w:rFonts w:hint="eastAsia" w:ascii="宋体" w:hAnsi="宋体" w:eastAsia="宋体" w:cs="宋体"/>
          <w:color w:val="auto"/>
          <w:spacing w:val="-1"/>
          <w:sz w:val="24"/>
          <w:szCs w:val="24"/>
          <w:highlight w:val="none"/>
        </w:rPr>
        <w:t>人可自行试验和检验，并应立即将试验和检验结</w:t>
      </w:r>
      <w:r>
        <w:rPr>
          <w:rFonts w:hint="eastAsia" w:ascii="宋体" w:hAnsi="宋体" w:eastAsia="宋体" w:cs="宋体"/>
          <w:color w:val="auto"/>
          <w:spacing w:val="-2"/>
          <w:sz w:val="24"/>
          <w:szCs w:val="24"/>
          <w:highlight w:val="none"/>
        </w:rPr>
        <w:t>果报送监理人，监理人应签字确认。</w:t>
      </w:r>
    </w:p>
    <w:p w14:paraId="57E734AE">
      <w:pPr>
        <w:spacing w:before="115" w:line="290" w:lineRule="auto"/>
        <w:ind w:left="22" w:firstLine="496"/>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14.1.3监理人对承包人的试验和检验结果有疑问的，或为</w:t>
      </w:r>
      <w:r>
        <w:rPr>
          <w:rFonts w:hint="eastAsia" w:ascii="宋体" w:hAnsi="宋体" w:eastAsia="宋体" w:cs="宋体"/>
          <w:color w:val="auto"/>
          <w:spacing w:val="-3"/>
          <w:sz w:val="24"/>
          <w:szCs w:val="24"/>
          <w:highlight w:val="none"/>
        </w:rPr>
        <w:t>查清承包人试验和检验</w:t>
      </w:r>
      <w:r>
        <w:rPr>
          <w:rFonts w:hint="eastAsia" w:ascii="宋体" w:hAnsi="宋体" w:eastAsia="宋体" w:cs="宋体"/>
          <w:color w:val="auto"/>
          <w:spacing w:val="-2"/>
          <w:sz w:val="24"/>
          <w:szCs w:val="24"/>
          <w:highlight w:val="none"/>
        </w:rPr>
        <w:t>成果的可靠性要求承包人重新试验和检验的，可按合同约定由监理人与承包人共同进</w:t>
      </w:r>
      <w:r>
        <w:rPr>
          <w:rFonts w:hint="eastAsia" w:ascii="宋体" w:hAnsi="宋体" w:eastAsia="宋体" w:cs="宋体"/>
          <w:color w:val="auto"/>
          <w:spacing w:val="-6"/>
          <w:sz w:val="24"/>
          <w:szCs w:val="24"/>
          <w:highlight w:val="none"/>
        </w:rPr>
        <w:t>行。重新试验和检验的结果证明该项材料、工程设备或工程的质量不符合合</w:t>
      </w:r>
      <w:r>
        <w:rPr>
          <w:rFonts w:hint="eastAsia" w:ascii="宋体" w:hAnsi="宋体" w:eastAsia="宋体" w:cs="宋体"/>
          <w:color w:val="auto"/>
          <w:spacing w:val="-7"/>
          <w:sz w:val="24"/>
          <w:szCs w:val="24"/>
          <w:highlight w:val="none"/>
        </w:rPr>
        <w:t>同要求的，</w:t>
      </w:r>
      <w:r>
        <w:rPr>
          <w:rFonts w:hint="eastAsia" w:ascii="宋体" w:hAnsi="宋体" w:eastAsia="宋体" w:cs="宋体"/>
          <w:color w:val="auto"/>
          <w:spacing w:val="-6"/>
          <w:sz w:val="24"/>
          <w:szCs w:val="24"/>
          <w:highlight w:val="none"/>
        </w:rPr>
        <w:t>由此增加的费用和（或）工期延误由承包人承担；重新试验和检验结果证明</w:t>
      </w:r>
      <w:r>
        <w:rPr>
          <w:rFonts w:hint="eastAsia" w:ascii="宋体" w:hAnsi="宋体" w:eastAsia="宋体" w:cs="宋体"/>
          <w:color w:val="auto"/>
          <w:spacing w:val="-7"/>
          <w:sz w:val="24"/>
          <w:szCs w:val="24"/>
          <w:highlight w:val="none"/>
        </w:rPr>
        <w:t>该项材料、</w:t>
      </w:r>
      <w:r>
        <w:rPr>
          <w:rFonts w:hint="eastAsia" w:ascii="宋体" w:hAnsi="宋体" w:eastAsia="宋体" w:cs="宋体"/>
          <w:color w:val="auto"/>
          <w:spacing w:val="-2"/>
          <w:sz w:val="24"/>
          <w:szCs w:val="24"/>
          <w:highlight w:val="none"/>
        </w:rPr>
        <w:t>工程设备和工程符合合同要求，由发包人承担由此增加的费用和（或）工期延误，并</w:t>
      </w:r>
    </w:p>
    <w:p w14:paraId="562DFC3E">
      <w:pPr>
        <w:spacing w:line="290" w:lineRule="auto"/>
        <w:rPr>
          <w:rFonts w:hint="eastAsia" w:ascii="宋体" w:hAnsi="宋体" w:eastAsia="宋体" w:cs="宋体"/>
          <w:color w:val="auto"/>
          <w:sz w:val="24"/>
          <w:szCs w:val="24"/>
          <w:highlight w:val="none"/>
        </w:rPr>
        <w:sectPr>
          <w:headerReference r:id="rId94" w:type="default"/>
          <w:footerReference r:id="rId95" w:type="default"/>
          <w:pgSz w:w="11907" w:h="16840"/>
          <w:pgMar w:top="1182" w:right="1209" w:bottom="1014" w:left="1786" w:header="849" w:footer="852" w:gutter="0"/>
          <w:pgNumType w:fmt="decimal"/>
          <w:cols w:space="720" w:num="1"/>
        </w:sectPr>
      </w:pPr>
    </w:p>
    <w:p w14:paraId="05FF27BE">
      <w:pPr>
        <w:pStyle w:val="4"/>
        <w:spacing w:line="302" w:lineRule="auto"/>
        <w:rPr>
          <w:rFonts w:hint="eastAsia" w:ascii="宋体" w:hAnsi="宋体" w:eastAsia="宋体" w:cs="宋体"/>
          <w:color w:val="auto"/>
          <w:highlight w:val="none"/>
        </w:rPr>
      </w:pPr>
    </w:p>
    <w:p w14:paraId="30787036">
      <w:pPr>
        <w:spacing w:before="78" w:line="219" w:lineRule="auto"/>
        <w:ind w:left="2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支付承包人合理利润。</w:t>
      </w:r>
    </w:p>
    <w:p w14:paraId="7589C1A2">
      <w:pPr>
        <w:pStyle w:val="4"/>
        <w:spacing w:line="256" w:lineRule="auto"/>
        <w:rPr>
          <w:rFonts w:hint="eastAsia" w:ascii="宋体" w:hAnsi="宋体" w:eastAsia="宋体" w:cs="宋体"/>
          <w:color w:val="auto"/>
          <w:highlight w:val="none"/>
        </w:rPr>
      </w:pPr>
    </w:p>
    <w:p w14:paraId="5E88A254">
      <w:pPr>
        <w:spacing w:before="78" w:line="221" w:lineRule="auto"/>
        <w:ind w:left="3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14.2现场材料试验</w:t>
      </w:r>
    </w:p>
    <w:p w14:paraId="7FCF1374">
      <w:pPr>
        <w:pStyle w:val="4"/>
        <w:spacing w:line="272" w:lineRule="auto"/>
        <w:rPr>
          <w:rFonts w:hint="eastAsia" w:ascii="宋体" w:hAnsi="宋体" w:eastAsia="宋体" w:cs="宋体"/>
          <w:color w:val="auto"/>
          <w:highlight w:val="none"/>
        </w:rPr>
      </w:pPr>
    </w:p>
    <w:p w14:paraId="6840B5A7">
      <w:pPr>
        <w:spacing w:before="78" w:line="263" w:lineRule="auto"/>
        <w:ind w:left="20" w:right="80" w:firstLine="498"/>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14.2.1承包人根据合同约定或监理人指示进行的现场材料</w:t>
      </w:r>
      <w:r>
        <w:rPr>
          <w:rFonts w:hint="eastAsia" w:ascii="宋体" w:hAnsi="宋体" w:eastAsia="宋体" w:cs="宋体"/>
          <w:color w:val="auto"/>
          <w:spacing w:val="-3"/>
          <w:sz w:val="24"/>
          <w:szCs w:val="24"/>
          <w:highlight w:val="none"/>
        </w:rPr>
        <w:t>试验，应由承包人提供</w:t>
      </w:r>
      <w:r>
        <w:rPr>
          <w:rFonts w:hint="eastAsia" w:ascii="宋体" w:hAnsi="宋体" w:eastAsia="宋体" w:cs="宋体"/>
          <w:color w:val="auto"/>
          <w:spacing w:val="-1"/>
          <w:sz w:val="24"/>
          <w:szCs w:val="24"/>
          <w:highlight w:val="none"/>
        </w:rPr>
        <w:t>试验场所、试验人员、试验设备器材以及其他必要的试验条件。</w:t>
      </w:r>
    </w:p>
    <w:p w14:paraId="4821F965">
      <w:pPr>
        <w:spacing w:before="115" w:line="263" w:lineRule="auto"/>
        <w:ind w:left="22" w:right="80" w:firstLine="496"/>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14.2.2监理人在必要时可以使用承包人的试验场所、试验</w:t>
      </w:r>
      <w:r>
        <w:rPr>
          <w:rFonts w:hint="eastAsia" w:ascii="宋体" w:hAnsi="宋体" w:eastAsia="宋体" w:cs="宋体"/>
          <w:color w:val="auto"/>
          <w:spacing w:val="-3"/>
          <w:sz w:val="24"/>
          <w:szCs w:val="24"/>
          <w:highlight w:val="none"/>
        </w:rPr>
        <w:t>设备器材以及其他试验</w:t>
      </w:r>
      <w:r>
        <w:rPr>
          <w:rFonts w:hint="eastAsia" w:ascii="宋体" w:hAnsi="宋体" w:eastAsia="宋体" w:cs="宋体"/>
          <w:color w:val="auto"/>
          <w:sz w:val="24"/>
          <w:szCs w:val="24"/>
          <w:highlight w:val="none"/>
        </w:rPr>
        <w:t>条件，进行以工程质量检查为目的的复核性材</w:t>
      </w:r>
      <w:r>
        <w:rPr>
          <w:rFonts w:hint="eastAsia" w:ascii="宋体" w:hAnsi="宋体" w:eastAsia="宋体" w:cs="宋体"/>
          <w:color w:val="auto"/>
          <w:spacing w:val="-1"/>
          <w:sz w:val="24"/>
          <w:szCs w:val="24"/>
          <w:highlight w:val="none"/>
        </w:rPr>
        <w:t>料试验，承包人应予以协助。</w:t>
      </w:r>
    </w:p>
    <w:p w14:paraId="60F0E977">
      <w:pPr>
        <w:pStyle w:val="4"/>
        <w:spacing w:line="257" w:lineRule="auto"/>
        <w:rPr>
          <w:rFonts w:hint="eastAsia" w:ascii="宋体" w:hAnsi="宋体" w:eastAsia="宋体" w:cs="宋体"/>
          <w:color w:val="auto"/>
          <w:highlight w:val="none"/>
        </w:rPr>
      </w:pPr>
    </w:p>
    <w:p w14:paraId="6FD228AB">
      <w:pPr>
        <w:spacing w:before="78" w:line="221" w:lineRule="auto"/>
        <w:ind w:left="3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14.3现场工艺试验</w:t>
      </w:r>
    </w:p>
    <w:p w14:paraId="3A9BEF99">
      <w:pPr>
        <w:pStyle w:val="4"/>
        <w:spacing w:line="270" w:lineRule="auto"/>
        <w:rPr>
          <w:rFonts w:hint="eastAsia" w:ascii="宋体" w:hAnsi="宋体" w:eastAsia="宋体" w:cs="宋体"/>
          <w:color w:val="auto"/>
          <w:highlight w:val="none"/>
        </w:rPr>
      </w:pPr>
    </w:p>
    <w:p w14:paraId="2CDBF8E0">
      <w:pPr>
        <w:spacing w:before="79" w:line="310" w:lineRule="auto"/>
        <w:ind w:left="20" w:right="78" w:firstLine="480"/>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承包人应按合同约定或监理人指示进行现场工艺试验。对大型的现场工艺试验，监理人认为必要时，应由承包人根据监理人提出的工艺试验要求，编制工艺试验措施</w:t>
      </w:r>
      <w:r>
        <w:rPr>
          <w:rFonts w:hint="eastAsia" w:ascii="宋体" w:hAnsi="宋体" w:eastAsia="宋体" w:cs="宋体"/>
          <w:color w:val="auto"/>
          <w:spacing w:val="-1"/>
          <w:sz w:val="24"/>
          <w:szCs w:val="24"/>
          <w:highlight w:val="none"/>
        </w:rPr>
        <w:t>计划，报送监理人审批。</w:t>
      </w:r>
    </w:p>
    <w:p w14:paraId="3FFA44D1">
      <w:pPr>
        <w:pStyle w:val="4"/>
        <w:spacing w:line="315" w:lineRule="auto"/>
        <w:rPr>
          <w:rFonts w:hint="eastAsia" w:ascii="宋体" w:hAnsi="宋体" w:eastAsia="宋体" w:cs="宋体"/>
          <w:color w:val="auto"/>
          <w:highlight w:val="none"/>
        </w:rPr>
      </w:pPr>
    </w:p>
    <w:p w14:paraId="12BD8CE2">
      <w:pPr>
        <w:spacing w:before="91" w:line="222" w:lineRule="auto"/>
        <w:ind w:left="44"/>
        <w:outlineLvl w:val="2"/>
        <w:rPr>
          <w:rFonts w:hint="eastAsia" w:ascii="宋体" w:hAnsi="宋体" w:eastAsia="宋体" w:cs="宋体"/>
          <w:color w:val="auto"/>
          <w:sz w:val="28"/>
          <w:szCs w:val="28"/>
          <w:highlight w:val="none"/>
        </w:rPr>
      </w:pPr>
      <w:bookmarkStart w:id="516" w:name="_Toc9630"/>
      <w:bookmarkStart w:id="517" w:name="_Toc29195"/>
      <w:bookmarkStart w:id="518" w:name="_Toc17150"/>
      <w:bookmarkStart w:id="519" w:name="_Toc25311"/>
      <w:bookmarkStart w:id="520" w:name="_Toc23898"/>
      <w:r>
        <w:rPr>
          <w:rFonts w:hint="eastAsia" w:ascii="宋体" w:hAnsi="宋体" w:eastAsia="宋体" w:cs="宋体"/>
          <w:color w:val="auto"/>
          <w:spacing w:val="-10"/>
          <w:sz w:val="28"/>
          <w:szCs w:val="28"/>
          <w:highlight w:val="none"/>
        </w:rPr>
        <w:t>15.变更</w:t>
      </w:r>
      <w:bookmarkEnd w:id="516"/>
      <w:bookmarkEnd w:id="517"/>
      <w:bookmarkEnd w:id="518"/>
      <w:bookmarkEnd w:id="519"/>
      <w:bookmarkEnd w:id="520"/>
    </w:p>
    <w:p w14:paraId="7D5CB0BB">
      <w:pPr>
        <w:pStyle w:val="4"/>
        <w:spacing w:line="246" w:lineRule="auto"/>
        <w:rPr>
          <w:rFonts w:hint="eastAsia" w:ascii="宋体" w:hAnsi="宋体" w:eastAsia="宋体" w:cs="宋体"/>
          <w:color w:val="auto"/>
          <w:highlight w:val="none"/>
        </w:rPr>
      </w:pPr>
    </w:p>
    <w:p w14:paraId="795FF1C9">
      <w:pPr>
        <w:spacing w:before="79" w:line="222" w:lineRule="auto"/>
        <w:ind w:left="3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15.1变更的范围和内容</w:t>
      </w:r>
    </w:p>
    <w:p w14:paraId="1F07BE9B">
      <w:pPr>
        <w:pStyle w:val="4"/>
        <w:spacing w:line="274" w:lineRule="auto"/>
        <w:rPr>
          <w:rFonts w:hint="eastAsia" w:ascii="宋体" w:hAnsi="宋体" w:eastAsia="宋体" w:cs="宋体"/>
          <w:color w:val="auto"/>
          <w:highlight w:val="none"/>
        </w:rPr>
      </w:pPr>
    </w:p>
    <w:p w14:paraId="39DF02C7">
      <w:pPr>
        <w:spacing w:before="78" w:line="307" w:lineRule="auto"/>
        <w:ind w:left="18" w:right="80" w:firstLine="496"/>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除专用合同条款另有约定外，在履行合同中发</w:t>
      </w:r>
      <w:r>
        <w:rPr>
          <w:rFonts w:hint="eastAsia" w:ascii="宋体" w:hAnsi="宋体" w:eastAsia="宋体" w:cs="宋体"/>
          <w:color w:val="auto"/>
          <w:spacing w:val="-3"/>
          <w:sz w:val="24"/>
          <w:szCs w:val="24"/>
          <w:highlight w:val="none"/>
        </w:rPr>
        <w:t>生以下情形之一，应按照本条规定</w:t>
      </w:r>
      <w:r>
        <w:rPr>
          <w:rFonts w:hint="eastAsia" w:ascii="宋体" w:hAnsi="宋体" w:eastAsia="宋体" w:cs="宋体"/>
          <w:color w:val="auto"/>
          <w:spacing w:val="-2"/>
          <w:sz w:val="24"/>
          <w:szCs w:val="24"/>
          <w:highlight w:val="none"/>
        </w:rPr>
        <w:t>进行变更。</w:t>
      </w:r>
    </w:p>
    <w:p w14:paraId="02C0A9C1">
      <w:pPr>
        <w:spacing w:before="1"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（1）取消合同中任何一项工作，但被取消的工作不能转由发包人或其他人实施；</w:t>
      </w:r>
    </w:p>
    <w:p w14:paraId="7516A019">
      <w:pPr>
        <w:spacing w:before="116" w:line="219" w:lineRule="auto"/>
        <w:ind w:left="51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（2）改变合同中任何一项工作的质量或其他特性；</w:t>
      </w:r>
    </w:p>
    <w:p w14:paraId="087DAA33">
      <w:pPr>
        <w:spacing w:before="115" w:line="219" w:lineRule="auto"/>
        <w:ind w:left="51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（3）改变合同工程的基线、标高、位置或尺寸；</w:t>
      </w:r>
    </w:p>
    <w:p w14:paraId="47694AA8">
      <w:pPr>
        <w:spacing w:before="114" w:line="219" w:lineRule="auto"/>
        <w:ind w:left="51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（4）改变合同中任何一项工作的施工时间或改变已批准的施工工艺或顺序；</w:t>
      </w:r>
    </w:p>
    <w:p w14:paraId="6DE0424A">
      <w:pPr>
        <w:spacing w:before="117" w:line="219" w:lineRule="auto"/>
        <w:ind w:left="51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（5）为完成工程需要追加的额外工作。</w:t>
      </w:r>
    </w:p>
    <w:p w14:paraId="7FF131B8">
      <w:pPr>
        <w:pStyle w:val="4"/>
        <w:spacing w:line="253" w:lineRule="auto"/>
        <w:rPr>
          <w:rFonts w:hint="eastAsia" w:ascii="宋体" w:hAnsi="宋体" w:eastAsia="宋体" w:cs="宋体"/>
          <w:color w:val="auto"/>
          <w:highlight w:val="none"/>
        </w:rPr>
      </w:pPr>
    </w:p>
    <w:p w14:paraId="6E40464A">
      <w:pPr>
        <w:spacing w:before="78" w:line="222" w:lineRule="auto"/>
        <w:ind w:left="39"/>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15.2变更权</w:t>
      </w:r>
    </w:p>
    <w:p w14:paraId="26CB9F9A">
      <w:pPr>
        <w:pStyle w:val="4"/>
        <w:spacing w:line="274" w:lineRule="auto"/>
        <w:rPr>
          <w:rFonts w:hint="eastAsia" w:ascii="宋体" w:hAnsi="宋体" w:eastAsia="宋体" w:cs="宋体"/>
          <w:color w:val="auto"/>
          <w:highlight w:val="none"/>
        </w:rPr>
      </w:pPr>
    </w:p>
    <w:p w14:paraId="74B7D626">
      <w:pPr>
        <w:spacing w:before="79" w:line="310" w:lineRule="auto"/>
        <w:ind w:left="22" w:firstLine="477"/>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在履行合同过程中，经发包人同意，监理人可按第15.3款约定的变</w:t>
      </w:r>
      <w:r>
        <w:rPr>
          <w:rFonts w:hint="eastAsia" w:ascii="宋体" w:hAnsi="宋体" w:eastAsia="宋体" w:cs="宋体"/>
          <w:color w:val="auto"/>
          <w:spacing w:val="-5"/>
          <w:sz w:val="24"/>
          <w:szCs w:val="24"/>
          <w:highlight w:val="none"/>
        </w:rPr>
        <w:t>更程序向承包</w:t>
      </w:r>
      <w:r>
        <w:rPr>
          <w:rFonts w:hint="eastAsia" w:ascii="宋体" w:hAnsi="宋体" w:eastAsia="宋体" w:cs="宋体"/>
          <w:color w:val="auto"/>
          <w:spacing w:val="-6"/>
          <w:sz w:val="24"/>
          <w:szCs w:val="24"/>
          <w:highlight w:val="none"/>
        </w:rPr>
        <w:t>人作出变更指示，承包人应遵照执行。没有监理人的变更指示，承包人不得</w:t>
      </w:r>
      <w:r>
        <w:rPr>
          <w:rFonts w:hint="eastAsia" w:ascii="宋体" w:hAnsi="宋体" w:eastAsia="宋体" w:cs="宋体"/>
          <w:color w:val="auto"/>
          <w:spacing w:val="-7"/>
          <w:sz w:val="24"/>
          <w:szCs w:val="24"/>
          <w:highlight w:val="none"/>
        </w:rPr>
        <w:t>擅自变更。</w:t>
      </w:r>
    </w:p>
    <w:p w14:paraId="547C97A2">
      <w:pPr>
        <w:spacing w:before="212" w:line="222" w:lineRule="auto"/>
        <w:ind w:left="3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15.3变更程序</w:t>
      </w:r>
    </w:p>
    <w:p w14:paraId="3EC12654">
      <w:pPr>
        <w:pStyle w:val="4"/>
        <w:spacing w:line="272" w:lineRule="auto"/>
        <w:rPr>
          <w:rFonts w:hint="eastAsia" w:ascii="宋体" w:hAnsi="宋体" w:eastAsia="宋体" w:cs="宋体"/>
          <w:color w:val="auto"/>
          <w:highlight w:val="none"/>
        </w:rPr>
      </w:pPr>
    </w:p>
    <w:p w14:paraId="56F2D692">
      <w:pPr>
        <w:spacing w:before="78" w:line="222" w:lineRule="auto"/>
        <w:ind w:left="51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15.3.1变更的提出</w:t>
      </w:r>
    </w:p>
    <w:p w14:paraId="48224931">
      <w:pPr>
        <w:spacing w:before="109" w:line="309" w:lineRule="auto"/>
        <w:ind w:left="20" w:right="60" w:firstLine="491"/>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（1）在合同履行过程中，可能发生第15.1款约定情</w:t>
      </w:r>
      <w:r>
        <w:rPr>
          <w:rFonts w:hint="eastAsia" w:ascii="宋体" w:hAnsi="宋体" w:eastAsia="宋体" w:cs="宋体"/>
          <w:color w:val="auto"/>
          <w:spacing w:val="-2"/>
          <w:sz w:val="24"/>
          <w:szCs w:val="24"/>
          <w:highlight w:val="none"/>
        </w:rPr>
        <w:t>形的，监理人可向承包人发出变更意向书。变更意向书应说明变更的具体内容和发包人对变更的时间要求，并附</w:t>
      </w:r>
      <w:r>
        <w:rPr>
          <w:rFonts w:hint="eastAsia" w:ascii="宋体" w:hAnsi="宋体" w:eastAsia="宋体" w:cs="宋体"/>
          <w:color w:val="auto"/>
          <w:spacing w:val="-1"/>
          <w:sz w:val="24"/>
          <w:szCs w:val="24"/>
          <w:highlight w:val="none"/>
        </w:rPr>
        <w:t>必要的图纸和相关资料。变更意向书应要求承包人提</w:t>
      </w:r>
      <w:r>
        <w:rPr>
          <w:rFonts w:hint="eastAsia" w:ascii="宋体" w:hAnsi="宋体" w:eastAsia="宋体" w:cs="宋体"/>
          <w:color w:val="auto"/>
          <w:spacing w:val="-2"/>
          <w:sz w:val="24"/>
          <w:szCs w:val="24"/>
          <w:highlight w:val="none"/>
        </w:rPr>
        <w:t>交包括拟实施变更工作的计划、措施和竣工时间等内容的实施方案。发包人同意承包人根据变更意向书要求提交的变</w:t>
      </w:r>
    </w:p>
    <w:p w14:paraId="6F326FB9">
      <w:pPr>
        <w:spacing w:line="309" w:lineRule="auto"/>
        <w:rPr>
          <w:rFonts w:hint="eastAsia" w:ascii="宋体" w:hAnsi="宋体" w:eastAsia="宋体" w:cs="宋体"/>
          <w:color w:val="auto"/>
          <w:sz w:val="24"/>
          <w:szCs w:val="24"/>
          <w:highlight w:val="none"/>
        </w:rPr>
        <w:sectPr>
          <w:footerReference r:id="rId96" w:type="default"/>
          <w:pgSz w:w="11907" w:h="16840"/>
          <w:pgMar w:top="1182" w:right="1209" w:bottom="1014" w:left="1786" w:header="849" w:footer="852" w:gutter="0"/>
          <w:pgNumType w:fmt="decimal"/>
          <w:cols w:space="720" w:num="1"/>
        </w:sectPr>
      </w:pPr>
    </w:p>
    <w:p w14:paraId="5338308B">
      <w:pPr>
        <w:pStyle w:val="4"/>
        <w:spacing w:line="302" w:lineRule="auto"/>
        <w:rPr>
          <w:rFonts w:hint="eastAsia" w:ascii="宋体" w:hAnsi="宋体" w:eastAsia="宋体" w:cs="宋体"/>
          <w:color w:val="auto"/>
          <w:highlight w:val="none"/>
        </w:rPr>
      </w:pPr>
    </w:p>
    <w:p w14:paraId="1C002155">
      <w:pPr>
        <w:spacing w:before="78" w:line="219" w:lineRule="auto"/>
        <w:ind w:left="2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更实施方案的，由监理人按第15.3.3项约定发出变更指示。</w:t>
      </w:r>
    </w:p>
    <w:p w14:paraId="6E83500B">
      <w:pPr>
        <w:spacing w:before="115" w:line="264" w:lineRule="auto"/>
        <w:ind w:left="26" w:right="61" w:firstLine="48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（2）在合同履行过程中，发生第15.1款约定情形的，监理人应按照第15.3.3项约定向承包人发出变更指示。</w:t>
      </w:r>
    </w:p>
    <w:p w14:paraId="1BB77FAE">
      <w:pPr>
        <w:spacing w:before="113" w:line="219" w:lineRule="auto"/>
        <w:ind w:left="51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（3）承包人收到监理人按合同约定发出的图纸和文件，经检查认为其中存在第</w:t>
      </w:r>
    </w:p>
    <w:p w14:paraId="46F27C12">
      <w:pPr>
        <w:spacing w:before="114" w:line="308" w:lineRule="auto"/>
        <w:jc w:val="both"/>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15.1款约定情形的，可向监理人提出</w:t>
      </w:r>
      <w:r>
        <w:rPr>
          <w:rFonts w:hint="eastAsia" w:ascii="宋体" w:hAnsi="宋体" w:eastAsia="宋体" w:cs="宋体"/>
          <w:color w:val="auto"/>
          <w:spacing w:val="-7"/>
          <w:sz w:val="24"/>
          <w:szCs w:val="24"/>
          <w:highlight w:val="none"/>
        </w:rPr>
        <w:t>书面变更建议。变更建议应阐明要求变更的依据，</w:t>
      </w:r>
      <w:r>
        <w:rPr>
          <w:rFonts w:hint="eastAsia" w:ascii="宋体" w:hAnsi="宋体" w:eastAsia="宋体" w:cs="宋体"/>
          <w:color w:val="auto"/>
          <w:spacing w:val="-2"/>
          <w:sz w:val="24"/>
          <w:szCs w:val="24"/>
          <w:highlight w:val="none"/>
        </w:rPr>
        <w:t>并附必要的图纸和说明。监理人收到承包人书面建议后，应与发包人共同研究，确认</w:t>
      </w:r>
      <w:r>
        <w:rPr>
          <w:rFonts w:hint="eastAsia" w:ascii="宋体" w:hAnsi="宋体" w:eastAsia="宋体" w:cs="宋体"/>
          <w:color w:val="auto"/>
          <w:sz w:val="24"/>
          <w:szCs w:val="24"/>
          <w:highlight w:val="none"/>
        </w:rPr>
        <w:t>存在变更的，应在收到承包人书面建议后的14天内作出变更指示。经研究后不同意</w:t>
      </w:r>
      <w:r>
        <w:rPr>
          <w:rFonts w:hint="eastAsia" w:ascii="宋体" w:hAnsi="宋体" w:eastAsia="宋体" w:cs="宋体"/>
          <w:color w:val="auto"/>
          <w:spacing w:val="-1"/>
          <w:sz w:val="24"/>
          <w:szCs w:val="24"/>
          <w:highlight w:val="none"/>
        </w:rPr>
        <w:t>作为变更的，应由监理人书面答复承包人。</w:t>
      </w:r>
    </w:p>
    <w:p w14:paraId="5A3FD6E5">
      <w:pPr>
        <w:spacing w:before="2" w:line="307" w:lineRule="auto"/>
        <w:ind w:left="21" w:right="61" w:firstLine="490"/>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（4）若承包人收到监理人的变更意向书后认为难以实施此项变更，应立即通知</w:t>
      </w:r>
      <w:r>
        <w:rPr>
          <w:rFonts w:hint="eastAsia" w:ascii="宋体" w:hAnsi="宋体" w:eastAsia="宋体" w:cs="宋体"/>
          <w:color w:val="auto"/>
          <w:spacing w:val="-2"/>
          <w:sz w:val="24"/>
          <w:szCs w:val="24"/>
          <w:highlight w:val="none"/>
        </w:rPr>
        <w:t>监理人，说明原因并附详细依据。监理人与承包人和发包人协商后确定撤销、改变或不改变原变更意向书。</w:t>
      </w:r>
    </w:p>
    <w:p w14:paraId="3DC4E85D">
      <w:pPr>
        <w:spacing w:before="1" w:line="221" w:lineRule="auto"/>
        <w:ind w:left="51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15.3.2变更估价</w:t>
      </w:r>
    </w:p>
    <w:p w14:paraId="713D886B">
      <w:pPr>
        <w:keepNext w:val="0"/>
        <w:keepLines w:val="0"/>
        <w:pageBreakBefore w:val="0"/>
        <w:widowControl/>
        <w:kinsoku w:val="0"/>
        <w:wordWrap/>
        <w:overflowPunct/>
        <w:topLinePunct w:val="0"/>
        <w:autoSpaceDE w:val="0"/>
        <w:autoSpaceDN w:val="0"/>
        <w:bidi w:val="0"/>
        <w:adjustRightInd w:val="0"/>
        <w:snapToGrid w:val="0"/>
        <w:spacing w:before="111" w:line="279" w:lineRule="auto"/>
        <w:ind w:right="0" w:firstLine="242" w:firstLineChars="1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（1）除专用合同条款对期限另有约定外，承包人应在收到变更指示或变更意向</w:t>
      </w:r>
      <w:r>
        <w:rPr>
          <w:rFonts w:hint="eastAsia" w:ascii="宋体" w:hAnsi="宋体" w:eastAsia="宋体" w:cs="宋体"/>
          <w:color w:val="auto"/>
          <w:spacing w:val="-2"/>
          <w:sz w:val="24"/>
          <w:szCs w:val="24"/>
          <w:highlight w:val="none"/>
        </w:rPr>
        <w:t>书后的14天内，向监理人提交变更报价书，报价内容应根据第15.4款约定的估价原</w:t>
      </w:r>
      <w:r>
        <w:rPr>
          <w:rFonts w:hint="eastAsia" w:ascii="宋体" w:hAnsi="宋体" w:eastAsia="宋体" w:cs="宋体"/>
          <w:color w:val="auto"/>
          <w:spacing w:val="-1"/>
          <w:sz w:val="24"/>
          <w:szCs w:val="24"/>
          <w:highlight w:val="none"/>
        </w:rPr>
        <w:t>则，详细开列变更工作的价格组成及其依据</w:t>
      </w:r>
      <w:r>
        <w:rPr>
          <w:rFonts w:hint="eastAsia" w:ascii="宋体" w:hAnsi="宋体" w:eastAsia="宋体" w:cs="宋体"/>
          <w:color w:val="auto"/>
          <w:spacing w:val="-2"/>
          <w:sz w:val="24"/>
          <w:szCs w:val="24"/>
          <w:highlight w:val="none"/>
        </w:rPr>
        <w:t>，并附必要的施工方法说明和有关图纸。</w:t>
      </w:r>
    </w:p>
    <w:p w14:paraId="464675A4">
      <w:pPr>
        <w:spacing w:before="114" w:line="279" w:lineRule="auto"/>
        <w:ind w:right="61" w:firstLine="242" w:firstLineChars="1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（2）变更工作影响工期的，承包人应提出调整工期的具体细节。监理人认为有</w:t>
      </w:r>
      <w:r>
        <w:rPr>
          <w:rFonts w:hint="eastAsia" w:ascii="宋体" w:hAnsi="宋体" w:eastAsia="宋体" w:cs="宋体"/>
          <w:color w:val="auto"/>
          <w:spacing w:val="-2"/>
          <w:sz w:val="24"/>
          <w:szCs w:val="24"/>
          <w:highlight w:val="none"/>
        </w:rPr>
        <w:t>必要时，可要求承包人提交要求提前或延长工期的施工进度计划及相应施工措施等详</w:t>
      </w:r>
      <w:r>
        <w:rPr>
          <w:rFonts w:hint="eastAsia" w:ascii="宋体" w:hAnsi="宋体" w:eastAsia="宋体" w:cs="宋体"/>
          <w:color w:val="auto"/>
          <w:spacing w:val="-3"/>
          <w:sz w:val="24"/>
          <w:szCs w:val="24"/>
          <w:highlight w:val="none"/>
        </w:rPr>
        <w:t>细资料。</w:t>
      </w:r>
    </w:p>
    <w:p w14:paraId="6B9859F9">
      <w:pPr>
        <w:spacing w:before="113" w:line="263" w:lineRule="auto"/>
        <w:ind w:right="61" w:firstLine="238" w:firstLineChars="1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（3）除专用合同条款对期限另有约定外，监理人</w:t>
      </w:r>
      <w:r>
        <w:rPr>
          <w:rFonts w:hint="eastAsia" w:ascii="宋体" w:hAnsi="宋体" w:eastAsia="宋体" w:cs="宋体"/>
          <w:color w:val="auto"/>
          <w:spacing w:val="-2"/>
          <w:sz w:val="24"/>
          <w:szCs w:val="24"/>
          <w:highlight w:val="none"/>
        </w:rPr>
        <w:t>收到承包人变更报价书后的14</w:t>
      </w:r>
      <w:r>
        <w:rPr>
          <w:rFonts w:hint="eastAsia" w:ascii="宋体" w:hAnsi="宋体" w:eastAsia="宋体" w:cs="宋体"/>
          <w:color w:val="auto"/>
          <w:spacing w:val="-1"/>
          <w:sz w:val="24"/>
          <w:szCs w:val="24"/>
          <w:highlight w:val="none"/>
        </w:rPr>
        <w:t>天内，根据第15.4款约定的估价原则，按照</w:t>
      </w:r>
      <w:r>
        <w:rPr>
          <w:rFonts w:hint="eastAsia" w:ascii="宋体" w:hAnsi="宋体" w:eastAsia="宋体" w:cs="宋体"/>
          <w:color w:val="auto"/>
          <w:spacing w:val="-2"/>
          <w:sz w:val="24"/>
          <w:szCs w:val="24"/>
          <w:highlight w:val="none"/>
        </w:rPr>
        <w:t>第3.5款商定或确定变更价格。</w:t>
      </w:r>
    </w:p>
    <w:p w14:paraId="7021B113">
      <w:pPr>
        <w:spacing w:before="117" w:line="222" w:lineRule="auto"/>
        <w:ind w:left="51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15.3.3变更指示</w:t>
      </w:r>
    </w:p>
    <w:p w14:paraId="5AD1923E">
      <w:pPr>
        <w:spacing w:before="111" w:line="220" w:lineRule="auto"/>
        <w:ind w:left="51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（1）变更指示只能由监理人发出。</w:t>
      </w:r>
    </w:p>
    <w:p w14:paraId="6351FD14">
      <w:pPr>
        <w:spacing w:before="115" w:line="278" w:lineRule="auto"/>
        <w:ind w:left="21" w:right="61" w:firstLine="49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（2）变更指示应说明变更的目的、范围、变更内容以及变更的工程量及其进度</w:t>
      </w:r>
      <w:r>
        <w:rPr>
          <w:rFonts w:hint="eastAsia" w:ascii="宋体" w:hAnsi="宋体" w:eastAsia="宋体" w:cs="宋体"/>
          <w:color w:val="auto"/>
          <w:spacing w:val="-2"/>
          <w:sz w:val="24"/>
          <w:szCs w:val="24"/>
          <w:highlight w:val="none"/>
        </w:rPr>
        <w:t>和技术要求，并附有关图纸和文件。承包人收到变更指示后，应按变更指示进行变更</w:t>
      </w:r>
      <w:r>
        <w:rPr>
          <w:rFonts w:hint="eastAsia" w:ascii="宋体" w:hAnsi="宋体" w:eastAsia="宋体" w:cs="宋体"/>
          <w:color w:val="auto"/>
          <w:spacing w:val="-4"/>
          <w:sz w:val="24"/>
          <w:szCs w:val="24"/>
          <w:highlight w:val="none"/>
        </w:rPr>
        <w:t>工作。</w:t>
      </w:r>
    </w:p>
    <w:p w14:paraId="21EA3F30">
      <w:pPr>
        <w:pStyle w:val="4"/>
        <w:spacing w:line="255" w:lineRule="auto"/>
        <w:rPr>
          <w:rFonts w:hint="eastAsia" w:ascii="宋体" w:hAnsi="宋体" w:eastAsia="宋体" w:cs="宋体"/>
          <w:color w:val="auto"/>
          <w:highlight w:val="none"/>
        </w:rPr>
      </w:pPr>
    </w:p>
    <w:p w14:paraId="559A0B02">
      <w:pPr>
        <w:spacing w:before="79" w:line="222" w:lineRule="auto"/>
        <w:ind w:left="3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15.4变更的估价原则</w:t>
      </w:r>
    </w:p>
    <w:p w14:paraId="2F15568E">
      <w:pPr>
        <w:pStyle w:val="4"/>
        <w:spacing w:line="270" w:lineRule="auto"/>
        <w:rPr>
          <w:rFonts w:hint="eastAsia" w:ascii="宋体" w:hAnsi="宋体" w:eastAsia="宋体" w:cs="宋体"/>
          <w:color w:val="auto"/>
          <w:highlight w:val="none"/>
        </w:rPr>
      </w:pPr>
    </w:p>
    <w:p w14:paraId="4C7F9B02">
      <w:pPr>
        <w:spacing w:before="78" w:line="218" w:lineRule="auto"/>
        <w:ind w:left="51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除专用合同条款另有约定外，因变更引起的价格调整按照本款约定处理。</w:t>
      </w:r>
    </w:p>
    <w:p w14:paraId="611C4FC3">
      <w:pPr>
        <w:spacing w:before="118" w:line="218" w:lineRule="auto"/>
        <w:ind w:left="51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15.4.1已标价工程量清单中有适用于变更工作的子目的，采用该子目的单价。</w:t>
      </w:r>
    </w:p>
    <w:p w14:paraId="41718E00">
      <w:pPr>
        <w:spacing w:before="118" w:line="262" w:lineRule="auto"/>
        <w:ind w:left="23" w:right="61" w:firstLine="49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15.4.2已标价工程量清单中无适用于变更工作的子目，</w:t>
      </w:r>
      <w:r>
        <w:rPr>
          <w:rFonts w:hint="eastAsia" w:ascii="宋体" w:hAnsi="宋体" w:eastAsia="宋体" w:cs="宋体"/>
          <w:color w:val="auto"/>
          <w:spacing w:val="-4"/>
          <w:sz w:val="24"/>
          <w:szCs w:val="24"/>
          <w:highlight w:val="none"/>
        </w:rPr>
        <w:t>但有类似子目的，可在合</w:t>
      </w:r>
      <w:r>
        <w:rPr>
          <w:rFonts w:hint="eastAsia" w:ascii="宋体" w:hAnsi="宋体" w:eastAsia="宋体" w:cs="宋体"/>
          <w:color w:val="auto"/>
          <w:spacing w:val="-1"/>
          <w:sz w:val="24"/>
          <w:szCs w:val="24"/>
          <w:highlight w:val="none"/>
        </w:rPr>
        <w:t>理范围内参照类似子目的单价，由监理人按第3.5款商定或确定变更工作的单价。</w:t>
      </w:r>
    </w:p>
    <w:p w14:paraId="00ED837D">
      <w:pPr>
        <w:spacing w:before="117" w:line="263" w:lineRule="auto"/>
        <w:ind w:left="25" w:right="61" w:firstLine="493"/>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15.4.3已标价工程量清单中无适用或类似子目的单价，可按照成本加利润的原</w:t>
      </w:r>
      <w:r>
        <w:rPr>
          <w:rFonts w:hint="eastAsia" w:ascii="宋体" w:hAnsi="宋体" w:eastAsia="宋体" w:cs="宋体"/>
          <w:color w:val="auto"/>
          <w:spacing w:val="-1"/>
          <w:sz w:val="24"/>
          <w:szCs w:val="24"/>
          <w:highlight w:val="none"/>
        </w:rPr>
        <w:t>则，由监理人按第3.5款商定或确定变更工作的单价。</w:t>
      </w:r>
    </w:p>
    <w:p w14:paraId="0719EFBE">
      <w:pPr>
        <w:spacing w:line="263" w:lineRule="auto"/>
        <w:rPr>
          <w:rFonts w:hint="eastAsia" w:ascii="宋体" w:hAnsi="宋体" w:eastAsia="宋体" w:cs="宋体"/>
          <w:color w:val="auto"/>
          <w:sz w:val="24"/>
          <w:szCs w:val="24"/>
          <w:highlight w:val="none"/>
        </w:rPr>
        <w:sectPr>
          <w:headerReference r:id="rId97" w:type="default"/>
          <w:footerReference r:id="rId98" w:type="default"/>
          <w:pgSz w:w="11907" w:h="16840"/>
          <w:pgMar w:top="1182" w:right="1227" w:bottom="1014" w:left="1786" w:header="849" w:footer="852" w:gutter="0"/>
          <w:pgNumType w:fmt="decimal"/>
          <w:cols w:space="720" w:num="1"/>
        </w:sectPr>
      </w:pPr>
    </w:p>
    <w:p w14:paraId="3D0D1BE5">
      <w:pPr>
        <w:pStyle w:val="4"/>
        <w:spacing w:line="281" w:lineRule="auto"/>
        <w:rPr>
          <w:rFonts w:hint="eastAsia" w:ascii="宋体" w:hAnsi="宋体" w:eastAsia="宋体" w:cs="宋体"/>
          <w:color w:val="auto"/>
          <w:highlight w:val="none"/>
        </w:rPr>
      </w:pPr>
    </w:p>
    <w:p w14:paraId="6FBDAE03">
      <w:pPr>
        <w:spacing w:before="78" w:line="222" w:lineRule="auto"/>
        <w:ind w:left="3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15.5承包人的合理化建议</w:t>
      </w:r>
    </w:p>
    <w:p w14:paraId="32F5B372">
      <w:pPr>
        <w:pStyle w:val="4"/>
        <w:spacing w:line="271" w:lineRule="auto"/>
        <w:rPr>
          <w:rFonts w:hint="eastAsia" w:ascii="宋体" w:hAnsi="宋体" w:eastAsia="宋体" w:cs="宋体"/>
          <w:color w:val="auto"/>
          <w:highlight w:val="none"/>
        </w:rPr>
      </w:pPr>
    </w:p>
    <w:p w14:paraId="3D0F732D">
      <w:pPr>
        <w:spacing w:before="78" w:line="290" w:lineRule="auto"/>
        <w:ind w:left="21" w:firstLine="49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15.5.1在履行合同过程中，承包人对发包人提供的图纸、</w:t>
      </w:r>
      <w:r>
        <w:rPr>
          <w:rFonts w:hint="eastAsia" w:ascii="宋体" w:hAnsi="宋体" w:eastAsia="宋体" w:cs="宋体"/>
          <w:color w:val="auto"/>
          <w:spacing w:val="-3"/>
          <w:sz w:val="24"/>
          <w:szCs w:val="24"/>
          <w:highlight w:val="none"/>
        </w:rPr>
        <w:t>技术要求以及其他方面</w:t>
      </w:r>
      <w:r>
        <w:rPr>
          <w:rFonts w:hint="eastAsia" w:ascii="宋体" w:hAnsi="宋体" w:eastAsia="宋体" w:cs="宋体"/>
          <w:color w:val="auto"/>
          <w:spacing w:val="-2"/>
          <w:sz w:val="24"/>
          <w:szCs w:val="24"/>
          <w:highlight w:val="none"/>
        </w:rPr>
        <w:t>提出的合理化建议，均应以书面形式提交监理人。合理化建议书的内容应包括建议工作的详细说明、进度计划和效益以及与其他工作的协调等，并附必要的设计文件。监理人应与发包人协商是否采纳建议。建议被采纳并构</w:t>
      </w:r>
      <w:r>
        <w:rPr>
          <w:rFonts w:hint="eastAsia" w:ascii="宋体" w:hAnsi="宋体" w:eastAsia="宋体" w:cs="宋体"/>
          <w:color w:val="auto"/>
          <w:spacing w:val="-3"/>
          <w:sz w:val="24"/>
          <w:szCs w:val="24"/>
          <w:highlight w:val="none"/>
        </w:rPr>
        <w:t>成变更的，应按第15.3.3项约定</w:t>
      </w:r>
      <w:r>
        <w:rPr>
          <w:rFonts w:hint="eastAsia" w:ascii="宋体" w:hAnsi="宋体" w:eastAsia="宋体" w:cs="宋体"/>
          <w:color w:val="auto"/>
          <w:spacing w:val="-1"/>
          <w:sz w:val="24"/>
          <w:szCs w:val="24"/>
          <w:highlight w:val="none"/>
        </w:rPr>
        <w:t>向承包人发出变更指示。</w:t>
      </w:r>
    </w:p>
    <w:p w14:paraId="0603AD62">
      <w:pPr>
        <w:spacing w:before="115" w:line="264" w:lineRule="auto"/>
        <w:ind w:left="21" w:right="2" w:firstLine="40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15.5.2承包人提出的合理化建议降低了合同价格、缩短了工期或者提高了工程经济效益的，发包人可按国家有关规定在专用</w:t>
      </w:r>
      <w:r>
        <w:rPr>
          <w:rFonts w:hint="eastAsia" w:ascii="宋体" w:hAnsi="宋体" w:eastAsia="宋体" w:cs="宋体"/>
          <w:color w:val="auto"/>
          <w:spacing w:val="-1"/>
          <w:sz w:val="24"/>
          <w:szCs w:val="24"/>
          <w:highlight w:val="none"/>
        </w:rPr>
        <w:t>合同条款中约定给予奖励。</w:t>
      </w:r>
    </w:p>
    <w:p w14:paraId="768804AA">
      <w:pPr>
        <w:pStyle w:val="4"/>
        <w:spacing w:line="253" w:lineRule="auto"/>
        <w:rPr>
          <w:rFonts w:hint="eastAsia" w:ascii="宋体" w:hAnsi="宋体" w:eastAsia="宋体" w:cs="宋体"/>
          <w:color w:val="auto"/>
          <w:highlight w:val="none"/>
        </w:rPr>
      </w:pPr>
    </w:p>
    <w:p w14:paraId="696BC1EC">
      <w:pPr>
        <w:spacing w:before="78" w:line="222" w:lineRule="auto"/>
        <w:ind w:left="3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15.6暂列金额</w:t>
      </w:r>
    </w:p>
    <w:p w14:paraId="23EC0D77">
      <w:pPr>
        <w:pStyle w:val="4"/>
        <w:spacing w:line="272" w:lineRule="auto"/>
        <w:rPr>
          <w:rFonts w:hint="eastAsia" w:ascii="宋体" w:hAnsi="宋体" w:eastAsia="宋体" w:cs="宋体"/>
          <w:color w:val="auto"/>
          <w:highlight w:val="none"/>
        </w:rPr>
      </w:pPr>
    </w:p>
    <w:p w14:paraId="35D3BCFF">
      <w:pPr>
        <w:spacing w:before="79" w:line="218" w:lineRule="auto"/>
        <w:ind w:left="417"/>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暂列金额只能按照监理人的指示使用，并对合同价格进行相应调整。</w:t>
      </w:r>
    </w:p>
    <w:p w14:paraId="58BB283B">
      <w:pPr>
        <w:pStyle w:val="4"/>
        <w:spacing w:line="256" w:lineRule="auto"/>
        <w:rPr>
          <w:rFonts w:hint="eastAsia" w:ascii="宋体" w:hAnsi="宋体" w:eastAsia="宋体" w:cs="宋体"/>
          <w:color w:val="auto"/>
          <w:highlight w:val="none"/>
        </w:rPr>
      </w:pPr>
    </w:p>
    <w:p w14:paraId="17B12E9A">
      <w:pPr>
        <w:spacing w:before="79" w:line="224" w:lineRule="auto"/>
        <w:ind w:left="3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15.7计日工</w:t>
      </w:r>
    </w:p>
    <w:p w14:paraId="328FF9D3">
      <w:pPr>
        <w:pStyle w:val="4"/>
        <w:spacing w:line="269" w:lineRule="auto"/>
        <w:rPr>
          <w:rFonts w:hint="eastAsia" w:ascii="宋体" w:hAnsi="宋体" w:eastAsia="宋体" w:cs="宋体"/>
          <w:color w:val="auto"/>
          <w:highlight w:val="none"/>
        </w:rPr>
      </w:pPr>
    </w:p>
    <w:p w14:paraId="1B88A808">
      <w:pPr>
        <w:spacing w:before="79" w:line="262" w:lineRule="auto"/>
        <w:ind w:left="23" w:firstLine="49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15.7.1发包人认为有必要时，由监理人通知承包人以计日</w:t>
      </w:r>
      <w:r>
        <w:rPr>
          <w:rFonts w:hint="eastAsia" w:ascii="宋体" w:hAnsi="宋体" w:eastAsia="宋体" w:cs="宋体"/>
          <w:color w:val="auto"/>
          <w:spacing w:val="-3"/>
          <w:sz w:val="24"/>
          <w:szCs w:val="24"/>
          <w:highlight w:val="none"/>
        </w:rPr>
        <w:t>工方式实施变更的零星</w:t>
      </w:r>
      <w:r>
        <w:rPr>
          <w:rFonts w:hint="eastAsia" w:ascii="宋体" w:hAnsi="宋体" w:eastAsia="宋体" w:cs="宋体"/>
          <w:color w:val="auto"/>
          <w:sz w:val="24"/>
          <w:szCs w:val="24"/>
          <w:highlight w:val="none"/>
        </w:rPr>
        <w:t>工作。其价款按列入已标价工程量清单中的计日</w:t>
      </w:r>
      <w:r>
        <w:rPr>
          <w:rFonts w:hint="eastAsia" w:ascii="宋体" w:hAnsi="宋体" w:eastAsia="宋体" w:cs="宋体"/>
          <w:color w:val="auto"/>
          <w:spacing w:val="-1"/>
          <w:sz w:val="24"/>
          <w:szCs w:val="24"/>
          <w:highlight w:val="none"/>
        </w:rPr>
        <w:t>工计价子目及其单价进行计算。</w:t>
      </w:r>
    </w:p>
    <w:p w14:paraId="6DD0DDC3">
      <w:pPr>
        <w:spacing w:before="117" w:line="264" w:lineRule="auto"/>
        <w:ind w:left="24" w:firstLine="49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15.7.2采用计日工计价的任何一项变更工作，应从暂列金</w:t>
      </w:r>
      <w:r>
        <w:rPr>
          <w:rFonts w:hint="eastAsia" w:ascii="宋体" w:hAnsi="宋体" w:eastAsia="宋体" w:cs="宋体"/>
          <w:color w:val="auto"/>
          <w:spacing w:val="-3"/>
          <w:sz w:val="24"/>
          <w:szCs w:val="24"/>
          <w:highlight w:val="none"/>
        </w:rPr>
        <w:t>额中支付，承包人应在</w:t>
      </w:r>
      <w:r>
        <w:rPr>
          <w:rFonts w:hint="eastAsia" w:ascii="宋体" w:hAnsi="宋体" w:eastAsia="宋体" w:cs="宋体"/>
          <w:color w:val="auto"/>
          <w:spacing w:val="-1"/>
          <w:sz w:val="24"/>
          <w:szCs w:val="24"/>
          <w:highlight w:val="none"/>
        </w:rPr>
        <w:t>该项变更的实施过程中，每天提交以下报表和有关凭证报送监理人审批：</w:t>
      </w:r>
    </w:p>
    <w:p w14:paraId="4C842D3B">
      <w:pPr>
        <w:spacing w:before="114" w:line="219" w:lineRule="auto"/>
        <w:ind w:left="51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（1）工作名称、内容和数量；</w:t>
      </w:r>
    </w:p>
    <w:p w14:paraId="333E43E0">
      <w:pPr>
        <w:spacing w:before="116" w:line="219" w:lineRule="auto"/>
        <w:ind w:left="51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（2）投入该工作所有人员的姓名、工种、级别和耗用工时；</w:t>
      </w:r>
    </w:p>
    <w:p w14:paraId="5858CC29">
      <w:pPr>
        <w:spacing w:before="115" w:line="219" w:lineRule="auto"/>
        <w:ind w:left="51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（3）投入该工作的材料类别和数量；</w:t>
      </w:r>
    </w:p>
    <w:p w14:paraId="0D680174">
      <w:pPr>
        <w:spacing w:before="115" w:line="219" w:lineRule="auto"/>
        <w:ind w:left="51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（4）投入该工作的施工设备型号、台数和耗用台时；</w:t>
      </w:r>
    </w:p>
    <w:p w14:paraId="360F38E5">
      <w:pPr>
        <w:spacing w:before="116" w:line="219" w:lineRule="auto"/>
        <w:ind w:left="51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（5）监理人要求提交的其他资料和凭证。</w:t>
      </w:r>
    </w:p>
    <w:p w14:paraId="6A65858C">
      <w:pPr>
        <w:spacing w:before="114" w:line="309" w:lineRule="auto"/>
        <w:ind w:left="23" w:firstLine="49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15.7.3计日工由承包人汇总后，按第17.3.2项的约定列入进度付款申请单，由监</w:t>
      </w:r>
      <w:r>
        <w:rPr>
          <w:rFonts w:hint="eastAsia" w:ascii="宋体" w:hAnsi="宋体" w:eastAsia="宋体" w:cs="宋体"/>
          <w:color w:val="auto"/>
          <w:spacing w:val="-1"/>
          <w:sz w:val="24"/>
          <w:szCs w:val="24"/>
          <w:highlight w:val="none"/>
        </w:rPr>
        <w:t>理人复核并经发包人同意后列入进度付款。</w:t>
      </w:r>
    </w:p>
    <w:p w14:paraId="476E9B77">
      <w:pPr>
        <w:spacing w:before="217" w:line="222" w:lineRule="auto"/>
        <w:ind w:left="39"/>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15.8暂估价</w:t>
      </w:r>
    </w:p>
    <w:p w14:paraId="4C8D72A0">
      <w:pPr>
        <w:pStyle w:val="4"/>
        <w:spacing w:line="271" w:lineRule="auto"/>
        <w:rPr>
          <w:rFonts w:hint="eastAsia" w:ascii="宋体" w:hAnsi="宋体" w:eastAsia="宋体" w:cs="宋体"/>
          <w:color w:val="auto"/>
          <w:highlight w:val="none"/>
        </w:rPr>
      </w:pPr>
    </w:p>
    <w:p w14:paraId="15053CEE">
      <w:pPr>
        <w:spacing w:before="79" w:line="285" w:lineRule="auto"/>
        <w:ind w:left="19" w:firstLine="49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15.8.1发包人在工程量清单中给定暂估价的材料、工程设</w:t>
      </w:r>
      <w:r>
        <w:rPr>
          <w:rFonts w:hint="eastAsia" w:ascii="宋体" w:hAnsi="宋体" w:eastAsia="宋体" w:cs="宋体"/>
          <w:color w:val="auto"/>
          <w:spacing w:val="-3"/>
          <w:sz w:val="24"/>
          <w:szCs w:val="24"/>
          <w:highlight w:val="none"/>
        </w:rPr>
        <w:t>备和专业工程属于依法</w:t>
      </w:r>
      <w:r>
        <w:rPr>
          <w:rFonts w:hint="eastAsia" w:ascii="宋体" w:hAnsi="宋体" w:eastAsia="宋体" w:cs="宋体"/>
          <w:color w:val="auto"/>
          <w:spacing w:val="-2"/>
          <w:sz w:val="24"/>
          <w:szCs w:val="24"/>
          <w:highlight w:val="none"/>
        </w:rPr>
        <w:t>必须招标的范围并达到规定的规模标准的，由发包人和承包人以招标的方式选择供应商或分包人。发包人和承包人的权利义务关系在专用合同条款中约定。中标金额与工</w:t>
      </w:r>
      <w:r>
        <w:rPr>
          <w:rFonts w:hint="eastAsia" w:ascii="宋体" w:hAnsi="宋体" w:eastAsia="宋体" w:cs="宋体"/>
          <w:color w:val="auto"/>
          <w:sz w:val="24"/>
          <w:szCs w:val="24"/>
          <w:highlight w:val="none"/>
        </w:rPr>
        <w:t>程量清单中所列的暂估价的金额差以及相应的税金等其</w:t>
      </w:r>
      <w:r>
        <w:rPr>
          <w:rFonts w:hint="eastAsia" w:ascii="宋体" w:hAnsi="宋体" w:eastAsia="宋体" w:cs="宋体"/>
          <w:color w:val="auto"/>
          <w:spacing w:val="-1"/>
          <w:sz w:val="24"/>
          <w:szCs w:val="24"/>
          <w:highlight w:val="none"/>
        </w:rPr>
        <w:t>他费用列入合同价格。</w:t>
      </w:r>
    </w:p>
    <w:p w14:paraId="5F4C686B">
      <w:pPr>
        <w:spacing w:before="116" w:line="278" w:lineRule="auto"/>
        <w:ind w:left="20" w:firstLine="49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15.8.2发包人在工程量清单中给定暂估价的材料和工程设备不属于依法必须招标的范围或未达到规定的规模标准的，应由承包人按第5.1款的约定提供。经监理人确</w:t>
      </w:r>
      <w:r>
        <w:rPr>
          <w:rFonts w:hint="eastAsia" w:ascii="宋体" w:hAnsi="宋体" w:eastAsia="宋体" w:cs="宋体"/>
          <w:color w:val="auto"/>
          <w:spacing w:val="-2"/>
          <w:sz w:val="24"/>
          <w:szCs w:val="24"/>
          <w:highlight w:val="none"/>
        </w:rPr>
        <w:t>认的材料、工程设备的价格与工程量清单中所列的暂估价的金额差以及相应的税金等</w:t>
      </w:r>
    </w:p>
    <w:p w14:paraId="070248F4">
      <w:pPr>
        <w:spacing w:line="278" w:lineRule="auto"/>
        <w:rPr>
          <w:rFonts w:hint="eastAsia" w:ascii="宋体" w:hAnsi="宋体" w:eastAsia="宋体" w:cs="宋体"/>
          <w:color w:val="auto"/>
          <w:sz w:val="24"/>
          <w:szCs w:val="24"/>
          <w:highlight w:val="none"/>
        </w:rPr>
        <w:sectPr>
          <w:headerReference r:id="rId99" w:type="default"/>
          <w:footerReference r:id="rId100" w:type="default"/>
          <w:pgSz w:w="11907" w:h="16840"/>
          <w:pgMar w:top="1182" w:right="1289" w:bottom="1014" w:left="1786" w:header="849" w:footer="852" w:gutter="0"/>
          <w:pgNumType w:fmt="decimal"/>
          <w:cols w:space="720" w:num="1"/>
        </w:sectPr>
      </w:pPr>
    </w:p>
    <w:p w14:paraId="2CEA6C60">
      <w:pPr>
        <w:pStyle w:val="4"/>
        <w:spacing w:line="301" w:lineRule="auto"/>
        <w:rPr>
          <w:rFonts w:hint="eastAsia" w:ascii="宋体" w:hAnsi="宋体" w:eastAsia="宋体" w:cs="宋体"/>
          <w:color w:val="auto"/>
          <w:highlight w:val="none"/>
        </w:rPr>
      </w:pPr>
    </w:p>
    <w:p w14:paraId="1F06FD45">
      <w:pPr>
        <w:spacing w:before="78" w:line="218" w:lineRule="auto"/>
        <w:ind w:left="2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其他费用列入合同价格。</w:t>
      </w:r>
    </w:p>
    <w:p w14:paraId="1FBFB657">
      <w:pPr>
        <w:spacing w:before="119" w:line="308" w:lineRule="auto"/>
        <w:ind w:left="22" w:firstLine="496"/>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15.8.3发包人在工程量清单中给定暂估价的专业工程不属于依法必须招标的范围</w:t>
      </w:r>
      <w:r>
        <w:rPr>
          <w:rFonts w:hint="eastAsia" w:ascii="宋体" w:hAnsi="宋体" w:eastAsia="宋体" w:cs="宋体"/>
          <w:color w:val="auto"/>
          <w:spacing w:val="-4"/>
          <w:sz w:val="24"/>
          <w:szCs w:val="24"/>
          <w:highlight w:val="none"/>
        </w:rPr>
        <w:t>或未达到规定的规模标准的，由监理人按照第15.4款进行估价，但专用合同条款另有</w:t>
      </w:r>
      <w:r>
        <w:rPr>
          <w:rFonts w:hint="eastAsia" w:ascii="宋体" w:hAnsi="宋体" w:eastAsia="宋体" w:cs="宋体"/>
          <w:color w:val="auto"/>
          <w:spacing w:val="-2"/>
          <w:sz w:val="24"/>
          <w:szCs w:val="24"/>
          <w:highlight w:val="none"/>
        </w:rPr>
        <w:t>约定的除外。经估价的专业工程与工程量清单中所列的暂估价的金额差以及相应的税</w:t>
      </w:r>
      <w:r>
        <w:rPr>
          <w:rFonts w:hint="eastAsia" w:ascii="宋体" w:hAnsi="宋体" w:eastAsia="宋体" w:cs="宋体"/>
          <w:color w:val="auto"/>
          <w:spacing w:val="-1"/>
          <w:sz w:val="24"/>
          <w:szCs w:val="24"/>
          <w:highlight w:val="none"/>
        </w:rPr>
        <w:t>金等其他费用列入合同价格。</w:t>
      </w:r>
    </w:p>
    <w:p w14:paraId="63AD33DB">
      <w:pPr>
        <w:pStyle w:val="4"/>
        <w:spacing w:line="318" w:lineRule="auto"/>
        <w:rPr>
          <w:rFonts w:hint="eastAsia" w:ascii="宋体" w:hAnsi="宋体" w:eastAsia="宋体" w:cs="宋体"/>
          <w:color w:val="auto"/>
          <w:highlight w:val="none"/>
        </w:rPr>
      </w:pPr>
    </w:p>
    <w:p w14:paraId="3A407E25">
      <w:pPr>
        <w:spacing w:before="91" w:line="222" w:lineRule="auto"/>
        <w:ind w:left="44"/>
        <w:outlineLvl w:val="2"/>
        <w:rPr>
          <w:rFonts w:hint="eastAsia" w:ascii="宋体" w:hAnsi="宋体" w:eastAsia="宋体" w:cs="宋体"/>
          <w:color w:val="auto"/>
          <w:sz w:val="28"/>
          <w:szCs w:val="28"/>
          <w:highlight w:val="none"/>
        </w:rPr>
      </w:pPr>
      <w:bookmarkStart w:id="521" w:name="_Toc23607"/>
      <w:bookmarkStart w:id="522" w:name="_Toc15553"/>
      <w:bookmarkStart w:id="523" w:name="_Toc28452"/>
      <w:bookmarkStart w:id="524" w:name="_Toc1745"/>
      <w:bookmarkStart w:id="525" w:name="_Toc15376"/>
      <w:r>
        <w:rPr>
          <w:rFonts w:hint="eastAsia" w:ascii="宋体" w:hAnsi="宋体" w:eastAsia="宋体" w:cs="宋体"/>
          <w:color w:val="auto"/>
          <w:spacing w:val="-4"/>
          <w:sz w:val="28"/>
          <w:szCs w:val="28"/>
          <w:highlight w:val="none"/>
        </w:rPr>
        <w:t>16.价格调整</w:t>
      </w:r>
      <w:bookmarkEnd w:id="521"/>
      <w:bookmarkEnd w:id="522"/>
      <w:bookmarkEnd w:id="523"/>
      <w:bookmarkEnd w:id="524"/>
      <w:bookmarkEnd w:id="525"/>
    </w:p>
    <w:p w14:paraId="12917452">
      <w:pPr>
        <w:pStyle w:val="4"/>
        <w:spacing w:line="249" w:lineRule="auto"/>
        <w:rPr>
          <w:rFonts w:hint="eastAsia" w:ascii="宋体" w:hAnsi="宋体" w:eastAsia="宋体" w:cs="宋体"/>
          <w:color w:val="auto"/>
          <w:highlight w:val="none"/>
        </w:rPr>
      </w:pPr>
    </w:p>
    <w:p w14:paraId="75A1F9D2">
      <w:pPr>
        <w:spacing w:before="78" w:line="222" w:lineRule="auto"/>
        <w:ind w:left="3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16.1物价波动引起的价格调整</w:t>
      </w:r>
    </w:p>
    <w:p w14:paraId="3EE2CED2">
      <w:pPr>
        <w:pStyle w:val="4"/>
        <w:spacing w:line="270" w:lineRule="auto"/>
        <w:rPr>
          <w:rFonts w:hint="eastAsia" w:ascii="宋体" w:hAnsi="宋体" w:eastAsia="宋体" w:cs="宋体"/>
          <w:color w:val="auto"/>
          <w:highlight w:val="none"/>
        </w:rPr>
      </w:pPr>
    </w:p>
    <w:p w14:paraId="6F1A6030">
      <w:pPr>
        <w:spacing w:before="78" w:line="218" w:lineRule="auto"/>
        <w:ind w:left="51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除专用合同条款另有约定外，因物价波动引起的价格调整按照本款约定处理。</w:t>
      </w:r>
    </w:p>
    <w:p w14:paraId="43725A80">
      <w:pPr>
        <w:spacing w:before="117" w:line="222" w:lineRule="auto"/>
        <w:ind w:left="51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16.1.1采用价格指数调整价格差额</w:t>
      </w:r>
    </w:p>
    <w:p w14:paraId="30BC7DF7">
      <w:pPr>
        <w:spacing w:before="112" w:line="222" w:lineRule="auto"/>
        <w:ind w:left="51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16.1.1.1价格调整公式</w:t>
      </w:r>
    </w:p>
    <w:p w14:paraId="41697499">
      <w:pPr>
        <w:spacing w:before="109" w:line="277" w:lineRule="auto"/>
        <w:ind w:left="21" w:firstLine="497"/>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因人工、材料和设备等价格波动影响合同价格时，根据投标函附录中的价格指数</w:t>
      </w:r>
      <w:r>
        <w:rPr>
          <w:rFonts w:hint="eastAsia" w:ascii="宋体" w:hAnsi="宋体" w:eastAsia="宋体" w:cs="宋体"/>
          <w:color w:val="auto"/>
          <w:spacing w:val="-1"/>
          <w:sz w:val="24"/>
          <w:szCs w:val="24"/>
          <w:highlight w:val="none"/>
        </w:rPr>
        <w:t>和权重表约定的数据，按以下公式计算差额并调整合同价格：</w:t>
      </w:r>
    </w:p>
    <w:p w14:paraId="6FAD06DF">
      <w:pPr>
        <w:spacing w:line="970" w:lineRule="exact"/>
        <w:ind w:left="743"/>
        <w:rPr>
          <w:rFonts w:hint="eastAsia" w:ascii="宋体" w:hAnsi="宋体" w:eastAsia="宋体" w:cs="宋体"/>
          <w:color w:val="auto"/>
          <w:highlight w:val="none"/>
        </w:rPr>
      </w:pPr>
      <w:r>
        <w:rPr>
          <w:rFonts w:hint="eastAsia" w:ascii="宋体" w:hAnsi="宋体" w:eastAsia="宋体" w:cs="宋体"/>
          <w:color w:val="auto"/>
          <w:position w:val="-19"/>
          <w:highlight w:val="none"/>
        </w:rPr>
        <w:drawing>
          <wp:inline distT="0" distB="0" distL="0" distR="0">
            <wp:extent cx="4523105" cy="615315"/>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315"/>
                    <a:stretch>
                      <a:fillRect/>
                    </a:stretch>
                  </pic:blipFill>
                  <pic:spPr>
                    <a:xfrm>
                      <a:off x="0" y="0"/>
                      <a:ext cx="4523324" cy="615653"/>
                    </a:xfrm>
                    <a:prstGeom prst="rect">
                      <a:avLst/>
                    </a:prstGeom>
                  </pic:spPr>
                </pic:pic>
              </a:graphicData>
            </a:graphic>
          </wp:inline>
        </w:drawing>
      </w:r>
    </w:p>
    <w:p w14:paraId="3772798D">
      <w:pPr>
        <w:spacing w:before="147" w:line="218" w:lineRule="auto"/>
        <w:ind w:left="2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式中：</w:t>
      </w:r>
      <w:r>
        <w:rPr>
          <w:rFonts w:hint="eastAsia" w:ascii="宋体" w:hAnsi="宋体" w:eastAsia="宋体" w:cs="宋体"/>
          <w:b/>
          <w:bCs/>
          <w:color w:val="auto"/>
          <w:spacing w:val="-3"/>
          <w:sz w:val="24"/>
          <w:szCs w:val="24"/>
          <w:highlight w:val="none"/>
        </w:rPr>
        <w:t>△P</w:t>
      </w:r>
      <w:r>
        <w:rPr>
          <w:rFonts w:hint="eastAsia" w:ascii="宋体" w:hAnsi="宋体" w:eastAsia="宋体" w:cs="宋体"/>
          <w:color w:val="auto"/>
          <w:spacing w:val="-3"/>
          <w:sz w:val="24"/>
          <w:szCs w:val="24"/>
          <w:highlight w:val="none"/>
        </w:rPr>
        <w:t>--需调整的价格差额；</w:t>
      </w:r>
    </w:p>
    <w:p w14:paraId="7BF8B752">
      <w:pPr>
        <w:spacing w:before="119" w:line="307" w:lineRule="auto"/>
        <w:ind w:left="20" w:firstLine="836"/>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P</w:t>
      </w:r>
      <w:r>
        <w:rPr>
          <w:rFonts w:hint="eastAsia" w:ascii="宋体" w:hAnsi="宋体" w:eastAsia="宋体" w:cs="宋体"/>
          <w:b/>
          <w:bCs/>
          <w:color w:val="auto"/>
          <w:spacing w:val="-1"/>
          <w:position w:val="-1"/>
          <w:sz w:val="15"/>
          <w:szCs w:val="15"/>
          <w:highlight w:val="none"/>
        </w:rPr>
        <w:t>0</w:t>
      </w:r>
      <w:r>
        <w:rPr>
          <w:rFonts w:hint="eastAsia" w:ascii="宋体" w:hAnsi="宋体" w:eastAsia="宋体" w:cs="宋体"/>
          <w:color w:val="auto"/>
          <w:spacing w:val="-1"/>
          <w:sz w:val="24"/>
          <w:szCs w:val="24"/>
          <w:highlight w:val="none"/>
        </w:rPr>
        <w:t>--第17.3.3项、第17.5.2项和第17.6.2项约定的付款证</w:t>
      </w:r>
      <w:r>
        <w:rPr>
          <w:rFonts w:hint="eastAsia" w:ascii="宋体" w:hAnsi="宋体" w:eastAsia="宋体" w:cs="宋体"/>
          <w:color w:val="auto"/>
          <w:spacing w:val="-2"/>
          <w:sz w:val="24"/>
          <w:szCs w:val="24"/>
          <w:highlight w:val="none"/>
        </w:rPr>
        <w:t>书中承包人应得到的已完成工程量的金额。此项金额应不包括价格调整、不计质量保证金的扣留和支</w:t>
      </w:r>
      <w:r>
        <w:rPr>
          <w:rFonts w:hint="eastAsia" w:ascii="宋体" w:hAnsi="宋体" w:eastAsia="宋体" w:cs="宋体"/>
          <w:color w:val="auto"/>
          <w:spacing w:val="1"/>
          <w:sz w:val="24"/>
          <w:szCs w:val="24"/>
          <w:highlight w:val="none"/>
        </w:rPr>
        <w:t>付、预付款的支付和扣回。第15条约定的变</w:t>
      </w:r>
      <w:r>
        <w:rPr>
          <w:rFonts w:hint="eastAsia" w:ascii="宋体" w:hAnsi="宋体" w:eastAsia="宋体" w:cs="宋体"/>
          <w:color w:val="auto"/>
          <w:sz w:val="24"/>
          <w:szCs w:val="24"/>
          <w:highlight w:val="none"/>
        </w:rPr>
        <w:t>更及其他金额已按现行价格计价的，也</w:t>
      </w:r>
      <w:r>
        <w:rPr>
          <w:rFonts w:hint="eastAsia" w:ascii="宋体" w:hAnsi="宋体" w:eastAsia="宋体" w:cs="宋体"/>
          <w:color w:val="auto"/>
          <w:spacing w:val="-2"/>
          <w:sz w:val="24"/>
          <w:szCs w:val="24"/>
          <w:highlight w:val="none"/>
        </w:rPr>
        <w:t>不计在内；</w:t>
      </w:r>
    </w:p>
    <w:p w14:paraId="0322C3F7">
      <w:pPr>
        <w:spacing w:before="1" w:line="219" w:lineRule="auto"/>
        <w:ind w:left="83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A</w:t>
      </w:r>
      <w:r>
        <w:rPr>
          <w:rFonts w:hint="eastAsia" w:ascii="宋体" w:hAnsi="宋体" w:eastAsia="宋体" w:cs="宋体"/>
          <w:color w:val="auto"/>
          <w:spacing w:val="-1"/>
          <w:sz w:val="24"/>
          <w:szCs w:val="24"/>
          <w:highlight w:val="none"/>
        </w:rPr>
        <w:t>--定值权重（即不调部分的权重</w:t>
      </w:r>
      <w:r>
        <w:rPr>
          <w:rFonts w:hint="eastAsia" w:ascii="宋体" w:hAnsi="宋体" w:eastAsia="宋体" w:cs="宋体"/>
          <w:color w:val="auto"/>
          <w:spacing w:val="8"/>
          <w:sz w:val="24"/>
          <w:szCs w:val="24"/>
          <w:highlight w:val="none"/>
        </w:rPr>
        <w:t>）；</w:t>
      </w:r>
    </w:p>
    <w:p w14:paraId="21A7D530">
      <w:pPr>
        <w:spacing w:before="114" w:line="305" w:lineRule="auto"/>
        <w:ind w:left="21" w:right="2" w:firstLine="83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B</w:t>
      </w:r>
      <w:r>
        <w:rPr>
          <w:rFonts w:hint="eastAsia" w:ascii="宋体" w:hAnsi="宋体" w:eastAsia="宋体" w:cs="宋体"/>
          <w:b/>
          <w:bCs/>
          <w:color w:val="auto"/>
          <w:spacing w:val="1"/>
          <w:position w:val="-1"/>
          <w:sz w:val="15"/>
          <w:szCs w:val="15"/>
          <w:highlight w:val="none"/>
        </w:rPr>
        <w:t>1;</w:t>
      </w:r>
      <w:r>
        <w:rPr>
          <w:rFonts w:hint="eastAsia" w:ascii="宋体" w:hAnsi="宋体" w:eastAsia="宋体" w:cs="宋体"/>
          <w:b/>
          <w:bCs/>
          <w:color w:val="auto"/>
          <w:spacing w:val="1"/>
          <w:sz w:val="24"/>
          <w:szCs w:val="24"/>
          <w:highlight w:val="none"/>
        </w:rPr>
        <w:t>B</w:t>
      </w:r>
      <w:r>
        <w:rPr>
          <w:rFonts w:hint="eastAsia" w:ascii="宋体" w:hAnsi="宋体" w:eastAsia="宋体" w:cs="宋体"/>
          <w:b/>
          <w:bCs/>
          <w:color w:val="auto"/>
          <w:spacing w:val="1"/>
          <w:position w:val="-1"/>
          <w:sz w:val="15"/>
          <w:szCs w:val="15"/>
          <w:highlight w:val="none"/>
        </w:rPr>
        <w:t>2;</w:t>
      </w:r>
      <w:r>
        <w:rPr>
          <w:rFonts w:hint="eastAsia" w:ascii="宋体" w:hAnsi="宋体" w:eastAsia="宋体" w:cs="宋体"/>
          <w:b/>
          <w:bCs/>
          <w:color w:val="auto"/>
          <w:spacing w:val="1"/>
          <w:sz w:val="24"/>
          <w:szCs w:val="24"/>
          <w:highlight w:val="none"/>
        </w:rPr>
        <w:t>B</w:t>
      </w:r>
      <w:r>
        <w:rPr>
          <w:rFonts w:hint="eastAsia" w:ascii="宋体" w:hAnsi="宋体" w:eastAsia="宋体" w:cs="宋体"/>
          <w:b/>
          <w:bCs/>
          <w:color w:val="auto"/>
          <w:spacing w:val="1"/>
          <w:position w:val="-1"/>
          <w:sz w:val="15"/>
          <w:szCs w:val="15"/>
          <w:highlight w:val="none"/>
        </w:rPr>
        <w:t>3……</w:t>
      </w:r>
      <w:r>
        <w:rPr>
          <w:rFonts w:hint="eastAsia" w:ascii="宋体" w:hAnsi="宋体" w:eastAsia="宋体" w:cs="宋体"/>
          <w:b/>
          <w:bCs/>
          <w:color w:val="auto"/>
          <w:sz w:val="24"/>
          <w:szCs w:val="24"/>
          <w:highlight w:val="none"/>
        </w:rPr>
        <w:t>B</w:t>
      </w:r>
      <w:r>
        <w:rPr>
          <w:rFonts w:hint="eastAsia" w:ascii="宋体" w:hAnsi="宋体" w:eastAsia="宋体" w:cs="宋体"/>
          <w:b/>
          <w:bCs/>
          <w:color w:val="auto"/>
          <w:position w:val="-1"/>
          <w:sz w:val="15"/>
          <w:szCs w:val="15"/>
          <w:highlight w:val="none"/>
        </w:rPr>
        <w:t>n</w:t>
      </w:r>
      <w:r>
        <w:rPr>
          <w:rFonts w:hint="eastAsia" w:ascii="宋体" w:hAnsi="宋体" w:eastAsia="宋体" w:cs="宋体"/>
          <w:color w:val="auto"/>
          <w:spacing w:val="1"/>
          <w:sz w:val="24"/>
          <w:szCs w:val="24"/>
          <w:highlight w:val="none"/>
        </w:rPr>
        <w:t>--各可调因子的变值权重（即可调部分的权重）</w:t>
      </w:r>
      <w:r>
        <w:rPr>
          <w:rFonts w:hint="eastAsia" w:ascii="宋体" w:hAnsi="宋体" w:eastAsia="宋体" w:cs="宋体"/>
          <w:color w:val="auto"/>
          <w:sz w:val="24"/>
          <w:szCs w:val="24"/>
          <w:highlight w:val="none"/>
        </w:rPr>
        <w:t>为各可调因</w:t>
      </w:r>
      <w:r>
        <w:rPr>
          <w:rFonts w:hint="eastAsia" w:ascii="宋体" w:hAnsi="宋体" w:eastAsia="宋体" w:cs="宋体"/>
          <w:color w:val="auto"/>
          <w:spacing w:val="-1"/>
          <w:sz w:val="24"/>
          <w:szCs w:val="24"/>
          <w:highlight w:val="none"/>
        </w:rPr>
        <w:t>子在投标函投标总报价中所占的比例；</w:t>
      </w:r>
    </w:p>
    <w:p w14:paraId="2A09F0C4">
      <w:pPr>
        <w:spacing w:before="6" w:line="308" w:lineRule="auto"/>
        <w:ind w:left="22" w:firstLine="834"/>
        <w:jc w:val="both"/>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F</w:t>
      </w:r>
      <w:r>
        <w:rPr>
          <w:rFonts w:hint="eastAsia" w:ascii="宋体" w:hAnsi="宋体" w:eastAsia="宋体" w:cs="宋体"/>
          <w:b/>
          <w:bCs/>
          <w:color w:val="auto"/>
          <w:position w:val="-1"/>
          <w:sz w:val="15"/>
          <w:szCs w:val="15"/>
          <w:highlight w:val="none"/>
        </w:rPr>
        <w:t>t</w:t>
      </w:r>
      <w:r>
        <w:rPr>
          <w:rFonts w:hint="eastAsia" w:ascii="宋体" w:hAnsi="宋体" w:eastAsia="宋体" w:cs="宋体"/>
          <w:b/>
          <w:bCs/>
          <w:color w:val="auto"/>
          <w:spacing w:val="1"/>
          <w:position w:val="-1"/>
          <w:sz w:val="15"/>
          <w:szCs w:val="15"/>
          <w:highlight w:val="none"/>
        </w:rPr>
        <w:t>1;</w:t>
      </w:r>
      <w:r>
        <w:rPr>
          <w:rFonts w:hint="eastAsia" w:ascii="宋体" w:hAnsi="宋体" w:eastAsia="宋体" w:cs="宋体"/>
          <w:b/>
          <w:bCs/>
          <w:color w:val="auto"/>
          <w:sz w:val="24"/>
          <w:szCs w:val="24"/>
          <w:highlight w:val="none"/>
        </w:rPr>
        <w:t>F</w:t>
      </w:r>
      <w:r>
        <w:rPr>
          <w:rFonts w:hint="eastAsia" w:ascii="宋体" w:hAnsi="宋体" w:eastAsia="宋体" w:cs="宋体"/>
          <w:b/>
          <w:bCs/>
          <w:color w:val="auto"/>
          <w:position w:val="-1"/>
          <w:sz w:val="15"/>
          <w:szCs w:val="15"/>
          <w:highlight w:val="none"/>
        </w:rPr>
        <w:t>t</w:t>
      </w:r>
      <w:r>
        <w:rPr>
          <w:rFonts w:hint="eastAsia" w:ascii="宋体" w:hAnsi="宋体" w:eastAsia="宋体" w:cs="宋体"/>
          <w:b/>
          <w:bCs/>
          <w:color w:val="auto"/>
          <w:spacing w:val="1"/>
          <w:position w:val="-1"/>
          <w:sz w:val="15"/>
          <w:szCs w:val="15"/>
          <w:highlight w:val="none"/>
        </w:rPr>
        <w:t>2;</w:t>
      </w:r>
      <w:r>
        <w:rPr>
          <w:rFonts w:hint="eastAsia" w:ascii="宋体" w:hAnsi="宋体" w:eastAsia="宋体" w:cs="宋体"/>
          <w:b/>
          <w:bCs/>
          <w:color w:val="auto"/>
          <w:sz w:val="24"/>
          <w:szCs w:val="24"/>
          <w:highlight w:val="none"/>
        </w:rPr>
        <w:t>F</w:t>
      </w:r>
      <w:r>
        <w:rPr>
          <w:rFonts w:hint="eastAsia" w:ascii="宋体" w:hAnsi="宋体" w:eastAsia="宋体" w:cs="宋体"/>
          <w:b/>
          <w:bCs/>
          <w:color w:val="auto"/>
          <w:position w:val="-1"/>
          <w:sz w:val="15"/>
          <w:szCs w:val="15"/>
          <w:highlight w:val="none"/>
        </w:rPr>
        <w:t>t</w:t>
      </w:r>
      <w:r>
        <w:rPr>
          <w:rFonts w:hint="eastAsia" w:ascii="宋体" w:hAnsi="宋体" w:eastAsia="宋体" w:cs="宋体"/>
          <w:b/>
          <w:bCs/>
          <w:color w:val="auto"/>
          <w:spacing w:val="1"/>
          <w:position w:val="-1"/>
          <w:sz w:val="15"/>
          <w:szCs w:val="15"/>
          <w:highlight w:val="none"/>
        </w:rPr>
        <w:t>3</w:t>
      </w:r>
      <w:r>
        <w:rPr>
          <w:rFonts w:hint="eastAsia" w:ascii="宋体" w:hAnsi="宋体" w:eastAsia="宋体" w:cs="宋体"/>
          <w:b/>
          <w:bCs/>
          <w:color w:val="auto"/>
          <w:spacing w:val="1"/>
          <w:position w:val="-1"/>
          <w:sz w:val="24"/>
          <w:szCs w:val="24"/>
          <w:highlight w:val="none"/>
        </w:rPr>
        <w:t>……</w:t>
      </w:r>
      <w:r>
        <w:rPr>
          <w:rFonts w:hint="eastAsia" w:ascii="宋体" w:hAnsi="宋体" w:eastAsia="宋体" w:cs="宋体"/>
          <w:b/>
          <w:bCs/>
          <w:color w:val="auto"/>
          <w:sz w:val="24"/>
          <w:szCs w:val="24"/>
          <w:highlight w:val="none"/>
        </w:rPr>
        <w:t>F</w:t>
      </w:r>
      <w:r>
        <w:rPr>
          <w:rFonts w:hint="eastAsia" w:ascii="宋体" w:hAnsi="宋体" w:eastAsia="宋体" w:cs="宋体"/>
          <w:b/>
          <w:bCs/>
          <w:color w:val="auto"/>
          <w:position w:val="-1"/>
          <w:sz w:val="15"/>
          <w:szCs w:val="15"/>
          <w:highlight w:val="none"/>
        </w:rPr>
        <w:t>tn</w:t>
      </w:r>
      <w:r>
        <w:rPr>
          <w:rFonts w:hint="eastAsia" w:ascii="宋体" w:hAnsi="宋体" w:eastAsia="宋体" w:cs="宋体"/>
          <w:color w:val="auto"/>
          <w:spacing w:val="1"/>
          <w:sz w:val="24"/>
          <w:szCs w:val="24"/>
          <w:highlight w:val="none"/>
        </w:rPr>
        <w:t>--各可调因子的现行</w:t>
      </w:r>
      <w:r>
        <w:rPr>
          <w:rFonts w:hint="eastAsia" w:ascii="宋体" w:hAnsi="宋体" w:eastAsia="宋体" w:cs="宋体"/>
          <w:color w:val="auto"/>
          <w:sz w:val="24"/>
          <w:szCs w:val="24"/>
          <w:highlight w:val="none"/>
        </w:rPr>
        <w:t>价格指数，指第17.3.3项、第17.5.2项和第17.6.2项约定的付款证书相关周期最后</w:t>
      </w:r>
      <w:r>
        <w:rPr>
          <w:rFonts w:hint="eastAsia" w:ascii="宋体" w:hAnsi="宋体" w:eastAsia="宋体" w:cs="宋体"/>
          <w:color w:val="auto"/>
          <w:spacing w:val="-1"/>
          <w:sz w:val="24"/>
          <w:szCs w:val="24"/>
          <w:highlight w:val="none"/>
        </w:rPr>
        <w:t>一天的前42天的各可调因子的价格指</w:t>
      </w:r>
      <w:r>
        <w:rPr>
          <w:rFonts w:hint="eastAsia" w:ascii="宋体" w:hAnsi="宋体" w:eastAsia="宋体" w:cs="宋体"/>
          <w:color w:val="auto"/>
          <w:spacing w:val="-6"/>
          <w:sz w:val="24"/>
          <w:szCs w:val="24"/>
          <w:highlight w:val="none"/>
        </w:rPr>
        <w:t>数；</w:t>
      </w:r>
    </w:p>
    <w:p w14:paraId="66E293FC">
      <w:pPr>
        <w:spacing w:before="2" w:line="304" w:lineRule="auto"/>
        <w:ind w:left="21" w:firstLine="70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F</w:t>
      </w:r>
      <w:r>
        <w:rPr>
          <w:rFonts w:hint="eastAsia" w:ascii="宋体" w:hAnsi="宋体" w:eastAsia="宋体" w:cs="宋体"/>
          <w:b/>
          <w:bCs/>
          <w:color w:val="auto"/>
          <w:spacing w:val="-1"/>
          <w:position w:val="-1"/>
          <w:sz w:val="15"/>
          <w:szCs w:val="15"/>
          <w:highlight w:val="none"/>
        </w:rPr>
        <w:t>o1;</w:t>
      </w:r>
      <w:r>
        <w:rPr>
          <w:rFonts w:hint="eastAsia" w:ascii="宋体" w:hAnsi="宋体" w:eastAsia="宋体" w:cs="宋体"/>
          <w:b/>
          <w:bCs/>
          <w:color w:val="auto"/>
          <w:spacing w:val="-1"/>
          <w:sz w:val="24"/>
          <w:szCs w:val="24"/>
          <w:highlight w:val="none"/>
        </w:rPr>
        <w:t>F</w:t>
      </w:r>
      <w:r>
        <w:rPr>
          <w:rFonts w:hint="eastAsia" w:ascii="宋体" w:hAnsi="宋体" w:eastAsia="宋体" w:cs="宋体"/>
          <w:b/>
          <w:bCs/>
          <w:color w:val="auto"/>
          <w:spacing w:val="-1"/>
          <w:position w:val="-1"/>
          <w:sz w:val="15"/>
          <w:szCs w:val="15"/>
          <w:highlight w:val="none"/>
        </w:rPr>
        <w:t>o2;</w:t>
      </w:r>
      <w:r>
        <w:rPr>
          <w:rFonts w:hint="eastAsia" w:ascii="宋体" w:hAnsi="宋体" w:eastAsia="宋体" w:cs="宋体"/>
          <w:b/>
          <w:bCs/>
          <w:color w:val="auto"/>
          <w:spacing w:val="-1"/>
          <w:sz w:val="24"/>
          <w:szCs w:val="24"/>
          <w:highlight w:val="none"/>
        </w:rPr>
        <w:t>F</w:t>
      </w:r>
      <w:r>
        <w:rPr>
          <w:rFonts w:hint="eastAsia" w:ascii="宋体" w:hAnsi="宋体" w:eastAsia="宋体" w:cs="宋体"/>
          <w:b/>
          <w:bCs/>
          <w:color w:val="auto"/>
          <w:spacing w:val="-1"/>
          <w:position w:val="-1"/>
          <w:sz w:val="15"/>
          <w:szCs w:val="15"/>
          <w:highlight w:val="none"/>
        </w:rPr>
        <w:t>o3</w:t>
      </w:r>
      <w:r>
        <w:rPr>
          <w:rFonts w:hint="eastAsia" w:ascii="宋体" w:hAnsi="宋体" w:eastAsia="宋体" w:cs="宋体"/>
          <w:b/>
          <w:bCs/>
          <w:color w:val="auto"/>
          <w:spacing w:val="-1"/>
          <w:position w:val="-1"/>
          <w:sz w:val="24"/>
          <w:szCs w:val="24"/>
          <w:highlight w:val="none"/>
        </w:rPr>
        <w:t>……</w:t>
      </w:r>
      <w:r>
        <w:rPr>
          <w:rFonts w:hint="eastAsia" w:ascii="宋体" w:hAnsi="宋体" w:eastAsia="宋体" w:cs="宋体"/>
          <w:b/>
          <w:bCs/>
          <w:color w:val="auto"/>
          <w:spacing w:val="-1"/>
          <w:sz w:val="24"/>
          <w:szCs w:val="24"/>
          <w:highlight w:val="none"/>
        </w:rPr>
        <w:t>F</w:t>
      </w:r>
      <w:r>
        <w:rPr>
          <w:rFonts w:hint="eastAsia" w:ascii="宋体" w:hAnsi="宋体" w:eastAsia="宋体" w:cs="宋体"/>
          <w:b/>
          <w:bCs/>
          <w:color w:val="auto"/>
          <w:spacing w:val="-1"/>
          <w:position w:val="-1"/>
          <w:sz w:val="15"/>
          <w:szCs w:val="15"/>
          <w:highlight w:val="none"/>
        </w:rPr>
        <w:t>on</w:t>
      </w:r>
      <w:r>
        <w:rPr>
          <w:rFonts w:hint="eastAsia" w:ascii="宋体" w:hAnsi="宋体" w:eastAsia="宋体" w:cs="宋体"/>
          <w:color w:val="auto"/>
          <w:spacing w:val="-1"/>
          <w:sz w:val="24"/>
          <w:szCs w:val="24"/>
          <w:highlight w:val="none"/>
        </w:rPr>
        <w:t>--各可调因子的基本价格指数，指基准日期的各可调因子的</w:t>
      </w:r>
      <w:r>
        <w:rPr>
          <w:rFonts w:hint="eastAsia" w:ascii="宋体" w:hAnsi="宋体" w:eastAsia="宋体" w:cs="宋体"/>
          <w:color w:val="auto"/>
          <w:spacing w:val="-3"/>
          <w:sz w:val="24"/>
          <w:szCs w:val="24"/>
          <w:highlight w:val="none"/>
        </w:rPr>
        <w:t>价格指数。</w:t>
      </w:r>
    </w:p>
    <w:p w14:paraId="0737B409">
      <w:pPr>
        <w:spacing w:before="8" w:line="308" w:lineRule="auto"/>
        <w:ind w:left="19" w:firstLine="505"/>
        <w:jc w:val="both"/>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以上价格调整公式中的各可调因子、定值和变值权重，以及基本价格指数及其来</w:t>
      </w:r>
      <w:r>
        <w:rPr>
          <w:rFonts w:hint="eastAsia" w:ascii="宋体" w:hAnsi="宋体" w:eastAsia="宋体" w:cs="宋体"/>
          <w:color w:val="auto"/>
          <w:spacing w:val="-2"/>
          <w:sz w:val="24"/>
          <w:szCs w:val="24"/>
          <w:highlight w:val="none"/>
        </w:rPr>
        <w:t>源在投标函附录价格指数和权重表中约定。价格指数应首先采用有关部门提供的价格</w:t>
      </w:r>
      <w:r>
        <w:rPr>
          <w:rFonts w:hint="eastAsia" w:ascii="宋体" w:hAnsi="宋体" w:eastAsia="宋体" w:cs="宋体"/>
          <w:color w:val="auto"/>
          <w:spacing w:val="-1"/>
          <w:sz w:val="24"/>
          <w:szCs w:val="24"/>
          <w:highlight w:val="none"/>
        </w:rPr>
        <w:t>指数，缺乏上述价格指数时，可采用有关部门提供的价格代替。</w:t>
      </w:r>
    </w:p>
    <w:p w14:paraId="67E2B32B">
      <w:pPr>
        <w:spacing w:before="1" w:line="221" w:lineRule="auto"/>
        <w:ind w:left="51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16.1.1.2暂时确定调整差额</w:t>
      </w:r>
    </w:p>
    <w:p w14:paraId="19C03216">
      <w:pPr>
        <w:spacing w:before="110" w:line="218" w:lineRule="auto"/>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在计算调整差额时得不到现行价格指数的，可暂用上一次价格指数计算，并在以</w:t>
      </w:r>
    </w:p>
    <w:p w14:paraId="2FC1A16A">
      <w:pPr>
        <w:spacing w:line="218" w:lineRule="auto"/>
        <w:rPr>
          <w:rFonts w:hint="eastAsia" w:ascii="宋体" w:hAnsi="宋体" w:eastAsia="宋体" w:cs="宋体"/>
          <w:color w:val="auto"/>
          <w:sz w:val="24"/>
          <w:szCs w:val="24"/>
          <w:highlight w:val="none"/>
        </w:rPr>
        <w:sectPr>
          <w:footerReference r:id="rId101" w:type="default"/>
          <w:pgSz w:w="11907" w:h="16840"/>
          <w:pgMar w:top="1182" w:right="1289" w:bottom="1014" w:left="1786" w:header="849" w:footer="852" w:gutter="0"/>
          <w:pgNumType w:fmt="decimal"/>
          <w:cols w:space="720" w:num="1"/>
        </w:sectPr>
      </w:pPr>
    </w:p>
    <w:p w14:paraId="49B38333">
      <w:pPr>
        <w:pStyle w:val="4"/>
        <w:spacing w:line="301" w:lineRule="auto"/>
        <w:rPr>
          <w:rFonts w:hint="eastAsia" w:ascii="宋体" w:hAnsi="宋体" w:eastAsia="宋体" w:cs="宋体"/>
          <w:color w:val="auto"/>
          <w:highlight w:val="none"/>
        </w:rPr>
      </w:pPr>
    </w:p>
    <w:p w14:paraId="21D1C9BC">
      <w:pPr>
        <w:spacing w:before="78" w:line="218" w:lineRule="auto"/>
        <w:ind w:left="2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后的付款中再按实际价格指数进行调整。</w:t>
      </w:r>
    </w:p>
    <w:p w14:paraId="198CF802">
      <w:pPr>
        <w:spacing w:before="117" w:line="222" w:lineRule="auto"/>
        <w:ind w:left="51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16.1.1.3权重的调整</w:t>
      </w:r>
    </w:p>
    <w:p w14:paraId="2A5E6A63">
      <w:pPr>
        <w:spacing w:before="112" w:line="307" w:lineRule="auto"/>
        <w:ind w:left="20" w:firstLine="481"/>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按第15.1款约定的变更导致原定合同中的权重不合理时，由</w:t>
      </w:r>
      <w:r>
        <w:rPr>
          <w:rFonts w:hint="eastAsia" w:ascii="宋体" w:hAnsi="宋体" w:eastAsia="宋体" w:cs="宋体"/>
          <w:color w:val="auto"/>
          <w:spacing w:val="-5"/>
          <w:sz w:val="24"/>
          <w:szCs w:val="24"/>
          <w:highlight w:val="none"/>
        </w:rPr>
        <w:t>监理人与承包人和发</w:t>
      </w:r>
      <w:r>
        <w:rPr>
          <w:rFonts w:hint="eastAsia" w:ascii="宋体" w:hAnsi="宋体" w:eastAsia="宋体" w:cs="宋体"/>
          <w:color w:val="auto"/>
          <w:spacing w:val="-1"/>
          <w:sz w:val="24"/>
          <w:szCs w:val="24"/>
          <w:highlight w:val="none"/>
        </w:rPr>
        <w:t>包人协商后进行调整。</w:t>
      </w:r>
    </w:p>
    <w:p w14:paraId="25C9BD2E">
      <w:pPr>
        <w:spacing w:line="221" w:lineRule="auto"/>
        <w:ind w:left="51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16.1.1.4承包人工期延误后的价格调整</w:t>
      </w:r>
    </w:p>
    <w:p w14:paraId="34E42F56">
      <w:pPr>
        <w:spacing w:before="112" w:line="308" w:lineRule="auto"/>
        <w:ind w:left="19" w:firstLine="51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由于承包人原因未在约定的工期内竣工的，则对原约定竣工日期后继续施工的工</w:t>
      </w:r>
      <w:r>
        <w:rPr>
          <w:rFonts w:hint="eastAsia" w:ascii="宋体" w:hAnsi="宋体" w:eastAsia="宋体" w:cs="宋体"/>
          <w:color w:val="auto"/>
          <w:spacing w:val="-2"/>
          <w:sz w:val="24"/>
          <w:szCs w:val="24"/>
          <w:highlight w:val="none"/>
        </w:rPr>
        <w:t>程，在使用第16.1.1.1目价格调整公式时，应采用原约定竣</w:t>
      </w:r>
      <w:r>
        <w:rPr>
          <w:rFonts w:hint="eastAsia" w:ascii="宋体" w:hAnsi="宋体" w:eastAsia="宋体" w:cs="宋体"/>
          <w:color w:val="auto"/>
          <w:spacing w:val="-3"/>
          <w:sz w:val="24"/>
          <w:szCs w:val="24"/>
          <w:highlight w:val="none"/>
        </w:rPr>
        <w:t>工日期与实际竣工日期的</w:t>
      </w:r>
      <w:r>
        <w:rPr>
          <w:rFonts w:hint="eastAsia" w:ascii="宋体" w:hAnsi="宋体" w:eastAsia="宋体" w:cs="宋体"/>
          <w:color w:val="auto"/>
          <w:spacing w:val="-1"/>
          <w:sz w:val="24"/>
          <w:szCs w:val="24"/>
          <w:highlight w:val="none"/>
        </w:rPr>
        <w:t>两个价格指数中较低的一个作为现行价格指数。</w:t>
      </w:r>
    </w:p>
    <w:p w14:paraId="77D4055E">
      <w:pPr>
        <w:spacing w:before="1" w:line="221" w:lineRule="auto"/>
        <w:ind w:left="51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16.1.2采用造价信息调整价格差额</w:t>
      </w:r>
    </w:p>
    <w:p w14:paraId="7969E590">
      <w:pPr>
        <w:spacing w:before="113" w:line="308" w:lineRule="auto"/>
        <w:ind w:left="19" w:firstLine="48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施工期内，因人工、材料、设备和机械台班价格波动影响合同价格时，人工、机械使用费按照国家或省、自治区、直辖市建设行政管理部门、行业建设管理部门或其授权的工程造价管理机构发布的人工成本信息、机械台班单价或机械使用费系数进行调整；需要进行价格调整的材料，其单价和采购数应由监理人复核，监理人确认需调</w:t>
      </w:r>
      <w:r>
        <w:rPr>
          <w:rFonts w:hint="eastAsia" w:ascii="宋体" w:hAnsi="宋体" w:eastAsia="宋体" w:cs="宋体"/>
          <w:color w:val="auto"/>
          <w:spacing w:val="-1"/>
          <w:sz w:val="24"/>
          <w:szCs w:val="24"/>
          <w:highlight w:val="none"/>
        </w:rPr>
        <w:t>整的材料单价及数量，作为调整工程合同价格差额的依据。</w:t>
      </w:r>
    </w:p>
    <w:p w14:paraId="1071B1ED">
      <w:pPr>
        <w:spacing w:before="215" w:line="222" w:lineRule="auto"/>
        <w:ind w:left="3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16.2法律变化引起的价格调整</w:t>
      </w:r>
    </w:p>
    <w:p w14:paraId="4A8889A4">
      <w:pPr>
        <w:pStyle w:val="4"/>
        <w:spacing w:line="274" w:lineRule="auto"/>
        <w:rPr>
          <w:rFonts w:hint="eastAsia" w:ascii="宋体" w:hAnsi="宋体" w:eastAsia="宋体" w:cs="宋体"/>
          <w:color w:val="auto"/>
          <w:highlight w:val="none"/>
        </w:rPr>
      </w:pPr>
    </w:p>
    <w:p w14:paraId="409A9D78">
      <w:pPr>
        <w:spacing w:before="78" w:line="308" w:lineRule="auto"/>
        <w:ind w:left="39" w:firstLine="414"/>
        <w:jc w:val="both"/>
        <w:rPr>
          <w:rFonts w:hint="eastAsia" w:ascii="宋体" w:hAnsi="宋体" w:eastAsia="宋体" w:cs="宋体"/>
          <w:color w:val="auto"/>
          <w:highlight w:val="none"/>
        </w:rPr>
      </w:pPr>
      <w:r>
        <w:rPr>
          <w:rFonts w:hint="eastAsia" w:ascii="宋体" w:hAnsi="宋体" w:eastAsia="宋体" w:cs="宋体"/>
          <w:color w:val="auto"/>
          <w:spacing w:val="6"/>
          <w:sz w:val="24"/>
          <w:szCs w:val="24"/>
          <w:highlight w:val="none"/>
        </w:rPr>
        <w:t>在基准日后，因法律变化导致承包人在合同履行中所需要的工程费用发生除第</w:t>
      </w:r>
      <w:r>
        <w:rPr>
          <w:rFonts w:hint="eastAsia" w:ascii="宋体" w:hAnsi="宋体" w:eastAsia="宋体" w:cs="宋体"/>
          <w:color w:val="auto"/>
          <w:spacing w:val="-2"/>
          <w:sz w:val="24"/>
          <w:szCs w:val="24"/>
          <w:highlight w:val="none"/>
        </w:rPr>
        <w:t>16.1款约定以外的增减时，监理人应根据法律、国家或省、自</w:t>
      </w:r>
      <w:r>
        <w:rPr>
          <w:rFonts w:hint="eastAsia" w:ascii="宋体" w:hAnsi="宋体" w:eastAsia="宋体" w:cs="宋体"/>
          <w:color w:val="auto"/>
          <w:spacing w:val="-3"/>
          <w:sz w:val="24"/>
          <w:szCs w:val="24"/>
          <w:highlight w:val="none"/>
        </w:rPr>
        <w:t>治区、直辖市有关部门</w:t>
      </w:r>
      <w:r>
        <w:rPr>
          <w:rFonts w:hint="eastAsia" w:ascii="宋体" w:hAnsi="宋体" w:eastAsia="宋体" w:cs="宋体"/>
          <w:color w:val="auto"/>
          <w:spacing w:val="-2"/>
          <w:sz w:val="24"/>
          <w:szCs w:val="24"/>
          <w:highlight w:val="none"/>
        </w:rPr>
        <w:t>的规定，按第3.5款商定或确定需调整的合同价款。</w:t>
      </w:r>
    </w:p>
    <w:p w14:paraId="79469416">
      <w:pPr>
        <w:spacing w:before="92" w:line="224" w:lineRule="auto"/>
        <w:ind w:left="44"/>
        <w:outlineLvl w:val="2"/>
        <w:rPr>
          <w:rFonts w:hint="eastAsia" w:ascii="宋体" w:hAnsi="宋体" w:eastAsia="宋体" w:cs="宋体"/>
          <w:color w:val="auto"/>
          <w:sz w:val="28"/>
          <w:szCs w:val="28"/>
          <w:highlight w:val="none"/>
        </w:rPr>
      </w:pPr>
      <w:bookmarkStart w:id="526" w:name="_Toc18324"/>
      <w:bookmarkStart w:id="527" w:name="_Toc17011"/>
      <w:bookmarkStart w:id="528" w:name="_Toc13767"/>
      <w:bookmarkStart w:id="529" w:name="_Toc23763"/>
      <w:bookmarkStart w:id="530" w:name="_Toc16568"/>
      <w:r>
        <w:rPr>
          <w:rFonts w:hint="eastAsia" w:ascii="宋体" w:hAnsi="宋体" w:eastAsia="宋体" w:cs="宋体"/>
          <w:color w:val="auto"/>
          <w:spacing w:val="-4"/>
          <w:sz w:val="28"/>
          <w:szCs w:val="28"/>
          <w:highlight w:val="none"/>
        </w:rPr>
        <w:t>17.计量与支付</w:t>
      </w:r>
      <w:bookmarkEnd w:id="526"/>
      <w:bookmarkEnd w:id="527"/>
      <w:bookmarkEnd w:id="528"/>
      <w:bookmarkEnd w:id="529"/>
      <w:bookmarkEnd w:id="530"/>
    </w:p>
    <w:p w14:paraId="42499EA0">
      <w:pPr>
        <w:pStyle w:val="4"/>
        <w:spacing w:line="246" w:lineRule="auto"/>
        <w:rPr>
          <w:rFonts w:hint="eastAsia" w:ascii="宋体" w:hAnsi="宋体" w:eastAsia="宋体" w:cs="宋体"/>
          <w:color w:val="auto"/>
          <w:highlight w:val="none"/>
        </w:rPr>
      </w:pPr>
    </w:p>
    <w:p w14:paraId="540E4AC7">
      <w:pPr>
        <w:spacing w:before="78" w:line="225" w:lineRule="auto"/>
        <w:ind w:left="39"/>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17.1计量</w:t>
      </w:r>
    </w:p>
    <w:p w14:paraId="483DF070">
      <w:pPr>
        <w:pStyle w:val="4"/>
        <w:spacing w:line="268" w:lineRule="auto"/>
        <w:rPr>
          <w:rFonts w:hint="eastAsia" w:ascii="宋体" w:hAnsi="宋体" w:eastAsia="宋体" w:cs="宋体"/>
          <w:color w:val="auto"/>
          <w:highlight w:val="none"/>
        </w:rPr>
      </w:pPr>
    </w:p>
    <w:p w14:paraId="035C8B31">
      <w:pPr>
        <w:spacing w:before="79" w:line="222" w:lineRule="auto"/>
        <w:ind w:left="51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17.1.1计量单位</w:t>
      </w:r>
    </w:p>
    <w:p w14:paraId="301AC000">
      <w:pPr>
        <w:spacing w:before="109" w:line="219" w:lineRule="auto"/>
        <w:ind w:left="5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计量采用国家法定的计量单位。</w:t>
      </w:r>
    </w:p>
    <w:p w14:paraId="61BEE1EB">
      <w:pPr>
        <w:spacing w:before="117" w:line="221" w:lineRule="auto"/>
        <w:ind w:left="51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17.1.2计量方法</w:t>
      </w:r>
    </w:p>
    <w:p w14:paraId="5DE0435C">
      <w:pPr>
        <w:spacing w:before="114" w:line="307" w:lineRule="auto"/>
        <w:ind w:left="43" w:firstLine="46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工程量清单中的工程量计算规则应按有关国家标准、行业标准的规定，</w:t>
      </w:r>
      <w:r>
        <w:rPr>
          <w:rFonts w:hint="eastAsia" w:ascii="宋体" w:hAnsi="宋体" w:eastAsia="宋体" w:cs="宋体"/>
          <w:color w:val="auto"/>
          <w:spacing w:val="-3"/>
          <w:sz w:val="24"/>
          <w:szCs w:val="24"/>
          <w:highlight w:val="none"/>
        </w:rPr>
        <w:t>并在合同</w:t>
      </w:r>
      <w:r>
        <w:rPr>
          <w:rFonts w:hint="eastAsia" w:ascii="宋体" w:hAnsi="宋体" w:eastAsia="宋体" w:cs="宋体"/>
          <w:color w:val="auto"/>
          <w:spacing w:val="-6"/>
          <w:sz w:val="24"/>
          <w:szCs w:val="24"/>
          <w:highlight w:val="none"/>
        </w:rPr>
        <w:t>中约定执行。</w:t>
      </w:r>
    </w:p>
    <w:p w14:paraId="4F9DBDA5">
      <w:pPr>
        <w:spacing w:line="223" w:lineRule="auto"/>
        <w:ind w:left="51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17.1.3计量周期</w:t>
      </w:r>
    </w:p>
    <w:p w14:paraId="02080A34">
      <w:pPr>
        <w:spacing w:before="112" w:line="307" w:lineRule="auto"/>
        <w:ind w:left="21" w:firstLine="49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除专用合同条款另有约定外，单价子目已完成</w:t>
      </w:r>
      <w:r>
        <w:rPr>
          <w:rFonts w:hint="eastAsia" w:ascii="宋体" w:hAnsi="宋体" w:eastAsia="宋体" w:cs="宋体"/>
          <w:color w:val="auto"/>
          <w:spacing w:val="-3"/>
          <w:sz w:val="24"/>
          <w:szCs w:val="24"/>
          <w:highlight w:val="none"/>
        </w:rPr>
        <w:t>工程量按月计量，总价子目的计量</w:t>
      </w:r>
      <w:r>
        <w:rPr>
          <w:rFonts w:hint="eastAsia" w:ascii="宋体" w:hAnsi="宋体" w:eastAsia="宋体" w:cs="宋体"/>
          <w:color w:val="auto"/>
          <w:spacing w:val="-1"/>
          <w:sz w:val="24"/>
          <w:szCs w:val="24"/>
          <w:highlight w:val="none"/>
        </w:rPr>
        <w:t>周期按批准的支付分解报告确定。</w:t>
      </w:r>
    </w:p>
    <w:p w14:paraId="4488D14B">
      <w:pPr>
        <w:spacing w:before="1" w:line="221" w:lineRule="auto"/>
        <w:ind w:left="51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17.1.4单价子目的计量</w:t>
      </w:r>
    </w:p>
    <w:p w14:paraId="19225560">
      <w:pPr>
        <w:spacing w:before="112" w:line="309" w:lineRule="auto"/>
        <w:ind w:left="22" w:firstLine="48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（1）已标价工程量清单中的单价子目工程量为估算工程量。结算工程量是承包</w:t>
      </w:r>
      <w:r>
        <w:rPr>
          <w:rFonts w:hint="eastAsia" w:ascii="宋体" w:hAnsi="宋体" w:eastAsia="宋体" w:cs="宋体"/>
          <w:color w:val="auto"/>
          <w:spacing w:val="-1"/>
          <w:sz w:val="24"/>
          <w:szCs w:val="24"/>
          <w:highlight w:val="none"/>
        </w:rPr>
        <w:t>人实际完成的，并按合同约定的计量方法进行计量的工程量。</w:t>
      </w:r>
    </w:p>
    <w:p w14:paraId="139C380C">
      <w:pPr>
        <w:spacing w:line="309" w:lineRule="auto"/>
        <w:rPr>
          <w:rFonts w:hint="eastAsia" w:ascii="宋体" w:hAnsi="宋体" w:eastAsia="宋体" w:cs="宋体"/>
          <w:color w:val="auto"/>
          <w:sz w:val="24"/>
          <w:szCs w:val="24"/>
          <w:highlight w:val="none"/>
        </w:rPr>
        <w:sectPr>
          <w:footerReference r:id="rId102" w:type="default"/>
          <w:pgSz w:w="11907" w:h="16840"/>
          <w:pgMar w:top="1182" w:right="1289" w:bottom="1014" w:left="1786" w:header="849" w:footer="852" w:gutter="0"/>
          <w:pgNumType w:fmt="decimal"/>
          <w:cols w:space="720" w:num="1"/>
        </w:sectPr>
      </w:pPr>
    </w:p>
    <w:p w14:paraId="4680D24B">
      <w:pPr>
        <w:pStyle w:val="4"/>
        <w:spacing w:line="301" w:lineRule="auto"/>
        <w:rPr>
          <w:rFonts w:hint="eastAsia" w:ascii="宋体" w:hAnsi="宋体" w:eastAsia="宋体" w:cs="宋体"/>
          <w:color w:val="auto"/>
          <w:highlight w:val="none"/>
        </w:rPr>
      </w:pPr>
    </w:p>
    <w:p w14:paraId="5B7B20DC">
      <w:pPr>
        <w:spacing w:before="78" w:line="264" w:lineRule="auto"/>
        <w:ind w:left="23" w:firstLine="48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（2）承包人对已完成的工程进行计量，向监理人提交进度付款申请单、已完成</w:t>
      </w:r>
      <w:r>
        <w:rPr>
          <w:rFonts w:hint="eastAsia" w:ascii="宋体" w:hAnsi="宋体" w:eastAsia="宋体" w:cs="宋体"/>
          <w:color w:val="auto"/>
          <w:spacing w:val="-1"/>
          <w:sz w:val="24"/>
          <w:szCs w:val="24"/>
          <w:highlight w:val="none"/>
        </w:rPr>
        <w:t>工程量报表和有关计量资料。</w:t>
      </w:r>
    </w:p>
    <w:p w14:paraId="3BB6C666">
      <w:pPr>
        <w:spacing w:before="113" w:line="286" w:lineRule="auto"/>
        <w:ind w:left="19" w:firstLine="49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（3）监理人对承包人提交的工程量报表进行复核，以确定实际完成的工程量。</w:t>
      </w:r>
      <w:r>
        <w:rPr>
          <w:rFonts w:hint="eastAsia" w:ascii="宋体" w:hAnsi="宋体" w:eastAsia="宋体" w:cs="宋体"/>
          <w:color w:val="auto"/>
          <w:spacing w:val="-1"/>
          <w:sz w:val="24"/>
          <w:szCs w:val="24"/>
          <w:highlight w:val="none"/>
        </w:rPr>
        <w:t>对数量有异议的，可要求承包人按第8.2款约定进行共同复核和抽样复测。承包人应</w:t>
      </w:r>
      <w:r>
        <w:rPr>
          <w:rFonts w:hint="eastAsia" w:ascii="宋体" w:hAnsi="宋体" w:eastAsia="宋体" w:cs="宋体"/>
          <w:color w:val="auto"/>
          <w:spacing w:val="-2"/>
          <w:sz w:val="24"/>
          <w:szCs w:val="24"/>
          <w:highlight w:val="none"/>
        </w:rPr>
        <w:t>协助监理人进行复核并按监理人要求提供补充计量资料。承包人未按监理人要求参加</w:t>
      </w:r>
      <w:r>
        <w:rPr>
          <w:rFonts w:hint="eastAsia" w:ascii="宋体" w:hAnsi="宋体" w:eastAsia="宋体" w:cs="宋体"/>
          <w:color w:val="auto"/>
          <w:sz w:val="24"/>
          <w:szCs w:val="24"/>
          <w:highlight w:val="none"/>
        </w:rPr>
        <w:t>复核，监理人复核或修正的工程量视为承包</w:t>
      </w:r>
      <w:r>
        <w:rPr>
          <w:rFonts w:hint="eastAsia" w:ascii="宋体" w:hAnsi="宋体" w:eastAsia="宋体" w:cs="宋体"/>
          <w:color w:val="auto"/>
          <w:spacing w:val="-1"/>
          <w:sz w:val="24"/>
          <w:szCs w:val="24"/>
          <w:highlight w:val="none"/>
        </w:rPr>
        <w:t>人实际完成的工程量。</w:t>
      </w:r>
    </w:p>
    <w:p w14:paraId="675A90F0">
      <w:pPr>
        <w:spacing w:before="112" w:line="264" w:lineRule="auto"/>
        <w:ind w:left="19" w:firstLine="49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（4）监理人认为有必要时，可通知承包人共同进行联合测量、计量，承包人应</w:t>
      </w:r>
      <w:r>
        <w:rPr>
          <w:rFonts w:hint="eastAsia" w:ascii="宋体" w:hAnsi="宋体" w:eastAsia="宋体" w:cs="宋体"/>
          <w:color w:val="auto"/>
          <w:spacing w:val="-2"/>
          <w:sz w:val="24"/>
          <w:szCs w:val="24"/>
          <w:highlight w:val="none"/>
        </w:rPr>
        <w:t>遵照执行。</w:t>
      </w:r>
    </w:p>
    <w:p w14:paraId="35A9DB56">
      <w:pPr>
        <w:spacing w:before="113" w:line="286" w:lineRule="auto"/>
        <w:ind w:left="19" w:firstLine="49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（5）承包人完成工程量清单中每个子目的工程量后，监理人应要求承包人派员</w:t>
      </w:r>
      <w:r>
        <w:rPr>
          <w:rFonts w:hint="eastAsia" w:ascii="宋体" w:hAnsi="宋体" w:eastAsia="宋体" w:cs="宋体"/>
          <w:color w:val="auto"/>
          <w:spacing w:val="-2"/>
          <w:sz w:val="24"/>
          <w:szCs w:val="24"/>
          <w:highlight w:val="none"/>
        </w:rPr>
        <w:t>共同对每个子目的历次计量报表进行汇总，以核实最终结算工程量。监理人可要求承包人提供补充计量资料，以确定最后一次进度付款的准确工程量。承包人未按监理人</w:t>
      </w:r>
      <w:r>
        <w:rPr>
          <w:rFonts w:hint="eastAsia" w:ascii="宋体" w:hAnsi="宋体" w:eastAsia="宋体" w:cs="宋体"/>
          <w:color w:val="auto"/>
          <w:sz w:val="24"/>
          <w:szCs w:val="24"/>
          <w:highlight w:val="none"/>
        </w:rPr>
        <w:t>要求派员参加的，监理人最终核实的工程量视为承包人完成</w:t>
      </w:r>
      <w:r>
        <w:rPr>
          <w:rFonts w:hint="eastAsia" w:ascii="宋体" w:hAnsi="宋体" w:eastAsia="宋体" w:cs="宋体"/>
          <w:color w:val="auto"/>
          <w:spacing w:val="-1"/>
          <w:sz w:val="24"/>
          <w:szCs w:val="24"/>
          <w:highlight w:val="none"/>
        </w:rPr>
        <w:t>该子目的准确工程量。</w:t>
      </w:r>
    </w:p>
    <w:p w14:paraId="6D07C6ED">
      <w:pPr>
        <w:spacing w:before="114" w:line="278" w:lineRule="auto"/>
        <w:ind w:left="19" w:firstLine="49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（6）监理人应在收到承包人提交的工程量报表后的7天内进行复核，监理人未</w:t>
      </w:r>
      <w:r>
        <w:rPr>
          <w:rFonts w:hint="eastAsia" w:ascii="宋体" w:hAnsi="宋体" w:eastAsia="宋体" w:cs="宋体"/>
          <w:color w:val="auto"/>
          <w:spacing w:val="-2"/>
          <w:sz w:val="24"/>
          <w:szCs w:val="24"/>
          <w:highlight w:val="none"/>
        </w:rPr>
        <w:t>在约定时间内复核的，承包人提交的工程量报表中的工程量视为承包人实际完成的工</w:t>
      </w:r>
      <w:r>
        <w:rPr>
          <w:rFonts w:hint="eastAsia" w:ascii="宋体" w:hAnsi="宋体" w:eastAsia="宋体" w:cs="宋体"/>
          <w:color w:val="auto"/>
          <w:spacing w:val="-1"/>
          <w:sz w:val="24"/>
          <w:szCs w:val="24"/>
          <w:highlight w:val="none"/>
        </w:rPr>
        <w:t>程量，据此计算工程价款。</w:t>
      </w:r>
    </w:p>
    <w:p w14:paraId="2E5872CC">
      <w:pPr>
        <w:spacing w:before="114" w:line="222" w:lineRule="auto"/>
        <w:ind w:left="51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17.1.5总价子目的计量</w:t>
      </w:r>
    </w:p>
    <w:p w14:paraId="17573016">
      <w:pPr>
        <w:spacing w:before="113" w:line="218"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除专用合同条款另有约定外，总价子目的分解和计量按照下述约定进行。</w:t>
      </w:r>
    </w:p>
    <w:p w14:paraId="489D4196">
      <w:pPr>
        <w:spacing w:before="116" w:line="263" w:lineRule="auto"/>
        <w:ind w:left="21" w:right="2" w:firstLine="48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（1）总价子目的计量和支付应以总价为基础，不因第16.1款中的因素而</w:t>
      </w:r>
      <w:r>
        <w:rPr>
          <w:rFonts w:hint="eastAsia" w:ascii="宋体" w:hAnsi="宋体" w:eastAsia="宋体" w:cs="宋体"/>
          <w:color w:val="auto"/>
          <w:spacing w:val="-2"/>
          <w:sz w:val="24"/>
          <w:szCs w:val="24"/>
          <w:highlight w:val="none"/>
        </w:rPr>
        <w:t>进行调</w:t>
      </w:r>
      <w:r>
        <w:rPr>
          <w:rFonts w:hint="eastAsia" w:ascii="宋体" w:hAnsi="宋体" w:eastAsia="宋体" w:cs="宋体"/>
          <w:color w:val="auto"/>
          <w:sz w:val="24"/>
          <w:szCs w:val="24"/>
          <w:highlight w:val="none"/>
        </w:rPr>
        <w:t>整。承包人实际完成的工程量，是进行工程目标管</w:t>
      </w:r>
      <w:r>
        <w:rPr>
          <w:rFonts w:hint="eastAsia" w:ascii="宋体" w:hAnsi="宋体" w:eastAsia="宋体" w:cs="宋体"/>
          <w:color w:val="auto"/>
          <w:spacing w:val="-1"/>
          <w:sz w:val="24"/>
          <w:szCs w:val="24"/>
          <w:highlight w:val="none"/>
        </w:rPr>
        <w:t>理和控制进度支付的依据。</w:t>
      </w:r>
    </w:p>
    <w:p w14:paraId="5CAD422B">
      <w:pPr>
        <w:spacing w:before="116" w:line="286" w:lineRule="auto"/>
        <w:ind w:left="20" w:firstLine="48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（2）承包人在合同约定的每个计量周期内，对已完成的工程进行计量，并向监</w:t>
      </w:r>
      <w:r>
        <w:rPr>
          <w:rFonts w:hint="eastAsia" w:ascii="宋体" w:hAnsi="宋体" w:eastAsia="宋体" w:cs="宋体"/>
          <w:color w:val="auto"/>
          <w:spacing w:val="-2"/>
          <w:sz w:val="24"/>
          <w:szCs w:val="24"/>
          <w:highlight w:val="none"/>
        </w:rPr>
        <w:t>理人提交进度付款申请单、专用合同条款约定的合同总价支付分解表所表示的阶段性或分项计量的支持性资料，以及所达到工程形象目标或分阶段需完成的工程量和有关计量资料。</w:t>
      </w:r>
    </w:p>
    <w:p w14:paraId="370A7146">
      <w:pPr>
        <w:spacing w:before="114" w:line="278" w:lineRule="auto"/>
        <w:ind w:left="19" w:firstLine="48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（3）监理人对承包人提交的上述资料进行复核，以确定分阶段实际完成的工程</w:t>
      </w:r>
      <w:r>
        <w:rPr>
          <w:rFonts w:hint="eastAsia" w:ascii="宋体" w:hAnsi="宋体" w:eastAsia="宋体" w:cs="宋体"/>
          <w:color w:val="auto"/>
          <w:spacing w:val="-1"/>
          <w:sz w:val="24"/>
          <w:szCs w:val="24"/>
          <w:highlight w:val="none"/>
        </w:rPr>
        <w:t>量和工程形象目标。对其有异议的，可要求承包人按第8.2款约定进行共同复核和抽</w:t>
      </w:r>
      <w:r>
        <w:rPr>
          <w:rFonts w:hint="eastAsia" w:ascii="宋体" w:hAnsi="宋体" w:eastAsia="宋体" w:cs="宋体"/>
          <w:color w:val="auto"/>
          <w:spacing w:val="-3"/>
          <w:sz w:val="24"/>
          <w:szCs w:val="24"/>
          <w:highlight w:val="none"/>
        </w:rPr>
        <w:t>样复测。</w:t>
      </w:r>
    </w:p>
    <w:p w14:paraId="234C8982">
      <w:pPr>
        <w:spacing w:before="117" w:line="263" w:lineRule="auto"/>
        <w:ind w:left="23" w:firstLine="478"/>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（4）除按照第15条约定的变更外，总价子目的工程量是承包人用于结算的最终</w:t>
      </w:r>
      <w:r>
        <w:rPr>
          <w:rFonts w:hint="eastAsia" w:ascii="宋体" w:hAnsi="宋体" w:eastAsia="宋体" w:cs="宋体"/>
          <w:color w:val="auto"/>
          <w:spacing w:val="-4"/>
          <w:sz w:val="24"/>
          <w:szCs w:val="24"/>
          <w:highlight w:val="none"/>
        </w:rPr>
        <w:t>工程量。</w:t>
      </w:r>
    </w:p>
    <w:p w14:paraId="39025BF3">
      <w:pPr>
        <w:pStyle w:val="4"/>
        <w:spacing w:line="255" w:lineRule="auto"/>
        <w:rPr>
          <w:rFonts w:hint="eastAsia" w:ascii="宋体" w:hAnsi="宋体" w:eastAsia="宋体" w:cs="宋体"/>
          <w:color w:val="auto"/>
          <w:highlight w:val="none"/>
        </w:rPr>
      </w:pPr>
    </w:p>
    <w:p w14:paraId="2C46E785">
      <w:pPr>
        <w:spacing w:before="78" w:line="222" w:lineRule="auto"/>
        <w:ind w:left="3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17.2预付款</w:t>
      </w:r>
    </w:p>
    <w:p w14:paraId="324C9178">
      <w:pPr>
        <w:pStyle w:val="4"/>
        <w:spacing w:line="270" w:lineRule="auto"/>
        <w:rPr>
          <w:rFonts w:hint="eastAsia" w:ascii="宋体" w:hAnsi="宋体" w:eastAsia="宋体" w:cs="宋体"/>
          <w:color w:val="auto"/>
          <w:highlight w:val="none"/>
        </w:rPr>
      </w:pPr>
    </w:p>
    <w:p w14:paraId="3BF5E90C">
      <w:pPr>
        <w:spacing w:before="78" w:line="222" w:lineRule="auto"/>
        <w:ind w:left="51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17.2.1预付款</w:t>
      </w:r>
    </w:p>
    <w:p w14:paraId="220A0CCE">
      <w:pPr>
        <w:spacing w:before="113" w:line="309" w:lineRule="auto"/>
        <w:ind w:left="19" w:firstLine="48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预付款用于承包人为合同工程施工购置材料、工程设备、施工设备、修建</w:t>
      </w:r>
      <w:r>
        <w:rPr>
          <w:rFonts w:hint="eastAsia" w:ascii="宋体" w:hAnsi="宋体" w:eastAsia="宋体" w:cs="宋体"/>
          <w:color w:val="auto"/>
          <w:spacing w:val="-3"/>
          <w:sz w:val="24"/>
          <w:szCs w:val="24"/>
          <w:highlight w:val="none"/>
        </w:rPr>
        <w:t>临时设</w:t>
      </w:r>
      <w:r>
        <w:rPr>
          <w:rFonts w:hint="eastAsia" w:ascii="宋体" w:hAnsi="宋体" w:eastAsia="宋体" w:cs="宋体"/>
          <w:color w:val="auto"/>
          <w:spacing w:val="-2"/>
          <w:sz w:val="24"/>
          <w:szCs w:val="24"/>
          <w:highlight w:val="none"/>
        </w:rPr>
        <w:t>施以及组织施工队伍进场等。预付款的额度和预付办法在专用合同条款中约定。预付</w:t>
      </w:r>
      <w:r>
        <w:rPr>
          <w:rFonts w:hint="eastAsia" w:ascii="宋体" w:hAnsi="宋体" w:eastAsia="宋体" w:cs="宋体"/>
          <w:color w:val="auto"/>
          <w:spacing w:val="-1"/>
          <w:sz w:val="24"/>
          <w:szCs w:val="24"/>
          <w:highlight w:val="none"/>
        </w:rPr>
        <w:t>款必须专用于合同工程。</w:t>
      </w:r>
    </w:p>
    <w:p w14:paraId="6066DA87">
      <w:pPr>
        <w:spacing w:line="309" w:lineRule="auto"/>
        <w:rPr>
          <w:rFonts w:hint="eastAsia" w:ascii="宋体" w:hAnsi="宋体" w:eastAsia="宋体" w:cs="宋体"/>
          <w:color w:val="auto"/>
          <w:sz w:val="24"/>
          <w:szCs w:val="24"/>
          <w:highlight w:val="none"/>
        </w:rPr>
        <w:sectPr>
          <w:footerReference r:id="rId103" w:type="default"/>
          <w:pgSz w:w="11907" w:h="16840"/>
          <w:pgMar w:top="1182" w:right="1289" w:bottom="1014" w:left="1786" w:header="849" w:footer="852" w:gutter="0"/>
          <w:pgNumType w:fmt="decimal"/>
          <w:cols w:space="720" w:num="1"/>
        </w:sectPr>
      </w:pPr>
    </w:p>
    <w:p w14:paraId="5266E0E2">
      <w:pPr>
        <w:pStyle w:val="4"/>
        <w:spacing w:line="301" w:lineRule="auto"/>
        <w:rPr>
          <w:rFonts w:hint="eastAsia" w:ascii="宋体" w:hAnsi="宋体" w:eastAsia="宋体" w:cs="宋体"/>
          <w:color w:val="auto"/>
          <w:highlight w:val="none"/>
        </w:rPr>
      </w:pPr>
    </w:p>
    <w:p w14:paraId="45BB1652">
      <w:pPr>
        <w:spacing w:before="78" w:line="222" w:lineRule="auto"/>
        <w:ind w:left="51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17.2.2预付款保函</w:t>
      </w:r>
    </w:p>
    <w:p w14:paraId="763C29D2">
      <w:pPr>
        <w:spacing w:before="111" w:line="308" w:lineRule="auto"/>
        <w:ind w:left="21" w:firstLine="49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除专用合同条款另有约定外，承包人应在收到</w:t>
      </w:r>
      <w:r>
        <w:rPr>
          <w:rFonts w:hint="eastAsia" w:ascii="宋体" w:hAnsi="宋体" w:eastAsia="宋体" w:cs="宋体"/>
          <w:color w:val="auto"/>
          <w:spacing w:val="-3"/>
          <w:sz w:val="24"/>
          <w:szCs w:val="24"/>
          <w:highlight w:val="none"/>
        </w:rPr>
        <w:t>预付款的同时向发包人提交预付款</w:t>
      </w:r>
      <w:r>
        <w:rPr>
          <w:rFonts w:hint="eastAsia" w:ascii="宋体" w:hAnsi="宋体" w:eastAsia="宋体" w:cs="宋体"/>
          <w:color w:val="auto"/>
          <w:spacing w:val="-2"/>
          <w:sz w:val="24"/>
          <w:szCs w:val="24"/>
          <w:highlight w:val="none"/>
        </w:rPr>
        <w:t>保函，预付款保函的担保金额应与预付款金额相同。保函的担保金额可根据预付款扣回的金额相应递减。</w:t>
      </w:r>
    </w:p>
    <w:p w14:paraId="4E97550F">
      <w:pPr>
        <w:spacing w:line="221" w:lineRule="auto"/>
        <w:ind w:left="45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17.2.3预付款的扣回与还清</w:t>
      </w:r>
    </w:p>
    <w:p w14:paraId="436FA29E">
      <w:pPr>
        <w:spacing w:before="111" w:line="309" w:lineRule="auto"/>
        <w:ind w:left="21"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预付款在进度付款中扣回，扣回办法在专用合同条</w:t>
      </w:r>
      <w:r>
        <w:rPr>
          <w:rFonts w:hint="eastAsia" w:ascii="宋体" w:hAnsi="宋体" w:eastAsia="宋体" w:cs="宋体"/>
          <w:color w:val="auto"/>
          <w:spacing w:val="-1"/>
          <w:sz w:val="24"/>
          <w:szCs w:val="24"/>
          <w:highlight w:val="none"/>
        </w:rPr>
        <w:t>款中约定。在颁发工程接收证</w:t>
      </w:r>
      <w:r>
        <w:rPr>
          <w:rFonts w:hint="eastAsia" w:ascii="宋体" w:hAnsi="宋体" w:eastAsia="宋体" w:cs="宋体"/>
          <w:color w:val="auto"/>
          <w:spacing w:val="-2"/>
          <w:sz w:val="24"/>
          <w:szCs w:val="24"/>
          <w:highlight w:val="none"/>
        </w:rPr>
        <w:t>书前，由于不可抗力或其他原因解除合同时，预付款尚未扣清的，尚未扣清的预付款</w:t>
      </w:r>
      <w:r>
        <w:rPr>
          <w:rFonts w:hint="eastAsia" w:ascii="宋体" w:hAnsi="宋体" w:eastAsia="宋体" w:cs="宋体"/>
          <w:color w:val="auto"/>
          <w:spacing w:val="-1"/>
          <w:sz w:val="24"/>
          <w:szCs w:val="24"/>
          <w:highlight w:val="none"/>
        </w:rPr>
        <w:t>余额应作为承包人的到期应付款。</w:t>
      </w:r>
    </w:p>
    <w:p w14:paraId="0C553534">
      <w:pPr>
        <w:spacing w:before="213" w:line="222" w:lineRule="auto"/>
        <w:ind w:left="3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17.3工程进度付款</w:t>
      </w:r>
    </w:p>
    <w:p w14:paraId="48435587">
      <w:pPr>
        <w:pStyle w:val="4"/>
        <w:spacing w:line="273" w:lineRule="auto"/>
        <w:rPr>
          <w:rFonts w:hint="eastAsia" w:ascii="宋体" w:hAnsi="宋体" w:eastAsia="宋体" w:cs="宋体"/>
          <w:color w:val="auto"/>
          <w:highlight w:val="none"/>
        </w:rPr>
      </w:pPr>
    </w:p>
    <w:p w14:paraId="02197E46">
      <w:pPr>
        <w:spacing w:before="78" w:line="223" w:lineRule="auto"/>
        <w:ind w:left="51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17.3.1付款周期</w:t>
      </w:r>
    </w:p>
    <w:p w14:paraId="1F75260D">
      <w:pPr>
        <w:spacing w:before="112" w:line="219" w:lineRule="auto"/>
        <w:ind w:left="40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付款周期同计量周期。</w:t>
      </w:r>
    </w:p>
    <w:p w14:paraId="14E9F88D">
      <w:pPr>
        <w:spacing w:before="112" w:line="222" w:lineRule="auto"/>
        <w:ind w:left="51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17.3.2进度付款申请单</w:t>
      </w:r>
    </w:p>
    <w:p w14:paraId="026AFCD8">
      <w:pPr>
        <w:spacing w:before="112" w:line="308" w:lineRule="auto"/>
        <w:ind w:left="26" w:firstLine="38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承包人应在每个付款周期末，按监理人批准的</w:t>
      </w:r>
      <w:r>
        <w:rPr>
          <w:rFonts w:hint="eastAsia" w:ascii="宋体" w:hAnsi="宋体" w:eastAsia="宋体" w:cs="宋体"/>
          <w:color w:val="auto"/>
          <w:sz w:val="24"/>
          <w:szCs w:val="24"/>
          <w:highlight w:val="none"/>
        </w:rPr>
        <w:t>格式和专用合同条款约定的份数，</w:t>
      </w:r>
      <w:r>
        <w:rPr>
          <w:rFonts w:hint="eastAsia" w:ascii="宋体" w:hAnsi="宋体" w:eastAsia="宋体" w:cs="宋体"/>
          <w:color w:val="auto"/>
          <w:spacing w:val="-2"/>
          <w:sz w:val="24"/>
          <w:szCs w:val="24"/>
          <w:highlight w:val="none"/>
        </w:rPr>
        <w:t>向监理人提交进度付款申请单，并附相应的支持性证明文件。除专用合同条款</w:t>
      </w:r>
      <w:r>
        <w:rPr>
          <w:rFonts w:hint="eastAsia" w:ascii="宋体" w:hAnsi="宋体" w:eastAsia="宋体" w:cs="宋体"/>
          <w:color w:val="auto"/>
          <w:spacing w:val="-3"/>
          <w:sz w:val="24"/>
          <w:szCs w:val="24"/>
          <w:highlight w:val="none"/>
        </w:rPr>
        <w:t>另有约</w:t>
      </w:r>
      <w:r>
        <w:rPr>
          <w:rFonts w:hint="eastAsia" w:ascii="宋体" w:hAnsi="宋体" w:eastAsia="宋体" w:cs="宋体"/>
          <w:color w:val="auto"/>
          <w:spacing w:val="-1"/>
          <w:sz w:val="24"/>
          <w:szCs w:val="24"/>
          <w:highlight w:val="none"/>
        </w:rPr>
        <w:t>定外，进度付款申请单应包括下列内容：</w:t>
      </w:r>
    </w:p>
    <w:p w14:paraId="21D918C4">
      <w:pPr>
        <w:spacing w:before="1" w:line="217" w:lineRule="auto"/>
        <w:ind w:left="42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（1）截至本次付款周期末已实施工程的价款；</w:t>
      </w:r>
    </w:p>
    <w:p w14:paraId="1121D4F0">
      <w:pPr>
        <w:spacing w:before="118" w:line="219" w:lineRule="auto"/>
        <w:ind w:left="42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（2）根据第15条应增加和扣减的变更金额；</w:t>
      </w:r>
    </w:p>
    <w:p w14:paraId="21CBC22B">
      <w:pPr>
        <w:spacing w:before="114" w:line="219" w:lineRule="auto"/>
        <w:ind w:left="42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（3）根据第23条应增加和扣减的索赔金额；</w:t>
      </w:r>
    </w:p>
    <w:p w14:paraId="026F6B62">
      <w:pPr>
        <w:spacing w:before="116" w:line="219" w:lineRule="auto"/>
        <w:ind w:left="42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（4）根据第17.2款约定应支付的预付款和扣减的返还预付款；</w:t>
      </w:r>
    </w:p>
    <w:p w14:paraId="03CD49E5">
      <w:pPr>
        <w:spacing w:before="116" w:line="219" w:lineRule="auto"/>
        <w:ind w:left="42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（5）根据第17.4.1项约定应扣减的质量保证金；</w:t>
      </w:r>
    </w:p>
    <w:p w14:paraId="13BDC124">
      <w:pPr>
        <w:spacing w:before="114" w:line="219" w:lineRule="auto"/>
        <w:ind w:left="42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（6）根据合同应增加和扣减的其他金额。</w:t>
      </w:r>
    </w:p>
    <w:p w14:paraId="548619C8">
      <w:pPr>
        <w:spacing w:before="115" w:line="222" w:lineRule="auto"/>
        <w:ind w:left="51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17.3.3进度付款证书和支付时间</w:t>
      </w:r>
    </w:p>
    <w:p w14:paraId="1D1A5084">
      <w:pPr>
        <w:spacing w:before="111" w:line="286" w:lineRule="auto"/>
        <w:ind w:left="22" w:firstLine="48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（1）监理人在收到承包人进度付款申请单</w:t>
      </w:r>
      <w:r>
        <w:rPr>
          <w:rFonts w:hint="eastAsia" w:ascii="宋体" w:hAnsi="宋体" w:eastAsia="宋体" w:cs="宋体"/>
          <w:color w:val="auto"/>
          <w:spacing w:val="-4"/>
          <w:sz w:val="24"/>
          <w:szCs w:val="24"/>
          <w:highlight w:val="none"/>
        </w:rPr>
        <w:t>以及相应的支持性证明文件后的14天</w:t>
      </w:r>
      <w:r>
        <w:rPr>
          <w:rFonts w:hint="eastAsia" w:ascii="宋体" w:hAnsi="宋体" w:eastAsia="宋体" w:cs="宋体"/>
          <w:color w:val="auto"/>
          <w:spacing w:val="-2"/>
          <w:sz w:val="24"/>
          <w:szCs w:val="24"/>
          <w:highlight w:val="none"/>
        </w:rPr>
        <w:t>内完成核查，提出发包人到期应支付给承包人的金额以及相应的支持性材料，经发包人审查同意后，由监理人向承包人出具经发包人签认的进度付款证书。监理人有权扣</w:t>
      </w:r>
      <w:r>
        <w:rPr>
          <w:rFonts w:hint="eastAsia" w:ascii="宋体" w:hAnsi="宋体" w:eastAsia="宋体" w:cs="宋体"/>
          <w:color w:val="auto"/>
          <w:spacing w:val="-1"/>
          <w:sz w:val="24"/>
          <w:szCs w:val="24"/>
          <w:highlight w:val="none"/>
        </w:rPr>
        <w:t>发承包人未能按照合同要求履行任何工作或义务的相应金额。</w:t>
      </w:r>
    </w:p>
    <w:p w14:paraId="3043DEC4">
      <w:pPr>
        <w:spacing w:before="112" w:line="264" w:lineRule="auto"/>
        <w:ind w:left="20"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（2）发包人应在监理人收到进度付款申请单后的28</w:t>
      </w:r>
      <w:r>
        <w:rPr>
          <w:rFonts w:hint="eastAsia" w:ascii="宋体" w:hAnsi="宋体" w:eastAsia="宋体" w:cs="宋体"/>
          <w:color w:val="auto"/>
          <w:spacing w:val="-3"/>
          <w:sz w:val="24"/>
          <w:szCs w:val="24"/>
          <w:highlight w:val="none"/>
        </w:rPr>
        <w:t>天内，将进度应付款支付给</w:t>
      </w:r>
      <w:r>
        <w:rPr>
          <w:rFonts w:hint="eastAsia" w:ascii="宋体" w:hAnsi="宋体" w:eastAsia="宋体" w:cs="宋体"/>
          <w:color w:val="auto"/>
          <w:sz w:val="24"/>
          <w:szCs w:val="24"/>
          <w:highlight w:val="none"/>
        </w:rPr>
        <w:t>承包人。发包人不按期支付的，按专用合同条款的约</w:t>
      </w:r>
      <w:r>
        <w:rPr>
          <w:rFonts w:hint="eastAsia" w:ascii="宋体" w:hAnsi="宋体" w:eastAsia="宋体" w:cs="宋体"/>
          <w:color w:val="auto"/>
          <w:spacing w:val="-1"/>
          <w:sz w:val="24"/>
          <w:szCs w:val="24"/>
          <w:highlight w:val="none"/>
        </w:rPr>
        <w:t>定支付逾期付款违约金。</w:t>
      </w:r>
    </w:p>
    <w:p w14:paraId="22634A2C">
      <w:pPr>
        <w:spacing w:before="116" w:line="263" w:lineRule="auto"/>
        <w:ind w:left="22" w:firstLine="48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（3）监理人出具进度付款证书，不应视为监理人已同意、批准或接受了承包人</w:t>
      </w:r>
      <w:r>
        <w:rPr>
          <w:rFonts w:hint="eastAsia" w:ascii="宋体" w:hAnsi="宋体" w:eastAsia="宋体" w:cs="宋体"/>
          <w:color w:val="auto"/>
          <w:spacing w:val="-2"/>
          <w:sz w:val="24"/>
          <w:szCs w:val="24"/>
          <w:highlight w:val="none"/>
        </w:rPr>
        <w:t>完成的该部分工作。</w:t>
      </w:r>
    </w:p>
    <w:p w14:paraId="74E164EF">
      <w:pPr>
        <w:spacing w:before="115" w:line="264" w:lineRule="auto"/>
        <w:ind w:left="21" w:firstLine="490"/>
        <w:rPr>
          <w:rFonts w:hint="eastAsia" w:ascii="宋体" w:hAnsi="宋体" w:eastAsia="宋体" w:cs="宋体"/>
          <w:color w:val="auto"/>
          <w:sz w:val="24"/>
          <w:szCs w:val="24"/>
          <w:highlight w:val="none"/>
        </w:rPr>
        <w:sectPr>
          <w:footerReference r:id="rId104" w:type="default"/>
          <w:pgSz w:w="11907" w:h="16840"/>
          <w:pgMar w:top="1182" w:right="1289" w:bottom="1014" w:left="1786" w:header="849" w:footer="852" w:gutter="0"/>
          <w:pgNumType w:fmt="decimal"/>
          <w:cols w:space="720" w:num="1"/>
        </w:sectPr>
      </w:pPr>
      <w:r>
        <w:rPr>
          <w:rFonts w:hint="eastAsia" w:ascii="宋体" w:hAnsi="宋体" w:eastAsia="宋体" w:cs="宋体"/>
          <w:color w:val="auto"/>
          <w:spacing w:val="1"/>
          <w:sz w:val="24"/>
          <w:szCs w:val="24"/>
          <w:highlight w:val="none"/>
        </w:rPr>
        <w:t>（4）进度付款涉及政府投资资金的，按照国库集中支付等国家相关规定和专用</w:t>
      </w:r>
      <w:r>
        <w:rPr>
          <w:rFonts w:hint="eastAsia" w:ascii="宋体" w:hAnsi="宋体" w:eastAsia="宋体" w:cs="宋体"/>
          <w:color w:val="auto"/>
          <w:spacing w:val="-2"/>
          <w:sz w:val="24"/>
          <w:szCs w:val="24"/>
          <w:highlight w:val="none"/>
        </w:rPr>
        <w:t>合同条款的约定办理。</w:t>
      </w:r>
    </w:p>
    <w:p w14:paraId="75DDD48E">
      <w:pPr>
        <w:spacing w:before="78" w:line="222" w:lineRule="auto"/>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17.3.4工程进度付款的修正</w:t>
      </w:r>
    </w:p>
    <w:p w14:paraId="6B28DAD0">
      <w:pPr>
        <w:spacing w:before="111" w:line="309" w:lineRule="auto"/>
        <w:ind w:left="18" w:right="80" w:firstLine="48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在对以往历次已签发的进度付款证书进行汇总和复核中发现错、漏或重复的，监理人有权予以修正，承包人也有权提出修正申请。经双方复核同意的修正，应在本次</w:t>
      </w:r>
      <w:r>
        <w:rPr>
          <w:rFonts w:hint="eastAsia" w:ascii="宋体" w:hAnsi="宋体" w:eastAsia="宋体" w:cs="宋体"/>
          <w:color w:val="auto"/>
          <w:spacing w:val="-1"/>
          <w:sz w:val="24"/>
          <w:szCs w:val="24"/>
          <w:highlight w:val="none"/>
        </w:rPr>
        <w:t>进度付款中支付或扣除。</w:t>
      </w:r>
    </w:p>
    <w:p w14:paraId="4F60522B">
      <w:pPr>
        <w:spacing w:before="216" w:line="222" w:lineRule="auto"/>
        <w:ind w:left="3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17.4质量保证金</w:t>
      </w:r>
    </w:p>
    <w:p w14:paraId="392CA0ED">
      <w:pPr>
        <w:pStyle w:val="4"/>
        <w:spacing w:line="270" w:lineRule="auto"/>
        <w:rPr>
          <w:rFonts w:hint="eastAsia" w:ascii="宋体" w:hAnsi="宋体" w:eastAsia="宋体" w:cs="宋体"/>
          <w:color w:val="auto"/>
          <w:highlight w:val="none"/>
        </w:rPr>
      </w:pPr>
    </w:p>
    <w:p w14:paraId="1DEC1114">
      <w:pPr>
        <w:spacing w:before="78" w:line="278" w:lineRule="auto"/>
        <w:ind w:left="21" w:firstLine="49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17.4.1监理人应从第一个付款周期开始，在发包人的进度</w:t>
      </w:r>
      <w:r>
        <w:rPr>
          <w:rFonts w:hint="eastAsia" w:ascii="宋体" w:hAnsi="宋体" w:eastAsia="宋体" w:cs="宋体"/>
          <w:color w:val="auto"/>
          <w:spacing w:val="-3"/>
          <w:sz w:val="24"/>
          <w:szCs w:val="24"/>
          <w:highlight w:val="none"/>
        </w:rPr>
        <w:t>付款中，按专用合同条</w:t>
      </w:r>
      <w:r>
        <w:rPr>
          <w:rFonts w:hint="eastAsia" w:ascii="宋体" w:hAnsi="宋体" w:eastAsia="宋体" w:cs="宋体"/>
          <w:color w:val="auto"/>
          <w:spacing w:val="-2"/>
          <w:sz w:val="24"/>
          <w:szCs w:val="24"/>
          <w:highlight w:val="none"/>
        </w:rPr>
        <w:t>款的约定扣留质量保证金，直至扣留的质量保证金总额达到专用合同条款约定的金额</w:t>
      </w:r>
      <w:r>
        <w:rPr>
          <w:rFonts w:hint="eastAsia" w:ascii="宋体" w:hAnsi="宋体" w:eastAsia="宋体" w:cs="宋体"/>
          <w:color w:val="auto"/>
          <w:spacing w:val="-6"/>
          <w:sz w:val="24"/>
          <w:szCs w:val="24"/>
          <w:highlight w:val="none"/>
        </w:rPr>
        <w:t>或比例为止。质量保证金的计算额度不包括预付款的支付、扣回以及价格调整</w:t>
      </w:r>
      <w:r>
        <w:rPr>
          <w:rFonts w:hint="eastAsia" w:ascii="宋体" w:hAnsi="宋体" w:eastAsia="宋体" w:cs="宋体"/>
          <w:color w:val="auto"/>
          <w:spacing w:val="-7"/>
          <w:sz w:val="24"/>
          <w:szCs w:val="24"/>
          <w:highlight w:val="none"/>
        </w:rPr>
        <w:t>的金额。</w:t>
      </w:r>
    </w:p>
    <w:p w14:paraId="1A17B1E4">
      <w:pPr>
        <w:spacing w:before="117" w:line="286" w:lineRule="auto"/>
        <w:ind w:left="20" w:right="80" w:firstLine="498"/>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5"/>
          <w:sz w:val="24"/>
          <w:szCs w:val="24"/>
          <w:highlight w:val="none"/>
        </w:rPr>
        <w:t>17.4.2在第1.1.4.5目约定的缺陷责任期满时，承包人向发包人</w:t>
      </w:r>
      <w:r>
        <w:rPr>
          <w:rFonts w:hint="eastAsia" w:ascii="宋体" w:hAnsi="宋体" w:eastAsia="宋体" w:cs="宋体"/>
          <w:color w:val="auto"/>
          <w:spacing w:val="-6"/>
          <w:sz w:val="24"/>
          <w:szCs w:val="24"/>
          <w:highlight w:val="none"/>
        </w:rPr>
        <w:t>申请到期应返还承</w:t>
      </w:r>
      <w:r>
        <w:rPr>
          <w:rFonts w:hint="eastAsia" w:ascii="宋体" w:hAnsi="宋体" w:eastAsia="宋体" w:cs="宋体"/>
          <w:color w:val="auto"/>
          <w:sz w:val="24"/>
          <w:szCs w:val="24"/>
          <w:highlight w:val="none"/>
        </w:rPr>
        <w:t>包人剩余的质量保证金金额，发包人应在14天内会同承包人按照合同约定的内容核</w:t>
      </w:r>
      <w:r>
        <w:rPr>
          <w:rFonts w:hint="eastAsia" w:ascii="宋体" w:hAnsi="宋体" w:eastAsia="宋体" w:cs="宋体"/>
          <w:color w:val="auto"/>
          <w:spacing w:val="-2"/>
          <w:sz w:val="24"/>
          <w:szCs w:val="24"/>
          <w:highlight w:val="none"/>
        </w:rPr>
        <w:t>实承包人是否完成缺陷责任。如无异议，发包人应当在核实后将剩余保证金返还承包</w:t>
      </w:r>
      <w:r>
        <w:rPr>
          <w:rFonts w:hint="eastAsia" w:ascii="宋体" w:hAnsi="宋体" w:eastAsia="宋体" w:cs="宋体"/>
          <w:color w:val="auto"/>
          <w:spacing w:val="-5"/>
          <w:sz w:val="24"/>
          <w:szCs w:val="24"/>
          <w:highlight w:val="none"/>
        </w:rPr>
        <w:t>人</w:t>
      </w:r>
      <w:r>
        <w:rPr>
          <w:rFonts w:hint="eastAsia" w:ascii="宋体" w:hAnsi="宋体" w:eastAsia="宋体" w:cs="宋体"/>
          <w:color w:val="auto"/>
          <w:spacing w:val="-5"/>
          <w:sz w:val="24"/>
          <w:szCs w:val="24"/>
          <w:highlight w:val="none"/>
          <w:lang w:eastAsia="zh-CN"/>
        </w:rPr>
        <w:t>。</w:t>
      </w:r>
    </w:p>
    <w:p w14:paraId="4496D2C6">
      <w:pPr>
        <w:spacing w:before="111" w:line="264" w:lineRule="auto"/>
        <w:ind w:left="22" w:right="80" w:firstLine="496"/>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17.4.3在第1.1.4.5目约定的缺陷责任期满时，承包人没有完成缺陷责任的，发包</w:t>
      </w:r>
      <w:r>
        <w:rPr>
          <w:rFonts w:hint="eastAsia" w:ascii="宋体" w:hAnsi="宋体" w:eastAsia="宋体" w:cs="宋体"/>
          <w:color w:val="auto"/>
          <w:spacing w:val="5"/>
          <w:sz w:val="24"/>
          <w:szCs w:val="24"/>
          <w:highlight w:val="none"/>
        </w:rPr>
        <w:t>人有权扣留与未履行责任剩余工作所需金额相应的质</w:t>
      </w:r>
      <w:r>
        <w:rPr>
          <w:rFonts w:hint="eastAsia" w:ascii="宋体" w:hAnsi="宋体" w:eastAsia="宋体" w:cs="宋体"/>
          <w:color w:val="auto"/>
          <w:spacing w:val="4"/>
          <w:sz w:val="24"/>
          <w:szCs w:val="24"/>
          <w:highlight w:val="none"/>
        </w:rPr>
        <w:t>量保证金余额，并有权根据第</w:t>
      </w:r>
    </w:p>
    <w:p w14:paraId="5EC40B25">
      <w:pPr>
        <w:spacing w:before="114" w:line="219" w:lineRule="auto"/>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19.3款约定要求延长缺陷责任期，直至完成剩余工作为止。</w:t>
      </w:r>
    </w:p>
    <w:p w14:paraId="474E8497">
      <w:pPr>
        <w:pStyle w:val="4"/>
        <w:spacing w:line="256" w:lineRule="auto"/>
        <w:rPr>
          <w:rFonts w:hint="eastAsia" w:ascii="宋体" w:hAnsi="宋体" w:eastAsia="宋体" w:cs="宋体"/>
          <w:color w:val="auto"/>
          <w:highlight w:val="none"/>
        </w:rPr>
      </w:pPr>
    </w:p>
    <w:p w14:paraId="20F5C916">
      <w:pPr>
        <w:spacing w:before="78" w:line="221" w:lineRule="auto"/>
        <w:ind w:left="3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17.5竣工结算</w:t>
      </w:r>
    </w:p>
    <w:p w14:paraId="75092310">
      <w:pPr>
        <w:pStyle w:val="4"/>
        <w:spacing w:line="271" w:lineRule="auto"/>
        <w:rPr>
          <w:rFonts w:hint="eastAsia" w:ascii="宋体" w:hAnsi="宋体" w:eastAsia="宋体" w:cs="宋体"/>
          <w:color w:val="auto"/>
          <w:highlight w:val="none"/>
        </w:rPr>
      </w:pPr>
    </w:p>
    <w:p w14:paraId="34005FA9">
      <w:pPr>
        <w:spacing w:before="79" w:line="221" w:lineRule="auto"/>
        <w:ind w:left="51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17.5.1竣工付款申请单</w:t>
      </w:r>
    </w:p>
    <w:p w14:paraId="03ACEEBB">
      <w:pPr>
        <w:spacing w:before="112" w:line="286" w:lineRule="auto"/>
        <w:ind w:left="21" w:right="80" w:firstLine="49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（1）工程接收证书颁发后，承包人应按专用合同条款约</w:t>
      </w:r>
      <w:r>
        <w:rPr>
          <w:rFonts w:hint="eastAsia" w:ascii="宋体" w:hAnsi="宋体" w:eastAsia="宋体" w:cs="宋体"/>
          <w:color w:val="auto"/>
          <w:spacing w:val="-3"/>
          <w:sz w:val="24"/>
          <w:szCs w:val="24"/>
          <w:highlight w:val="none"/>
        </w:rPr>
        <w:t>定的份数和期限向监理</w:t>
      </w:r>
      <w:r>
        <w:rPr>
          <w:rFonts w:hint="eastAsia" w:ascii="宋体" w:hAnsi="宋体" w:eastAsia="宋体" w:cs="宋体"/>
          <w:color w:val="auto"/>
          <w:spacing w:val="-2"/>
          <w:sz w:val="24"/>
          <w:szCs w:val="24"/>
          <w:highlight w:val="none"/>
        </w:rPr>
        <w:t>人提交竣工付款申请单，并提供相关证明材料。除专用合同条款另有约定外，竣工付款申请单应包括下列内容：竣工结算合同总价、发包人已支付承包人的工程价款、应</w:t>
      </w:r>
      <w:r>
        <w:rPr>
          <w:rFonts w:hint="eastAsia" w:ascii="宋体" w:hAnsi="宋体" w:eastAsia="宋体" w:cs="宋体"/>
          <w:color w:val="auto"/>
          <w:spacing w:val="-1"/>
          <w:sz w:val="24"/>
          <w:szCs w:val="24"/>
          <w:highlight w:val="none"/>
        </w:rPr>
        <w:t>扣留的质量保证金、应支付的竣工付款金额。</w:t>
      </w:r>
    </w:p>
    <w:p w14:paraId="23A0AE81">
      <w:pPr>
        <w:spacing w:before="115" w:line="263" w:lineRule="auto"/>
        <w:ind w:left="31" w:right="60" w:firstLine="48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（2）监理人对竣工付款申请单有异议的，有权要求承包人进行修正和提供补充</w:t>
      </w:r>
      <w:r>
        <w:rPr>
          <w:rFonts w:hint="eastAsia" w:ascii="宋体" w:hAnsi="宋体" w:eastAsia="宋体" w:cs="宋体"/>
          <w:color w:val="auto"/>
          <w:spacing w:val="-2"/>
          <w:sz w:val="24"/>
          <w:szCs w:val="24"/>
          <w:highlight w:val="none"/>
        </w:rPr>
        <w:t>资料。经监理人和承包人协商后，由承包人向监理人提交修正后的竣工付款申请单。</w:t>
      </w:r>
    </w:p>
    <w:p w14:paraId="57F924B9">
      <w:pPr>
        <w:spacing w:before="115" w:line="221" w:lineRule="auto"/>
        <w:ind w:left="51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17.5.2竣工付款证书及支付时间</w:t>
      </w:r>
    </w:p>
    <w:p w14:paraId="19AB3653">
      <w:pPr>
        <w:spacing w:before="111" w:line="293" w:lineRule="auto"/>
        <w:ind w:left="20" w:right="80" w:firstLine="48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（1）监理人在收到承包人提交的竣工付款申请单后的14天内完</w:t>
      </w:r>
      <w:r>
        <w:rPr>
          <w:rFonts w:hint="eastAsia" w:ascii="宋体" w:hAnsi="宋体" w:eastAsia="宋体" w:cs="宋体"/>
          <w:color w:val="auto"/>
          <w:spacing w:val="-4"/>
          <w:sz w:val="24"/>
          <w:szCs w:val="24"/>
          <w:highlight w:val="none"/>
        </w:rPr>
        <w:t>成核查，提出发</w:t>
      </w:r>
      <w:r>
        <w:rPr>
          <w:rFonts w:hint="eastAsia" w:ascii="宋体" w:hAnsi="宋体" w:eastAsia="宋体" w:cs="宋体"/>
          <w:color w:val="auto"/>
          <w:spacing w:val="2"/>
          <w:sz w:val="24"/>
          <w:szCs w:val="24"/>
          <w:highlight w:val="none"/>
        </w:rPr>
        <w:t>包人到期应支付给承包人的价款送发包人审核并抄送承包人。发包人应在收到后14</w:t>
      </w:r>
      <w:r>
        <w:rPr>
          <w:rFonts w:hint="eastAsia" w:ascii="宋体" w:hAnsi="宋体" w:eastAsia="宋体" w:cs="宋体"/>
          <w:color w:val="auto"/>
          <w:spacing w:val="-2"/>
          <w:sz w:val="24"/>
          <w:szCs w:val="24"/>
          <w:highlight w:val="none"/>
        </w:rPr>
        <w:t>天内审核完毕，由监理人向承包人出具经发包人签认的竣工付款证书。监理人未在约定时间内核查，又未提出具体意见的，视为承包人提交的竣工付款申请单已经监理人核查同意；发包人未在约定时间内审核又未提出具体意见的，监理人提出发包人到期</w:t>
      </w:r>
      <w:r>
        <w:rPr>
          <w:rFonts w:hint="eastAsia" w:ascii="宋体" w:hAnsi="宋体" w:eastAsia="宋体" w:cs="宋体"/>
          <w:color w:val="auto"/>
          <w:spacing w:val="-1"/>
          <w:sz w:val="24"/>
          <w:szCs w:val="24"/>
          <w:highlight w:val="none"/>
        </w:rPr>
        <w:t>应支付给承包人的价款视为已经发包人同意。</w:t>
      </w:r>
    </w:p>
    <w:p w14:paraId="58E63092">
      <w:pPr>
        <w:spacing w:before="117" w:line="263" w:lineRule="auto"/>
        <w:ind w:left="20" w:right="80" w:firstLine="61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（2）发包人应在监理人出具竣工付款证书后的14天内，将应支付款支付给承</w:t>
      </w:r>
      <w:r>
        <w:rPr>
          <w:rFonts w:hint="eastAsia" w:ascii="宋体" w:hAnsi="宋体" w:eastAsia="宋体" w:cs="宋体"/>
          <w:color w:val="auto"/>
          <w:spacing w:val="-4"/>
          <w:sz w:val="24"/>
          <w:szCs w:val="24"/>
          <w:highlight w:val="none"/>
        </w:rPr>
        <w:t>包人。发包人不按期支付的，按第17.3.3（2）目的约定，将逾期付款违约金支付给承</w:t>
      </w:r>
    </w:p>
    <w:p w14:paraId="36080F64">
      <w:pPr>
        <w:spacing w:line="263" w:lineRule="auto"/>
        <w:rPr>
          <w:rFonts w:hint="eastAsia" w:ascii="宋体" w:hAnsi="宋体" w:eastAsia="宋体" w:cs="宋体"/>
          <w:color w:val="auto"/>
          <w:sz w:val="24"/>
          <w:szCs w:val="24"/>
          <w:highlight w:val="none"/>
        </w:rPr>
        <w:sectPr>
          <w:headerReference r:id="rId105" w:type="default"/>
          <w:footerReference r:id="rId106" w:type="default"/>
          <w:pgSz w:w="11907" w:h="16840"/>
          <w:pgMar w:top="1182" w:right="1209" w:bottom="1014" w:left="1786" w:header="849" w:footer="852" w:gutter="0"/>
          <w:pgNumType w:fmt="decimal"/>
          <w:cols w:space="720" w:num="1"/>
        </w:sectPr>
      </w:pPr>
    </w:p>
    <w:p w14:paraId="355A367D">
      <w:pPr>
        <w:pStyle w:val="4"/>
        <w:spacing w:line="301" w:lineRule="auto"/>
        <w:rPr>
          <w:rFonts w:hint="eastAsia" w:ascii="宋体" w:hAnsi="宋体" w:eastAsia="宋体" w:cs="宋体"/>
          <w:color w:val="auto"/>
          <w:highlight w:val="none"/>
        </w:rPr>
      </w:pPr>
    </w:p>
    <w:p w14:paraId="6D3382D9">
      <w:pPr>
        <w:spacing w:before="78" w:line="222" w:lineRule="auto"/>
        <w:ind w:left="2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包人。</w:t>
      </w:r>
    </w:p>
    <w:p w14:paraId="44FF1D12">
      <w:pPr>
        <w:spacing w:before="113" w:line="263" w:lineRule="auto"/>
        <w:ind w:left="18" w:firstLine="61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（3）承包人对发包人签认的竣工付款证书有异议的</w:t>
      </w:r>
      <w:r>
        <w:rPr>
          <w:rFonts w:hint="eastAsia" w:ascii="宋体" w:hAnsi="宋体" w:eastAsia="宋体" w:cs="宋体"/>
          <w:color w:val="auto"/>
          <w:spacing w:val="-3"/>
          <w:sz w:val="24"/>
          <w:szCs w:val="24"/>
          <w:highlight w:val="none"/>
        </w:rPr>
        <w:t>，发包人可出具竣工付款申请单中承包人已同意部分的临时付款证书。存在争议的部分，按第24条的约定办理。</w:t>
      </w:r>
    </w:p>
    <w:p w14:paraId="6DA7BE25">
      <w:pPr>
        <w:spacing w:before="113" w:line="219" w:lineRule="auto"/>
        <w:ind w:left="63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（4）竣工付款涉及政府投资资金的，按第17.3.3（4）目的约定办理。</w:t>
      </w:r>
    </w:p>
    <w:p w14:paraId="09821780">
      <w:pPr>
        <w:pStyle w:val="4"/>
        <w:spacing w:line="257" w:lineRule="auto"/>
        <w:rPr>
          <w:rFonts w:hint="eastAsia" w:ascii="宋体" w:hAnsi="宋体" w:eastAsia="宋体" w:cs="宋体"/>
          <w:color w:val="auto"/>
          <w:highlight w:val="none"/>
        </w:rPr>
      </w:pPr>
    </w:p>
    <w:p w14:paraId="0ED66F8E">
      <w:pPr>
        <w:spacing w:before="78" w:line="223" w:lineRule="auto"/>
        <w:ind w:left="3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17.6最终结清</w:t>
      </w:r>
    </w:p>
    <w:p w14:paraId="2074529F">
      <w:pPr>
        <w:pStyle w:val="4"/>
        <w:spacing w:line="269" w:lineRule="auto"/>
        <w:rPr>
          <w:rFonts w:hint="eastAsia" w:ascii="宋体" w:hAnsi="宋体" w:eastAsia="宋体" w:cs="宋体"/>
          <w:color w:val="auto"/>
          <w:highlight w:val="none"/>
        </w:rPr>
      </w:pPr>
    </w:p>
    <w:p w14:paraId="7DE24028">
      <w:pPr>
        <w:spacing w:before="78" w:line="222" w:lineRule="auto"/>
        <w:ind w:left="51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17.6.1最终结清申请单</w:t>
      </w:r>
    </w:p>
    <w:p w14:paraId="1F220A60">
      <w:pPr>
        <w:spacing w:before="113" w:line="263" w:lineRule="auto"/>
        <w:ind w:left="45" w:right="80" w:firstLine="46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（1）缺陷责任期终止证书签发后，承包人可按专用合同条款约定的份数和期限</w:t>
      </w:r>
      <w:r>
        <w:rPr>
          <w:rFonts w:hint="eastAsia" w:ascii="宋体" w:hAnsi="宋体" w:eastAsia="宋体" w:cs="宋体"/>
          <w:color w:val="auto"/>
          <w:spacing w:val="-2"/>
          <w:sz w:val="24"/>
          <w:szCs w:val="24"/>
          <w:highlight w:val="none"/>
        </w:rPr>
        <w:t>向监理人提交最终结清申请单，并提供相关证明材料。</w:t>
      </w:r>
    </w:p>
    <w:p w14:paraId="1A61CFA2">
      <w:pPr>
        <w:spacing w:before="114" w:line="264" w:lineRule="auto"/>
        <w:ind w:left="20" w:right="80" w:firstLine="49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（2）发包人对最终结清申请单内容有异议的，有权要求承包人进行修正和提供</w:t>
      </w:r>
      <w:r>
        <w:rPr>
          <w:rFonts w:hint="eastAsia" w:ascii="宋体" w:hAnsi="宋体" w:eastAsia="宋体" w:cs="宋体"/>
          <w:color w:val="auto"/>
          <w:spacing w:val="-1"/>
          <w:sz w:val="24"/>
          <w:szCs w:val="24"/>
          <w:highlight w:val="none"/>
        </w:rPr>
        <w:t>补充资料，由承包人向监理人提交修正后的最终结清申请单。</w:t>
      </w:r>
    </w:p>
    <w:p w14:paraId="4B8FE502">
      <w:pPr>
        <w:spacing w:before="116" w:line="223" w:lineRule="auto"/>
        <w:ind w:left="51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17.6.2最终结清证书和支付时间</w:t>
      </w:r>
    </w:p>
    <w:p w14:paraId="6DCA8657">
      <w:pPr>
        <w:spacing w:before="110" w:line="293" w:lineRule="auto"/>
        <w:ind w:left="21" w:right="78" w:firstLine="49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（1）监理人收到承包人提交的最终结清申</w:t>
      </w:r>
      <w:r>
        <w:rPr>
          <w:rFonts w:hint="eastAsia" w:ascii="宋体" w:hAnsi="宋体" w:eastAsia="宋体" w:cs="宋体"/>
          <w:color w:val="auto"/>
          <w:spacing w:val="-4"/>
          <w:sz w:val="24"/>
          <w:szCs w:val="24"/>
          <w:highlight w:val="none"/>
        </w:rPr>
        <w:t>请单后的14天内，提出发包人应支付</w:t>
      </w:r>
      <w:r>
        <w:rPr>
          <w:rFonts w:hint="eastAsia" w:ascii="宋体" w:hAnsi="宋体" w:eastAsia="宋体" w:cs="宋体"/>
          <w:color w:val="auto"/>
          <w:spacing w:val="1"/>
          <w:sz w:val="24"/>
          <w:szCs w:val="24"/>
          <w:highlight w:val="none"/>
        </w:rPr>
        <w:t>给承包人的价款送发包人审核并抄送承包人</w:t>
      </w:r>
      <w:r>
        <w:rPr>
          <w:rFonts w:hint="eastAsia" w:ascii="宋体" w:hAnsi="宋体" w:eastAsia="宋体" w:cs="宋体"/>
          <w:color w:val="auto"/>
          <w:sz w:val="24"/>
          <w:szCs w:val="24"/>
          <w:highlight w:val="none"/>
        </w:rPr>
        <w:t>。发包人应在收到后14天内审核完毕，</w:t>
      </w:r>
      <w:r>
        <w:rPr>
          <w:rFonts w:hint="eastAsia" w:ascii="宋体" w:hAnsi="宋体" w:eastAsia="宋体" w:cs="宋体"/>
          <w:color w:val="auto"/>
          <w:spacing w:val="-2"/>
          <w:sz w:val="24"/>
          <w:szCs w:val="24"/>
          <w:highlight w:val="none"/>
        </w:rPr>
        <w:t>由监理人向承包人出具经发包人签认的最终结清证书。监理人未在约定时间内核查，又未提出具体意见的，视为承包人提交的最终结清申请单已经监理人核查同意；发包人未在约定时间内审核又未提出具体意见的，监理人提出应支付给承包人的价款视为已经发包人同意。</w:t>
      </w:r>
    </w:p>
    <w:p w14:paraId="68D03010">
      <w:pPr>
        <w:spacing w:before="111" w:line="280" w:lineRule="auto"/>
        <w:ind w:left="22" w:right="80" w:firstLine="48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（2）发包人应在监理人出具最终结清证书</w:t>
      </w:r>
      <w:r>
        <w:rPr>
          <w:rFonts w:hint="eastAsia" w:ascii="宋体" w:hAnsi="宋体" w:eastAsia="宋体" w:cs="宋体"/>
          <w:color w:val="auto"/>
          <w:spacing w:val="-4"/>
          <w:sz w:val="24"/>
          <w:szCs w:val="24"/>
          <w:highlight w:val="none"/>
        </w:rPr>
        <w:t>后的14天内，将应支付款支付给承包人。发包人不按期支付的，按第17.3.3（2）目的约定，将逾期付款违约金支付给承包</w:t>
      </w:r>
      <w:r>
        <w:rPr>
          <w:rFonts w:hint="eastAsia" w:ascii="宋体" w:hAnsi="宋体" w:eastAsia="宋体" w:cs="宋体"/>
          <w:color w:val="auto"/>
          <w:spacing w:val="-6"/>
          <w:sz w:val="24"/>
          <w:szCs w:val="24"/>
          <w:highlight w:val="none"/>
        </w:rPr>
        <w:t>人。</w:t>
      </w:r>
    </w:p>
    <w:p w14:paraId="59CC3C9B">
      <w:pPr>
        <w:spacing w:before="109" w:line="219" w:lineRule="auto"/>
        <w:ind w:left="51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（3）承包人对发包人签认的最终结清证书有异议的，按第24条的约定办理。</w:t>
      </w:r>
    </w:p>
    <w:p w14:paraId="5C0FFC32">
      <w:pPr>
        <w:spacing w:before="116" w:line="219" w:lineRule="auto"/>
        <w:ind w:left="51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（4）最终结清付款涉及政府投资资金的，按第17.3.3（4）目的约定办理。</w:t>
      </w:r>
    </w:p>
    <w:p w14:paraId="0287F9A4">
      <w:pPr>
        <w:pStyle w:val="4"/>
        <w:spacing w:line="435" w:lineRule="auto"/>
        <w:rPr>
          <w:rFonts w:hint="eastAsia" w:ascii="宋体" w:hAnsi="宋体" w:eastAsia="宋体" w:cs="宋体"/>
          <w:color w:val="auto"/>
          <w:highlight w:val="none"/>
        </w:rPr>
      </w:pPr>
    </w:p>
    <w:p w14:paraId="3A001978">
      <w:pPr>
        <w:spacing w:before="92" w:line="222" w:lineRule="auto"/>
        <w:ind w:left="44"/>
        <w:outlineLvl w:val="2"/>
        <w:rPr>
          <w:rFonts w:hint="eastAsia" w:ascii="宋体" w:hAnsi="宋体" w:eastAsia="宋体" w:cs="宋体"/>
          <w:color w:val="auto"/>
          <w:sz w:val="28"/>
          <w:szCs w:val="28"/>
          <w:highlight w:val="none"/>
        </w:rPr>
      </w:pPr>
      <w:bookmarkStart w:id="531" w:name="_Toc4299"/>
      <w:bookmarkStart w:id="532" w:name="_Toc24507"/>
      <w:bookmarkStart w:id="533" w:name="_Toc24278"/>
      <w:bookmarkStart w:id="534" w:name="_Toc12348"/>
      <w:bookmarkStart w:id="535" w:name="_Toc31110"/>
      <w:r>
        <w:rPr>
          <w:rFonts w:hint="eastAsia" w:ascii="宋体" w:hAnsi="宋体" w:eastAsia="宋体" w:cs="宋体"/>
          <w:color w:val="auto"/>
          <w:spacing w:val="-4"/>
          <w:sz w:val="28"/>
          <w:szCs w:val="28"/>
          <w:highlight w:val="none"/>
        </w:rPr>
        <w:t>18.竣工验收</w:t>
      </w:r>
      <w:bookmarkEnd w:id="531"/>
      <w:bookmarkEnd w:id="532"/>
      <w:bookmarkEnd w:id="533"/>
      <w:bookmarkEnd w:id="534"/>
      <w:bookmarkEnd w:id="535"/>
    </w:p>
    <w:p w14:paraId="4779A6B8">
      <w:pPr>
        <w:pStyle w:val="4"/>
        <w:spacing w:line="250" w:lineRule="auto"/>
        <w:rPr>
          <w:rFonts w:hint="eastAsia" w:ascii="宋体" w:hAnsi="宋体" w:eastAsia="宋体" w:cs="宋体"/>
          <w:color w:val="auto"/>
          <w:highlight w:val="none"/>
        </w:rPr>
      </w:pPr>
    </w:p>
    <w:p w14:paraId="6460F1BC">
      <w:pPr>
        <w:spacing w:before="79" w:line="221" w:lineRule="auto"/>
        <w:ind w:left="3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18.1竣工验收的含义</w:t>
      </w:r>
    </w:p>
    <w:p w14:paraId="1662F068">
      <w:pPr>
        <w:pStyle w:val="4"/>
        <w:spacing w:line="271" w:lineRule="auto"/>
        <w:rPr>
          <w:rFonts w:hint="eastAsia" w:ascii="宋体" w:hAnsi="宋体" w:eastAsia="宋体" w:cs="宋体"/>
          <w:color w:val="auto"/>
          <w:highlight w:val="none"/>
        </w:rPr>
      </w:pPr>
    </w:p>
    <w:p w14:paraId="3B35BE64">
      <w:pPr>
        <w:spacing w:before="78" w:line="264" w:lineRule="auto"/>
        <w:ind w:left="29" w:right="80" w:firstLine="49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18.1.1竣工验收指承包人完成了全部合同工作后，发包人按合同</w:t>
      </w:r>
      <w:r>
        <w:rPr>
          <w:rFonts w:hint="eastAsia" w:ascii="宋体" w:hAnsi="宋体" w:eastAsia="宋体" w:cs="宋体"/>
          <w:color w:val="auto"/>
          <w:spacing w:val="3"/>
          <w:sz w:val="24"/>
          <w:szCs w:val="24"/>
          <w:highlight w:val="none"/>
        </w:rPr>
        <w:t>要求进行的验</w:t>
      </w:r>
      <w:r>
        <w:rPr>
          <w:rFonts w:hint="eastAsia" w:ascii="宋体" w:hAnsi="宋体" w:eastAsia="宋体" w:cs="宋体"/>
          <w:color w:val="auto"/>
          <w:spacing w:val="-9"/>
          <w:sz w:val="24"/>
          <w:szCs w:val="24"/>
          <w:highlight w:val="none"/>
        </w:rPr>
        <w:t>收。</w:t>
      </w:r>
    </w:p>
    <w:p w14:paraId="50510A71">
      <w:pPr>
        <w:spacing w:before="115" w:line="263" w:lineRule="auto"/>
        <w:ind w:left="20" w:right="80" w:firstLine="498"/>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18.1.2国家验收是政府有关部门根据法律、规范、规程和政策</w:t>
      </w:r>
      <w:r>
        <w:rPr>
          <w:rFonts w:hint="eastAsia" w:ascii="宋体" w:hAnsi="宋体" w:eastAsia="宋体" w:cs="宋体"/>
          <w:color w:val="auto"/>
          <w:spacing w:val="-4"/>
          <w:sz w:val="24"/>
          <w:szCs w:val="24"/>
          <w:highlight w:val="none"/>
        </w:rPr>
        <w:t>要求，针对发包人</w:t>
      </w:r>
      <w:r>
        <w:rPr>
          <w:rFonts w:hint="eastAsia" w:ascii="宋体" w:hAnsi="宋体" w:eastAsia="宋体" w:cs="宋体"/>
          <w:color w:val="auto"/>
          <w:spacing w:val="-1"/>
          <w:sz w:val="24"/>
          <w:szCs w:val="24"/>
          <w:highlight w:val="none"/>
        </w:rPr>
        <w:t>全面组织实施的整个工程正式交付投运前的验收。</w:t>
      </w:r>
    </w:p>
    <w:p w14:paraId="50487D23">
      <w:pPr>
        <w:spacing w:before="116" w:line="278" w:lineRule="auto"/>
        <w:ind w:left="23" w:right="80" w:firstLine="49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18.1.3需要进行国家验收的，竣工验收是国家验收的一部</w:t>
      </w:r>
      <w:r>
        <w:rPr>
          <w:rFonts w:hint="eastAsia" w:ascii="宋体" w:hAnsi="宋体" w:eastAsia="宋体" w:cs="宋体"/>
          <w:color w:val="auto"/>
          <w:spacing w:val="-3"/>
          <w:sz w:val="24"/>
          <w:szCs w:val="24"/>
          <w:highlight w:val="none"/>
        </w:rPr>
        <w:t>分。竣工验收所采用的</w:t>
      </w:r>
      <w:r>
        <w:rPr>
          <w:rFonts w:hint="eastAsia" w:ascii="宋体" w:hAnsi="宋体" w:eastAsia="宋体" w:cs="宋体"/>
          <w:color w:val="auto"/>
          <w:spacing w:val="-2"/>
          <w:sz w:val="24"/>
          <w:szCs w:val="24"/>
          <w:highlight w:val="none"/>
        </w:rPr>
        <w:t>各项验收和评定标准应符合国家验收标准。发包人和承包人为竣工验收提供的各项竣</w:t>
      </w:r>
      <w:r>
        <w:rPr>
          <w:rFonts w:hint="eastAsia" w:ascii="宋体" w:hAnsi="宋体" w:eastAsia="宋体" w:cs="宋体"/>
          <w:color w:val="auto"/>
          <w:spacing w:val="-1"/>
          <w:sz w:val="24"/>
          <w:szCs w:val="24"/>
          <w:highlight w:val="none"/>
        </w:rPr>
        <w:t>工验收资料应符合国家验收的要求。</w:t>
      </w:r>
    </w:p>
    <w:p w14:paraId="05609B87">
      <w:pPr>
        <w:spacing w:line="278" w:lineRule="auto"/>
        <w:rPr>
          <w:rFonts w:hint="eastAsia" w:ascii="宋体" w:hAnsi="宋体" w:eastAsia="宋体" w:cs="宋体"/>
          <w:color w:val="auto"/>
          <w:sz w:val="24"/>
          <w:szCs w:val="24"/>
          <w:highlight w:val="none"/>
        </w:rPr>
        <w:sectPr>
          <w:footerReference r:id="rId107" w:type="default"/>
          <w:pgSz w:w="11907" w:h="16840"/>
          <w:pgMar w:top="1182" w:right="1209" w:bottom="1014" w:left="1786" w:header="849" w:footer="852" w:gutter="0"/>
          <w:pgNumType w:fmt="decimal"/>
          <w:cols w:space="720" w:num="1"/>
        </w:sectPr>
      </w:pPr>
    </w:p>
    <w:p w14:paraId="7A9F88AD">
      <w:pPr>
        <w:pStyle w:val="4"/>
        <w:spacing w:line="282" w:lineRule="auto"/>
        <w:rPr>
          <w:rFonts w:hint="eastAsia" w:ascii="宋体" w:hAnsi="宋体" w:eastAsia="宋体" w:cs="宋体"/>
          <w:color w:val="auto"/>
          <w:highlight w:val="none"/>
        </w:rPr>
      </w:pPr>
    </w:p>
    <w:p w14:paraId="699B0129">
      <w:pPr>
        <w:spacing w:before="78" w:line="221" w:lineRule="auto"/>
        <w:ind w:left="3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18.2竣工验收申请报告</w:t>
      </w:r>
    </w:p>
    <w:p w14:paraId="7D1889FF">
      <w:pPr>
        <w:pStyle w:val="4"/>
        <w:spacing w:line="273" w:lineRule="auto"/>
        <w:rPr>
          <w:rFonts w:hint="eastAsia" w:ascii="宋体" w:hAnsi="宋体" w:eastAsia="宋体" w:cs="宋体"/>
          <w:color w:val="auto"/>
          <w:highlight w:val="none"/>
        </w:rPr>
      </w:pPr>
    </w:p>
    <w:p w14:paraId="1CFE5873">
      <w:pPr>
        <w:spacing w:before="78" w:line="218" w:lineRule="auto"/>
        <w:ind w:left="51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当工程具备以下条件时，承包人即可向监理人报送竣工验收申请报告：</w:t>
      </w:r>
    </w:p>
    <w:p w14:paraId="312A33BE">
      <w:pPr>
        <w:spacing w:before="113" w:line="279" w:lineRule="auto"/>
        <w:ind w:left="19" w:right="80" w:firstLine="49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（1）除监理人同意列入缺陷责任期内完成的尾工（甩项）工程和缺陷修补工作</w:t>
      </w:r>
      <w:r>
        <w:rPr>
          <w:rFonts w:hint="eastAsia" w:ascii="宋体" w:hAnsi="宋体" w:eastAsia="宋体" w:cs="宋体"/>
          <w:color w:val="auto"/>
          <w:spacing w:val="-2"/>
          <w:sz w:val="24"/>
          <w:szCs w:val="24"/>
          <w:highlight w:val="none"/>
        </w:rPr>
        <w:t>外，合同范围内的全部单位工程以及有关工作，包括合同要求的试验、试运行以及检</w:t>
      </w:r>
      <w:r>
        <w:rPr>
          <w:rFonts w:hint="eastAsia" w:ascii="宋体" w:hAnsi="宋体" w:eastAsia="宋体" w:cs="宋体"/>
          <w:color w:val="auto"/>
          <w:spacing w:val="-1"/>
          <w:sz w:val="24"/>
          <w:szCs w:val="24"/>
          <w:highlight w:val="none"/>
        </w:rPr>
        <w:t>验和验收均已完成，并符合合同要求；</w:t>
      </w:r>
    </w:p>
    <w:p w14:paraId="590547CA">
      <w:pPr>
        <w:spacing w:before="113" w:line="219" w:lineRule="auto"/>
        <w:ind w:left="51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（2）已按合同约定的内容和份数备齐了符合要求的竣工资料；</w:t>
      </w:r>
    </w:p>
    <w:p w14:paraId="3942B031">
      <w:pPr>
        <w:spacing w:before="115" w:line="264" w:lineRule="auto"/>
        <w:ind w:left="20" w:right="80" w:firstLine="49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（3）已按监理人的要求编制了在缺陷责任期内完成的尾工（甩项）工程和缺陷</w:t>
      </w:r>
      <w:r>
        <w:rPr>
          <w:rFonts w:hint="eastAsia" w:ascii="宋体" w:hAnsi="宋体" w:eastAsia="宋体" w:cs="宋体"/>
          <w:color w:val="auto"/>
          <w:spacing w:val="-1"/>
          <w:sz w:val="24"/>
          <w:szCs w:val="24"/>
          <w:highlight w:val="none"/>
        </w:rPr>
        <w:t>修补工作清单以及相应施工计划；</w:t>
      </w:r>
    </w:p>
    <w:p w14:paraId="6D64383E">
      <w:pPr>
        <w:spacing w:before="114" w:line="219" w:lineRule="auto"/>
        <w:ind w:left="51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（4）监理人要求在竣工验收前应完成的其他工作；</w:t>
      </w:r>
    </w:p>
    <w:p w14:paraId="5CA0E9F8">
      <w:pPr>
        <w:spacing w:before="116" w:line="219" w:lineRule="auto"/>
        <w:ind w:left="51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（5）监理人要求提交的竣工验收资料清单。</w:t>
      </w:r>
    </w:p>
    <w:p w14:paraId="1A6BB3CF">
      <w:pPr>
        <w:pStyle w:val="4"/>
        <w:spacing w:line="253" w:lineRule="auto"/>
        <w:rPr>
          <w:rFonts w:hint="eastAsia" w:ascii="宋体" w:hAnsi="宋体" w:eastAsia="宋体" w:cs="宋体"/>
          <w:color w:val="auto"/>
          <w:highlight w:val="none"/>
        </w:rPr>
      </w:pPr>
    </w:p>
    <w:p w14:paraId="7374A540">
      <w:pPr>
        <w:spacing w:before="79" w:line="222" w:lineRule="auto"/>
        <w:ind w:left="3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18.3验收</w:t>
      </w:r>
    </w:p>
    <w:p w14:paraId="6D0DA6FE">
      <w:pPr>
        <w:pStyle w:val="4"/>
        <w:spacing w:line="274" w:lineRule="auto"/>
        <w:rPr>
          <w:rFonts w:hint="eastAsia" w:ascii="宋体" w:hAnsi="宋体" w:eastAsia="宋体" w:cs="宋体"/>
          <w:color w:val="auto"/>
          <w:highlight w:val="none"/>
        </w:rPr>
      </w:pPr>
    </w:p>
    <w:p w14:paraId="034C1F5B">
      <w:pPr>
        <w:spacing w:before="78" w:line="307" w:lineRule="auto"/>
        <w:ind w:left="40" w:right="80" w:firstLine="461"/>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监理人收到承包人按第18.2款约定提交的竣工验收申请报告后</w:t>
      </w:r>
      <w:r>
        <w:rPr>
          <w:rFonts w:hint="eastAsia" w:ascii="宋体" w:hAnsi="宋体" w:eastAsia="宋体" w:cs="宋体"/>
          <w:color w:val="auto"/>
          <w:spacing w:val="-5"/>
          <w:sz w:val="24"/>
          <w:szCs w:val="24"/>
          <w:highlight w:val="none"/>
        </w:rPr>
        <w:t>，应审查申请报告</w:t>
      </w:r>
      <w:r>
        <w:rPr>
          <w:rFonts w:hint="eastAsia" w:ascii="宋体" w:hAnsi="宋体" w:eastAsia="宋体" w:cs="宋体"/>
          <w:color w:val="auto"/>
          <w:spacing w:val="-2"/>
          <w:sz w:val="24"/>
          <w:szCs w:val="24"/>
          <w:highlight w:val="none"/>
        </w:rPr>
        <w:t>的各项内容，并按以下不同情况进行处理。</w:t>
      </w:r>
    </w:p>
    <w:p w14:paraId="2667BB7E">
      <w:pPr>
        <w:spacing w:before="5" w:line="285" w:lineRule="auto"/>
        <w:ind w:left="22" w:right="80" w:firstLine="496"/>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18.3.1监理人审查后认为尚不具备竣工验收条件的，应在</w:t>
      </w:r>
      <w:r>
        <w:rPr>
          <w:rFonts w:hint="eastAsia" w:ascii="宋体" w:hAnsi="宋体" w:eastAsia="宋体" w:cs="宋体"/>
          <w:color w:val="auto"/>
          <w:spacing w:val="-3"/>
          <w:sz w:val="24"/>
          <w:szCs w:val="24"/>
          <w:highlight w:val="none"/>
        </w:rPr>
        <w:t>收到竣工验收申请报告</w:t>
      </w:r>
      <w:r>
        <w:rPr>
          <w:rFonts w:hint="eastAsia" w:ascii="宋体" w:hAnsi="宋体" w:eastAsia="宋体" w:cs="宋体"/>
          <w:color w:val="auto"/>
          <w:spacing w:val="1"/>
          <w:sz w:val="24"/>
          <w:szCs w:val="24"/>
          <w:highlight w:val="none"/>
        </w:rPr>
        <w:t>后的28天内通知承包人，指出在颁发接收证书前承包人</w:t>
      </w:r>
      <w:r>
        <w:rPr>
          <w:rFonts w:hint="eastAsia" w:ascii="宋体" w:hAnsi="宋体" w:eastAsia="宋体" w:cs="宋体"/>
          <w:color w:val="auto"/>
          <w:sz w:val="24"/>
          <w:szCs w:val="24"/>
          <w:highlight w:val="none"/>
        </w:rPr>
        <w:t>还需进行的工作内容。承包</w:t>
      </w:r>
      <w:r>
        <w:rPr>
          <w:rFonts w:hint="eastAsia" w:ascii="宋体" w:hAnsi="宋体" w:eastAsia="宋体" w:cs="宋体"/>
          <w:color w:val="auto"/>
          <w:spacing w:val="-2"/>
          <w:sz w:val="24"/>
          <w:szCs w:val="24"/>
          <w:highlight w:val="none"/>
        </w:rPr>
        <w:t>人完成监理人通知的全部工作内容后，应再次提交竣工验收申请报告，直至监理人同</w:t>
      </w:r>
      <w:r>
        <w:rPr>
          <w:rFonts w:hint="eastAsia" w:ascii="宋体" w:hAnsi="宋体" w:eastAsia="宋体" w:cs="宋体"/>
          <w:color w:val="auto"/>
          <w:spacing w:val="-3"/>
          <w:sz w:val="24"/>
          <w:szCs w:val="24"/>
          <w:highlight w:val="none"/>
        </w:rPr>
        <w:t>意为止。</w:t>
      </w:r>
    </w:p>
    <w:p w14:paraId="1046471E">
      <w:pPr>
        <w:spacing w:before="114" w:line="264" w:lineRule="auto"/>
        <w:ind w:left="40" w:right="80" w:firstLine="47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18.3.2监理人审查后认为已具备竣工验收条件的，应在收</w:t>
      </w:r>
      <w:r>
        <w:rPr>
          <w:rFonts w:hint="eastAsia" w:ascii="宋体" w:hAnsi="宋体" w:eastAsia="宋体" w:cs="宋体"/>
          <w:color w:val="auto"/>
          <w:spacing w:val="-3"/>
          <w:sz w:val="24"/>
          <w:szCs w:val="24"/>
          <w:highlight w:val="none"/>
        </w:rPr>
        <w:t>到竣工验收申请报告后</w:t>
      </w:r>
      <w:r>
        <w:rPr>
          <w:rFonts w:hint="eastAsia" w:ascii="宋体" w:hAnsi="宋体" w:eastAsia="宋体" w:cs="宋体"/>
          <w:color w:val="auto"/>
          <w:spacing w:val="-2"/>
          <w:sz w:val="24"/>
          <w:szCs w:val="24"/>
          <w:highlight w:val="none"/>
        </w:rPr>
        <w:t>的28天内提请发包人进行工程验收。</w:t>
      </w:r>
    </w:p>
    <w:p w14:paraId="55B6B2EC">
      <w:pPr>
        <w:spacing w:before="113" w:line="290" w:lineRule="auto"/>
        <w:ind w:left="23" w:right="80" w:firstLine="49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18.3.3发包人经过验收后同意接收工程的，应在监理人收到竣工验收申请报告后</w:t>
      </w:r>
      <w:r>
        <w:rPr>
          <w:rFonts w:hint="eastAsia" w:ascii="宋体" w:hAnsi="宋体" w:eastAsia="宋体" w:cs="宋体"/>
          <w:color w:val="auto"/>
          <w:sz w:val="24"/>
          <w:szCs w:val="24"/>
          <w:highlight w:val="none"/>
        </w:rPr>
        <w:t>的56天内，由监理人向承包人出具经发包人签认的工程接收证书。发包人验收后同</w:t>
      </w:r>
      <w:r>
        <w:rPr>
          <w:rFonts w:hint="eastAsia" w:ascii="宋体" w:hAnsi="宋体" w:eastAsia="宋体" w:cs="宋体"/>
          <w:color w:val="auto"/>
          <w:spacing w:val="-2"/>
          <w:sz w:val="24"/>
          <w:szCs w:val="24"/>
          <w:highlight w:val="none"/>
        </w:rPr>
        <w:t>意接收工程但提出整修和完善要求的，限期修好，并缓发工程接收证书。整修和完善工作完成后，监理人复查达到要求的，经发包人同意后，再向承包人出具工程接收证</w:t>
      </w:r>
      <w:r>
        <w:rPr>
          <w:rFonts w:hint="eastAsia" w:ascii="宋体" w:hAnsi="宋体" w:eastAsia="宋体" w:cs="宋体"/>
          <w:color w:val="auto"/>
          <w:spacing w:val="-7"/>
          <w:sz w:val="24"/>
          <w:szCs w:val="24"/>
          <w:highlight w:val="none"/>
        </w:rPr>
        <w:t>书。</w:t>
      </w:r>
    </w:p>
    <w:p w14:paraId="1D817150">
      <w:pPr>
        <w:spacing w:before="114" w:line="286" w:lineRule="auto"/>
        <w:ind w:left="20" w:firstLine="498"/>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18.3.4发包人验收后不同意接收工程的，监理人应按照发</w:t>
      </w:r>
      <w:r>
        <w:rPr>
          <w:rFonts w:hint="eastAsia" w:ascii="宋体" w:hAnsi="宋体" w:eastAsia="宋体" w:cs="宋体"/>
          <w:color w:val="auto"/>
          <w:spacing w:val="-3"/>
          <w:sz w:val="24"/>
          <w:szCs w:val="24"/>
          <w:highlight w:val="none"/>
        </w:rPr>
        <w:t>包人的验收意见发出指</w:t>
      </w:r>
      <w:r>
        <w:rPr>
          <w:rFonts w:hint="eastAsia" w:ascii="宋体" w:hAnsi="宋体" w:eastAsia="宋体" w:cs="宋体"/>
          <w:color w:val="auto"/>
          <w:spacing w:val="-6"/>
          <w:sz w:val="24"/>
          <w:szCs w:val="24"/>
          <w:highlight w:val="none"/>
        </w:rPr>
        <w:t>示，要求承包人对不合格工程认真返工重作或进行补救处理，并承担由此产生的</w:t>
      </w:r>
      <w:r>
        <w:rPr>
          <w:rFonts w:hint="eastAsia" w:ascii="宋体" w:hAnsi="宋体" w:eastAsia="宋体" w:cs="宋体"/>
          <w:color w:val="auto"/>
          <w:spacing w:val="-7"/>
          <w:sz w:val="24"/>
          <w:szCs w:val="24"/>
          <w:highlight w:val="none"/>
        </w:rPr>
        <w:t>费用。</w:t>
      </w:r>
      <w:r>
        <w:rPr>
          <w:rFonts w:hint="eastAsia" w:ascii="宋体" w:hAnsi="宋体" w:eastAsia="宋体" w:cs="宋体"/>
          <w:color w:val="auto"/>
          <w:sz w:val="24"/>
          <w:szCs w:val="24"/>
          <w:highlight w:val="none"/>
        </w:rPr>
        <w:t>承包人在完成不合格工程的返工重作或补救工作后，应重新提交竣工验收申请报告，</w:t>
      </w:r>
      <w:r>
        <w:rPr>
          <w:rFonts w:hint="eastAsia" w:ascii="宋体" w:hAnsi="宋体" w:eastAsia="宋体" w:cs="宋体"/>
          <w:color w:val="auto"/>
          <w:spacing w:val="-3"/>
          <w:sz w:val="24"/>
          <w:szCs w:val="24"/>
          <w:highlight w:val="none"/>
        </w:rPr>
        <w:t>按第18.3.1项、第18.3.2项和第18.3.3项的约定进行。</w:t>
      </w:r>
    </w:p>
    <w:p w14:paraId="51E89D81">
      <w:pPr>
        <w:spacing w:before="114" w:line="263" w:lineRule="auto"/>
        <w:ind w:left="23" w:right="80" w:firstLine="49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18.3.5除专用合同条款另有约定外，经验收合格工程的实</w:t>
      </w:r>
      <w:r>
        <w:rPr>
          <w:rFonts w:hint="eastAsia" w:ascii="宋体" w:hAnsi="宋体" w:eastAsia="宋体" w:cs="宋体"/>
          <w:color w:val="auto"/>
          <w:spacing w:val="-3"/>
          <w:sz w:val="24"/>
          <w:szCs w:val="24"/>
          <w:highlight w:val="none"/>
        </w:rPr>
        <w:t>际竣工日期，以提交竣</w:t>
      </w:r>
      <w:r>
        <w:rPr>
          <w:rFonts w:hint="eastAsia" w:ascii="宋体" w:hAnsi="宋体" w:eastAsia="宋体" w:cs="宋体"/>
          <w:color w:val="auto"/>
          <w:spacing w:val="-1"/>
          <w:sz w:val="24"/>
          <w:szCs w:val="24"/>
          <w:highlight w:val="none"/>
        </w:rPr>
        <w:t>工验收申请报告的日期为准，并在工程接收证书中写明。</w:t>
      </w:r>
    </w:p>
    <w:p w14:paraId="1BB87138">
      <w:pPr>
        <w:spacing w:before="118" w:line="278" w:lineRule="auto"/>
        <w:ind w:left="21" w:right="80" w:firstLine="4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18.3.6发包人在收到承包人竣工验收申请报告56天后未进行验收的，视为验收</w:t>
      </w:r>
      <w:r>
        <w:rPr>
          <w:rFonts w:hint="eastAsia" w:ascii="宋体" w:hAnsi="宋体" w:eastAsia="宋体" w:cs="宋体"/>
          <w:color w:val="auto"/>
          <w:spacing w:val="-2"/>
          <w:sz w:val="24"/>
          <w:szCs w:val="24"/>
          <w:highlight w:val="none"/>
        </w:rPr>
        <w:t>合格，实际竣工日期以提交竣工验收申请报告的日期为准，但发包人由于不可抗力不能进行验收的除外。</w:t>
      </w:r>
    </w:p>
    <w:p w14:paraId="680CC59F">
      <w:pPr>
        <w:spacing w:line="278" w:lineRule="auto"/>
        <w:rPr>
          <w:rFonts w:hint="eastAsia" w:ascii="宋体" w:hAnsi="宋体" w:eastAsia="宋体" w:cs="宋体"/>
          <w:color w:val="auto"/>
          <w:sz w:val="24"/>
          <w:szCs w:val="24"/>
          <w:highlight w:val="none"/>
        </w:rPr>
        <w:sectPr>
          <w:footerReference r:id="rId108" w:type="default"/>
          <w:pgSz w:w="11907" w:h="16840"/>
          <w:pgMar w:top="1182" w:right="1209" w:bottom="1014" w:left="1786" w:header="849" w:footer="852" w:gutter="0"/>
          <w:pgNumType w:fmt="decimal"/>
          <w:cols w:space="720" w:num="1"/>
        </w:sectPr>
      </w:pPr>
    </w:p>
    <w:p w14:paraId="0E5574BA">
      <w:pPr>
        <w:pStyle w:val="4"/>
        <w:spacing w:line="281" w:lineRule="auto"/>
        <w:rPr>
          <w:rFonts w:hint="eastAsia" w:ascii="宋体" w:hAnsi="宋体" w:eastAsia="宋体" w:cs="宋体"/>
          <w:color w:val="auto"/>
          <w:highlight w:val="none"/>
        </w:rPr>
      </w:pPr>
    </w:p>
    <w:p w14:paraId="23007DB9">
      <w:pPr>
        <w:spacing w:before="78" w:line="222" w:lineRule="auto"/>
        <w:ind w:left="39"/>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18.4单位工程验收</w:t>
      </w:r>
    </w:p>
    <w:p w14:paraId="63B36F2F">
      <w:pPr>
        <w:pStyle w:val="4"/>
        <w:spacing w:line="276" w:lineRule="auto"/>
        <w:rPr>
          <w:rFonts w:hint="eastAsia" w:ascii="宋体" w:hAnsi="宋体" w:eastAsia="宋体" w:cs="宋体"/>
          <w:color w:val="auto"/>
          <w:highlight w:val="none"/>
        </w:rPr>
      </w:pPr>
    </w:p>
    <w:p w14:paraId="4AFC3003">
      <w:pPr>
        <w:spacing w:before="78" w:line="289" w:lineRule="auto"/>
        <w:ind w:left="20" w:right="61" w:firstLine="49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18.4.1发包人根据合同进度计划安排，在全部工程竣工前需要使用已经竣工的单</w:t>
      </w:r>
      <w:r>
        <w:rPr>
          <w:rFonts w:hint="eastAsia" w:ascii="宋体" w:hAnsi="宋体" w:eastAsia="宋体" w:cs="宋体"/>
          <w:color w:val="auto"/>
          <w:spacing w:val="-2"/>
          <w:sz w:val="24"/>
          <w:szCs w:val="24"/>
          <w:highlight w:val="none"/>
        </w:rPr>
        <w:t>位工程时，或承包人提出经发包人同意时，可进行单位工程验收。验收的程序可参照</w:t>
      </w:r>
      <w:r>
        <w:rPr>
          <w:rFonts w:hint="eastAsia" w:ascii="宋体" w:hAnsi="宋体" w:eastAsia="宋体" w:cs="宋体"/>
          <w:color w:val="auto"/>
          <w:sz w:val="24"/>
          <w:szCs w:val="24"/>
          <w:highlight w:val="none"/>
        </w:rPr>
        <w:t>第18.2款与第18.3款的约定进行。验收合格后，由监理人向</w:t>
      </w:r>
      <w:r>
        <w:rPr>
          <w:rFonts w:hint="eastAsia" w:ascii="宋体" w:hAnsi="宋体" w:eastAsia="宋体" w:cs="宋体"/>
          <w:color w:val="auto"/>
          <w:spacing w:val="-1"/>
          <w:sz w:val="24"/>
          <w:szCs w:val="24"/>
          <w:highlight w:val="none"/>
        </w:rPr>
        <w:t>承包人出具经发包人签</w:t>
      </w:r>
      <w:r>
        <w:rPr>
          <w:rFonts w:hint="eastAsia" w:ascii="宋体" w:hAnsi="宋体" w:eastAsia="宋体" w:cs="宋体"/>
          <w:color w:val="auto"/>
          <w:spacing w:val="-2"/>
          <w:sz w:val="24"/>
          <w:szCs w:val="24"/>
          <w:highlight w:val="none"/>
        </w:rPr>
        <w:t>认的单位工程验收证书。已签发单位工程接收证书的单位工程由发包人负责照管。单</w:t>
      </w:r>
      <w:r>
        <w:rPr>
          <w:rFonts w:hint="eastAsia" w:ascii="宋体" w:hAnsi="宋体" w:eastAsia="宋体" w:cs="宋体"/>
          <w:color w:val="auto"/>
          <w:spacing w:val="-1"/>
          <w:sz w:val="24"/>
          <w:szCs w:val="24"/>
          <w:highlight w:val="none"/>
        </w:rPr>
        <w:t>位工程的验收成果和结论作为全部工程竣工验收申请报告的附件。</w:t>
      </w:r>
    </w:p>
    <w:p w14:paraId="5E28DA09">
      <w:pPr>
        <w:spacing w:before="117" w:line="264" w:lineRule="auto"/>
        <w:ind w:left="24" w:firstLine="494"/>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18.4.2发包人在全部工程竣工前，使用已接收的单位工程导致承包人费用增加的，</w:t>
      </w:r>
      <w:r>
        <w:rPr>
          <w:rFonts w:hint="eastAsia" w:ascii="宋体" w:hAnsi="宋体" w:eastAsia="宋体" w:cs="宋体"/>
          <w:color w:val="auto"/>
          <w:spacing w:val="-1"/>
          <w:sz w:val="24"/>
          <w:szCs w:val="24"/>
          <w:highlight w:val="none"/>
        </w:rPr>
        <w:t>发包人应承担由此增加的费用和（或）工期延误，并支付承包人合理利润。</w:t>
      </w:r>
    </w:p>
    <w:p w14:paraId="5C2ED9D6">
      <w:pPr>
        <w:pStyle w:val="4"/>
        <w:spacing w:line="253" w:lineRule="auto"/>
        <w:rPr>
          <w:rFonts w:hint="eastAsia" w:ascii="宋体" w:hAnsi="宋体" w:eastAsia="宋体" w:cs="宋体"/>
          <w:color w:val="auto"/>
          <w:highlight w:val="none"/>
        </w:rPr>
      </w:pPr>
    </w:p>
    <w:p w14:paraId="140CF27A">
      <w:pPr>
        <w:spacing w:before="78" w:line="222" w:lineRule="auto"/>
        <w:ind w:left="3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18.5施工期运行</w:t>
      </w:r>
    </w:p>
    <w:p w14:paraId="03A0EC05">
      <w:pPr>
        <w:pStyle w:val="4"/>
        <w:spacing w:line="271" w:lineRule="auto"/>
        <w:rPr>
          <w:rFonts w:hint="eastAsia" w:ascii="宋体" w:hAnsi="宋体" w:eastAsia="宋体" w:cs="宋体"/>
          <w:color w:val="auto"/>
          <w:highlight w:val="none"/>
        </w:rPr>
      </w:pPr>
    </w:p>
    <w:p w14:paraId="196B8562">
      <w:pPr>
        <w:spacing w:before="79" w:line="308" w:lineRule="auto"/>
        <w:ind w:left="19" w:right="61" w:firstLine="499"/>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18.5.1施工期运行是指合同工程尚未全部竣工，其中某项</w:t>
      </w:r>
      <w:r>
        <w:rPr>
          <w:rFonts w:hint="eastAsia" w:ascii="宋体" w:hAnsi="宋体" w:eastAsia="宋体" w:cs="宋体"/>
          <w:color w:val="auto"/>
          <w:spacing w:val="-3"/>
          <w:sz w:val="24"/>
          <w:szCs w:val="24"/>
          <w:highlight w:val="none"/>
        </w:rPr>
        <w:t>或某几项单位工程或工</w:t>
      </w:r>
      <w:r>
        <w:rPr>
          <w:rFonts w:hint="eastAsia" w:ascii="宋体" w:hAnsi="宋体" w:eastAsia="宋体" w:cs="宋体"/>
          <w:color w:val="auto"/>
          <w:spacing w:val="-2"/>
          <w:sz w:val="24"/>
          <w:szCs w:val="24"/>
          <w:highlight w:val="none"/>
        </w:rPr>
        <w:t>程设备安装已竣工，根据专用合同条款约定，需要投入施工期运行的，经发包人按第</w:t>
      </w:r>
      <w:r>
        <w:rPr>
          <w:rFonts w:hint="eastAsia" w:ascii="宋体" w:hAnsi="宋体" w:eastAsia="宋体" w:cs="宋体"/>
          <w:color w:val="auto"/>
          <w:sz w:val="24"/>
          <w:szCs w:val="24"/>
          <w:highlight w:val="none"/>
        </w:rPr>
        <w:t>18.4款的约定验收合格，证明能确保安全后，才</w:t>
      </w:r>
      <w:r>
        <w:rPr>
          <w:rFonts w:hint="eastAsia" w:ascii="宋体" w:hAnsi="宋体" w:eastAsia="宋体" w:cs="宋体"/>
          <w:color w:val="auto"/>
          <w:spacing w:val="-1"/>
          <w:sz w:val="24"/>
          <w:szCs w:val="24"/>
          <w:highlight w:val="none"/>
        </w:rPr>
        <w:t>能在施工期投入运行。</w:t>
      </w:r>
    </w:p>
    <w:p w14:paraId="3C428768">
      <w:pPr>
        <w:spacing w:line="219" w:lineRule="auto"/>
        <w:ind w:left="519"/>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18.5.2在施工期运行中发现工程或工程设备损坏或存在缺陷的，</w:t>
      </w:r>
      <w:r>
        <w:rPr>
          <w:rFonts w:hint="eastAsia" w:ascii="宋体" w:hAnsi="宋体" w:eastAsia="宋体" w:cs="宋体"/>
          <w:color w:val="auto"/>
          <w:spacing w:val="3"/>
          <w:sz w:val="24"/>
          <w:szCs w:val="24"/>
          <w:highlight w:val="none"/>
        </w:rPr>
        <w:t>由承包人按第</w:t>
      </w:r>
    </w:p>
    <w:p w14:paraId="4004861E">
      <w:pPr>
        <w:spacing w:before="114" w:line="219" w:lineRule="auto"/>
        <w:ind w:left="3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19.2款约定进行修复。</w:t>
      </w:r>
    </w:p>
    <w:p w14:paraId="3E63D594">
      <w:pPr>
        <w:pStyle w:val="4"/>
        <w:spacing w:line="256" w:lineRule="auto"/>
        <w:rPr>
          <w:rFonts w:hint="eastAsia" w:ascii="宋体" w:hAnsi="宋体" w:eastAsia="宋体" w:cs="宋体"/>
          <w:color w:val="auto"/>
          <w:highlight w:val="none"/>
        </w:rPr>
      </w:pPr>
    </w:p>
    <w:p w14:paraId="0051FEF7">
      <w:pPr>
        <w:spacing w:before="78" w:line="221" w:lineRule="auto"/>
        <w:ind w:left="3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18.6试运行</w:t>
      </w:r>
    </w:p>
    <w:p w14:paraId="62B6DF68">
      <w:pPr>
        <w:pStyle w:val="4"/>
        <w:spacing w:line="271" w:lineRule="auto"/>
        <w:rPr>
          <w:rFonts w:hint="eastAsia" w:ascii="宋体" w:hAnsi="宋体" w:eastAsia="宋体" w:cs="宋体"/>
          <w:color w:val="auto"/>
          <w:highlight w:val="none"/>
        </w:rPr>
      </w:pPr>
    </w:p>
    <w:p w14:paraId="39CE4F14">
      <w:pPr>
        <w:spacing w:before="79" w:line="279" w:lineRule="auto"/>
        <w:ind w:left="19" w:right="61" w:firstLine="49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18.6.1除专用合同条款另有约定外，承包人应按专用合同</w:t>
      </w:r>
      <w:r>
        <w:rPr>
          <w:rFonts w:hint="eastAsia" w:ascii="宋体" w:hAnsi="宋体" w:eastAsia="宋体" w:cs="宋体"/>
          <w:color w:val="auto"/>
          <w:spacing w:val="-3"/>
          <w:sz w:val="24"/>
          <w:szCs w:val="24"/>
          <w:highlight w:val="none"/>
        </w:rPr>
        <w:t>条款约定进行工程及工</w:t>
      </w:r>
      <w:r>
        <w:rPr>
          <w:rFonts w:hint="eastAsia" w:ascii="宋体" w:hAnsi="宋体" w:eastAsia="宋体" w:cs="宋体"/>
          <w:color w:val="auto"/>
          <w:spacing w:val="-2"/>
          <w:sz w:val="24"/>
          <w:szCs w:val="24"/>
          <w:highlight w:val="none"/>
        </w:rPr>
        <w:t>程设备试运行，负责提供试运行所需的人员、器材和必要的条件，并承担全部试运行</w:t>
      </w:r>
      <w:r>
        <w:rPr>
          <w:rFonts w:hint="eastAsia" w:ascii="宋体" w:hAnsi="宋体" w:eastAsia="宋体" w:cs="宋体"/>
          <w:color w:val="auto"/>
          <w:spacing w:val="-3"/>
          <w:sz w:val="24"/>
          <w:szCs w:val="24"/>
          <w:highlight w:val="none"/>
        </w:rPr>
        <w:t>费用。</w:t>
      </w:r>
    </w:p>
    <w:p w14:paraId="4EC694AC">
      <w:pPr>
        <w:spacing w:before="111" w:line="279" w:lineRule="auto"/>
        <w:ind w:left="20" w:firstLine="498"/>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18.6.2由于承包人的原因导致试运行失败的，承包人</w:t>
      </w:r>
      <w:r>
        <w:rPr>
          <w:rFonts w:hint="eastAsia" w:ascii="宋体" w:hAnsi="宋体" w:eastAsia="宋体" w:cs="宋体"/>
          <w:color w:val="auto"/>
          <w:spacing w:val="-7"/>
          <w:sz w:val="24"/>
          <w:szCs w:val="24"/>
          <w:highlight w:val="none"/>
        </w:rPr>
        <w:t>应采取措施保证试运行合格，</w:t>
      </w:r>
      <w:r>
        <w:rPr>
          <w:rFonts w:hint="eastAsia" w:ascii="宋体" w:hAnsi="宋体" w:eastAsia="宋体" w:cs="宋体"/>
          <w:color w:val="auto"/>
          <w:spacing w:val="-2"/>
          <w:sz w:val="24"/>
          <w:szCs w:val="24"/>
          <w:highlight w:val="none"/>
        </w:rPr>
        <w:t>并承担相应费用。由于发包人的原因导致试运行失败的，承包人应当采取措施保证试</w:t>
      </w:r>
      <w:r>
        <w:rPr>
          <w:rFonts w:hint="eastAsia" w:ascii="宋体" w:hAnsi="宋体" w:eastAsia="宋体" w:cs="宋体"/>
          <w:color w:val="auto"/>
          <w:sz w:val="24"/>
          <w:szCs w:val="24"/>
          <w:highlight w:val="none"/>
        </w:rPr>
        <w:t>运行合格，发包人应承担由此产生的费用，</w:t>
      </w:r>
      <w:r>
        <w:rPr>
          <w:rFonts w:hint="eastAsia" w:ascii="宋体" w:hAnsi="宋体" w:eastAsia="宋体" w:cs="宋体"/>
          <w:color w:val="auto"/>
          <w:spacing w:val="-1"/>
          <w:sz w:val="24"/>
          <w:szCs w:val="24"/>
          <w:highlight w:val="none"/>
        </w:rPr>
        <w:t>并支付承包人合理利润。</w:t>
      </w:r>
    </w:p>
    <w:p w14:paraId="4DADF275">
      <w:pPr>
        <w:pStyle w:val="4"/>
        <w:spacing w:line="254" w:lineRule="auto"/>
        <w:rPr>
          <w:rFonts w:hint="eastAsia" w:ascii="宋体" w:hAnsi="宋体" w:eastAsia="宋体" w:cs="宋体"/>
          <w:color w:val="auto"/>
          <w:highlight w:val="none"/>
        </w:rPr>
      </w:pPr>
    </w:p>
    <w:p w14:paraId="1130240D">
      <w:pPr>
        <w:spacing w:before="78" w:line="221" w:lineRule="auto"/>
        <w:ind w:left="3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18.7竣工清场</w:t>
      </w:r>
    </w:p>
    <w:p w14:paraId="37FE7933">
      <w:pPr>
        <w:pStyle w:val="4"/>
        <w:spacing w:line="275" w:lineRule="auto"/>
        <w:rPr>
          <w:rFonts w:hint="eastAsia" w:ascii="宋体" w:hAnsi="宋体" w:eastAsia="宋体" w:cs="宋体"/>
          <w:color w:val="auto"/>
          <w:highlight w:val="none"/>
        </w:rPr>
      </w:pPr>
    </w:p>
    <w:p w14:paraId="608430E1">
      <w:pPr>
        <w:spacing w:before="78" w:line="307" w:lineRule="auto"/>
        <w:ind w:left="20" w:right="61" w:firstLine="49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18.7.1除合同另有约定外，工程接收证书颁发</w:t>
      </w:r>
      <w:r>
        <w:rPr>
          <w:rFonts w:hint="eastAsia" w:ascii="宋体" w:hAnsi="宋体" w:eastAsia="宋体" w:cs="宋体"/>
          <w:color w:val="auto"/>
          <w:spacing w:val="-2"/>
          <w:sz w:val="24"/>
          <w:szCs w:val="24"/>
          <w:highlight w:val="none"/>
        </w:rPr>
        <w:t>后，承包人应按以下要求对施工场</w:t>
      </w:r>
      <w:r>
        <w:rPr>
          <w:rFonts w:hint="eastAsia" w:ascii="宋体" w:hAnsi="宋体" w:eastAsia="宋体" w:cs="宋体"/>
          <w:color w:val="auto"/>
          <w:sz w:val="24"/>
          <w:szCs w:val="24"/>
          <w:highlight w:val="none"/>
        </w:rPr>
        <w:t>地进行清理，直至监理人检验合格为止。竣工</w:t>
      </w:r>
      <w:r>
        <w:rPr>
          <w:rFonts w:hint="eastAsia" w:ascii="宋体" w:hAnsi="宋体" w:eastAsia="宋体" w:cs="宋体"/>
          <w:color w:val="auto"/>
          <w:spacing w:val="-1"/>
          <w:sz w:val="24"/>
          <w:szCs w:val="24"/>
          <w:highlight w:val="none"/>
        </w:rPr>
        <w:t>清场费用由承包人承担。</w:t>
      </w:r>
    </w:p>
    <w:p w14:paraId="6D00AEA7">
      <w:pPr>
        <w:spacing w:line="219" w:lineRule="auto"/>
        <w:ind w:left="68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（1）施工场地内残留的垃圾已全部清除出场；</w:t>
      </w:r>
    </w:p>
    <w:p w14:paraId="6AC8B5CA">
      <w:pPr>
        <w:spacing w:before="116" w:line="219" w:lineRule="auto"/>
        <w:ind w:left="68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（2）临时工程已拆除，场地已按合同要求进行清理、平整或复原；</w:t>
      </w:r>
    </w:p>
    <w:p w14:paraId="3265D87A">
      <w:pPr>
        <w:spacing w:before="113" w:line="264" w:lineRule="auto"/>
        <w:ind w:left="20" w:right="61" w:firstLine="661"/>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（3）按合同约定应撤离的承包人设备和剩余的材料，包括废弃的施工设备和材</w:t>
      </w:r>
      <w:r>
        <w:rPr>
          <w:rFonts w:hint="eastAsia" w:ascii="宋体" w:hAnsi="宋体" w:eastAsia="宋体" w:cs="宋体"/>
          <w:color w:val="auto"/>
          <w:spacing w:val="-1"/>
          <w:sz w:val="24"/>
          <w:szCs w:val="24"/>
          <w:highlight w:val="none"/>
        </w:rPr>
        <w:t>料，已按计划撤离施工场地；</w:t>
      </w:r>
    </w:p>
    <w:p w14:paraId="230F8BC3">
      <w:pPr>
        <w:spacing w:before="117" w:line="263" w:lineRule="auto"/>
        <w:ind w:left="20" w:right="63" w:firstLine="661"/>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（4）工程建筑物周边及其附近道路、河道的施工堆积物，已按监理人指示全部清理；</w:t>
      </w:r>
    </w:p>
    <w:p w14:paraId="79CF8FEC">
      <w:pPr>
        <w:spacing w:line="263" w:lineRule="auto"/>
        <w:rPr>
          <w:rFonts w:hint="eastAsia" w:ascii="宋体" w:hAnsi="宋体" w:eastAsia="宋体" w:cs="宋体"/>
          <w:color w:val="auto"/>
          <w:sz w:val="24"/>
          <w:szCs w:val="24"/>
          <w:highlight w:val="none"/>
        </w:rPr>
        <w:sectPr>
          <w:headerReference r:id="rId109" w:type="default"/>
          <w:footerReference r:id="rId110" w:type="default"/>
          <w:pgSz w:w="11907" w:h="16840"/>
          <w:pgMar w:top="1182" w:right="1227" w:bottom="1014" w:left="1786" w:header="849" w:footer="852" w:gutter="0"/>
          <w:pgNumType w:fmt="decimal"/>
          <w:cols w:space="720" w:num="1"/>
        </w:sectPr>
      </w:pPr>
    </w:p>
    <w:p w14:paraId="70BB6C5C">
      <w:pPr>
        <w:pStyle w:val="4"/>
        <w:spacing w:line="302" w:lineRule="auto"/>
        <w:rPr>
          <w:rFonts w:hint="eastAsia" w:ascii="宋体" w:hAnsi="宋体" w:eastAsia="宋体" w:cs="宋体"/>
          <w:color w:val="auto"/>
          <w:highlight w:val="none"/>
        </w:rPr>
      </w:pPr>
    </w:p>
    <w:p w14:paraId="43C7DEEF">
      <w:pPr>
        <w:spacing w:before="78" w:line="219" w:lineRule="auto"/>
        <w:ind w:left="68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（5）监理人指示的其他场地清理工作已全部完成。</w:t>
      </w:r>
    </w:p>
    <w:p w14:paraId="7F46EF91">
      <w:pPr>
        <w:spacing w:before="115" w:line="310" w:lineRule="auto"/>
        <w:ind w:firstLine="230" w:firstLineChars="10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18.7.2承包人未按监理人的要求恢复临时占地，或者场地清理未</w:t>
      </w:r>
      <w:r>
        <w:rPr>
          <w:rFonts w:hint="eastAsia" w:ascii="宋体" w:hAnsi="宋体" w:eastAsia="宋体" w:cs="宋体"/>
          <w:color w:val="auto"/>
          <w:spacing w:val="-6"/>
          <w:sz w:val="24"/>
          <w:szCs w:val="24"/>
          <w:highlight w:val="none"/>
        </w:rPr>
        <w:t>达到合同约定的，</w:t>
      </w:r>
      <w:r>
        <w:rPr>
          <w:rFonts w:hint="eastAsia" w:ascii="宋体" w:hAnsi="宋体" w:eastAsia="宋体" w:cs="宋体"/>
          <w:color w:val="auto"/>
          <w:sz w:val="24"/>
          <w:szCs w:val="24"/>
          <w:highlight w:val="none"/>
        </w:rPr>
        <w:t>发包人有权委托其他人恢复或清理，所发生的金额</w:t>
      </w:r>
      <w:r>
        <w:rPr>
          <w:rFonts w:hint="eastAsia" w:ascii="宋体" w:hAnsi="宋体" w:eastAsia="宋体" w:cs="宋体"/>
          <w:color w:val="auto"/>
          <w:spacing w:val="-1"/>
          <w:sz w:val="24"/>
          <w:szCs w:val="24"/>
          <w:highlight w:val="none"/>
        </w:rPr>
        <w:t>从拟支付给承包人的款项中扣除。</w:t>
      </w:r>
    </w:p>
    <w:p w14:paraId="3686D792">
      <w:pPr>
        <w:spacing w:before="214" w:line="222" w:lineRule="auto"/>
        <w:ind w:left="3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18.8施工队伍的撤离</w:t>
      </w:r>
    </w:p>
    <w:p w14:paraId="70E8063A">
      <w:pPr>
        <w:pStyle w:val="4"/>
        <w:spacing w:line="270" w:lineRule="auto"/>
        <w:rPr>
          <w:rFonts w:hint="eastAsia" w:ascii="宋体" w:hAnsi="宋体" w:eastAsia="宋体" w:cs="宋体"/>
          <w:color w:val="auto"/>
          <w:highlight w:val="none"/>
        </w:rPr>
      </w:pPr>
    </w:p>
    <w:p w14:paraId="777FBE75">
      <w:pPr>
        <w:spacing w:before="78" w:line="309" w:lineRule="auto"/>
        <w:ind w:left="19" w:right="61" w:firstLine="483"/>
        <w:jc w:val="both"/>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工程接收证书颁发后的56天内，除了经监理</w:t>
      </w:r>
      <w:r>
        <w:rPr>
          <w:rFonts w:hint="eastAsia" w:ascii="宋体" w:hAnsi="宋体" w:eastAsia="宋体" w:cs="宋体"/>
          <w:color w:val="auto"/>
          <w:spacing w:val="2"/>
          <w:sz w:val="24"/>
          <w:szCs w:val="24"/>
          <w:highlight w:val="none"/>
        </w:rPr>
        <w:t>人同意需在缺陷责任期内继续工作</w:t>
      </w:r>
      <w:r>
        <w:rPr>
          <w:rFonts w:hint="eastAsia" w:ascii="宋体" w:hAnsi="宋体" w:eastAsia="宋体" w:cs="宋体"/>
          <w:color w:val="auto"/>
          <w:spacing w:val="-2"/>
          <w:sz w:val="24"/>
          <w:szCs w:val="24"/>
          <w:highlight w:val="none"/>
        </w:rPr>
        <w:t>和使用的人员、施工设备和临时工程外，其余的人员、施工设备和临时工程均应撤离施工场地或拆除。除合同另有约定外，缺陷责任期满时，承包人的人员和施工设备应</w:t>
      </w:r>
      <w:r>
        <w:rPr>
          <w:rFonts w:hint="eastAsia" w:ascii="宋体" w:hAnsi="宋体" w:eastAsia="宋体" w:cs="宋体"/>
          <w:color w:val="auto"/>
          <w:spacing w:val="-1"/>
          <w:sz w:val="24"/>
          <w:szCs w:val="24"/>
          <w:highlight w:val="none"/>
        </w:rPr>
        <w:t>全部撤离施工场地。</w:t>
      </w:r>
    </w:p>
    <w:p w14:paraId="06682FBD">
      <w:pPr>
        <w:pStyle w:val="4"/>
        <w:spacing w:line="315" w:lineRule="auto"/>
        <w:rPr>
          <w:rFonts w:hint="eastAsia" w:ascii="宋体" w:hAnsi="宋体" w:eastAsia="宋体" w:cs="宋体"/>
          <w:color w:val="auto"/>
          <w:highlight w:val="none"/>
        </w:rPr>
      </w:pPr>
    </w:p>
    <w:p w14:paraId="03B2B0B6">
      <w:pPr>
        <w:spacing w:before="91" w:line="222" w:lineRule="auto"/>
        <w:ind w:left="44"/>
        <w:outlineLvl w:val="2"/>
        <w:rPr>
          <w:rFonts w:hint="eastAsia" w:ascii="宋体" w:hAnsi="宋体" w:eastAsia="宋体" w:cs="宋体"/>
          <w:color w:val="auto"/>
          <w:sz w:val="28"/>
          <w:szCs w:val="28"/>
          <w:highlight w:val="none"/>
        </w:rPr>
      </w:pPr>
      <w:bookmarkStart w:id="536" w:name="_Toc2478"/>
      <w:bookmarkStart w:id="537" w:name="_Toc15505"/>
      <w:bookmarkStart w:id="538" w:name="_Toc17293"/>
      <w:bookmarkStart w:id="539" w:name="_Toc10461"/>
      <w:bookmarkStart w:id="540" w:name="_Toc2502"/>
      <w:r>
        <w:rPr>
          <w:rFonts w:hint="eastAsia" w:ascii="宋体" w:hAnsi="宋体" w:eastAsia="宋体" w:cs="宋体"/>
          <w:color w:val="auto"/>
          <w:spacing w:val="-3"/>
          <w:sz w:val="28"/>
          <w:szCs w:val="28"/>
          <w:highlight w:val="none"/>
        </w:rPr>
        <w:t>19.缺陷责任与保修责任</w:t>
      </w:r>
      <w:bookmarkEnd w:id="536"/>
      <w:bookmarkEnd w:id="537"/>
      <w:bookmarkEnd w:id="538"/>
      <w:bookmarkEnd w:id="539"/>
      <w:bookmarkEnd w:id="540"/>
    </w:p>
    <w:p w14:paraId="7E31AB5F">
      <w:pPr>
        <w:pStyle w:val="4"/>
        <w:spacing w:line="248" w:lineRule="auto"/>
        <w:rPr>
          <w:rFonts w:hint="eastAsia" w:ascii="宋体" w:hAnsi="宋体" w:eastAsia="宋体" w:cs="宋体"/>
          <w:color w:val="auto"/>
          <w:highlight w:val="none"/>
        </w:rPr>
      </w:pPr>
    </w:p>
    <w:p w14:paraId="2817856B">
      <w:pPr>
        <w:spacing w:before="78" w:line="221" w:lineRule="auto"/>
        <w:ind w:left="3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19.1缺陷责任期的起算时间</w:t>
      </w:r>
    </w:p>
    <w:p w14:paraId="6ECD0A0D">
      <w:pPr>
        <w:pStyle w:val="4"/>
        <w:spacing w:line="274" w:lineRule="auto"/>
        <w:rPr>
          <w:rFonts w:hint="eastAsia" w:ascii="宋体" w:hAnsi="宋体" w:eastAsia="宋体" w:cs="宋体"/>
          <w:color w:val="auto"/>
          <w:highlight w:val="none"/>
        </w:rPr>
      </w:pPr>
    </w:p>
    <w:p w14:paraId="1B3ED7DC">
      <w:pPr>
        <w:spacing w:before="79" w:line="310" w:lineRule="auto"/>
        <w:ind w:left="29" w:right="61" w:firstLine="47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缺陷责任期自实际竣工日期起计算。在全部工程竣工验收前，已经发包人提前验</w:t>
      </w:r>
      <w:r>
        <w:rPr>
          <w:rFonts w:hint="eastAsia" w:ascii="宋体" w:hAnsi="宋体" w:eastAsia="宋体" w:cs="宋体"/>
          <w:color w:val="auto"/>
          <w:spacing w:val="-1"/>
          <w:sz w:val="24"/>
          <w:szCs w:val="24"/>
          <w:highlight w:val="none"/>
        </w:rPr>
        <w:t>收的单位工程，其缺陷责任期的起算日期相应提前。</w:t>
      </w:r>
    </w:p>
    <w:p w14:paraId="00D804C5">
      <w:pPr>
        <w:spacing w:before="213" w:line="221" w:lineRule="auto"/>
        <w:ind w:left="3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19.2缺陷责任</w:t>
      </w:r>
    </w:p>
    <w:p w14:paraId="165D43FB">
      <w:pPr>
        <w:pStyle w:val="4"/>
        <w:spacing w:line="274" w:lineRule="auto"/>
        <w:rPr>
          <w:rFonts w:hint="eastAsia" w:ascii="宋体" w:hAnsi="宋体" w:eastAsia="宋体" w:cs="宋体"/>
          <w:color w:val="auto"/>
          <w:highlight w:val="none"/>
        </w:rPr>
      </w:pPr>
    </w:p>
    <w:p w14:paraId="097E9468">
      <w:pPr>
        <w:spacing w:before="78" w:line="219" w:lineRule="auto"/>
        <w:ind w:left="51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19.2.1承包人应在缺陷责任期内对已交付使用的工程承担缺陷责任。</w:t>
      </w:r>
    </w:p>
    <w:p w14:paraId="0CD4357E">
      <w:pPr>
        <w:spacing w:before="112" w:line="279" w:lineRule="auto"/>
        <w:ind w:left="21" w:right="61" w:firstLine="49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19.2.2缺陷责任期内，发包人对已接收使用的工程负责日</w:t>
      </w:r>
      <w:r>
        <w:rPr>
          <w:rFonts w:hint="eastAsia" w:ascii="宋体" w:hAnsi="宋体" w:eastAsia="宋体" w:cs="宋体"/>
          <w:color w:val="auto"/>
          <w:spacing w:val="-3"/>
          <w:sz w:val="24"/>
          <w:szCs w:val="24"/>
          <w:highlight w:val="none"/>
        </w:rPr>
        <w:t>常维护工作。发包人在</w:t>
      </w:r>
      <w:r>
        <w:rPr>
          <w:rFonts w:hint="eastAsia" w:ascii="宋体" w:hAnsi="宋体" w:eastAsia="宋体" w:cs="宋体"/>
          <w:color w:val="auto"/>
          <w:spacing w:val="5"/>
          <w:sz w:val="24"/>
          <w:szCs w:val="24"/>
          <w:highlight w:val="none"/>
        </w:rPr>
        <w:t>使用过程中，发现已接收的工程存在新的缺陷或已修复</w:t>
      </w:r>
      <w:r>
        <w:rPr>
          <w:rFonts w:hint="eastAsia" w:ascii="宋体" w:hAnsi="宋体" w:eastAsia="宋体" w:cs="宋体"/>
          <w:color w:val="auto"/>
          <w:spacing w:val="4"/>
          <w:sz w:val="24"/>
          <w:szCs w:val="24"/>
          <w:highlight w:val="none"/>
        </w:rPr>
        <w:t>的缺陷部位或部件又遭损坏</w:t>
      </w:r>
      <w:r>
        <w:rPr>
          <w:rFonts w:hint="eastAsia" w:ascii="宋体" w:hAnsi="宋体" w:eastAsia="宋体" w:cs="宋体"/>
          <w:color w:val="auto"/>
          <w:spacing w:val="-1"/>
          <w:sz w:val="24"/>
          <w:szCs w:val="24"/>
          <w:highlight w:val="none"/>
        </w:rPr>
        <w:t>的，承包人应负责修复，直至检验合格为止。</w:t>
      </w:r>
    </w:p>
    <w:p w14:paraId="3FBB3962">
      <w:pPr>
        <w:spacing w:before="112" w:line="279" w:lineRule="auto"/>
        <w:ind w:left="20" w:right="61" w:firstLine="498"/>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19.2.3监理人和承包人应共同查清缺陷和（或）损坏的原</w:t>
      </w:r>
      <w:r>
        <w:rPr>
          <w:rFonts w:hint="eastAsia" w:ascii="宋体" w:hAnsi="宋体" w:eastAsia="宋体" w:cs="宋体"/>
          <w:color w:val="auto"/>
          <w:spacing w:val="-3"/>
          <w:sz w:val="24"/>
          <w:szCs w:val="24"/>
          <w:highlight w:val="none"/>
        </w:rPr>
        <w:t>因。经查明属承包人原</w:t>
      </w:r>
      <w:r>
        <w:rPr>
          <w:rFonts w:hint="eastAsia" w:ascii="宋体" w:hAnsi="宋体" w:eastAsia="宋体" w:cs="宋体"/>
          <w:color w:val="auto"/>
          <w:spacing w:val="-2"/>
          <w:sz w:val="24"/>
          <w:szCs w:val="24"/>
          <w:highlight w:val="none"/>
        </w:rPr>
        <w:t>因造成的，应由承包人承担修复和查验的费用。经查验属发包人原因造成的，发包人</w:t>
      </w:r>
      <w:r>
        <w:rPr>
          <w:rFonts w:hint="eastAsia" w:ascii="宋体" w:hAnsi="宋体" w:eastAsia="宋体" w:cs="宋体"/>
          <w:color w:val="auto"/>
          <w:spacing w:val="-1"/>
          <w:sz w:val="24"/>
          <w:szCs w:val="24"/>
          <w:highlight w:val="none"/>
        </w:rPr>
        <w:t>应承担修复和查验的费用，并支付承包人合理利润。</w:t>
      </w:r>
    </w:p>
    <w:p w14:paraId="43208F2C">
      <w:pPr>
        <w:spacing w:before="113" w:line="264" w:lineRule="auto"/>
        <w:ind w:left="27" w:right="61" w:firstLine="49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19.2.4承包人不能在合理时间内修复缺陷的，发包人可自</w:t>
      </w:r>
      <w:r>
        <w:rPr>
          <w:rFonts w:hint="eastAsia" w:ascii="宋体" w:hAnsi="宋体" w:eastAsia="宋体" w:cs="宋体"/>
          <w:color w:val="auto"/>
          <w:spacing w:val="-3"/>
          <w:sz w:val="24"/>
          <w:szCs w:val="24"/>
          <w:highlight w:val="none"/>
        </w:rPr>
        <w:t>行修复或委托其他人修</w:t>
      </w:r>
      <w:r>
        <w:rPr>
          <w:rFonts w:hint="eastAsia" w:ascii="宋体" w:hAnsi="宋体" w:eastAsia="宋体" w:cs="宋体"/>
          <w:color w:val="auto"/>
          <w:spacing w:val="-2"/>
          <w:sz w:val="24"/>
          <w:szCs w:val="24"/>
          <w:highlight w:val="none"/>
        </w:rPr>
        <w:t>复，所需费用和利润的承担，按第19.2.3项约定办理。</w:t>
      </w:r>
    </w:p>
    <w:p w14:paraId="312789B3">
      <w:pPr>
        <w:pStyle w:val="4"/>
        <w:spacing w:line="254" w:lineRule="auto"/>
        <w:rPr>
          <w:rFonts w:hint="eastAsia" w:ascii="宋体" w:hAnsi="宋体" w:eastAsia="宋体" w:cs="宋体"/>
          <w:color w:val="auto"/>
          <w:highlight w:val="none"/>
        </w:rPr>
      </w:pPr>
    </w:p>
    <w:p w14:paraId="6FE66583">
      <w:pPr>
        <w:spacing w:before="78" w:line="221" w:lineRule="auto"/>
        <w:ind w:left="3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19.3缺陷责任期的延长</w:t>
      </w:r>
    </w:p>
    <w:p w14:paraId="2CB5B395">
      <w:pPr>
        <w:pStyle w:val="4"/>
        <w:spacing w:line="273" w:lineRule="auto"/>
        <w:rPr>
          <w:rFonts w:hint="eastAsia" w:ascii="宋体" w:hAnsi="宋体" w:eastAsia="宋体" w:cs="宋体"/>
          <w:color w:val="auto"/>
          <w:highlight w:val="none"/>
        </w:rPr>
      </w:pPr>
    </w:p>
    <w:p w14:paraId="7C305697">
      <w:pPr>
        <w:spacing w:before="78" w:line="309" w:lineRule="auto"/>
        <w:ind w:left="20" w:right="61" w:firstLine="509"/>
        <w:jc w:val="both"/>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由于承包人原因造成某项缺陷或损坏使某项工程或工程设备不能按原定目标使</w:t>
      </w:r>
      <w:r>
        <w:rPr>
          <w:rFonts w:hint="eastAsia" w:ascii="宋体" w:hAnsi="宋体" w:eastAsia="宋体" w:cs="宋体"/>
          <w:color w:val="auto"/>
          <w:spacing w:val="-2"/>
          <w:sz w:val="24"/>
          <w:szCs w:val="24"/>
          <w:highlight w:val="none"/>
        </w:rPr>
        <w:t>用而需要再次检查、检验和修复的，发包人有权要求承包人相应延长缺陷责任期，但缺陷责任期最长不超过2年。</w:t>
      </w:r>
    </w:p>
    <w:p w14:paraId="60F2C57E">
      <w:pPr>
        <w:spacing w:before="217" w:line="221" w:lineRule="auto"/>
        <w:ind w:left="3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19.4进一步试验和试运行</w:t>
      </w:r>
    </w:p>
    <w:p w14:paraId="6247E4E9">
      <w:pPr>
        <w:pStyle w:val="4"/>
        <w:spacing w:line="272" w:lineRule="auto"/>
        <w:rPr>
          <w:rFonts w:hint="eastAsia" w:ascii="宋体" w:hAnsi="宋体" w:eastAsia="宋体" w:cs="宋体"/>
          <w:color w:val="auto"/>
          <w:highlight w:val="none"/>
        </w:rPr>
      </w:pPr>
    </w:p>
    <w:p w14:paraId="07484EEF">
      <w:pPr>
        <w:spacing w:before="78" w:line="219" w:lineRule="auto"/>
        <w:ind w:right="1"/>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任何一项缺陷或损坏修复后，经检查证明其影响了工程或</w:t>
      </w:r>
      <w:r>
        <w:rPr>
          <w:rFonts w:hint="eastAsia" w:ascii="宋体" w:hAnsi="宋体" w:eastAsia="宋体" w:cs="宋体"/>
          <w:color w:val="auto"/>
          <w:spacing w:val="-1"/>
          <w:sz w:val="24"/>
          <w:szCs w:val="24"/>
          <w:highlight w:val="none"/>
        </w:rPr>
        <w:t>工程设备的使用性能，</w:t>
      </w:r>
    </w:p>
    <w:p w14:paraId="22C940FB">
      <w:pPr>
        <w:spacing w:line="219" w:lineRule="auto"/>
        <w:rPr>
          <w:rFonts w:hint="eastAsia" w:ascii="宋体" w:hAnsi="宋体" w:eastAsia="宋体" w:cs="宋体"/>
          <w:color w:val="auto"/>
          <w:sz w:val="24"/>
          <w:szCs w:val="24"/>
          <w:highlight w:val="none"/>
        </w:rPr>
        <w:sectPr>
          <w:footerReference r:id="rId111" w:type="default"/>
          <w:pgSz w:w="11907" w:h="16840"/>
          <w:pgMar w:top="1182" w:right="1227" w:bottom="1014" w:left="1786" w:header="849" w:footer="852" w:gutter="0"/>
          <w:pgNumType w:fmt="decimal"/>
          <w:cols w:space="720" w:num="1"/>
        </w:sectPr>
      </w:pPr>
    </w:p>
    <w:p w14:paraId="519C3873">
      <w:pPr>
        <w:pStyle w:val="4"/>
        <w:spacing w:line="300" w:lineRule="auto"/>
        <w:rPr>
          <w:rFonts w:hint="eastAsia" w:ascii="宋体" w:hAnsi="宋体" w:eastAsia="宋体" w:cs="宋体"/>
          <w:color w:val="auto"/>
          <w:highlight w:val="none"/>
        </w:rPr>
      </w:pPr>
    </w:p>
    <w:p w14:paraId="49DED366">
      <w:pPr>
        <w:spacing w:before="78" w:line="311" w:lineRule="auto"/>
        <w:ind w:left="20" w:right="6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承包人应重新进行合同约定的试验和试运行，试验和试运行的全部费用应由责任方承</w:t>
      </w:r>
      <w:r>
        <w:rPr>
          <w:rFonts w:hint="eastAsia" w:ascii="宋体" w:hAnsi="宋体" w:eastAsia="宋体" w:cs="宋体"/>
          <w:color w:val="auto"/>
          <w:spacing w:val="-6"/>
          <w:sz w:val="24"/>
          <w:szCs w:val="24"/>
          <w:highlight w:val="none"/>
        </w:rPr>
        <w:t>担。</w:t>
      </w:r>
    </w:p>
    <w:p w14:paraId="0F64DF5D">
      <w:pPr>
        <w:spacing w:before="212" w:line="222" w:lineRule="auto"/>
        <w:ind w:left="3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19.5承包人的进入权</w:t>
      </w:r>
    </w:p>
    <w:p w14:paraId="7C9E70A4">
      <w:pPr>
        <w:pStyle w:val="4"/>
        <w:spacing w:line="271" w:lineRule="auto"/>
        <w:rPr>
          <w:rFonts w:hint="eastAsia" w:ascii="宋体" w:hAnsi="宋体" w:eastAsia="宋体" w:cs="宋体"/>
          <w:color w:val="auto"/>
          <w:highlight w:val="none"/>
        </w:rPr>
      </w:pPr>
    </w:p>
    <w:p w14:paraId="544170CF">
      <w:pPr>
        <w:spacing w:before="78" w:line="311" w:lineRule="auto"/>
        <w:ind w:left="40" w:right="61" w:firstLine="41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缺陷责任期内承包人为缺陷修复工作需要，有权进入工程现场，但应遵守发包人</w:t>
      </w:r>
      <w:r>
        <w:rPr>
          <w:rFonts w:hint="eastAsia" w:ascii="宋体" w:hAnsi="宋体" w:eastAsia="宋体" w:cs="宋体"/>
          <w:color w:val="auto"/>
          <w:spacing w:val="-4"/>
          <w:sz w:val="24"/>
          <w:szCs w:val="24"/>
          <w:highlight w:val="none"/>
        </w:rPr>
        <w:t>的保安和保密规定。</w:t>
      </w:r>
    </w:p>
    <w:p w14:paraId="1E2BF1AD">
      <w:pPr>
        <w:spacing w:before="211" w:line="221" w:lineRule="auto"/>
        <w:ind w:left="3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19.6缺陷责任期终止证书</w:t>
      </w:r>
    </w:p>
    <w:p w14:paraId="45E99EDF">
      <w:pPr>
        <w:pStyle w:val="4"/>
        <w:spacing w:line="273" w:lineRule="auto"/>
        <w:rPr>
          <w:rFonts w:hint="eastAsia" w:ascii="宋体" w:hAnsi="宋体" w:eastAsia="宋体" w:cs="宋体"/>
          <w:color w:val="auto"/>
          <w:highlight w:val="none"/>
        </w:rPr>
      </w:pPr>
    </w:p>
    <w:p w14:paraId="34500A9C">
      <w:pPr>
        <w:keepNext w:val="0"/>
        <w:keepLines w:val="0"/>
        <w:pageBreakBefore w:val="0"/>
        <w:widowControl/>
        <w:kinsoku w:val="0"/>
        <w:wordWrap/>
        <w:overflowPunct/>
        <w:topLinePunct w:val="0"/>
        <w:autoSpaceDE w:val="0"/>
        <w:autoSpaceDN w:val="0"/>
        <w:bidi w:val="0"/>
        <w:adjustRightInd w:val="0"/>
        <w:snapToGrid w:val="0"/>
        <w:spacing w:before="79" w:line="312" w:lineRule="auto"/>
        <w:ind w:left="0" w:firstLine="476"/>
        <w:jc w:val="both"/>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8"/>
          <w:sz w:val="24"/>
          <w:szCs w:val="24"/>
          <w:highlight w:val="none"/>
        </w:rPr>
        <w:t>在第1.1.4.5目约定的缺陷责任期，包括根据第19.3款延长的期限终止后14天内，</w:t>
      </w:r>
      <w:r>
        <w:rPr>
          <w:rFonts w:hint="eastAsia" w:ascii="宋体" w:hAnsi="宋体" w:eastAsia="宋体" w:cs="宋体"/>
          <w:color w:val="auto"/>
          <w:spacing w:val="-2"/>
          <w:sz w:val="24"/>
          <w:szCs w:val="24"/>
          <w:highlight w:val="none"/>
        </w:rPr>
        <w:t>由监理人向承包人出具经发包人签认的缺陷责任期终止证书，并退还剩余的质量保证</w:t>
      </w:r>
      <w:r>
        <w:rPr>
          <w:rFonts w:hint="eastAsia" w:ascii="宋体" w:hAnsi="宋体" w:eastAsia="宋体" w:cs="宋体"/>
          <w:color w:val="auto"/>
          <w:spacing w:val="-6"/>
          <w:sz w:val="24"/>
          <w:szCs w:val="24"/>
          <w:highlight w:val="none"/>
        </w:rPr>
        <w:t>金</w:t>
      </w:r>
      <w:r>
        <w:rPr>
          <w:rFonts w:hint="eastAsia" w:ascii="宋体" w:hAnsi="宋体" w:eastAsia="宋体" w:cs="宋体"/>
          <w:color w:val="auto"/>
          <w:spacing w:val="-6"/>
          <w:sz w:val="24"/>
          <w:szCs w:val="24"/>
          <w:highlight w:val="none"/>
          <w:lang w:eastAsia="zh-CN"/>
        </w:rPr>
        <w:t>。</w:t>
      </w:r>
    </w:p>
    <w:p w14:paraId="7E70D185">
      <w:pPr>
        <w:spacing w:before="206" w:line="221" w:lineRule="auto"/>
        <w:ind w:left="3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19.7保修责任</w:t>
      </w:r>
    </w:p>
    <w:p w14:paraId="5ED55121">
      <w:pPr>
        <w:pStyle w:val="4"/>
        <w:spacing w:line="273" w:lineRule="auto"/>
        <w:rPr>
          <w:rFonts w:hint="eastAsia" w:ascii="宋体" w:hAnsi="宋体" w:eastAsia="宋体" w:cs="宋体"/>
          <w:color w:val="auto"/>
          <w:highlight w:val="none"/>
        </w:rPr>
      </w:pPr>
    </w:p>
    <w:p w14:paraId="7CE0C0AF">
      <w:pPr>
        <w:spacing w:before="78" w:line="309" w:lineRule="auto"/>
        <w:ind w:left="21" w:right="61" w:firstLine="480"/>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合同当事人根据有关法律规定，在专用合同条款中约定工程质量保修范围、</w:t>
      </w:r>
      <w:r>
        <w:rPr>
          <w:rFonts w:hint="eastAsia" w:ascii="宋体" w:hAnsi="宋体" w:eastAsia="宋体" w:cs="宋体"/>
          <w:color w:val="auto"/>
          <w:spacing w:val="-3"/>
          <w:sz w:val="24"/>
          <w:szCs w:val="24"/>
          <w:highlight w:val="none"/>
        </w:rPr>
        <w:t>期限</w:t>
      </w:r>
      <w:r>
        <w:rPr>
          <w:rFonts w:hint="eastAsia" w:ascii="宋体" w:hAnsi="宋体" w:eastAsia="宋体" w:cs="宋体"/>
          <w:color w:val="auto"/>
          <w:spacing w:val="-2"/>
          <w:sz w:val="24"/>
          <w:szCs w:val="24"/>
          <w:highlight w:val="none"/>
        </w:rPr>
        <w:t>和责任。保修期自实际竣工日期起计算。在全部工程竣工验收前，已经发包人提前验</w:t>
      </w:r>
      <w:r>
        <w:rPr>
          <w:rFonts w:hint="eastAsia" w:ascii="宋体" w:hAnsi="宋体" w:eastAsia="宋体" w:cs="宋体"/>
          <w:color w:val="auto"/>
          <w:spacing w:val="-1"/>
          <w:sz w:val="24"/>
          <w:szCs w:val="24"/>
          <w:highlight w:val="none"/>
        </w:rPr>
        <w:t>收的单位工程，其保修期的起算日期相应提前。</w:t>
      </w:r>
    </w:p>
    <w:p w14:paraId="36B74666">
      <w:pPr>
        <w:pStyle w:val="4"/>
        <w:spacing w:line="316" w:lineRule="auto"/>
        <w:rPr>
          <w:rFonts w:hint="eastAsia" w:ascii="宋体" w:hAnsi="宋体" w:eastAsia="宋体" w:cs="宋体"/>
          <w:color w:val="auto"/>
          <w:highlight w:val="none"/>
        </w:rPr>
      </w:pPr>
    </w:p>
    <w:p w14:paraId="5E4CB128">
      <w:pPr>
        <w:spacing w:before="91" w:line="223" w:lineRule="auto"/>
        <w:ind w:left="17"/>
        <w:outlineLvl w:val="2"/>
        <w:rPr>
          <w:rFonts w:hint="eastAsia" w:ascii="宋体" w:hAnsi="宋体" w:eastAsia="宋体" w:cs="宋体"/>
          <w:color w:val="auto"/>
          <w:sz w:val="28"/>
          <w:szCs w:val="28"/>
          <w:highlight w:val="none"/>
        </w:rPr>
      </w:pPr>
      <w:bookmarkStart w:id="541" w:name="_Toc30372"/>
      <w:bookmarkStart w:id="542" w:name="_Toc3582"/>
      <w:bookmarkStart w:id="543" w:name="_Toc31845"/>
      <w:bookmarkStart w:id="544" w:name="_Toc2053"/>
      <w:bookmarkStart w:id="545" w:name="_Toc12902"/>
      <w:r>
        <w:rPr>
          <w:rFonts w:hint="eastAsia" w:ascii="宋体" w:hAnsi="宋体" w:eastAsia="宋体" w:cs="宋体"/>
          <w:color w:val="auto"/>
          <w:spacing w:val="-1"/>
          <w:sz w:val="28"/>
          <w:szCs w:val="28"/>
          <w:highlight w:val="none"/>
        </w:rPr>
        <w:t>20.保险</w:t>
      </w:r>
      <w:bookmarkEnd w:id="541"/>
      <w:bookmarkEnd w:id="542"/>
      <w:bookmarkEnd w:id="543"/>
      <w:bookmarkEnd w:id="544"/>
      <w:bookmarkEnd w:id="545"/>
    </w:p>
    <w:p w14:paraId="11765167">
      <w:pPr>
        <w:pStyle w:val="4"/>
        <w:spacing w:line="248" w:lineRule="auto"/>
        <w:rPr>
          <w:rFonts w:hint="eastAsia" w:ascii="宋体" w:hAnsi="宋体" w:eastAsia="宋体" w:cs="宋体"/>
          <w:color w:val="auto"/>
          <w:highlight w:val="none"/>
        </w:rPr>
      </w:pPr>
    </w:p>
    <w:p w14:paraId="3D250030">
      <w:pPr>
        <w:spacing w:before="78" w:line="222" w:lineRule="auto"/>
        <w:ind w:left="1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20.1工程保险</w:t>
      </w:r>
    </w:p>
    <w:p w14:paraId="6A0243B3">
      <w:pPr>
        <w:pStyle w:val="4"/>
        <w:spacing w:line="272" w:lineRule="auto"/>
        <w:rPr>
          <w:rFonts w:hint="eastAsia" w:ascii="宋体" w:hAnsi="宋体" w:eastAsia="宋体" w:cs="宋体"/>
          <w:color w:val="auto"/>
          <w:highlight w:val="none"/>
        </w:rPr>
      </w:pPr>
    </w:p>
    <w:p w14:paraId="49F62DCF">
      <w:pPr>
        <w:spacing w:before="78" w:line="309" w:lineRule="auto"/>
        <w:ind w:left="34" w:right="61" w:firstLine="480"/>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除专用合同条款另有约定外，承包人应以发包</w:t>
      </w:r>
      <w:r>
        <w:rPr>
          <w:rFonts w:hint="eastAsia" w:ascii="宋体" w:hAnsi="宋体" w:eastAsia="宋体" w:cs="宋体"/>
          <w:color w:val="auto"/>
          <w:spacing w:val="-3"/>
          <w:sz w:val="24"/>
          <w:szCs w:val="24"/>
          <w:highlight w:val="none"/>
        </w:rPr>
        <w:t>人和承包人的共同名义向双方同意</w:t>
      </w:r>
      <w:r>
        <w:rPr>
          <w:rFonts w:hint="eastAsia" w:ascii="宋体" w:hAnsi="宋体" w:eastAsia="宋体" w:cs="宋体"/>
          <w:color w:val="auto"/>
          <w:spacing w:val="-2"/>
          <w:sz w:val="24"/>
          <w:szCs w:val="24"/>
          <w:highlight w:val="none"/>
        </w:rPr>
        <w:t>的保险人投保建筑工程一切险、安装工程一切险。其具体的投</w:t>
      </w:r>
      <w:r>
        <w:rPr>
          <w:rFonts w:hint="eastAsia" w:ascii="宋体" w:hAnsi="宋体" w:eastAsia="宋体" w:cs="宋体"/>
          <w:color w:val="auto"/>
          <w:spacing w:val="-3"/>
          <w:sz w:val="24"/>
          <w:szCs w:val="24"/>
          <w:highlight w:val="none"/>
        </w:rPr>
        <w:t>保内容、保险金额、保</w:t>
      </w:r>
      <w:r>
        <w:rPr>
          <w:rFonts w:hint="eastAsia" w:ascii="宋体" w:hAnsi="宋体" w:eastAsia="宋体" w:cs="宋体"/>
          <w:color w:val="auto"/>
          <w:spacing w:val="-1"/>
          <w:sz w:val="24"/>
          <w:szCs w:val="24"/>
          <w:highlight w:val="none"/>
        </w:rPr>
        <w:t>险费率、保险期限等有关内容在专用合同条款中约定。</w:t>
      </w:r>
    </w:p>
    <w:p w14:paraId="15E0F1DD">
      <w:pPr>
        <w:spacing w:before="214" w:line="221" w:lineRule="auto"/>
        <w:ind w:left="1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20.2人员工伤事故的保险</w:t>
      </w:r>
    </w:p>
    <w:p w14:paraId="182D72D2">
      <w:pPr>
        <w:pStyle w:val="4"/>
        <w:spacing w:line="273" w:lineRule="auto"/>
        <w:rPr>
          <w:rFonts w:hint="eastAsia" w:ascii="宋体" w:hAnsi="宋体" w:eastAsia="宋体" w:cs="宋体"/>
          <w:color w:val="auto"/>
          <w:highlight w:val="none"/>
        </w:rPr>
      </w:pPr>
    </w:p>
    <w:p w14:paraId="68C33ED4">
      <w:pPr>
        <w:spacing w:before="79" w:line="221" w:lineRule="auto"/>
        <w:ind w:left="49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20.2.1承包人员工伤事故的保险</w:t>
      </w:r>
    </w:p>
    <w:p w14:paraId="7BC4608A">
      <w:pPr>
        <w:spacing w:before="115" w:line="307" w:lineRule="auto"/>
        <w:ind w:left="22" w:right="61" w:firstLine="478"/>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承包人应依照有关法律规定参加工伤保险，为其履行合同所雇用的全部人员，缴</w:t>
      </w:r>
      <w:r>
        <w:rPr>
          <w:rFonts w:hint="eastAsia" w:ascii="宋体" w:hAnsi="宋体" w:eastAsia="宋体" w:cs="宋体"/>
          <w:color w:val="auto"/>
          <w:spacing w:val="-1"/>
          <w:sz w:val="24"/>
          <w:szCs w:val="24"/>
          <w:highlight w:val="none"/>
        </w:rPr>
        <w:t>纳工伤保险费，并要求其分包人也进行此项保险。</w:t>
      </w:r>
    </w:p>
    <w:p w14:paraId="7C47685F">
      <w:pPr>
        <w:spacing w:before="1" w:line="220" w:lineRule="auto"/>
        <w:ind w:left="49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20.2.2发包人员工伤事故的保险</w:t>
      </w:r>
    </w:p>
    <w:p w14:paraId="6CC33BC6">
      <w:pPr>
        <w:spacing w:before="113" w:line="309" w:lineRule="auto"/>
        <w:ind w:left="23" w:right="61" w:firstLine="48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发包人应依照有关法律规定参加工伤保险，为其现场机构雇用的全部</w:t>
      </w:r>
      <w:r>
        <w:rPr>
          <w:rFonts w:hint="eastAsia" w:ascii="宋体" w:hAnsi="宋体" w:eastAsia="宋体" w:cs="宋体"/>
          <w:color w:val="auto"/>
          <w:spacing w:val="-3"/>
          <w:sz w:val="24"/>
          <w:szCs w:val="24"/>
          <w:highlight w:val="none"/>
        </w:rPr>
        <w:t>人员，缴纳</w:t>
      </w:r>
      <w:r>
        <w:rPr>
          <w:rFonts w:hint="eastAsia" w:ascii="宋体" w:hAnsi="宋体" w:eastAsia="宋体" w:cs="宋体"/>
          <w:color w:val="auto"/>
          <w:spacing w:val="-1"/>
          <w:sz w:val="24"/>
          <w:szCs w:val="24"/>
          <w:highlight w:val="none"/>
        </w:rPr>
        <w:t>工伤保险费，并要求其监理人也进行此项保险。</w:t>
      </w:r>
    </w:p>
    <w:p w14:paraId="1993BA74">
      <w:pPr>
        <w:spacing w:line="309" w:lineRule="auto"/>
        <w:rPr>
          <w:rFonts w:hint="eastAsia" w:ascii="宋体" w:hAnsi="宋体" w:eastAsia="宋体" w:cs="宋体"/>
          <w:color w:val="auto"/>
          <w:sz w:val="24"/>
          <w:szCs w:val="24"/>
          <w:highlight w:val="none"/>
        </w:rPr>
        <w:sectPr>
          <w:footerReference r:id="rId112" w:type="default"/>
          <w:pgSz w:w="11907" w:h="16840"/>
          <w:pgMar w:top="1182" w:right="1227" w:bottom="1014" w:left="1786" w:header="849" w:footer="852" w:gutter="0"/>
          <w:pgNumType w:fmt="decimal"/>
          <w:cols w:space="720" w:num="1"/>
        </w:sectPr>
      </w:pPr>
    </w:p>
    <w:p w14:paraId="6A2C5C3C">
      <w:pPr>
        <w:pStyle w:val="4"/>
        <w:spacing w:line="282" w:lineRule="auto"/>
        <w:rPr>
          <w:rFonts w:hint="eastAsia" w:ascii="宋体" w:hAnsi="宋体" w:eastAsia="宋体" w:cs="宋体"/>
          <w:color w:val="auto"/>
          <w:highlight w:val="none"/>
        </w:rPr>
      </w:pPr>
    </w:p>
    <w:p w14:paraId="05F22D62">
      <w:pPr>
        <w:spacing w:before="78" w:line="221" w:lineRule="auto"/>
        <w:ind w:left="1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20.3人身意外伤害险</w:t>
      </w:r>
    </w:p>
    <w:p w14:paraId="773D7270">
      <w:pPr>
        <w:pStyle w:val="4"/>
        <w:spacing w:line="273" w:lineRule="auto"/>
        <w:rPr>
          <w:rFonts w:hint="eastAsia" w:ascii="宋体" w:hAnsi="宋体" w:eastAsia="宋体" w:cs="宋体"/>
          <w:color w:val="auto"/>
          <w:highlight w:val="none"/>
        </w:rPr>
      </w:pPr>
    </w:p>
    <w:p w14:paraId="41123310">
      <w:pPr>
        <w:spacing w:before="78" w:line="263" w:lineRule="auto"/>
        <w:ind w:left="25" w:right="1" w:firstLine="47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20.3.1发包人应在整个施工期间为其现场机构雇用的全部人员，</w:t>
      </w:r>
      <w:r>
        <w:rPr>
          <w:rFonts w:hint="eastAsia" w:ascii="宋体" w:hAnsi="宋体" w:eastAsia="宋体" w:cs="宋体"/>
          <w:color w:val="auto"/>
          <w:spacing w:val="-1"/>
          <w:sz w:val="24"/>
          <w:szCs w:val="24"/>
          <w:highlight w:val="none"/>
        </w:rPr>
        <w:t>投保人身意外伤害险，缴纳保险费，并要求其监理人也进行此项保险。</w:t>
      </w:r>
    </w:p>
    <w:p w14:paraId="367C6957">
      <w:pPr>
        <w:spacing w:before="115" w:line="264" w:lineRule="auto"/>
        <w:ind w:left="25" w:right="1" w:firstLine="47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20.3.2承包人应在整个施工期间为其现场机构雇用的全部人员，投保人身意外伤</w:t>
      </w:r>
      <w:r>
        <w:rPr>
          <w:rFonts w:hint="eastAsia" w:ascii="宋体" w:hAnsi="宋体" w:eastAsia="宋体" w:cs="宋体"/>
          <w:color w:val="auto"/>
          <w:spacing w:val="-1"/>
          <w:sz w:val="24"/>
          <w:szCs w:val="24"/>
          <w:highlight w:val="none"/>
        </w:rPr>
        <w:t>害险，缴纳保险费，并要求其分包人也进行此项保险。</w:t>
      </w:r>
    </w:p>
    <w:p w14:paraId="5E7BA2C5">
      <w:pPr>
        <w:pStyle w:val="4"/>
        <w:spacing w:line="254" w:lineRule="auto"/>
        <w:rPr>
          <w:rFonts w:hint="eastAsia" w:ascii="宋体" w:hAnsi="宋体" w:eastAsia="宋体" w:cs="宋体"/>
          <w:color w:val="auto"/>
          <w:highlight w:val="none"/>
        </w:rPr>
      </w:pPr>
    </w:p>
    <w:p w14:paraId="3C7123CC">
      <w:pPr>
        <w:spacing w:before="78" w:line="221" w:lineRule="auto"/>
        <w:ind w:left="1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20.4第三者责任险</w:t>
      </w:r>
    </w:p>
    <w:p w14:paraId="4324377F">
      <w:pPr>
        <w:pStyle w:val="4"/>
        <w:spacing w:line="271" w:lineRule="auto"/>
        <w:rPr>
          <w:rFonts w:hint="eastAsia" w:ascii="宋体" w:hAnsi="宋体" w:eastAsia="宋体" w:cs="宋体"/>
          <w:color w:val="auto"/>
          <w:highlight w:val="none"/>
        </w:rPr>
      </w:pPr>
    </w:p>
    <w:p w14:paraId="196D70EB">
      <w:pPr>
        <w:spacing w:before="78" w:line="286" w:lineRule="auto"/>
        <w:ind w:left="19" w:right="1" w:firstLine="47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20.4.1第三者责任系指在保险期内，对因工程意外事故造成的、</w:t>
      </w:r>
      <w:r>
        <w:rPr>
          <w:rFonts w:hint="eastAsia" w:ascii="宋体" w:hAnsi="宋体" w:eastAsia="宋体" w:cs="宋体"/>
          <w:color w:val="auto"/>
          <w:spacing w:val="-1"/>
          <w:sz w:val="24"/>
          <w:szCs w:val="24"/>
          <w:highlight w:val="none"/>
        </w:rPr>
        <w:t>依法应由被保险</w:t>
      </w:r>
      <w:r>
        <w:rPr>
          <w:rFonts w:hint="eastAsia" w:ascii="宋体" w:hAnsi="宋体" w:eastAsia="宋体" w:cs="宋体"/>
          <w:color w:val="auto"/>
          <w:spacing w:val="-2"/>
          <w:sz w:val="24"/>
          <w:szCs w:val="24"/>
          <w:highlight w:val="none"/>
        </w:rPr>
        <w:t>人负责的工地上及毗邻地区的第三者人身伤亡、疾病或财产损</w:t>
      </w:r>
      <w:r>
        <w:rPr>
          <w:rFonts w:hint="eastAsia" w:ascii="宋体" w:hAnsi="宋体" w:eastAsia="宋体" w:cs="宋体"/>
          <w:color w:val="auto"/>
          <w:spacing w:val="-3"/>
          <w:sz w:val="24"/>
          <w:szCs w:val="24"/>
          <w:highlight w:val="none"/>
        </w:rPr>
        <w:t>失（本工程除外</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3"/>
          <w:sz w:val="24"/>
          <w:szCs w:val="24"/>
          <w:highlight w:val="none"/>
        </w:rPr>
        <w:t>以</w:t>
      </w:r>
      <w:r>
        <w:rPr>
          <w:rFonts w:hint="eastAsia" w:ascii="宋体" w:hAnsi="宋体" w:eastAsia="宋体" w:cs="宋体"/>
          <w:color w:val="auto"/>
          <w:spacing w:val="5"/>
          <w:sz w:val="24"/>
          <w:szCs w:val="24"/>
          <w:highlight w:val="none"/>
        </w:rPr>
        <w:t>及被保险人因此而支付的诉讼费用和事先经保险人书面同意</w:t>
      </w:r>
      <w:r>
        <w:rPr>
          <w:rFonts w:hint="eastAsia" w:ascii="宋体" w:hAnsi="宋体" w:eastAsia="宋体" w:cs="宋体"/>
          <w:color w:val="auto"/>
          <w:spacing w:val="4"/>
          <w:sz w:val="24"/>
          <w:szCs w:val="24"/>
          <w:highlight w:val="none"/>
        </w:rPr>
        <w:t>支付的其他费用等赔偿</w:t>
      </w:r>
      <w:r>
        <w:rPr>
          <w:rFonts w:hint="eastAsia" w:ascii="宋体" w:hAnsi="宋体" w:eastAsia="宋体" w:cs="宋体"/>
          <w:color w:val="auto"/>
          <w:spacing w:val="-3"/>
          <w:sz w:val="24"/>
          <w:szCs w:val="24"/>
          <w:highlight w:val="none"/>
        </w:rPr>
        <w:t>责任。</w:t>
      </w:r>
    </w:p>
    <w:p w14:paraId="56C35A4A">
      <w:pPr>
        <w:spacing w:before="112" w:line="279" w:lineRule="auto"/>
        <w:ind w:left="22" w:firstLine="47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20.4.2在缺陷责任期终止证书颁发前，承包人应以承包人和发包人的共同名义，投保第20.4.1项约定的第三者责任险，其保险费率、保险金额等有关内容在专用合同条款中约定。</w:t>
      </w:r>
    </w:p>
    <w:p w14:paraId="7EDB8D36">
      <w:pPr>
        <w:pStyle w:val="4"/>
        <w:spacing w:line="254" w:lineRule="auto"/>
        <w:rPr>
          <w:rFonts w:hint="eastAsia" w:ascii="宋体" w:hAnsi="宋体" w:eastAsia="宋体" w:cs="宋体"/>
          <w:color w:val="auto"/>
          <w:highlight w:val="none"/>
        </w:rPr>
      </w:pPr>
    </w:p>
    <w:p w14:paraId="109F59FE">
      <w:pPr>
        <w:spacing w:before="79" w:line="222" w:lineRule="auto"/>
        <w:ind w:left="16"/>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20.5其他保险</w:t>
      </w:r>
    </w:p>
    <w:p w14:paraId="6398CD11">
      <w:pPr>
        <w:pStyle w:val="4"/>
        <w:spacing w:line="270" w:lineRule="auto"/>
        <w:rPr>
          <w:rFonts w:hint="eastAsia" w:ascii="宋体" w:hAnsi="宋体" w:eastAsia="宋体" w:cs="宋体"/>
          <w:color w:val="auto"/>
          <w:highlight w:val="none"/>
        </w:rPr>
      </w:pPr>
    </w:p>
    <w:p w14:paraId="0EF5753E">
      <w:pPr>
        <w:spacing w:before="79" w:line="309" w:lineRule="auto"/>
        <w:ind w:left="25" w:right="1" w:firstLine="42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除专用合同条款另有约定外，承包人应为其施工设备、进场的材料和工程设备等</w:t>
      </w:r>
      <w:r>
        <w:rPr>
          <w:rFonts w:hint="eastAsia" w:ascii="宋体" w:hAnsi="宋体" w:eastAsia="宋体" w:cs="宋体"/>
          <w:color w:val="auto"/>
          <w:spacing w:val="-3"/>
          <w:sz w:val="24"/>
          <w:szCs w:val="24"/>
          <w:highlight w:val="none"/>
        </w:rPr>
        <w:t>办理保险。</w:t>
      </w:r>
    </w:p>
    <w:p w14:paraId="033938A9">
      <w:pPr>
        <w:spacing w:before="217" w:line="221" w:lineRule="auto"/>
        <w:ind w:left="1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20.6对各项保险的一般要求</w:t>
      </w:r>
    </w:p>
    <w:p w14:paraId="75B75CA5">
      <w:pPr>
        <w:pStyle w:val="4"/>
        <w:spacing w:line="271" w:lineRule="auto"/>
        <w:rPr>
          <w:rFonts w:hint="eastAsia" w:ascii="宋体" w:hAnsi="宋体" w:eastAsia="宋体" w:cs="宋体"/>
          <w:color w:val="auto"/>
          <w:highlight w:val="none"/>
        </w:rPr>
      </w:pPr>
    </w:p>
    <w:p w14:paraId="5A500DA8">
      <w:pPr>
        <w:spacing w:before="79" w:line="221" w:lineRule="auto"/>
        <w:ind w:left="4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20.6.1保险凭证</w:t>
      </w:r>
    </w:p>
    <w:p w14:paraId="67624BAA">
      <w:pPr>
        <w:spacing w:before="115" w:line="307" w:lineRule="auto"/>
        <w:ind w:left="22" w:right="3" w:firstLine="38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承包人应在专用合同条款约定的期限内向发包人提交各项保险生效的证据和保险</w:t>
      </w:r>
      <w:r>
        <w:rPr>
          <w:rFonts w:hint="eastAsia" w:ascii="宋体" w:hAnsi="宋体" w:eastAsia="宋体" w:cs="宋体"/>
          <w:color w:val="auto"/>
          <w:spacing w:val="-1"/>
          <w:sz w:val="24"/>
          <w:szCs w:val="24"/>
          <w:highlight w:val="none"/>
        </w:rPr>
        <w:t>单副本，保险单必须与专用合同条款约定的条件保持一致。</w:t>
      </w:r>
    </w:p>
    <w:p w14:paraId="2F2CE78D">
      <w:pPr>
        <w:spacing w:line="221" w:lineRule="auto"/>
        <w:ind w:left="4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20.6.2保险合同条款的变动</w:t>
      </w:r>
    </w:p>
    <w:p w14:paraId="18346599">
      <w:pPr>
        <w:spacing w:before="114" w:line="307" w:lineRule="auto"/>
        <w:ind w:left="22" w:right="3" w:firstLine="38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承包人需要变动保险合同条款时，应事先征得发包人同意，并通知监理人。保险人作出变动的，承包人应在收到保险人通知</w:t>
      </w:r>
      <w:r>
        <w:rPr>
          <w:rFonts w:hint="eastAsia" w:ascii="宋体" w:hAnsi="宋体" w:eastAsia="宋体" w:cs="宋体"/>
          <w:color w:val="auto"/>
          <w:spacing w:val="-1"/>
          <w:sz w:val="24"/>
          <w:szCs w:val="24"/>
          <w:highlight w:val="none"/>
        </w:rPr>
        <w:t>后立即通知发包人和监理人。</w:t>
      </w:r>
    </w:p>
    <w:p w14:paraId="5DC1DA0D">
      <w:pPr>
        <w:spacing w:line="222" w:lineRule="auto"/>
        <w:ind w:left="4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20.6.3持续保险</w:t>
      </w:r>
    </w:p>
    <w:p w14:paraId="2D0DB83A">
      <w:pPr>
        <w:spacing w:before="113" w:line="307" w:lineRule="auto"/>
        <w:ind w:left="22" w:right="3" w:firstLine="38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承包人应与保险人保持联系，使保险人能够随时了解工程实施中的变动，并确保</w:t>
      </w:r>
      <w:r>
        <w:rPr>
          <w:rFonts w:hint="eastAsia" w:ascii="宋体" w:hAnsi="宋体" w:eastAsia="宋体" w:cs="宋体"/>
          <w:color w:val="auto"/>
          <w:spacing w:val="-1"/>
          <w:sz w:val="24"/>
          <w:szCs w:val="24"/>
          <w:highlight w:val="none"/>
        </w:rPr>
        <w:t>按保险合同条款要求持续保险。</w:t>
      </w:r>
    </w:p>
    <w:p w14:paraId="2D7E4A40">
      <w:pPr>
        <w:spacing w:before="1" w:line="222" w:lineRule="auto"/>
        <w:ind w:left="4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20.6.4保险金不足的补偿</w:t>
      </w:r>
    </w:p>
    <w:p w14:paraId="47350514">
      <w:pPr>
        <w:spacing w:before="112" w:line="219" w:lineRule="auto"/>
        <w:ind w:left="41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保险金不足以补偿损失的，应由承包人和（或）发</w:t>
      </w:r>
      <w:r>
        <w:rPr>
          <w:rFonts w:hint="eastAsia" w:ascii="宋体" w:hAnsi="宋体" w:eastAsia="宋体" w:cs="宋体"/>
          <w:color w:val="auto"/>
          <w:spacing w:val="-1"/>
          <w:sz w:val="24"/>
          <w:szCs w:val="24"/>
          <w:highlight w:val="none"/>
        </w:rPr>
        <w:t>包人按合同约定负责补偿。</w:t>
      </w:r>
    </w:p>
    <w:p w14:paraId="572DA041">
      <w:pPr>
        <w:spacing w:before="116" w:line="222" w:lineRule="auto"/>
        <w:ind w:left="4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20.6.5未按约定投保的补救</w:t>
      </w:r>
    </w:p>
    <w:p w14:paraId="04389B19">
      <w:pPr>
        <w:spacing w:before="110" w:line="219" w:lineRule="auto"/>
        <w:ind w:right="1"/>
        <w:jc w:val="right"/>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（1）由于负有投保义务的一方当事人未按合同约定办理保险，或未能使保</w:t>
      </w:r>
      <w:r>
        <w:rPr>
          <w:rFonts w:hint="eastAsia" w:ascii="宋体" w:hAnsi="宋体" w:eastAsia="宋体" w:cs="宋体"/>
          <w:color w:val="auto"/>
          <w:spacing w:val="-4"/>
          <w:sz w:val="24"/>
          <w:szCs w:val="24"/>
          <w:highlight w:val="none"/>
        </w:rPr>
        <w:t>险持续</w:t>
      </w:r>
    </w:p>
    <w:p w14:paraId="4090F708">
      <w:pPr>
        <w:spacing w:line="219" w:lineRule="auto"/>
        <w:rPr>
          <w:rFonts w:hint="eastAsia" w:ascii="宋体" w:hAnsi="宋体" w:eastAsia="宋体" w:cs="宋体"/>
          <w:color w:val="auto"/>
          <w:sz w:val="24"/>
          <w:szCs w:val="24"/>
          <w:highlight w:val="none"/>
        </w:rPr>
        <w:sectPr>
          <w:headerReference r:id="rId113" w:type="default"/>
          <w:footerReference r:id="rId114" w:type="default"/>
          <w:pgSz w:w="11907" w:h="16840"/>
          <w:pgMar w:top="1182" w:right="1287" w:bottom="1014" w:left="1786" w:header="849" w:footer="852" w:gutter="0"/>
          <w:pgNumType w:fmt="decimal"/>
          <w:cols w:space="720" w:num="1"/>
        </w:sectPr>
      </w:pPr>
    </w:p>
    <w:p w14:paraId="38BF1448">
      <w:pPr>
        <w:pStyle w:val="4"/>
        <w:spacing w:line="302" w:lineRule="auto"/>
        <w:rPr>
          <w:rFonts w:hint="eastAsia" w:ascii="宋体" w:hAnsi="宋体" w:eastAsia="宋体" w:cs="宋体"/>
          <w:color w:val="auto"/>
          <w:highlight w:val="none"/>
        </w:rPr>
      </w:pPr>
    </w:p>
    <w:p w14:paraId="1BCF7347">
      <w:pPr>
        <w:spacing w:before="78" w:line="219" w:lineRule="auto"/>
        <w:ind w:left="2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有效的，另一方当事人可代为办理，所需费用由对方当事人承担。</w:t>
      </w:r>
    </w:p>
    <w:p w14:paraId="78B2AD69">
      <w:pPr>
        <w:spacing w:before="114" w:line="308" w:lineRule="auto"/>
        <w:ind w:left="21" w:right="80" w:firstLine="399"/>
        <w:jc w:val="both"/>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（2）由于负有投保义务的一方当事人未按合同约定办理某项保险，导致受</w:t>
      </w:r>
      <w:r>
        <w:rPr>
          <w:rFonts w:hint="eastAsia" w:ascii="宋体" w:hAnsi="宋体" w:eastAsia="宋体" w:cs="宋体"/>
          <w:color w:val="auto"/>
          <w:spacing w:val="-4"/>
          <w:sz w:val="24"/>
          <w:szCs w:val="24"/>
          <w:highlight w:val="none"/>
        </w:rPr>
        <w:t>益人未</w:t>
      </w:r>
      <w:r>
        <w:rPr>
          <w:rFonts w:hint="eastAsia" w:ascii="宋体" w:hAnsi="宋体" w:eastAsia="宋体" w:cs="宋体"/>
          <w:color w:val="auto"/>
          <w:spacing w:val="-2"/>
          <w:sz w:val="24"/>
          <w:szCs w:val="24"/>
          <w:highlight w:val="none"/>
        </w:rPr>
        <w:t>能得到保险人的赔偿，原应从该项保险得到的保险金应由负有投保义务的一方当事人</w:t>
      </w:r>
      <w:r>
        <w:rPr>
          <w:rFonts w:hint="eastAsia" w:ascii="宋体" w:hAnsi="宋体" w:eastAsia="宋体" w:cs="宋体"/>
          <w:color w:val="auto"/>
          <w:spacing w:val="-4"/>
          <w:sz w:val="24"/>
          <w:szCs w:val="24"/>
          <w:highlight w:val="none"/>
        </w:rPr>
        <w:t>支付。</w:t>
      </w:r>
    </w:p>
    <w:p w14:paraId="273F3E84">
      <w:pPr>
        <w:spacing w:before="1" w:line="220" w:lineRule="auto"/>
        <w:ind w:left="4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20.6.6报告义务</w:t>
      </w:r>
    </w:p>
    <w:p w14:paraId="6C16D14A">
      <w:pPr>
        <w:spacing w:before="113" w:line="218" w:lineRule="auto"/>
        <w:jc w:val="right"/>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当保险事故发生时，投保人应按照保险单规定</w:t>
      </w:r>
      <w:r>
        <w:rPr>
          <w:rFonts w:hint="eastAsia" w:ascii="宋体" w:hAnsi="宋体" w:eastAsia="宋体" w:cs="宋体"/>
          <w:color w:val="auto"/>
          <w:spacing w:val="-5"/>
          <w:sz w:val="24"/>
          <w:szCs w:val="24"/>
          <w:highlight w:val="none"/>
        </w:rPr>
        <w:t>的条件和期限及时向保险人报告。</w:t>
      </w:r>
    </w:p>
    <w:p w14:paraId="75A06C95">
      <w:pPr>
        <w:pStyle w:val="4"/>
        <w:spacing w:line="436" w:lineRule="auto"/>
        <w:rPr>
          <w:rFonts w:hint="eastAsia" w:ascii="宋体" w:hAnsi="宋体" w:eastAsia="宋体" w:cs="宋体"/>
          <w:color w:val="auto"/>
          <w:highlight w:val="none"/>
        </w:rPr>
      </w:pPr>
    </w:p>
    <w:p w14:paraId="37766B9E">
      <w:pPr>
        <w:spacing w:before="91" w:line="222" w:lineRule="auto"/>
        <w:ind w:left="17"/>
        <w:outlineLvl w:val="2"/>
        <w:rPr>
          <w:rFonts w:hint="eastAsia" w:ascii="宋体" w:hAnsi="宋体" w:eastAsia="宋体" w:cs="宋体"/>
          <w:color w:val="auto"/>
          <w:sz w:val="28"/>
          <w:szCs w:val="28"/>
          <w:highlight w:val="none"/>
        </w:rPr>
      </w:pPr>
      <w:bookmarkStart w:id="546" w:name="_Toc2106"/>
      <w:bookmarkStart w:id="547" w:name="_Toc24277"/>
      <w:bookmarkStart w:id="548" w:name="_Toc27035"/>
      <w:bookmarkStart w:id="549" w:name="_Toc14729"/>
      <w:bookmarkStart w:id="550" w:name="_Toc16464"/>
      <w:r>
        <w:rPr>
          <w:rFonts w:hint="eastAsia" w:ascii="宋体" w:hAnsi="宋体" w:eastAsia="宋体" w:cs="宋体"/>
          <w:color w:val="auto"/>
          <w:spacing w:val="-3"/>
          <w:sz w:val="28"/>
          <w:szCs w:val="28"/>
          <w:highlight w:val="none"/>
        </w:rPr>
        <w:t>21.不可抗力</w:t>
      </w:r>
      <w:bookmarkEnd w:id="546"/>
      <w:bookmarkEnd w:id="547"/>
      <w:bookmarkEnd w:id="548"/>
      <w:bookmarkEnd w:id="549"/>
      <w:bookmarkEnd w:id="550"/>
    </w:p>
    <w:p w14:paraId="2FA4B0DD">
      <w:pPr>
        <w:pStyle w:val="4"/>
        <w:spacing w:line="248" w:lineRule="auto"/>
        <w:rPr>
          <w:rFonts w:hint="eastAsia" w:ascii="宋体" w:hAnsi="宋体" w:eastAsia="宋体" w:cs="宋体"/>
          <w:color w:val="auto"/>
          <w:highlight w:val="none"/>
        </w:rPr>
      </w:pPr>
    </w:p>
    <w:p w14:paraId="21E8AD65">
      <w:pPr>
        <w:spacing w:before="78" w:line="221" w:lineRule="auto"/>
        <w:ind w:left="1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21.1不可抗力的确认</w:t>
      </w:r>
    </w:p>
    <w:p w14:paraId="22FA7C8C">
      <w:pPr>
        <w:pStyle w:val="4"/>
        <w:spacing w:line="273" w:lineRule="auto"/>
        <w:rPr>
          <w:rFonts w:hint="eastAsia" w:ascii="宋体" w:hAnsi="宋体" w:eastAsia="宋体" w:cs="宋体"/>
          <w:color w:val="auto"/>
          <w:highlight w:val="none"/>
        </w:rPr>
      </w:pPr>
    </w:p>
    <w:p w14:paraId="0B5B8725">
      <w:pPr>
        <w:spacing w:before="78" w:line="278" w:lineRule="auto"/>
        <w:ind w:left="20" w:firstLine="47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21.1.1不可抗力是指承包人和发包人在订立合同时不可预见，在工程施工过程中</w:t>
      </w:r>
      <w:r>
        <w:rPr>
          <w:rFonts w:hint="eastAsia" w:ascii="宋体" w:hAnsi="宋体" w:eastAsia="宋体" w:cs="宋体"/>
          <w:color w:val="auto"/>
          <w:spacing w:val="-6"/>
          <w:sz w:val="24"/>
          <w:szCs w:val="24"/>
          <w:highlight w:val="none"/>
        </w:rPr>
        <w:t>不可避免发生并不能克服的自然灾害和社会性突发事件，如地震、海啸、瘟疫、</w:t>
      </w:r>
      <w:r>
        <w:rPr>
          <w:rFonts w:hint="eastAsia" w:ascii="宋体" w:hAnsi="宋体" w:eastAsia="宋体" w:cs="宋体"/>
          <w:color w:val="auto"/>
          <w:spacing w:val="-7"/>
          <w:sz w:val="24"/>
          <w:szCs w:val="24"/>
          <w:highlight w:val="none"/>
        </w:rPr>
        <w:t>水灾、</w:t>
      </w:r>
      <w:r>
        <w:rPr>
          <w:rFonts w:hint="eastAsia" w:ascii="宋体" w:hAnsi="宋体" w:eastAsia="宋体" w:cs="宋体"/>
          <w:color w:val="auto"/>
          <w:spacing w:val="-1"/>
          <w:sz w:val="24"/>
          <w:szCs w:val="24"/>
          <w:highlight w:val="none"/>
        </w:rPr>
        <w:t>骚乱、暴动、战争和专用合同条款约定的其他情形。</w:t>
      </w:r>
    </w:p>
    <w:p w14:paraId="5FDABB5B">
      <w:pPr>
        <w:spacing w:before="117" w:line="278" w:lineRule="auto"/>
        <w:ind w:left="21" w:right="80" w:firstLine="47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21.1.2不可抗力发生后，发包人和承包人应及时认真统计所造成的损失，收集不可抗力造成损失的证据。合同双方对是否属于不可抗力或其损失的意见不一致的，由</w:t>
      </w:r>
      <w:r>
        <w:rPr>
          <w:rFonts w:hint="eastAsia" w:ascii="宋体" w:hAnsi="宋体" w:eastAsia="宋体" w:cs="宋体"/>
          <w:color w:val="auto"/>
          <w:spacing w:val="-1"/>
          <w:sz w:val="24"/>
          <w:szCs w:val="24"/>
          <w:highlight w:val="none"/>
        </w:rPr>
        <w:t>监理人按第3.5款商定或确定。发生争议时，按第24条的约定办理。</w:t>
      </w:r>
    </w:p>
    <w:p w14:paraId="56F6931B">
      <w:pPr>
        <w:pStyle w:val="4"/>
        <w:spacing w:line="256" w:lineRule="auto"/>
        <w:rPr>
          <w:rFonts w:hint="eastAsia" w:ascii="宋体" w:hAnsi="宋体" w:eastAsia="宋体" w:cs="宋体"/>
          <w:color w:val="auto"/>
          <w:highlight w:val="none"/>
        </w:rPr>
      </w:pPr>
    </w:p>
    <w:p w14:paraId="78AF830B">
      <w:pPr>
        <w:spacing w:before="78" w:line="221" w:lineRule="auto"/>
        <w:ind w:left="1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21.2不可抗力的通知</w:t>
      </w:r>
    </w:p>
    <w:p w14:paraId="26D7A28F">
      <w:pPr>
        <w:pStyle w:val="4"/>
        <w:spacing w:line="270" w:lineRule="auto"/>
        <w:rPr>
          <w:rFonts w:hint="eastAsia" w:ascii="宋体" w:hAnsi="宋体" w:eastAsia="宋体" w:cs="宋体"/>
          <w:color w:val="auto"/>
          <w:highlight w:val="none"/>
        </w:rPr>
      </w:pPr>
    </w:p>
    <w:p w14:paraId="6F723A27">
      <w:pPr>
        <w:spacing w:before="79" w:line="279" w:lineRule="auto"/>
        <w:ind w:left="24" w:right="80" w:firstLine="47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21.2.1合同一方当事人遇到不可抗力事件，使其履行合同义务受到阻碍时，应立即通知合同另一方当事人和监理人，书面说明不可抗力和受阻碍的详细情况，并提供</w:t>
      </w:r>
      <w:r>
        <w:rPr>
          <w:rFonts w:hint="eastAsia" w:ascii="宋体" w:hAnsi="宋体" w:eastAsia="宋体" w:cs="宋体"/>
          <w:color w:val="auto"/>
          <w:spacing w:val="-3"/>
          <w:sz w:val="24"/>
          <w:szCs w:val="24"/>
          <w:highlight w:val="none"/>
        </w:rPr>
        <w:t>必要的证明。</w:t>
      </w:r>
    </w:p>
    <w:p w14:paraId="787A11A0">
      <w:pPr>
        <w:spacing w:before="114" w:line="278" w:lineRule="auto"/>
        <w:ind w:left="22" w:right="80" w:firstLine="47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21.2.2如不可抗力持续发生，合同一方当事人应及时向合同另一方当事人和监理</w:t>
      </w:r>
      <w:r>
        <w:rPr>
          <w:rFonts w:hint="eastAsia" w:ascii="宋体" w:hAnsi="宋体" w:eastAsia="宋体" w:cs="宋体"/>
          <w:color w:val="auto"/>
          <w:spacing w:val="-4"/>
          <w:sz w:val="24"/>
          <w:szCs w:val="24"/>
          <w:highlight w:val="none"/>
        </w:rPr>
        <w:t>人提交中间报告，说明不可抗力和履行合同受阻的情况，并于不可抗力事件结束后28</w:t>
      </w:r>
      <w:r>
        <w:rPr>
          <w:rFonts w:hint="eastAsia" w:ascii="宋体" w:hAnsi="宋体" w:eastAsia="宋体" w:cs="宋体"/>
          <w:color w:val="auto"/>
          <w:spacing w:val="-1"/>
          <w:sz w:val="24"/>
          <w:szCs w:val="24"/>
          <w:highlight w:val="none"/>
        </w:rPr>
        <w:t>天内提交最终报告及有关资料。</w:t>
      </w:r>
    </w:p>
    <w:p w14:paraId="6E10951B">
      <w:pPr>
        <w:pStyle w:val="4"/>
        <w:spacing w:line="256" w:lineRule="auto"/>
        <w:rPr>
          <w:rFonts w:hint="eastAsia" w:ascii="宋体" w:hAnsi="宋体" w:eastAsia="宋体" w:cs="宋体"/>
          <w:color w:val="auto"/>
          <w:highlight w:val="none"/>
        </w:rPr>
      </w:pPr>
    </w:p>
    <w:p w14:paraId="70AF818D">
      <w:pPr>
        <w:spacing w:before="78" w:line="221" w:lineRule="auto"/>
        <w:ind w:left="1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21.3不可抗力后果及其处理</w:t>
      </w:r>
    </w:p>
    <w:p w14:paraId="2BFAACE8">
      <w:pPr>
        <w:pStyle w:val="4"/>
        <w:spacing w:line="273" w:lineRule="auto"/>
        <w:rPr>
          <w:rFonts w:hint="eastAsia" w:ascii="宋体" w:hAnsi="宋体" w:eastAsia="宋体" w:cs="宋体"/>
          <w:color w:val="auto"/>
          <w:highlight w:val="none"/>
        </w:rPr>
      </w:pPr>
    </w:p>
    <w:p w14:paraId="0C976C91">
      <w:pPr>
        <w:spacing w:before="79" w:line="221" w:lineRule="auto"/>
        <w:ind w:left="48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21.3.1不可抗力造成损害的责任</w:t>
      </w:r>
    </w:p>
    <w:p w14:paraId="18279C2C">
      <w:pPr>
        <w:spacing w:before="112" w:line="308" w:lineRule="auto"/>
        <w:ind w:left="32" w:right="80" w:firstLine="48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除专用合同条款另有约定外，不可抗力导致的</w:t>
      </w:r>
      <w:r>
        <w:rPr>
          <w:rFonts w:hint="eastAsia" w:ascii="宋体" w:hAnsi="宋体" w:eastAsia="宋体" w:cs="宋体"/>
          <w:color w:val="auto"/>
          <w:spacing w:val="-3"/>
          <w:sz w:val="24"/>
          <w:szCs w:val="24"/>
          <w:highlight w:val="none"/>
        </w:rPr>
        <w:t>人员伤亡、财产损失、费用增加和</w:t>
      </w:r>
      <w:r>
        <w:rPr>
          <w:rFonts w:hint="eastAsia" w:ascii="宋体" w:hAnsi="宋体" w:eastAsia="宋体" w:cs="宋体"/>
          <w:color w:val="auto"/>
          <w:spacing w:val="-1"/>
          <w:sz w:val="24"/>
          <w:szCs w:val="24"/>
          <w:highlight w:val="none"/>
        </w:rPr>
        <w:t>（或）工期延误等后果，由合同双方按以下原则承担：</w:t>
      </w:r>
    </w:p>
    <w:p w14:paraId="5EF07DB7">
      <w:pPr>
        <w:spacing w:before="2" w:line="262" w:lineRule="auto"/>
        <w:ind w:left="20" w:right="82" w:firstLine="73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（1）永久工程，包括已运至施工场地的材料和工程设备的损害，以及因工程</w:t>
      </w:r>
      <w:r>
        <w:rPr>
          <w:rFonts w:hint="eastAsia" w:ascii="宋体" w:hAnsi="宋体" w:eastAsia="宋体" w:cs="宋体"/>
          <w:color w:val="auto"/>
          <w:spacing w:val="-1"/>
          <w:sz w:val="24"/>
          <w:szCs w:val="24"/>
          <w:highlight w:val="none"/>
        </w:rPr>
        <w:t>损害造成的第三者人员伤亡和财产损失由发包人承担；</w:t>
      </w:r>
    </w:p>
    <w:p w14:paraId="554796AC">
      <w:pPr>
        <w:spacing w:before="116" w:line="219" w:lineRule="auto"/>
        <w:ind w:left="75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（2）承包人设备的损坏由承包人承担；</w:t>
      </w:r>
    </w:p>
    <w:p w14:paraId="70D43EAA">
      <w:pPr>
        <w:spacing w:before="116" w:line="219" w:lineRule="auto"/>
        <w:ind w:left="75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（3）发包人和承包人各自承担其人员伤亡和其他财产损失及其相关费用；</w:t>
      </w:r>
    </w:p>
    <w:p w14:paraId="07106C8A">
      <w:pPr>
        <w:spacing w:before="114" w:line="219" w:lineRule="auto"/>
        <w:ind w:left="75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（4）承包人的停工损失由承包人承担，但停工期间应监理人要求照管工程和</w:t>
      </w:r>
    </w:p>
    <w:p w14:paraId="47D4C4B7">
      <w:pPr>
        <w:spacing w:line="219" w:lineRule="auto"/>
        <w:rPr>
          <w:rFonts w:hint="eastAsia" w:ascii="宋体" w:hAnsi="宋体" w:eastAsia="宋体" w:cs="宋体"/>
          <w:color w:val="auto"/>
          <w:sz w:val="24"/>
          <w:szCs w:val="24"/>
          <w:highlight w:val="none"/>
        </w:rPr>
        <w:sectPr>
          <w:headerReference r:id="rId115" w:type="default"/>
          <w:footerReference r:id="rId116" w:type="default"/>
          <w:pgSz w:w="11907" w:h="16840"/>
          <w:pgMar w:top="1182" w:right="1209" w:bottom="1014" w:left="1786" w:header="849" w:footer="852" w:gutter="0"/>
          <w:pgNumType w:fmt="decimal"/>
          <w:cols w:space="720" w:num="1"/>
        </w:sectPr>
      </w:pPr>
    </w:p>
    <w:p w14:paraId="32A224BE">
      <w:pPr>
        <w:pStyle w:val="4"/>
        <w:spacing w:line="302" w:lineRule="auto"/>
        <w:rPr>
          <w:rFonts w:hint="eastAsia" w:ascii="宋体" w:hAnsi="宋体" w:eastAsia="宋体" w:cs="宋体"/>
          <w:color w:val="auto"/>
          <w:highlight w:val="none"/>
        </w:rPr>
      </w:pPr>
    </w:p>
    <w:p w14:paraId="30E4006B">
      <w:pPr>
        <w:spacing w:before="78" w:line="219" w:lineRule="auto"/>
        <w:ind w:left="2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清理、修复工程的金额由发包人承担；</w:t>
      </w:r>
    </w:p>
    <w:p w14:paraId="149B50AB">
      <w:pPr>
        <w:spacing w:before="116" w:line="307" w:lineRule="auto"/>
        <w:ind w:left="24" w:right="43" w:firstLine="72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（5）不能按期竣工的，应合理延长工期，承包人不需支付逾期竣</w:t>
      </w:r>
      <w:r>
        <w:rPr>
          <w:rFonts w:hint="eastAsia" w:ascii="宋体" w:hAnsi="宋体" w:eastAsia="宋体" w:cs="宋体"/>
          <w:color w:val="auto"/>
          <w:spacing w:val="-1"/>
          <w:sz w:val="24"/>
          <w:szCs w:val="24"/>
          <w:highlight w:val="none"/>
        </w:rPr>
        <w:t>工违约金。发包人要求赶工的，承包人应采取赶工措施，赶工费用由发包人承担。</w:t>
      </w:r>
    </w:p>
    <w:p w14:paraId="710F6B30">
      <w:pPr>
        <w:spacing w:before="1" w:line="220" w:lineRule="auto"/>
        <w:ind w:left="48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21.3.2延迟履行期间发生的不可抗力</w:t>
      </w:r>
    </w:p>
    <w:p w14:paraId="00417B1A">
      <w:pPr>
        <w:spacing w:before="114"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合同一方当事人延迟履行，在延迟履行期间发生不</w:t>
      </w:r>
      <w:r>
        <w:rPr>
          <w:rFonts w:hint="eastAsia" w:ascii="宋体" w:hAnsi="宋体" w:eastAsia="宋体" w:cs="宋体"/>
          <w:color w:val="auto"/>
          <w:spacing w:val="-1"/>
          <w:sz w:val="24"/>
          <w:szCs w:val="24"/>
          <w:highlight w:val="none"/>
        </w:rPr>
        <w:t>可抗力的，不免除其责任。</w:t>
      </w:r>
    </w:p>
    <w:p w14:paraId="11038579">
      <w:pPr>
        <w:spacing w:before="115" w:line="221" w:lineRule="auto"/>
        <w:ind w:left="48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21.3.3避免和减少不可抗力损失</w:t>
      </w:r>
    </w:p>
    <w:p w14:paraId="33742245">
      <w:pPr>
        <w:spacing w:before="112" w:line="308" w:lineRule="auto"/>
        <w:ind w:left="24" w:right="1" w:firstLine="48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不可抗力发生后，发包人和承包人均应采取措施尽量避免和减少损失</w:t>
      </w:r>
      <w:r>
        <w:rPr>
          <w:rFonts w:hint="eastAsia" w:ascii="宋体" w:hAnsi="宋体" w:eastAsia="宋体" w:cs="宋体"/>
          <w:color w:val="auto"/>
          <w:spacing w:val="-3"/>
          <w:sz w:val="24"/>
          <w:szCs w:val="24"/>
          <w:highlight w:val="none"/>
        </w:rPr>
        <w:t>的扩大，任</w:t>
      </w:r>
      <w:r>
        <w:rPr>
          <w:rFonts w:hint="eastAsia" w:ascii="宋体" w:hAnsi="宋体" w:eastAsia="宋体" w:cs="宋体"/>
          <w:color w:val="auto"/>
          <w:spacing w:val="-1"/>
          <w:sz w:val="24"/>
          <w:szCs w:val="24"/>
          <w:highlight w:val="none"/>
        </w:rPr>
        <w:t>何一方没有采取有效措施导致损失扩大的，应对扩大的损失承担责任。</w:t>
      </w:r>
    </w:p>
    <w:p w14:paraId="3322AC50">
      <w:pPr>
        <w:spacing w:before="1" w:line="220" w:lineRule="auto"/>
        <w:ind w:left="48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21.3.4因不可抗力解除合同</w:t>
      </w:r>
    </w:p>
    <w:p w14:paraId="08B54C52">
      <w:pPr>
        <w:spacing w:before="109" w:line="309" w:lineRule="auto"/>
        <w:ind w:left="16" w:firstLine="48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合同一方当事人因不可抗力不能履行合同的，应当及时通知对方解除合同。</w:t>
      </w:r>
      <w:r>
        <w:rPr>
          <w:rFonts w:hint="eastAsia" w:ascii="宋体" w:hAnsi="宋体" w:eastAsia="宋体" w:cs="宋体"/>
          <w:color w:val="auto"/>
          <w:spacing w:val="-3"/>
          <w:sz w:val="24"/>
          <w:szCs w:val="24"/>
          <w:highlight w:val="none"/>
        </w:rPr>
        <w:t>合同</w:t>
      </w:r>
      <w:r>
        <w:rPr>
          <w:rFonts w:hint="eastAsia" w:ascii="宋体" w:hAnsi="宋体" w:eastAsia="宋体" w:cs="宋体"/>
          <w:color w:val="auto"/>
          <w:spacing w:val="-2"/>
          <w:sz w:val="24"/>
          <w:szCs w:val="24"/>
          <w:highlight w:val="none"/>
        </w:rPr>
        <w:t>解除后，承包人应按照第22.2.5项约定撤离施工场地。已经订货的材料、设备由订货方负责退货或解除订货合同，不能退还的货款和因退货、解除订货合同发生的费用，由发包人承担，因未及时退货造成的损失由责任方承担。合同解除后的付款，参照第</w:t>
      </w:r>
      <w:r>
        <w:rPr>
          <w:rFonts w:hint="eastAsia" w:ascii="宋体" w:hAnsi="宋体" w:eastAsia="宋体" w:cs="宋体"/>
          <w:color w:val="auto"/>
          <w:spacing w:val="-1"/>
          <w:sz w:val="24"/>
          <w:szCs w:val="24"/>
          <w:highlight w:val="none"/>
        </w:rPr>
        <w:t>22.2.4项约定，由监理人按第3.5款商定或确定。</w:t>
      </w:r>
    </w:p>
    <w:p w14:paraId="23706016">
      <w:pPr>
        <w:pStyle w:val="4"/>
        <w:spacing w:line="315" w:lineRule="auto"/>
        <w:rPr>
          <w:rFonts w:hint="eastAsia" w:ascii="宋体" w:hAnsi="宋体" w:eastAsia="宋体" w:cs="宋体"/>
          <w:color w:val="auto"/>
          <w:highlight w:val="none"/>
        </w:rPr>
      </w:pPr>
    </w:p>
    <w:p w14:paraId="18416384">
      <w:pPr>
        <w:spacing w:before="91" w:line="224" w:lineRule="auto"/>
        <w:ind w:left="17"/>
        <w:outlineLvl w:val="2"/>
        <w:rPr>
          <w:rFonts w:hint="eastAsia" w:ascii="宋体" w:hAnsi="宋体" w:eastAsia="宋体" w:cs="宋体"/>
          <w:color w:val="auto"/>
          <w:sz w:val="28"/>
          <w:szCs w:val="28"/>
          <w:highlight w:val="none"/>
        </w:rPr>
      </w:pPr>
      <w:bookmarkStart w:id="551" w:name="_Toc13023"/>
      <w:bookmarkStart w:id="552" w:name="_Toc13299"/>
      <w:bookmarkStart w:id="553" w:name="_Toc31241"/>
      <w:bookmarkStart w:id="554" w:name="_Toc2107"/>
      <w:bookmarkStart w:id="555" w:name="_Toc20896"/>
      <w:r>
        <w:rPr>
          <w:rFonts w:hint="eastAsia" w:ascii="宋体" w:hAnsi="宋体" w:eastAsia="宋体" w:cs="宋体"/>
          <w:color w:val="auto"/>
          <w:spacing w:val="-3"/>
          <w:sz w:val="28"/>
          <w:szCs w:val="28"/>
          <w:highlight w:val="none"/>
        </w:rPr>
        <w:t>22.违约</w:t>
      </w:r>
      <w:bookmarkEnd w:id="551"/>
      <w:bookmarkEnd w:id="552"/>
      <w:bookmarkEnd w:id="553"/>
      <w:bookmarkEnd w:id="554"/>
      <w:bookmarkEnd w:id="555"/>
    </w:p>
    <w:p w14:paraId="02E53971">
      <w:pPr>
        <w:pStyle w:val="4"/>
        <w:spacing w:line="248" w:lineRule="auto"/>
        <w:rPr>
          <w:rFonts w:hint="eastAsia" w:ascii="宋体" w:hAnsi="宋体" w:eastAsia="宋体" w:cs="宋体"/>
          <w:color w:val="auto"/>
          <w:highlight w:val="none"/>
        </w:rPr>
      </w:pPr>
    </w:p>
    <w:p w14:paraId="6440E499">
      <w:pPr>
        <w:spacing w:before="78" w:line="222" w:lineRule="auto"/>
        <w:ind w:left="1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22.1承包人违约</w:t>
      </w:r>
    </w:p>
    <w:p w14:paraId="2686177B">
      <w:pPr>
        <w:pStyle w:val="4"/>
        <w:spacing w:line="270" w:lineRule="auto"/>
        <w:rPr>
          <w:rFonts w:hint="eastAsia" w:ascii="宋体" w:hAnsi="宋体" w:eastAsia="宋体" w:cs="宋体"/>
          <w:color w:val="auto"/>
          <w:highlight w:val="none"/>
        </w:rPr>
      </w:pPr>
    </w:p>
    <w:p w14:paraId="57CFBB65">
      <w:pPr>
        <w:spacing w:before="78" w:line="222" w:lineRule="auto"/>
        <w:ind w:left="49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22.1.1承包人违约的情形</w:t>
      </w:r>
    </w:p>
    <w:p w14:paraId="41840CCD">
      <w:pPr>
        <w:spacing w:before="112" w:line="219" w:lineRule="auto"/>
        <w:ind w:left="49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在履行合同过程中发生的下列情况属承包人违约：</w:t>
      </w:r>
    </w:p>
    <w:p w14:paraId="35447B6D">
      <w:pPr>
        <w:spacing w:before="115" w:line="263" w:lineRule="auto"/>
        <w:ind w:left="21" w:right="1" w:firstLine="49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（1）承包人违反第1.8款或第4.3款的约定，私自将合同的全部或部分权利转让</w:t>
      </w:r>
      <w:r>
        <w:rPr>
          <w:rFonts w:hint="eastAsia" w:ascii="宋体" w:hAnsi="宋体" w:eastAsia="宋体" w:cs="宋体"/>
          <w:color w:val="auto"/>
          <w:spacing w:val="-1"/>
          <w:sz w:val="24"/>
          <w:szCs w:val="24"/>
          <w:highlight w:val="none"/>
        </w:rPr>
        <w:t>给其他人，或私自将合同的全部或部分义务转移给其他人；</w:t>
      </w:r>
    </w:p>
    <w:p w14:paraId="1DFE4201">
      <w:pPr>
        <w:spacing w:before="117" w:line="263" w:lineRule="auto"/>
        <w:ind w:left="26" w:right="1" w:firstLine="48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（2）承包人违反第5.3款或第6.4款的约定，未经监理人批准，私自将已按合同</w:t>
      </w:r>
      <w:r>
        <w:rPr>
          <w:rFonts w:hint="eastAsia" w:ascii="宋体" w:hAnsi="宋体" w:eastAsia="宋体" w:cs="宋体"/>
          <w:color w:val="auto"/>
          <w:spacing w:val="-1"/>
          <w:sz w:val="24"/>
          <w:szCs w:val="24"/>
          <w:highlight w:val="none"/>
        </w:rPr>
        <w:t>约定进入施工场地的施工设备、临时设施或材料撤离施工场地；</w:t>
      </w:r>
    </w:p>
    <w:p w14:paraId="357D43CD">
      <w:pPr>
        <w:spacing w:before="114" w:line="264" w:lineRule="auto"/>
        <w:ind w:left="21" w:right="1" w:firstLine="49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（3）承包人违反第5.4款的约定使用了不合格材料或工程设备，工程质量达</w:t>
      </w:r>
      <w:r>
        <w:rPr>
          <w:rFonts w:hint="eastAsia" w:ascii="宋体" w:hAnsi="宋体" w:eastAsia="宋体" w:cs="宋体"/>
          <w:color w:val="auto"/>
          <w:spacing w:val="-5"/>
          <w:sz w:val="24"/>
          <w:szCs w:val="24"/>
          <w:highlight w:val="none"/>
        </w:rPr>
        <w:t>不到</w:t>
      </w:r>
      <w:r>
        <w:rPr>
          <w:rFonts w:hint="eastAsia" w:ascii="宋体" w:hAnsi="宋体" w:eastAsia="宋体" w:cs="宋体"/>
          <w:color w:val="auto"/>
          <w:spacing w:val="-1"/>
          <w:sz w:val="24"/>
          <w:szCs w:val="24"/>
          <w:highlight w:val="none"/>
        </w:rPr>
        <w:t>标准要求，又拒绝清除不合格工程；</w:t>
      </w:r>
    </w:p>
    <w:p w14:paraId="4DC2E547">
      <w:pPr>
        <w:spacing w:before="116" w:line="263" w:lineRule="auto"/>
        <w:ind w:left="23" w:right="1" w:firstLine="48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（4）承包人未能按合同进度计划及时完成合同约定的工作，已造成或预期造成</w:t>
      </w:r>
      <w:r>
        <w:rPr>
          <w:rFonts w:hint="eastAsia" w:ascii="宋体" w:hAnsi="宋体" w:eastAsia="宋体" w:cs="宋体"/>
          <w:color w:val="auto"/>
          <w:spacing w:val="-3"/>
          <w:sz w:val="24"/>
          <w:szCs w:val="24"/>
          <w:highlight w:val="none"/>
        </w:rPr>
        <w:t>工期延误；</w:t>
      </w:r>
    </w:p>
    <w:p w14:paraId="11CD2192">
      <w:pPr>
        <w:spacing w:before="115" w:line="264" w:lineRule="auto"/>
        <w:ind w:left="36" w:right="1" w:firstLine="47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（5）承包人在缺陷责任期内，未能对工程接收证书所列的缺陷清单的内容或缺</w:t>
      </w:r>
      <w:r>
        <w:rPr>
          <w:rFonts w:hint="eastAsia" w:ascii="宋体" w:hAnsi="宋体" w:eastAsia="宋体" w:cs="宋体"/>
          <w:color w:val="auto"/>
          <w:spacing w:val="-1"/>
          <w:sz w:val="24"/>
          <w:szCs w:val="24"/>
          <w:highlight w:val="none"/>
        </w:rPr>
        <w:t>陷责任期内发生的缺陷进行修复，而又拒绝按监理人指示再进行修补；</w:t>
      </w:r>
    </w:p>
    <w:p w14:paraId="34FFC8D8">
      <w:pPr>
        <w:spacing w:before="113" w:line="219" w:lineRule="auto"/>
        <w:ind w:left="51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（6）承包人无法继续履行或明确表示不履行或实质上已停止履行合同；</w:t>
      </w:r>
    </w:p>
    <w:p w14:paraId="69E5664D">
      <w:pPr>
        <w:spacing w:before="116" w:line="219" w:lineRule="auto"/>
        <w:ind w:left="51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（7）承包人不按合同约定履行义务的其他情况。</w:t>
      </w:r>
    </w:p>
    <w:p w14:paraId="1C647AB7">
      <w:pPr>
        <w:spacing w:before="117" w:line="222" w:lineRule="auto"/>
        <w:ind w:left="48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22.1.2对承包人违约的处理</w:t>
      </w:r>
    </w:p>
    <w:p w14:paraId="16147AD8">
      <w:pPr>
        <w:spacing w:before="109" w:line="219" w:lineRule="auto"/>
        <w:ind w:right="1"/>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（1）承包人发生第22.1.1（6）目约定的违约情况时，发包人可通知</w:t>
      </w:r>
      <w:r>
        <w:rPr>
          <w:rFonts w:hint="eastAsia" w:ascii="宋体" w:hAnsi="宋体" w:eastAsia="宋体" w:cs="宋体"/>
          <w:color w:val="auto"/>
          <w:spacing w:val="-3"/>
          <w:sz w:val="24"/>
          <w:szCs w:val="24"/>
          <w:highlight w:val="none"/>
        </w:rPr>
        <w:t>承包人立即</w:t>
      </w:r>
    </w:p>
    <w:p w14:paraId="16D63DB8">
      <w:pPr>
        <w:spacing w:line="219" w:lineRule="auto"/>
        <w:rPr>
          <w:rFonts w:hint="eastAsia" w:ascii="宋体" w:hAnsi="宋体" w:eastAsia="宋体" w:cs="宋体"/>
          <w:color w:val="auto"/>
          <w:sz w:val="24"/>
          <w:szCs w:val="24"/>
          <w:highlight w:val="none"/>
        </w:rPr>
        <w:sectPr>
          <w:headerReference r:id="rId117" w:type="default"/>
          <w:footerReference r:id="rId118" w:type="default"/>
          <w:pgSz w:w="11907" w:h="16840"/>
          <w:pgMar w:top="1182" w:right="1287" w:bottom="1014" w:left="1786" w:header="849" w:footer="852" w:gutter="0"/>
          <w:pgNumType w:fmt="decimal"/>
          <w:cols w:space="720" w:num="1"/>
        </w:sectPr>
      </w:pPr>
    </w:p>
    <w:p w14:paraId="395F9C6C">
      <w:pPr>
        <w:pStyle w:val="4"/>
        <w:spacing w:line="302" w:lineRule="auto"/>
        <w:rPr>
          <w:rFonts w:hint="eastAsia" w:ascii="宋体" w:hAnsi="宋体" w:eastAsia="宋体" w:cs="宋体"/>
          <w:color w:val="auto"/>
          <w:highlight w:val="none"/>
        </w:rPr>
      </w:pPr>
    </w:p>
    <w:p w14:paraId="72D45308">
      <w:pPr>
        <w:spacing w:before="78" w:line="219" w:lineRule="auto"/>
        <w:ind w:left="1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解除合同，并按有关法律处理。</w:t>
      </w:r>
    </w:p>
    <w:p w14:paraId="7E34EEFE">
      <w:pPr>
        <w:spacing w:before="116" w:line="278" w:lineRule="auto"/>
        <w:ind w:left="20" w:right="20"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（2）承包人发生除第22.1.1（6）目约定以外的其他违约情况时，监</w:t>
      </w:r>
      <w:r>
        <w:rPr>
          <w:rFonts w:hint="eastAsia" w:ascii="宋体" w:hAnsi="宋体" w:eastAsia="宋体" w:cs="宋体"/>
          <w:color w:val="auto"/>
          <w:spacing w:val="-3"/>
          <w:sz w:val="24"/>
          <w:szCs w:val="24"/>
          <w:highlight w:val="none"/>
        </w:rPr>
        <w:t>理人可向承</w:t>
      </w:r>
      <w:r>
        <w:rPr>
          <w:rFonts w:hint="eastAsia" w:ascii="宋体" w:hAnsi="宋体" w:eastAsia="宋体" w:cs="宋体"/>
          <w:color w:val="auto"/>
          <w:spacing w:val="-2"/>
          <w:sz w:val="24"/>
          <w:szCs w:val="24"/>
          <w:highlight w:val="none"/>
        </w:rPr>
        <w:t>包人发出整改通知，要求其在指定的期限内改正。承包人应承担其违约所引起的费用</w:t>
      </w:r>
      <w:r>
        <w:rPr>
          <w:rFonts w:hint="eastAsia" w:ascii="宋体" w:hAnsi="宋体" w:eastAsia="宋体" w:cs="宋体"/>
          <w:color w:val="auto"/>
          <w:spacing w:val="-1"/>
          <w:sz w:val="24"/>
          <w:szCs w:val="24"/>
          <w:highlight w:val="none"/>
        </w:rPr>
        <w:t>增加和（或）工期延误。</w:t>
      </w:r>
    </w:p>
    <w:p w14:paraId="61F6FEDD">
      <w:pPr>
        <w:spacing w:before="115" w:line="264" w:lineRule="auto"/>
        <w:ind w:left="49" w:right="20" w:firstLine="46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（3）经检查证明承包人已采取了有效措施纠正违约行为，具备复工条件的，可</w:t>
      </w:r>
      <w:r>
        <w:rPr>
          <w:rFonts w:hint="eastAsia" w:ascii="宋体" w:hAnsi="宋体" w:eastAsia="宋体" w:cs="宋体"/>
          <w:color w:val="auto"/>
          <w:spacing w:val="-3"/>
          <w:sz w:val="24"/>
          <w:szCs w:val="24"/>
          <w:highlight w:val="none"/>
        </w:rPr>
        <w:t>由监理人签发复工通知复工。</w:t>
      </w:r>
    </w:p>
    <w:p w14:paraId="705E0E1E">
      <w:pPr>
        <w:spacing w:before="111" w:line="222" w:lineRule="auto"/>
        <w:ind w:left="48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22.1.3承包人违约解除合同</w:t>
      </w:r>
    </w:p>
    <w:p w14:paraId="669B426C">
      <w:pPr>
        <w:spacing w:before="109" w:line="308" w:lineRule="auto"/>
        <w:ind w:left="20" w:right="20" w:firstLine="48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监理人发出整改通知28天后，承包人仍不纠正违约行</w:t>
      </w:r>
      <w:r>
        <w:rPr>
          <w:rFonts w:hint="eastAsia" w:ascii="宋体" w:hAnsi="宋体" w:eastAsia="宋体" w:cs="宋体"/>
          <w:color w:val="auto"/>
          <w:sz w:val="24"/>
          <w:szCs w:val="24"/>
          <w:highlight w:val="none"/>
        </w:rPr>
        <w:t>为的，发包人可向承包人</w:t>
      </w:r>
      <w:r>
        <w:rPr>
          <w:rFonts w:hint="eastAsia" w:ascii="宋体" w:hAnsi="宋体" w:eastAsia="宋体" w:cs="宋体"/>
          <w:color w:val="auto"/>
          <w:spacing w:val="-2"/>
          <w:sz w:val="24"/>
          <w:szCs w:val="24"/>
          <w:highlight w:val="none"/>
        </w:rPr>
        <w:t>发出解除合同通知。合同解除后，发包人可派员进驻施工场地，另行组织人员或委托其他承包人施工。发包人因继续完成该工程的需要，有权扣留使用承包人在现场的材料、设备和临时设施。但发包人的这一行动不免除承包人应承担的违约责任，也不影</w:t>
      </w:r>
      <w:r>
        <w:rPr>
          <w:rFonts w:hint="eastAsia" w:ascii="宋体" w:hAnsi="宋体" w:eastAsia="宋体" w:cs="宋体"/>
          <w:color w:val="auto"/>
          <w:spacing w:val="-1"/>
          <w:sz w:val="24"/>
          <w:szCs w:val="24"/>
          <w:highlight w:val="none"/>
        </w:rPr>
        <w:t>响发包人根据合同约定享有的索赔权利。</w:t>
      </w:r>
    </w:p>
    <w:p w14:paraId="41BFA149">
      <w:pPr>
        <w:spacing w:before="1" w:line="221" w:lineRule="auto"/>
        <w:ind w:left="48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22.1.4合同解除后的估价、付款和结清</w:t>
      </w:r>
    </w:p>
    <w:p w14:paraId="24A3D6F3">
      <w:pPr>
        <w:spacing w:before="113" w:line="263" w:lineRule="auto"/>
        <w:ind w:left="19" w:right="20" w:firstLine="492"/>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（1）合同解除后，监理人按第3.5款商定或确定承包人实际完成工作的价值，以</w:t>
      </w:r>
      <w:r>
        <w:rPr>
          <w:rFonts w:hint="eastAsia" w:ascii="宋体" w:hAnsi="宋体" w:eastAsia="宋体" w:cs="宋体"/>
          <w:color w:val="auto"/>
          <w:sz w:val="24"/>
          <w:szCs w:val="24"/>
          <w:highlight w:val="none"/>
        </w:rPr>
        <w:t>及承包人已提供的材料、施工设备、工程设备</w:t>
      </w:r>
      <w:r>
        <w:rPr>
          <w:rFonts w:hint="eastAsia" w:ascii="宋体" w:hAnsi="宋体" w:eastAsia="宋体" w:cs="宋体"/>
          <w:color w:val="auto"/>
          <w:spacing w:val="-1"/>
          <w:sz w:val="24"/>
          <w:szCs w:val="24"/>
          <w:highlight w:val="none"/>
        </w:rPr>
        <w:t>和临时工程等的价值。</w:t>
      </w:r>
    </w:p>
    <w:p w14:paraId="40260EDD">
      <w:pPr>
        <w:spacing w:before="115" w:line="264" w:lineRule="auto"/>
        <w:ind w:left="22" w:right="20" w:firstLine="48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（2）合同解除后，发包人应暂停对承包人的一切付款，查清各项付款和已扣款</w:t>
      </w:r>
      <w:r>
        <w:rPr>
          <w:rFonts w:hint="eastAsia" w:ascii="宋体" w:hAnsi="宋体" w:eastAsia="宋体" w:cs="宋体"/>
          <w:color w:val="auto"/>
          <w:spacing w:val="-1"/>
          <w:sz w:val="24"/>
          <w:szCs w:val="24"/>
          <w:highlight w:val="none"/>
        </w:rPr>
        <w:t>金额，包括承包人应支付的违约金。</w:t>
      </w:r>
    </w:p>
    <w:p w14:paraId="70549039">
      <w:pPr>
        <w:spacing w:before="114" w:line="264" w:lineRule="auto"/>
        <w:ind w:left="20" w:right="20" w:firstLine="49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（3）合同解除后，发包人应按第23.4款的约定向承包人索赔由于解除合同给发</w:t>
      </w:r>
      <w:r>
        <w:rPr>
          <w:rFonts w:hint="eastAsia" w:ascii="宋体" w:hAnsi="宋体" w:eastAsia="宋体" w:cs="宋体"/>
          <w:color w:val="auto"/>
          <w:spacing w:val="-2"/>
          <w:sz w:val="24"/>
          <w:szCs w:val="24"/>
          <w:highlight w:val="none"/>
        </w:rPr>
        <w:t>包人造成的损失。</w:t>
      </w:r>
    </w:p>
    <w:p w14:paraId="61889E37">
      <w:pPr>
        <w:spacing w:before="115" w:line="264" w:lineRule="auto"/>
        <w:ind w:left="24" w:right="20" w:firstLine="487"/>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（4）合同双方确认上述往来款项后，出具最终结清付款证书，结清全部合同款</w:t>
      </w:r>
      <w:r>
        <w:rPr>
          <w:rFonts w:hint="eastAsia" w:ascii="宋体" w:hAnsi="宋体" w:eastAsia="宋体" w:cs="宋体"/>
          <w:color w:val="auto"/>
          <w:spacing w:val="-7"/>
          <w:sz w:val="24"/>
          <w:szCs w:val="24"/>
          <w:highlight w:val="none"/>
        </w:rPr>
        <w:t>项。</w:t>
      </w:r>
    </w:p>
    <w:p w14:paraId="45B8E451">
      <w:pPr>
        <w:spacing w:before="111" w:line="264" w:lineRule="auto"/>
        <w:ind w:left="22" w:right="46"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（5）发包人和承包人未能就解除合同后的结清达成一致而形成争议的，按第24条的约定办理。</w:t>
      </w:r>
    </w:p>
    <w:p w14:paraId="52567474">
      <w:pPr>
        <w:spacing w:before="116" w:line="222" w:lineRule="auto"/>
        <w:ind w:left="48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22.1.5协议利益的转让</w:t>
      </w:r>
    </w:p>
    <w:p w14:paraId="0D70A895">
      <w:pPr>
        <w:spacing w:before="109" w:line="308" w:lineRule="auto"/>
        <w:ind w:left="21" w:right="20" w:firstLine="497"/>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因承包人违约解除合同的，发包人有权要求承包人将其为实施合同而签订的材料</w:t>
      </w:r>
      <w:r>
        <w:rPr>
          <w:rFonts w:hint="eastAsia" w:ascii="宋体" w:hAnsi="宋体" w:eastAsia="宋体" w:cs="宋体"/>
          <w:color w:val="auto"/>
          <w:sz w:val="24"/>
          <w:szCs w:val="24"/>
          <w:highlight w:val="none"/>
        </w:rPr>
        <w:t>和设备的订货协议或任何服务协议利益转让给发包人，并在解除合同后的14天内，</w:t>
      </w:r>
      <w:r>
        <w:rPr>
          <w:rFonts w:hint="eastAsia" w:ascii="宋体" w:hAnsi="宋体" w:eastAsia="宋体" w:cs="宋体"/>
          <w:color w:val="auto"/>
          <w:spacing w:val="-2"/>
          <w:sz w:val="24"/>
          <w:szCs w:val="24"/>
          <w:highlight w:val="none"/>
        </w:rPr>
        <w:t>依法办理转让手续。</w:t>
      </w:r>
    </w:p>
    <w:p w14:paraId="7BAA73F5">
      <w:pPr>
        <w:spacing w:line="220" w:lineRule="auto"/>
        <w:ind w:left="48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22.1.6紧急情况下无能力或不愿进行抢救</w:t>
      </w:r>
    </w:p>
    <w:p w14:paraId="0ADAABDD">
      <w:pPr>
        <w:spacing w:before="113" w:line="309" w:lineRule="auto"/>
        <w:ind w:left="20" w:firstLine="47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在工程实施期间或缺陷责任期内发生危及工程安全的事件，监理人通知承包人进</w:t>
      </w:r>
      <w:r>
        <w:rPr>
          <w:rFonts w:hint="eastAsia" w:ascii="宋体" w:hAnsi="宋体" w:eastAsia="宋体" w:cs="宋体"/>
          <w:color w:val="auto"/>
          <w:spacing w:val="-1"/>
          <w:sz w:val="24"/>
          <w:szCs w:val="24"/>
          <w:highlight w:val="none"/>
        </w:rPr>
        <w:t>行抢救，承包人声明无能力或不愿立即执行的，发包</w:t>
      </w:r>
      <w:r>
        <w:rPr>
          <w:rFonts w:hint="eastAsia" w:ascii="宋体" w:hAnsi="宋体" w:eastAsia="宋体" w:cs="宋体"/>
          <w:color w:val="auto"/>
          <w:spacing w:val="-2"/>
          <w:sz w:val="24"/>
          <w:szCs w:val="24"/>
          <w:highlight w:val="none"/>
        </w:rPr>
        <w:t>人有权雇佣其他人员进行抢救。此类抢救按合同约定属于承包人义务的，由此发生的金额和（或）工期延误由承包人</w:t>
      </w:r>
      <w:r>
        <w:rPr>
          <w:rFonts w:hint="eastAsia" w:ascii="宋体" w:hAnsi="宋体" w:eastAsia="宋体" w:cs="宋体"/>
          <w:color w:val="auto"/>
          <w:spacing w:val="-4"/>
          <w:sz w:val="24"/>
          <w:szCs w:val="24"/>
          <w:highlight w:val="none"/>
        </w:rPr>
        <w:t>承担。</w:t>
      </w:r>
    </w:p>
    <w:p w14:paraId="072AAEF2">
      <w:pPr>
        <w:spacing w:line="309" w:lineRule="auto"/>
        <w:rPr>
          <w:rFonts w:hint="eastAsia" w:ascii="宋体" w:hAnsi="宋体" w:eastAsia="宋体" w:cs="宋体"/>
          <w:color w:val="auto"/>
          <w:sz w:val="24"/>
          <w:szCs w:val="24"/>
          <w:highlight w:val="none"/>
        </w:rPr>
        <w:sectPr>
          <w:headerReference r:id="rId119" w:type="default"/>
          <w:footerReference r:id="rId120" w:type="default"/>
          <w:pgSz w:w="11907" w:h="16840"/>
          <w:pgMar w:top="1182" w:right="1269" w:bottom="1014" w:left="1786" w:header="849" w:footer="852" w:gutter="0"/>
          <w:pgNumType w:fmt="decimal"/>
          <w:cols w:space="720" w:num="1"/>
        </w:sectPr>
      </w:pPr>
    </w:p>
    <w:p w14:paraId="2681FFDF">
      <w:pPr>
        <w:pStyle w:val="4"/>
        <w:spacing w:line="282" w:lineRule="auto"/>
        <w:rPr>
          <w:rFonts w:hint="eastAsia" w:ascii="宋体" w:hAnsi="宋体" w:eastAsia="宋体" w:cs="宋体"/>
          <w:color w:val="auto"/>
          <w:highlight w:val="none"/>
        </w:rPr>
      </w:pPr>
    </w:p>
    <w:p w14:paraId="73EB08AF">
      <w:pPr>
        <w:spacing w:before="78" w:line="221" w:lineRule="auto"/>
        <w:ind w:left="1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22.2发包人违约</w:t>
      </w:r>
    </w:p>
    <w:p w14:paraId="5C78D68F">
      <w:pPr>
        <w:pStyle w:val="4"/>
        <w:spacing w:line="273" w:lineRule="auto"/>
        <w:rPr>
          <w:rFonts w:hint="eastAsia" w:ascii="宋体" w:hAnsi="宋体" w:eastAsia="宋体" w:cs="宋体"/>
          <w:color w:val="auto"/>
          <w:highlight w:val="none"/>
        </w:rPr>
      </w:pPr>
    </w:p>
    <w:p w14:paraId="4894A23C">
      <w:pPr>
        <w:spacing w:before="78" w:line="221" w:lineRule="auto"/>
        <w:ind w:left="49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22.2.1发包人违约的情形</w:t>
      </w:r>
    </w:p>
    <w:p w14:paraId="6D6775E5">
      <w:pPr>
        <w:spacing w:before="111" w:line="220" w:lineRule="auto"/>
        <w:ind w:left="49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在履行合同过程中发生的下列情形，属发包人违约：</w:t>
      </w:r>
    </w:p>
    <w:p w14:paraId="6ECFD56E">
      <w:pPr>
        <w:spacing w:before="114" w:line="264" w:lineRule="auto"/>
        <w:ind w:left="18" w:right="61" w:firstLine="49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（1）发包人未能按合同约定支付预付款或合同价款，或拖延、拒绝批准付款申</w:t>
      </w:r>
      <w:r>
        <w:rPr>
          <w:rFonts w:hint="eastAsia" w:ascii="宋体" w:hAnsi="宋体" w:eastAsia="宋体" w:cs="宋体"/>
          <w:color w:val="auto"/>
          <w:spacing w:val="-1"/>
          <w:sz w:val="24"/>
          <w:szCs w:val="24"/>
          <w:highlight w:val="none"/>
        </w:rPr>
        <w:t>请和支付凭证，导致付款延误的；</w:t>
      </w:r>
    </w:p>
    <w:p w14:paraId="215DE27A">
      <w:pPr>
        <w:spacing w:before="113" w:line="220" w:lineRule="auto"/>
        <w:ind w:left="51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（2）发包人原因造成停工的；</w:t>
      </w:r>
    </w:p>
    <w:p w14:paraId="05767E6E">
      <w:pPr>
        <w:spacing w:before="114" w:line="265" w:lineRule="auto"/>
        <w:ind w:left="40" w:right="61" w:firstLine="47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（3）监理人无正当理由没有在约定期限内发出复工指示，导致承包人无法复工</w:t>
      </w:r>
      <w:r>
        <w:rPr>
          <w:rFonts w:hint="eastAsia" w:ascii="宋体" w:hAnsi="宋体" w:eastAsia="宋体" w:cs="宋体"/>
          <w:color w:val="auto"/>
          <w:spacing w:val="-15"/>
          <w:sz w:val="24"/>
          <w:szCs w:val="24"/>
          <w:highlight w:val="none"/>
        </w:rPr>
        <w:t>的；</w:t>
      </w:r>
    </w:p>
    <w:p w14:paraId="3699A9FD">
      <w:pPr>
        <w:spacing w:before="111" w:line="219" w:lineRule="auto"/>
        <w:ind w:left="51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（4）发包人无法继续履行或明确表示不履行或实质上已停止履行合同的；</w:t>
      </w:r>
    </w:p>
    <w:p w14:paraId="2680C3C4">
      <w:pPr>
        <w:spacing w:before="116" w:line="219" w:lineRule="auto"/>
        <w:ind w:left="51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（5）发包人不履行合同约定其他义务的。</w:t>
      </w:r>
    </w:p>
    <w:p w14:paraId="45F657DF">
      <w:pPr>
        <w:spacing w:before="116" w:line="222" w:lineRule="auto"/>
        <w:ind w:left="48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22.2.2承包人有权暂停施工</w:t>
      </w:r>
    </w:p>
    <w:p w14:paraId="07492FB2">
      <w:pPr>
        <w:spacing w:before="109" w:line="308" w:lineRule="auto"/>
        <w:ind w:left="21" w:firstLine="48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发包人发生除第22.2.1（4）目以外的违约情</w:t>
      </w:r>
      <w:r>
        <w:rPr>
          <w:rFonts w:hint="eastAsia" w:ascii="宋体" w:hAnsi="宋体" w:eastAsia="宋体" w:cs="宋体"/>
          <w:color w:val="auto"/>
          <w:spacing w:val="-4"/>
          <w:sz w:val="24"/>
          <w:szCs w:val="24"/>
          <w:highlight w:val="none"/>
        </w:rPr>
        <w:t>况时，承包人可向发包人发出通知，</w:t>
      </w:r>
      <w:r>
        <w:rPr>
          <w:rFonts w:hint="eastAsia" w:ascii="宋体" w:hAnsi="宋体" w:eastAsia="宋体" w:cs="宋体"/>
          <w:color w:val="auto"/>
          <w:spacing w:val="1"/>
          <w:sz w:val="24"/>
          <w:szCs w:val="24"/>
          <w:highlight w:val="none"/>
        </w:rPr>
        <w:t>要求发包人采取有效措施纠正违约行为。发包人收到承包人</w:t>
      </w:r>
      <w:r>
        <w:rPr>
          <w:rFonts w:hint="eastAsia" w:ascii="宋体" w:hAnsi="宋体" w:eastAsia="宋体" w:cs="宋体"/>
          <w:color w:val="auto"/>
          <w:sz w:val="24"/>
          <w:szCs w:val="24"/>
          <w:highlight w:val="none"/>
        </w:rPr>
        <w:t>通知后的28天内仍不履</w:t>
      </w:r>
      <w:r>
        <w:rPr>
          <w:rFonts w:hint="eastAsia" w:ascii="宋体" w:hAnsi="宋体" w:eastAsia="宋体" w:cs="宋体"/>
          <w:color w:val="auto"/>
          <w:spacing w:val="-2"/>
          <w:sz w:val="24"/>
          <w:szCs w:val="24"/>
          <w:highlight w:val="none"/>
        </w:rPr>
        <w:t>行合同义务，承包人有权暂停施工，并通知监理人，发包人应承担由此增加的费用和</w:t>
      </w:r>
      <w:r>
        <w:rPr>
          <w:rFonts w:hint="eastAsia" w:ascii="宋体" w:hAnsi="宋体" w:eastAsia="宋体" w:cs="宋体"/>
          <w:color w:val="auto"/>
          <w:spacing w:val="-1"/>
          <w:sz w:val="24"/>
          <w:szCs w:val="24"/>
          <w:highlight w:val="none"/>
        </w:rPr>
        <w:t>（或）工期延误，并支付承包人合理利润。</w:t>
      </w:r>
    </w:p>
    <w:p w14:paraId="5FA81A49">
      <w:pPr>
        <w:spacing w:before="1" w:line="220" w:lineRule="auto"/>
        <w:ind w:left="48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22.2.3发包人违约解除合同</w:t>
      </w:r>
    </w:p>
    <w:p w14:paraId="5A9F52BE">
      <w:pPr>
        <w:spacing w:before="113" w:line="219" w:lineRule="auto"/>
        <w:ind w:left="51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（1）发生第22.2.1（4）目的违约情况时，承包人可书面通知发包人</w:t>
      </w:r>
      <w:r>
        <w:rPr>
          <w:rFonts w:hint="eastAsia" w:ascii="宋体" w:hAnsi="宋体" w:eastAsia="宋体" w:cs="宋体"/>
          <w:color w:val="auto"/>
          <w:spacing w:val="-3"/>
          <w:sz w:val="24"/>
          <w:szCs w:val="24"/>
          <w:highlight w:val="none"/>
        </w:rPr>
        <w:t>解除合同。</w:t>
      </w:r>
    </w:p>
    <w:p w14:paraId="1BE8F426">
      <w:pPr>
        <w:spacing w:before="113" w:line="279" w:lineRule="auto"/>
        <w:ind w:left="19" w:right="61" w:firstLine="49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（2）承包人按第22.2.2项暂停施工28天后，发包人仍不</w:t>
      </w:r>
      <w:r>
        <w:rPr>
          <w:rFonts w:hint="eastAsia" w:ascii="宋体" w:hAnsi="宋体" w:eastAsia="宋体" w:cs="宋体"/>
          <w:color w:val="auto"/>
          <w:spacing w:val="-3"/>
          <w:sz w:val="24"/>
          <w:szCs w:val="24"/>
          <w:highlight w:val="none"/>
        </w:rPr>
        <w:t>纠正违约行为的，承包</w:t>
      </w:r>
      <w:r>
        <w:rPr>
          <w:rFonts w:hint="eastAsia" w:ascii="宋体" w:hAnsi="宋体" w:eastAsia="宋体" w:cs="宋体"/>
          <w:color w:val="auto"/>
          <w:spacing w:val="5"/>
          <w:sz w:val="24"/>
          <w:szCs w:val="24"/>
          <w:highlight w:val="none"/>
        </w:rPr>
        <w:t>人可向发包人发出解除合同通知。但承包人的这一行动不免</w:t>
      </w:r>
      <w:r>
        <w:rPr>
          <w:rFonts w:hint="eastAsia" w:ascii="宋体" w:hAnsi="宋体" w:eastAsia="宋体" w:cs="宋体"/>
          <w:color w:val="auto"/>
          <w:spacing w:val="4"/>
          <w:sz w:val="24"/>
          <w:szCs w:val="24"/>
          <w:highlight w:val="none"/>
        </w:rPr>
        <w:t>除发包人承担的违约责</w:t>
      </w:r>
      <w:r>
        <w:rPr>
          <w:rFonts w:hint="eastAsia" w:ascii="宋体" w:hAnsi="宋体" w:eastAsia="宋体" w:cs="宋体"/>
          <w:color w:val="auto"/>
          <w:spacing w:val="-1"/>
          <w:sz w:val="24"/>
          <w:szCs w:val="24"/>
          <w:highlight w:val="none"/>
        </w:rPr>
        <w:t>任，也不影响承包人根据合同约定享有的索赔权利。</w:t>
      </w:r>
    </w:p>
    <w:p w14:paraId="3CBF5A4E">
      <w:pPr>
        <w:spacing w:before="113" w:line="222" w:lineRule="auto"/>
        <w:ind w:left="48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22.2.4解除合同后的付款</w:t>
      </w:r>
    </w:p>
    <w:p w14:paraId="7A7E1C90">
      <w:pPr>
        <w:spacing w:before="113" w:line="307" w:lineRule="auto"/>
        <w:ind w:left="20" w:right="61" w:firstLine="49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因发包人违约解除合同的，发包人应在解除合同后28天内向承包人支付下列金额，承包人应在此期限内及时向发包人提交要求支付下列</w:t>
      </w:r>
      <w:r>
        <w:rPr>
          <w:rFonts w:hint="eastAsia" w:ascii="宋体" w:hAnsi="宋体" w:eastAsia="宋体" w:cs="宋体"/>
          <w:color w:val="auto"/>
          <w:spacing w:val="-1"/>
          <w:sz w:val="24"/>
          <w:szCs w:val="24"/>
          <w:highlight w:val="none"/>
        </w:rPr>
        <w:t>金额的有关资料和凭证：</w:t>
      </w:r>
    </w:p>
    <w:p w14:paraId="4B6CF2DB">
      <w:pPr>
        <w:spacing w:before="2" w:line="217" w:lineRule="auto"/>
        <w:ind w:left="51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（1）合同解除日以前所完成工作的价款；</w:t>
      </w:r>
    </w:p>
    <w:p w14:paraId="466F88BC">
      <w:pPr>
        <w:spacing w:before="118" w:line="263" w:lineRule="auto"/>
        <w:ind w:left="24" w:right="101" w:firstLine="48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（2）承包人为该工程施工订购并已付款的材料、工程设备和其他物品的金</w:t>
      </w:r>
      <w:r>
        <w:rPr>
          <w:rFonts w:hint="eastAsia" w:ascii="宋体" w:hAnsi="宋体" w:eastAsia="宋体" w:cs="宋体"/>
          <w:color w:val="auto"/>
          <w:spacing w:val="-1"/>
          <w:sz w:val="24"/>
          <w:szCs w:val="24"/>
          <w:highlight w:val="none"/>
        </w:rPr>
        <w:t>额。发包人付还后，该材料、工程设备和其他物品归发包人所有；</w:t>
      </w:r>
    </w:p>
    <w:p w14:paraId="44B1F2EB">
      <w:pPr>
        <w:spacing w:before="115" w:line="219" w:lineRule="auto"/>
        <w:ind w:left="51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（3）承包人为完成工程所发生的，而发包人未支付的金额；</w:t>
      </w:r>
    </w:p>
    <w:p w14:paraId="0CB32674">
      <w:pPr>
        <w:spacing w:before="116" w:line="219" w:lineRule="auto"/>
        <w:ind w:left="51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（4）承包人撤离施工场地以及遣散承包人人员的金额；</w:t>
      </w:r>
    </w:p>
    <w:p w14:paraId="3410926B">
      <w:pPr>
        <w:spacing w:before="116" w:line="219" w:lineRule="auto"/>
        <w:ind w:left="51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（5）由于解除合同应赔偿的承包人损失；</w:t>
      </w:r>
    </w:p>
    <w:p w14:paraId="5F3DF64A">
      <w:pPr>
        <w:spacing w:before="114" w:line="219" w:lineRule="auto"/>
        <w:ind w:left="51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（6）按合同约定在合同解除日前应支付给承包人的其他金额。</w:t>
      </w:r>
    </w:p>
    <w:p w14:paraId="53606851">
      <w:pPr>
        <w:spacing w:before="116" w:line="307" w:lineRule="auto"/>
        <w:ind w:left="20" w:right="61" w:firstLine="48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发包人应按本项约定支付上述金额并退还质量保证金和履约担保，但</w:t>
      </w:r>
      <w:r>
        <w:rPr>
          <w:rFonts w:hint="eastAsia" w:ascii="宋体" w:hAnsi="宋体" w:eastAsia="宋体" w:cs="宋体"/>
          <w:color w:val="auto"/>
          <w:spacing w:val="-3"/>
          <w:sz w:val="24"/>
          <w:szCs w:val="24"/>
          <w:highlight w:val="none"/>
        </w:rPr>
        <w:t>有权要求承</w:t>
      </w:r>
      <w:r>
        <w:rPr>
          <w:rFonts w:hint="eastAsia" w:ascii="宋体" w:hAnsi="宋体" w:eastAsia="宋体" w:cs="宋体"/>
          <w:color w:val="auto"/>
          <w:spacing w:val="-1"/>
          <w:sz w:val="24"/>
          <w:szCs w:val="24"/>
          <w:highlight w:val="none"/>
        </w:rPr>
        <w:t>包人支付应偿还给发包人的各项金额。</w:t>
      </w:r>
    </w:p>
    <w:p w14:paraId="725B0067">
      <w:pPr>
        <w:spacing w:before="1" w:line="221" w:lineRule="auto"/>
        <w:ind w:left="48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22.2.5解除合同后的承包人撤离</w:t>
      </w:r>
    </w:p>
    <w:p w14:paraId="26DB4672">
      <w:pPr>
        <w:spacing w:before="112" w:line="219" w:lineRule="auto"/>
        <w:ind w:left="42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因发包人违约而解除合同后，承包人应妥善做好已竣工工程和已购材料、设备的</w:t>
      </w:r>
    </w:p>
    <w:p w14:paraId="44D81F80">
      <w:pPr>
        <w:spacing w:line="219" w:lineRule="auto"/>
        <w:rPr>
          <w:rFonts w:hint="eastAsia" w:ascii="宋体" w:hAnsi="宋体" w:eastAsia="宋体" w:cs="宋体"/>
          <w:color w:val="auto"/>
          <w:sz w:val="24"/>
          <w:szCs w:val="24"/>
          <w:highlight w:val="none"/>
        </w:rPr>
        <w:sectPr>
          <w:headerReference r:id="rId121" w:type="default"/>
          <w:footerReference r:id="rId122" w:type="default"/>
          <w:pgSz w:w="11907" w:h="16840"/>
          <w:pgMar w:top="1182" w:right="1227" w:bottom="1014" w:left="1786" w:header="849" w:footer="852" w:gutter="0"/>
          <w:pgNumType w:fmt="decimal"/>
          <w:cols w:space="720" w:num="1"/>
        </w:sectPr>
      </w:pPr>
    </w:p>
    <w:p w14:paraId="202A09DA">
      <w:pPr>
        <w:pStyle w:val="4"/>
        <w:spacing w:line="301" w:lineRule="auto"/>
        <w:rPr>
          <w:rFonts w:hint="eastAsia" w:ascii="宋体" w:hAnsi="宋体" w:eastAsia="宋体" w:cs="宋体"/>
          <w:color w:val="auto"/>
          <w:highlight w:val="none"/>
        </w:rPr>
      </w:pPr>
    </w:p>
    <w:p w14:paraId="661DB008">
      <w:pPr>
        <w:spacing w:before="78" w:line="310" w:lineRule="auto"/>
        <w:ind w:left="19" w:right="80" w:firstLine="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保护和移交工作，按发包人要求将承包人设备和人员撤出施工场地。承包人撤出施工</w:t>
      </w:r>
      <w:r>
        <w:rPr>
          <w:rFonts w:hint="eastAsia" w:ascii="宋体" w:hAnsi="宋体" w:eastAsia="宋体" w:cs="宋体"/>
          <w:color w:val="auto"/>
          <w:spacing w:val="-1"/>
          <w:sz w:val="24"/>
          <w:szCs w:val="24"/>
          <w:highlight w:val="none"/>
        </w:rPr>
        <w:t>场地应遵守第18.7.1项的约定，发包人应为承包人撤出提供必要</w:t>
      </w:r>
      <w:r>
        <w:rPr>
          <w:rFonts w:hint="eastAsia" w:ascii="宋体" w:hAnsi="宋体" w:eastAsia="宋体" w:cs="宋体"/>
          <w:color w:val="auto"/>
          <w:spacing w:val="-2"/>
          <w:sz w:val="24"/>
          <w:szCs w:val="24"/>
          <w:highlight w:val="none"/>
        </w:rPr>
        <w:t>条件。</w:t>
      </w:r>
    </w:p>
    <w:p w14:paraId="391B66A9">
      <w:pPr>
        <w:spacing w:before="213" w:line="222" w:lineRule="auto"/>
        <w:ind w:left="1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22.3第三人造成的违约</w:t>
      </w:r>
    </w:p>
    <w:p w14:paraId="7E81E294">
      <w:pPr>
        <w:pStyle w:val="4"/>
        <w:spacing w:line="273" w:lineRule="auto"/>
        <w:rPr>
          <w:rFonts w:hint="eastAsia" w:ascii="宋体" w:hAnsi="宋体" w:eastAsia="宋体" w:cs="宋体"/>
          <w:color w:val="auto"/>
          <w:highlight w:val="none"/>
        </w:rPr>
      </w:pPr>
    </w:p>
    <w:p w14:paraId="3A7AF315">
      <w:pPr>
        <w:spacing w:before="78" w:line="310" w:lineRule="auto"/>
        <w:ind w:left="20" w:right="60" w:firstLine="387"/>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在履行合同过程中，一方当事人因第三人的</w:t>
      </w:r>
      <w:r>
        <w:rPr>
          <w:rFonts w:hint="eastAsia" w:ascii="宋体" w:hAnsi="宋体" w:eastAsia="宋体" w:cs="宋体"/>
          <w:color w:val="auto"/>
          <w:sz w:val="24"/>
          <w:szCs w:val="24"/>
          <w:highlight w:val="none"/>
        </w:rPr>
        <w:t>原因造成违约的，应当向对方当事人</w:t>
      </w:r>
      <w:r>
        <w:rPr>
          <w:rFonts w:hint="eastAsia" w:ascii="宋体" w:hAnsi="宋体" w:eastAsia="宋体" w:cs="宋体"/>
          <w:color w:val="auto"/>
          <w:spacing w:val="-1"/>
          <w:sz w:val="24"/>
          <w:szCs w:val="24"/>
          <w:highlight w:val="none"/>
        </w:rPr>
        <w:t>承担违约责任。一方当事人和第三人之间的纠纷，依</w:t>
      </w:r>
      <w:r>
        <w:rPr>
          <w:rFonts w:hint="eastAsia" w:ascii="宋体" w:hAnsi="宋体" w:eastAsia="宋体" w:cs="宋体"/>
          <w:color w:val="auto"/>
          <w:spacing w:val="-2"/>
          <w:sz w:val="24"/>
          <w:szCs w:val="24"/>
          <w:highlight w:val="none"/>
        </w:rPr>
        <w:t>照法律规定或者按照约定解决。</w:t>
      </w:r>
    </w:p>
    <w:p w14:paraId="702EE663">
      <w:pPr>
        <w:pStyle w:val="4"/>
        <w:spacing w:line="316" w:lineRule="auto"/>
        <w:rPr>
          <w:rFonts w:hint="eastAsia" w:ascii="宋体" w:hAnsi="宋体" w:eastAsia="宋体" w:cs="宋体"/>
          <w:color w:val="auto"/>
          <w:highlight w:val="none"/>
        </w:rPr>
      </w:pPr>
    </w:p>
    <w:p w14:paraId="24890032">
      <w:pPr>
        <w:spacing w:before="91" w:line="222" w:lineRule="auto"/>
        <w:ind w:left="17"/>
        <w:outlineLvl w:val="2"/>
        <w:rPr>
          <w:rFonts w:hint="eastAsia" w:ascii="宋体" w:hAnsi="宋体" w:eastAsia="宋体" w:cs="宋体"/>
          <w:color w:val="auto"/>
          <w:sz w:val="28"/>
          <w:szCs w:val="28"/>
          <w:highlight w:val="none"/>
        </w:rPr>
      </w:pPr>
      <w:bookmarkStart w:id="556" w:name="_Toc27632"/>
      <w:bookmarkStart w:id="557" w:name="_Toc22666"/>
      <w:bookmarkStart w:id="558" w:name="_Toc12242"/>
      <w:bookmarkStart w:id="559" w:name="_Toc17219"/>
      <w:bookmarkStart w:id="560" w:name="_Toc5837"/>
      <w:r>
        <w:rPr>
          <w:rFonts w:hint="eastAsia" w:ascii="宋体" w:hAnsi="宋体" w:eastAsia="宋体" w:cs="宋体"/>
          <w:color w:val="auto"/>
          <w:spacing w:val="-4"/>
          <w:sz w:val="28"/>
          <w:szCs w:val="28"/>
          <w:highlight w:val="none"/>
        </w:rPr>
        <w:t>23.索赔</w:t>
      </w:r>
      <w:bookmarkEnd w:id="556"/>
      <w:bookmarkEnd w:id="557"/>
      <w:bookmarkEnd w:id="558"/>
      <w:bookmarkEnd w:id="559"/>
      <w:bookmarkEnd w:id="560"/>
    </w:p>
    <w:p w14:paraId="2294F5DD">
      <w:pPr>
        <w:pStyle w:val="4"/>
        <w:spacing w:line="246" w:lineRule="auto"/>
        <w:rPr>
          <w:rFonts w:hint="eastAsia" w:ascii="宋体" w:hAnsi="宋体" w:eastAsia="宋体" w:cs="宋体"/>
          <w:color w:val="auto"/>
          <w:highlight w:val="none"/>
        </w:rPr>
      </w:pPr>
    </w:p>
    <w:p w14:paraId="262746ED">
      <w:pPr>
        <w:spacing w:before="78" w:line="222" w:lineRule="auto"/>
        <w:ind w:left="1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23.1承包人索赔的提出</w:t>
      </w:r>
    </w:p>
    <w:p w14:paraId="01805D59">
      <w:pPr>
        <w:pStyle w:val="4"/>
        <w:spacing w:line="274" w:lineRule="auto"/>
        <w:rPr>
          <w:rFonts w:hint="eastAsia" w:ascii="宋体" w:hAnsi="宋体" w:eastAsia="宋体" w:cs="宋体"/>
          <w:color w:val="auto"/>
          <w:highlight w:val="none"/>
        </w:rPr>
      </w:pPr>
    </w:p>
    <w:p w14:paraId="1E9D0400">
      <w:pPr>
        <w:spacing w:before="78" w:line="307" w:lineRule="auto"/>
        <w:ind w:left="19" w:right="80" w:firstLine="48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根据合同约定，承包人认为有权得到追加付款和（或）延长工期的，应按以下程</w:t>
      </w:r>
      <w:r>
        <w:rPr>
          <w:rFonts w:hint="eastAsia" w:ascii="宋体" w:hAnsi="宋体" w:eastAsia="宋体" w:cs="宋体"/>
          <w:color w:val="auto"/>
          <w:spacing w:val="-1"/>
          <w:sz w:val="24"/>
          <w:szCs w:val="24"/>
          <w:highlight w:val="none"/>
        </w:rPr>
        <w:t>序向发包人提出索赔：</w:t>
      </w:r>
    </w:p>
    <w:p w14:paraId="288596AD">
      <w:pPr>
        <w:spacing w:before="2" w:line="278" w:lineRule="auto"/>
        <w:ind w:left="25" w:right="80" w:firstLine="486"/>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（1）承包人应在知道或应当知道索赔事件发生后28</w:t>
      </w:r>
      <w:r>
        <w:rPr>
          <w:rFonts w:hint="eastAsia" w:ascii="宋体" w:hAnsi="宋体" w:eastAsia="宋体" w:cs="宋体"/>
          <w:color w:val="auto"/>
          <w:spacing w:val="-3"/>
          <w:sz w:val="24"/>
          <w:szCs w:val="24"/>
          <w:highlight w:val="none"/>
        </w:rPr>
        <w:t>天内，向监理人递交索赔意</w:t>
      </w:r>
      <w:r>
        <w:rPr>
          <w:rFonts w:hint="eastAsia" w:ascii="宋体" w:hAnsi="宋体" w:eastAsia="宋体" w:cs="宋体"/>
          <w:color w:val="auto"/>
          <w:spacing w:val="1"/>
          <w:sz w:val="24"/>
          <w:szCs w:val="24"/>
          <w:highlight w:val="none"/>
        </w:rPr>
        <w:t>向通知书，并说明发生索赔事件的事由。承包</w:t>
      </w:r>
      <w:r>
        <w:rPr>
          <w:rFonts w:hint="eastAsia" w:ascii="宋体" w:hAnsi="宋体" w:eastAsia="宋体" w:cs="宋体"/>
          <w:color w:val="auto"/>
          <w:sz w:val="24"/>
          <w:szCs w:val="24"/>
          <w:highlight w:val="none"/>
        </w:rPr>
        <w:t>人未在前述28天内发出索赔意向通知</w:t>
      </w:r>
      <w:r>
        <w:rPr>
          <w:rFonts w:hint="eastAsia" w:ascii="宋体" w:hAnsi="宋体" w:eastAsia="宋体" w:cs="宋体"/>
          <w:color w:val="auto"/>
          <w:spacing w:val="-1"/>
          <w:sz w:val="24"/>
          <w:szCs w:val="24"/>
          <w:highlight w:val="none"/>
        </w:rPr>
        <w:t>书的，丧失要求追加付款和（或）延长工期的权利；</w:t>
      </w:r>
    </w:p>
    <w:p w14:paraId="5DBE8474">
      <w:pPr>
        <w:spacing w:before="116" w:line="278" w:lineRule="auto"/>
        <w:ind w:left="24" w:firstLine="487"/>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（2）承包人应在发出索赔意向通知书后28天内，向监理人正式递交索赔通知</w:t>
      </w:r>
      <w:r>
        <w:rPr>
          <w:rFonts w:hint="eastAsia" w:ascii="宋体" w:hAnsi="宋体" w:eastAsia="宋体" w:cs="宋体"/>
          <w:color w:val="auto"/>
          <w:spacing w:val="-8"/>
          <w:sz w:val="24"/>
          <w:szCs w:val="24"/>
          <w:highlight w:val="none"/>
        </w:rPr>
        <w:t>书。</w:t>
      </w:r>
      <w:r>
        <w:rPr>
          <w:rFonts w:hint="eastAsia" w:ascii="宋体" w:hAnsi="宋体" w:eastAsia="宋体" w:cs="宋体"/>
          <w:color w:val="auto"/>
          <w:spacing w:val="-2"/>
          <w:sz w:val="24"/>
          <w:szCs w:val="24"/>
          <w:highlight w:val="none"/>
        </w:rPr>
        <w:t>索赔通知书应详细说明索赔理由以及要求追加的付款金额和（或）延长的工期，并附必要的记录和证明材料；</w:t>
      </w:r>
    </w:p>
    <w:p w14:paraId="6F31EBAD">
      <w:pPr>
        <w:spacing w:before="112" w:line="279" w:lineRule="auto"/>
        <w:ind w:left="22" w:right="80" w:firstLine="48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（3）索赔事件具有连续影响的，承包人应按合理时间间隔继续递交延续索赔通</w:t>
      </w:r>
      <w:r>
        <w:rPr>
          <w:rFonts w:hint="eastAsia" w:ascii="宋体" w:hAnsi="宋体" w:eastAsia="宋体" w:cs="宋体"/>
          <w:color w:val="auto"/>
          <w:spacing w:val="-2"/>
          <w:sz w:val="24"/>
          <w:szCs w:val="24"/>
          <w:highlight w:val="none"/>
        </w:rPr>
        <w:t>知，说明连续影响的实际情况和记录，列出累计的追加付款金额和（或）工期延长天</w:t>
      </w:r>
      <w:r>
        <w:rPr>
          <w:rFonts w:hint="eastAsia" w:ascii="宋体" w:hAnsi="宋体" w:eastAsia="宋体" w:cs="宋体"/>
          <w:color w:val="auto"/>
          <w:spacing w:val="-6"/>
          <w:sz w:val="24"/>
          <w:szCs w:val="24"/>
          <w:highlight w:val="none"/>
        </w:rPr>
        <w:t>数；</w:t>
      </w:r>
    </w:p>
    <w:p w14:paraId="3D00E378">
      <w:pPr>
        <w:spacing w:before="115" w:line="263" w:lineRule="auto"/>
        <w:ind w:left="23" w:right="18" w:firstLine="488"/>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（4）在索赔事件影响结束后的28天内，承包人应向监理人递交最终索赔通知书，</w:t>
      </w:r>
      <w:r>
        <w:rPr>
          <w:rFonts w:hint="eastAsia" w:ascii="宋体" w:hAnsi="宋体" w:eastAsia="宋体" w:cs="宋体"/>
          <w:color w:val="auto"/>
          <w:sz w:val="24"/>
          <w:szCs w:val="24"/>
          <w:highlight w:val="none"/>
        </w:rPr>
        <w:t>说明最终要求索赔的追加付款金额和延长的工期</w:t>
      </w:r>
      <w:r>
        <w:rPr>
          <w:rFonts w:hint="eastAsia" w:ascii="宋体" w:hAnsi="宋体" w:eastAsia="宋体" w:cs="宋体"/>
          <w:color w:val="auto"/>
          <w:spacing w:val="-1"/>
          <w:sz w:val="24"/>
          <w:szCs w:val="24"/>
          <w:highlight w:val="none"/>
        </w:rPr>
        <w:t>，并附必要的记录和证明材料。</w:t>
      </w:r>
    </w:p>
    <w:p w14:paraId="34ABE9C1">
      <w:pPr>
        <w:pStyle w:val="4"/>
        <w:spacing w:line="254" w:lineRule="auto"/>
        <w:rPr>
          <w:rFonts w:hint="eastAsia" w:ascii="宋体" w:hAnsi="宋体" w:eastAsia="宋体" w:cs="宋体"/>
          <w:color w:val="auto"/>
          <w:highlight w:val="none"/>
        </w:rPr>
      </w:pPr>
    </w:p>
    <w:p w14:paraId="6C04E25F">
      <w:pPr>
        <w:spacing w:before="79" w:line="222" w:lineRule="auto"/>
        <w:ind w:left="1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23.2承包人索赔处理程序</w:t>
      </w:r>
    </w:p>
    <w:p w14:paraId="5A85DA05">
      <w:pPr>
        <w:pStyle w:val="4"/>
        <w:spacing w:line="274" w:lineRule="auto"/>
        <w:rPr>
          <w:rFonts w:hint="eastAsia" w:ascii="宋体" w:hAnsi="宋体" w:eastAsia="宋体" w:cs="宋体"/>
          <w:color w:val="auto"/>
          <w:highlight w:val="none"/>
        </w:rPr>
      </w:pPr>
    </w:p>
    <w:p w14:paraId="0F1806A9">
      <w:pPr>
        <w:spacing w:before="78" w:line="263" w:lineRule="auto"/>
        <w:ind w:left="23" w:right="60" w:firstLine="488"/>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（1）监理人收到承包人提交的索赔通知书后，应及</w:t>
      </w:r>
      <w:r>
        <w:rPr>
          <w:rFonts w:hint="eastAsia" w:ascii="宋体" w:hAnsi="宋体" w:eastAsia="宋体" w:cs="宋体"/>
          <w:color w:val="auto"/>
          <w:spacing w:val="1"/>
          <w:sz w:val="24"/>
          <w:szCs w:val="24"/>
          <w:highlight w:val="none"/>
        </w:rPr>
        <w:t>时审查索赔通知书的内容、</w:t>
      </w:r>
      <w:r>
        <w:rPr>
          <w:rFonts w:hint="eastAsia" w:ascii="宋体" w:hAnsi="宋体" w:eastAsia="宋体" w:cs="宋体"/>
          <w:color w:val="auto"/>
          <w:spacing w:val="-1"/>
          <w:sz w:val="24"/>
          <w:szCs w:val="24"/>
          <w:highlight w:val="none"/>
        </w:rPr>
        <w:t>查验承包人的记录和证明材料，必要时监理人</w:t>
      </w:r>
      <w:r>
        <w:rPr>
          <w:rFonts w:hint="eastAsia" w:ascii="宋体" w:hAnsi="宋体" w:eastAsia="宋体" w:cs="宋体"/>
          <w:color w:val="auto"/>
          <w:spacing w:val="-2"/>
          <w:sz w:val="24"/>
          <w:szCs w:val="24"/>
          <w:highlight w:val="none"/>
        </w:rPr>
        <w:t>可要求承包人提交全部原始记录副本。</w:t>
      </w:r>
    </w:p>
    <w:p w14:paraId="32DB31D6">
      <w:pPr>
        <w:spacing w:before="113" w:line="280" w:lineRule="auto"/>
        <w:ind w:left="20" w:right="80" w:firstLine="491"/>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（2）监理人应按第3.5款商定或确定追加的付款和（或）延长的工期，并在收到</w:t>
      </w:r>
      <w:r>
        <w:rPr>
          <w:rFonts w:hint="eastAsia" w:ascii="宋体" w:hAnsi="宋体" w:eastAsia="宋体" w:cs="宋体"/>
          <w:color w:val="auto"/>
          <w:spacing w:val="1"/>
          <w:sz w:val="24"/>
          <w:szCs w:val="24"/>
          <w:highlight w:val="none"/>
        </w:rPr>
        <w:t>上述索赔通知书或有关索赔的进一步证明材料后的42天内，将索</w:t>
      </w:r>
      <w:r>
        <w:rPr>
          <w:rFonts w:hint="eastAsia" w:ascii="宋体" w:hAnsi="宋体" w:eastAsia="宋体" w:cs="宋体"/>
          <w:color w:val="auto"/>
          <w:sz w:val="24"/>
          <w:szCs w:val="24"/>
          <w:highlight w:val="none"/>
        </w:rPr>
        <w:t>赔处理结果答复承</w:t>
      </w:r>
      <w:r>
        <w:rPr>
          <w:rFonts w:hint="eastAsia" w:ascii="宋体" w:hAnsi="宋体" w:eastAsia="宋体" w:cs="宋体"/>
          <w:color w:val="auto"/>
          <w:spacing w:val="-4"/>
          <w:sz w:val="24"/>
          <w:szCs w:val="24"/>
          <w:highlight w:val="none"/>
        </w:rPr>
        <w:t>包人。</w:t>
      </w:r>
    </w:p>
    <w:p w14:paraId="7CA88122">
      <w:pPr>
        <w:spacing w:before="109" w:line="264" w:lineRule="auto"/>
        <w:ind w:left="22" w:right="80"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（3）承包人接受索赔处理结果的，发包人应在作出索</w:t>
      </w:r>
      <w:r>
        <w:rPr>
          <w:rFonts w:hint="eastAsia" w:ascii="宋体" w:hAnsi="宋体" w:eastAsia="宋体" w:cs="宋体"/>
          <w:color w:val="auto"/>
          <w:spacing w:val="-3"/>
          <w:sz w:val="24"/>
          <w:szCs w:val="24"/>
          <w:highlight w:val="none"/>
        </w:rPr>
        <w:t>赔处理结果答复后28天内</w:t>
      </w:r>
      <w:r>
        <w:rPr>
          <w:rFonts w:hint="eastAsia" w:ascii="宋体" w:hAnsi="宋体" w:eastAsia="宋体" w:cs="宋体"/>
          <w:color w:val="auto"/>
          <w:spacing w:val="-1"/>
          <w:sz w:val="24"/>
          <w:szCs w:val="24"/>
          <w:highlight w:val="none"/>
        </w:rPr>
        <w:t>完成赔付。承包人不接受索赔处理结果的，按第24条的约定办理。</w:t>
      </w:r>
    </w:p>
    <w:p w14:paraId="1E1D9F87">
      <w:pPr>
        <w:spacing w:line="264" w:lineRule="auto"/>
        <w:rPr>
          <w:rFonts w:hint="eastAsia" w:ascii="宋体" w:hAnsi="宋体" w:eastAsia="宋体" w:cs="宋体"/>
          <w:color w:val="auto"/>
          <w:sz w:val="24"/>
          <w:szCs w:val="24"/>
          <w:highlight w:val="none"/>
        </w:rPr>
        <w:sectPr>
          <w:headerReference r:id="rId123" w:type="default"/>
          <w:footerReference r:id="rId124" w:type="default"/>
          <w:pgSz w:w="11907" w:h="16840"/>
          <w:pgMar w:top="1182" w:right="1209" w:bottom="1014" w:left="1786" w:header="849" w:footer="852" w:gutter="0"/>
          <w:pgNumType w:fmt="decimal"/>
          <w:cols w:space="720" w:num="1"/>
        </w:sectPr>
      </w:pPr>
    </w:p>
    <w:p w14:paraId="62FC9439">
      <w:pPr>
        <w:pStyle w:val="4"/>
        <w:spacing w:line="281" w:lineRule="auto"/>
        <w:rPr>
          <w:rFonts w:hint="eastAsia" w:ascii="宋体" w:hAnsi="宋体" w:eastAsia="宋体" w:cs="宋体"/>
          <w:color w:val="auto"/>
          <w:highlight w:val="none"/>
        </w:rPr>
      </w:pPr>
    </w:p>
    <w:p w14:paraId="6EB9357B">
      <w:pPr>
        <w:spacing w:before="78" w:line="222" w:lineRule="auto"/>
        <w:ind w:left="1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23.3承包人提出索赔的期限</w:t>
      </w:r>
    </w:p>
    <w:p w14:paraId="1743763F">
      <w:pPr>
        <w:pStyle w:val="4"/>
        <w:spacing w:line="271" w:lineRule="auto"/>
        <w:rPr>
          <w:rFonts w:hint="eastAsia" w:ascii="宋体" w:hAnsi="宋体" w:eastAsia="宋体" w:cs="宋体"/>
          <w:color w:val="auto"/>
          <w:highlight w:val="none"/>
        </w:rPr>
      </w:pPr>
    </w:p>
    <w:p w14:paraId="6D83E445">
      <w:pPr>
        <w:spacing w:before="78" w:line="263" w:lineRule="auto"/>
        <w:ind w:left="19" w:firstLine="476"/>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23.3.1承包人按第17.5款的约定接受了竣工付款证书后，应被认为已无权再提出</w:t>
      </w:r>
      <w:r>
        <w:rPr>
          <w:rFonts w:hint="eastAsia" w:ascii="宋体" w:hAnsi="宋体" w:eastAsia="宋体" w:cs="宋体"/>
          <w:color w:val="auto"/>
          <w:spacing w:val="-1"/>
          <w:sz w:val="24"/>
          <w:szCs w:val="24"/>
          <w:highlight w:val="none"/>
        </w:rPr>
        <w:t>在合同工程接收证书颁发前所发生的任何索赔。</w:t>
      </w:r>
    </w:p>
    <w:p w14:paraId="3C2D12CC">
      <w:pPr>
        <w:spacing w:before="117" w:line="263" w:lineRule="auto"/>
        <w:ind w:left="20" w:firstLine="475"/>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23.3.2承包人按第17.6款的约定提交的最终结清申请单中，只限于提出工程接收</w:t>
      </w:r>
      <w:r>
        <w:rPr>
          <w:rFonts w:hint="eastAsia" w:ascii="宋体" w:hAnsi="宋体" w:eastAsia="宋体" w:cs="宋体"/>
          <w:color w:val="auto"/>
          <w:sz w:val="24"/>
          <w:szCs w:val="24"/>
          <w:highlight w:val="none"/>
        </w:rPr>
        <w:t>证书颁发后发生的索赔。提出索赔的期限自接</w:t>
      </w:r>
      <w:r>
        <w:rPr>
          <w:rFonts w:hint="eastAsia" w:ascii="宋体" w:hAnsi="宋体" w:eastAsia="宋体" w:cs="宋体"/>
          <w:color w:val="auto"/>
          <w:spacing w:val="-1"/>
          <w:sz w:val="24"/>
          <w:szCs w:val="24"/>
          <w:highlight w:val="none"/>
        </w:rPr>
        <w:t>受最终结清证书时终止。</w:t>
      </w:r>
    </w:p>
    <w:p w14:paraId="57538D37">
      <w:pPr>
        <w:pStyle w:val="4"/>
        <w:spacing w:line="255" w:lineRule="auto"/>
        <w:rPr>
          <w:rFonts w:hint="eastAsia" w:ascii="宋体" w:hAnsi="宋体" w:eastAsia="宋体" w:cs="宋体"/>
          <w:color w:val="auto"/>
          <w:highlight w:val="none"/>
        </w:rPr>
      </w:pPr>
    </w:p>
    <w:p w14:paraId="4490838A">
      <w:pPr>
        <w:spacing w:before="78" w:line="221" w:lineRule="auto"/>
        <w:ind w:left="1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23.4发包人的索赔</w:t>
      </w:r>
    </w:p>
    <w:p w14:paraId="39C9A44C">
      <w:pPr>
        <w:pStyle w:val="4"/>
        <w:spacing w:line="274" w:lineRule="auto"/>
        <w:rPr>
          <w:rFonts w:hint="eastAsia" w:ascii="宋体" w:hAnsi="宋体" w:eastAsia="宋体" w:cs="宋体"/>
          <w:color w:val="auto"/>
          <w:highlight w:val="none"/>
        </w:rPr>
      </w:pPr>
    </w:p>
    <w:p w14:paraId="5F7BD7E7">
      <w:pPr>
        <w:spacing w:before="79" w:line="278" w:lineRule="auto"/>
        <w:ind w:left="25" w:firstLine="47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23.4.1发生索赔事件后，监理人应及时书面通知承包人，详细说明发包人有权得到的索赔金额和（或）延长缺陷责任期的细节和依据。发包人提出索赔的期限和</w:t>
      </w:r>
      <w:r>
        <w:rPr>
          <w:rFonts w:hint="eastAsia" w:ascii="宋体" w:hAnsi="宋体" w:eastAsia="宋体" w:cs="宋体"/>
          <w:color w:val="auto"/>
          <w:spacing w:val="-3"/>
          <w:sz w:val="24"/>
          <w:szCs w:val="24"/>
          <w:highlight w:val="none"/>
        </w:rPr>
        <w:t>要求</w:t>
      </w:r>
      <w:r>
        <w:rPr>
          <w:rFonts w:hint="eastAsia" w:ascii="宋体" w:hAnsi="宋体" w:eastAsia="宋体" w:cs="宋体"/>
          <w:color w:val="auto"/>
          <w:spacing w:val="-1"/>
          <w:sz w:val="24"/>
          <w:szCs w:val="24"/>
          <w:highlight w:val="none"/>
        </w:rPr>
        <w:t>与第23.3款的约定相同，延长缺陷责任期的通知应在缺陷责任期届满前发出。</w:t>
      </w:r>
    </w:p>
    <w:p w14:paraId="7ABD8A43">
      <w:pPr>
        <w:spacing w:before="115" w:line="278" w:lineRule="auto"/>
        <w:ind w:left="20" w:firstLine="47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23.4.2监理人按第3.5款商定或确定发包人从承包人处得到赔付的金额和（或）</w:t>
      </w:r>
      <w:r>
        <w:rPr>
          <w:rFonts w:hint="eastAsia" w:ascii="宋体" w:hAnsi="宋体" w:eastAsia="宋体" w:cs="宋体"/>
          <w:color w:val="auto"/>
          <w:spacing w:val="-2"/>
          <w:sz w:val="24"/>
          <w:szCs w:val="24"/>
          <w:highlight w:val="none"/>
        </w:rPr>
        <w:t>缺陷责任期的延长期。承包人应付给发包人的金额可从拟支付给承包人的合同价款中</w:t>
      </w:r>
      <w:r>
        <w:rPr>
          <w:rFonts w:hint="eastAsia" w:ascii="宋体" w:hAnsi="宋体" w:eastAsia="宋体" w:cs="宋体"/>
          <w:color w:val="auto"/>
          <w:spacing w:val="-1"/>
          <w:sz w:val="24"/>
          <w:szCs w:val="24"/>
          <w:highlight w:val="none"/>
        </w:rPr>
        <w:t>扣除，或由承包人以其他方式支付给发包人。</w:t>
      </w:r>
    </w:p>
    <w:p w14:paraId="18DFE1DB">
      <w:pPr>
        <w:pStyle w:val="4"/>
        <w:spacing w:line="435" w:lineRule="auto"/>
        <w:rPr>
          <w:rFonts w:hint="eastAsia" w:ascii="宋体" w:hAnsi="宋体" w:eastAsia="宋体" w:cs="宋体"/>
          <w:color w:val="auto"/>
          <w:highlight w:val="none"/>
        </w:rPr>
      </w:pPr>
    </w:p>
    <w:p w14:paraId="2479E407">
      <w:pPr>
        <w:spacing w:before="92" w:line="222" w:lineRule="auto"/>
        <w:ind w:left="17"/>
        <w:outlineLvl w:val="2"/>
        <w:rPr>
          <w:rFonts w:hint="eastAsia" w:ascii="宋体" w:hAnsi="宋体" w:eastAsia="宋体" w:cs="宋体"/>
          <w:color w:val="auto"/>
          <w:sz w:val="28"/>
          <w:szCs w:val="28"/>
          <w:highlight w:val="none"/>
        </w:rPr>
      </w:pPr>
      <w:bookmarkStart w:id="561" w:name="_Toc25365"/>
      <w:bookmarkStart w:id="562" w:name="_Toc27334"/>
      <w:bookmarkStart w:id="563" w:name="_Toc15114"/>
      <w:bookmarkStart w:id="564" w:name="_Toc27249"/>
      <w:bookmarkStart w:id="565" w:name="_Toc32253"/>
      <w:r>
        <w:rPr>
          <w:rFonts w:hint="eastAsia" w:ascii="宋体" w:hAnsi="宋体" w:eastAsia="宋体" w:cs="宋体"/>
          <w:color w:val="auto"/>
          <w:spacing w:val="-3"/>
          <w:sz w:val="28"/>
          <w:szCs w:val="28"/>
          <w:highlight w:val="none"/>
        </w:rPr>
        <w:t>24.争议的解决</w:t>
      </w:r>
      <w:bookmarkEnd w:id="561"/>
      <w:bookmarkEnd w:id="562"/>
      <w:bookmarkEnd w:id="563"/>
      <w:bookmarkEnd w:id="564"/>
      <w:bookmarkEnd w:id="565"/>
    </w:p>
    <w:p w14:paraId="20824B9E">
      <w:pPr>
        <w:pStyle w:val="4"/>
        <w:spacing w:line="249" w:lineRule="auto"/>
        <w:rPr>
          <w:rFonts w:hint="eastAsia" w:ascii="宋体" w:hAnsi="宋体" w:eastAsia="宋体" w:cs="宋体"/>
          <w:color w:val="auto"/>
          <w:highlight w:val="none"/>
        </w:rPr>
      </w:pPr>
    </w:p>
    <w:p w14:paraId="0CDEC1D5">
      <w:pPr>
        <w:spacing w:before="79" w:line="221" w:lineRule="auto"/>
        <w:ind w:left="1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24.1争议的解决方式</w:t>
      </w:r>
    </w:p>
    <w:p w14:paraId="135F9BA1">
      <w:pPr>
        <w:pStyle w:val="4"/>
        <w:spacing w:line="270" w:lineRule="auto"/>
        <w:rPr>
          <w:rFonts w:hint="eastAsia" w:ascii="宋体" w:hAnsi="宋体" w:eastAsia="宋体" w:cs="宋体"/>
          <w:color w:val="auto"/>
          <w:highlight w:val="none"/>
        </w:rPr>
      </w:pPr>
    </w:p>
    <w:p w14:paraId="575B5CFC">
      <w:pPr>
        <w:spacing w:before="78" w:line="308" w:lineRule="auto"/>
        <w:ind w:left="23" w:firstLine="480"/>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发包人和承包人在履行合同中发生争议的，可以友好协商解决或者提</w:t>
      </w:r>
      <w:r>
        <w:rPr>
          <w:rFonts w:hint="eastAsia" w:ascii="宋体" w:hAnsi="宋体" w:eastAsia="宋体" w:cs="宋体"/>
          <w:color w:val="auto"/>
          <w:spacing w:val="-3"/>
          <w:sz w:val="24"/>
          <w:szCs w:val="24"/>
          <w:highlight w:val="none"/>
        </w:rPr>
        <w:t>请争议评审</w:t>
      </w:r>
      <w:r>
        <w:rPr>
          <w:rFonts w:hint="eastAsia" w:ascii="宋体" w:hAnsi="宋体" w:eastAsia="宋体" w:cs="宋体"/>
          <w:color w:val="auto"/>
          <w:spacing w:val="-2"/>
          <w:sz w:val="24"/>
          <w:szCs w:val="24"/>
          <w:highlight w:val="none"/>
        </w:rPr>
        <w:t>组评审。合同当事人友好协商解决不成、不愿提请争议评审或者不接受争议评审组意</w:t>
      </w:r>
      <w:r>
        <w:rPr>
          <w:rFonts w:hint="eastAsia" w:ascii="宋体" w:hAnsi="宋体" w:eastAsia="宋体" w:cs="宋体"/>
          <w:color w:val="auto"/>
          <w:spacing w:val="-1"/>
          <w:sz w:val="24"/>
          <w:szCs w:val="24"/>
          <w:highlight w:val="none"/>
        </w:rPr>
        <w:t>见的，可在专用合同条款中约定下列一种方式解决：</w:t>
      </w:r>
    </w:p>
    <w:p w14:paraId="7F59C9A8">
      <w:pPr>
        <w:spacing w:before="1" w:line="218" w:lineRule="auto"/>
        <w:ind w:left="51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（1）向约定的仲裁委员会申请仲裁；</w:t>
      </w:r>
    </w:p>
    <w:p w14:paraId="2231E89A">
      <w:pPr>
        <w:spacing w:before="116" w:line="219" w:lineRule="auto"/>
        <w:ind w:left="51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（2）向有管辖权的人民法院提起诉讼。</w:t>
      </w:r>
    </w:p>
    <w:p w14:paraId="1B3FCF8B">
      <w:pPr>
        <w:pStyle w:val="4"/>
        <w:spacing w:line="255" w:lineRule="auto"/>
        <w:rPr>
          <w:rFonts w:hint="eastAsia" w:ascii="宋体" w:hAnsi="宋体" w:eastAsia="宋体" w:cs="宋体"/>
          <w:color w:val="auto"/>
          <w:highlight w:val="none"/>
        </w:rPr>
      </w:pPr>
    </w:p>
    <w:p w14:paraId="2B82F55B">
      <w:pPr>
        <w:spacing w:before="79" w:line="222" w:lineRule="auto"/>
        <w:ind w:left="1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24.2友好解决</w:t>
      </w:r>
    </w:p>
    <w:p w14:paraId="317E275B">
      <w:pPr>
        <w:pStyle w:val="4"/>
        <w:spacing w:line="273" w:lineRule="auto"/>
        <w:rPr>
          <w:rFonts w:hint="eastAsia" w:ascii="宋体" w:hAnsi="宋体" w:eastAsia="宋体" w:cs="宋体"/>
          <w:color w:val="auto"/>
          <w:highlight w:val="none"/>
        </w:rPr>
      </w:pPr>
    </w:p>
    <w:p w14:paraId="17F0F8CB">
      <w:pPr>
        <w:spacing w:before="78" w:line="310" w:lineRule="auto"/>
        <w:ind w:left="22" w:firstLine="47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在提请争议评审、仲裁或者诉讼前，以及在争议评审、仲裁或诉讼过程中，发包</w:t>
      </w:r>
      <w:r>
        <w:rPr>
          <w:rFonts w:hint="eastAsia" w:ascii="宋体" w:hAnsi="宋体" w:eastAsia="宋体" w:cs="宋体"/>
          <w:color w:val="auto"/>
          <w:spacing w:val="-1"/>
          <w:sz w:val="24"/>
          <w:szCs w:val="24"/>
          <w:highlight w:val="none"/>
        </w:rPr>
        <w:t>人和承包人均可共同努力友好协商解决争议。</w:t>
      </w:r>
    </w:p>
    <w:p w14:paraId="6CBC78E9">
      <w:pPr>
        <w:spacing w:before="213" w:line="222" w:lineRule="auto"/>
        <w:ind w:left="16"/>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24.3争议评审</w:t>
      </w:r>
    </w:p>
    <w:p w14:paraId="62F683DE">
      <w:pPr>
        <w:pStyle w:val="4"/>
        <w:spacing w:line="272" w:lineRule="auto"/>
        <w:rPr>
          <w:rFonts w:hint="eastAsia" w:ascii="宋体" w:hAnsi="宋体" w:eastAsia="宋体" w:cs="宋体"/>
          <w:color w:val="auto"/>
          <w:highlight w:val="none"/>
        </w:rPr>
      </w:pPr>
    </w:p>
    <w:p w14:paraId="1E4A6922">
      <w:pPr>
        <w:spacing w:before="78" w:line="263" w:lineRule="auto"/>
        <w:ind w:left="22" w:right="2" w:firstLine="47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24.3.1采用争议评审的，发包人和承包人应在开工日后的28天内或在争议发生</w:t>
      </w:r>
      <w:r>
        <w:rPr>
          <w:rFonts w:hint="eastAsia" w:ascii="宋体" w:hAnsi="宋体" w:eastAsia="宋体" w:cs="宋体"/>
          <w:color w:val="auto"/>
          <w:sz w:val="24"/>
          <w:szCs w:val="24"/>
          <w:highlight w:val="none"/>
        </w:rPr>
        <w:t>后，协商成立争议评审组。争议评审组由有合同管理</w:t>
      </w:r>
      <w:r>
        <w:rPr>
          <w:rFonts w:hint="eastAsia" w:ascii="宋体" w:hAnsi="宋体" w:eastAsia="宋体" w:cs="宋体"/>
          <w:color w:val="auto"/>
          <w:spacing w:val="-1"/>
          <w:sz w:val="24"/>
          <w:szCs w:val="24"/>
          <w:highlight w:val="none"/>
        </w:rPr>
        <w:t>和工程实践经验的专家组成。</w:t>
      </w:r>
    </w:p>
    <w:p w14:paraId="38DB0320">
      <w:pPr>
        <w:spacing w:before="116" w:line="278" w:lineRule="auto"/>
        <w:ind w:left="18" w:firstLine="47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24.3.2合同双方的争议，应首先由申请人向争议评审组提交一份详细的评审申请报告，并附必要的文件、图纸和证明材料，申请人还应将上述报告的副本同时提交给</w:t>
      </w:r>
      <w:r>
        <w:rPr>
          <w:rFonts w:hint="eastAsia" w:ascii="宋体" w:hAnsi="宋体" w:eastAsia="宋体" w:cs="宋体"/>
          <w:color w:val="auto"/>
          <w:spacing w:val="-1"/>
          <w:sz w:val="24"/>
          <w:szCs w:val="24"/>
          <w:highlight w:val="none"/>
        </w:rPr>
        <w:t>被申请人和监理人。</w:t>
      </w:r>
    </w:p>
    <w:p w14:paraId="4F46268C">
      <w:pPr>
        <w:spacing w:line="278" w:lineRule="auto"/>
        <w:rPr>
          <w:rFonts w:hint="eastAsia" w:ascii="宋体" w:hAnsi="宋体" w:eastAsia="宋体" w:cs="宋体"/>
          <w:color w:val="auto"/>
          <w:sz w:val="24"/>
          <w:szCs w:val="24"/>
          <w:highlight w:val="none"/>
        </w:rPr>
        <w:sectPr>
          <w:headerReference r:id="rId125" w:type="default"/>
          <w:footerReference r:id="rId126" w:type="default"/>
          <w:pgSz w:w="11907" w:h="16840"/>
          <w:pgMar w:top="1182" w:right="1289" w:bottom="1014" w:left="1786" w:header="849" w:footer="852" w:gutter="0"/>
          <w:pgNumType w:fmt="decimal"/>
          <w:cols w:space="720" w:num="1"/>
        </w:sectPr>
      </w:pPr>
    </w:p>
    <w:p w14:paraId="4874FC25">
      <w:pPr>
        <w:pStyle w:val="4"/>
        <w:spacing w:line="300" w:lineRule="auto"/>
        <w:rPr>
          <w:rFonts w:hint="eastAsia" w:ascii="宋体" w:hAnsi="宋体" w:eastAsia="宋体" w:cs="宋体"/>
          <w:color w:val="auto"/>
          <w:highlight w:val="none"/>
        </w:rPr>
      </w:pPr>
    </w:p>
    <w:p w14:paraId="2AC7D9EC">
      <w:pPr>
        <w:spacing w:before="78" w:line="280" w:lineRule="auto"/>
        <w:ind w:right="20" w:firstLine="242" w:firstLineChars="1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24.3.3被申请人在收到申请人评审申请报告副本后</w:t>
      </w:r>
      <w:r>
        <w:rPr>
          <w:rFonts w:hint="eastAsia" w:ascii="宋体" w:hAnsi="宋体" w:eastAsia="宋体" w:cs="宋体"/>
          <w:color w:val="auto"/>
          <w:sz w:val="24"/>
          <w:szCs w:val="24"/>
          <w:highlight w:val="none"/>
        </w:rPr>
        <w:t>的28天内，向争议评审组提</w:t>
      </w:r>
      <w:r>
        <w:rPr>
          <w:rFonts w:hint="eastAsia" w:ascii="宋体" w:hAnsi="宋体" w:eastAsia="宋体" w:cs="宋体"/>
          <w:color w:val="auto"/>
          <w:spacing w:val="-2"/>
          <w:sz w:val="24"/>
          <w:szCs w:val="24"/>
          <w:highlight w:val="none"/>
        </w:rPr>
        <w:t>交一份答辩报告，并附证明材料。被申请人应将答辩报告的副本同时提交给申请人和</w:t>
      </w:r>
      <w:r>
        <w:rPr>
          <w:rFonts w:hint="eastAsia" w:ascii="宋体" w:hAnsi="宋体" w:eastAsia="宋体" w:cs="宋体"/>
          <w:color w:val="auto"/>
          <w:spacing w:val="-3"/>
          <w:sz w:val="24"/>
          <w:szCs w:val="24"/>
          <w:highlight w:val="none"/>
        </w:rPr>
        <w:t>监理人。</w:t>
      </w:r>
    </w:p>
    <w:p w14:paraId="1D2F2B88">
      <w:pPr>
        <w:keepNext w:val="0"/>
        <w:keepLines w:val="0"/>
        <w:pageBreakBefore w:val="0"/>
        <w:widowControl/>
        <w:kinsoku w:val="0"/>
        <w:wordWrap/>
        <w:overflowPunct/>
        <w:topLinePunct w:val="0"/>
        <w:autoSpaceDE w:val="0"/>
        <w:autoSpaceDN w:val="0"/>
        <w:bidi w:val="0"/>
        <w:adjustRightInd w:val="0"/>
        <w:snapToGrid w:val="0"/>
        <w:spacing w:before="111" w:line="279" w:lineRule="auto"/>
        <w:ind w:right="0" w:firstLine="240" w:firstLineChars="1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24.3.4除专用合同条款另有约定外，争议评审组在收到合同双方报告后的14天</w:t>
      </w:r>
      <w:r>
        <w:rPr>
          <w:rFonts w:hint="eastAsia" w:ascii="宋体" w:hAnsi="宋体" w:eastAsia="宋体" w:cs="宋体"/>
          <w:color w:val="auto"/>
          <w:spacing w:val="-2"/>
          <w:sz w:val="24"/>
          <w:szCs w:val="24"/>
          <w:highlight w:val="none"/>
        </w:rPr>
        <w:t>内，邀请双方代表和有关人员举行调查会，向双方调查争议细节；必要时争议评审组</w:t>
      </w:r>
      <w:r>
        <w:rPr>
          <w:rFonts w:hint="eastAsia" w:ascii="宋体" w:hAnsi="宋体" w:eastAsia="宋体" w:cs="宋体"/>
          <w:color w:val="auto"/>
          <w:spacing w:val="-1"/>
          <w:sz w:val="24"/>
          <w:szCs w:val="24"/>
          <w:highlight w:val="none"/>
        </w:rPr>
        <w:t>可要求双方进一步提供补充材料。</w:t>
      </w:r>
    </w:p>
    <w:p w14:paraId="7E7403BB">
      <w:pPr>
        <w:spacing w:before="112" w:line="279"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24.3.5除专用合同条款另有约定外，在调查会结束后的14天内，争议评审组应</w:t>
      </w:r>
      <w:r>
        <w:rPr>
          <w:rFonts w:hint="eastAsia" w:ascii="宋体" w:hAnsi="宋体" w:eastAsia="宋体" w:cs="宋体"/>
          <w:color w:val="auto"/>
          <w:spacing w:val="-1"/>
          <w:sz w:val="24"/>
          <w:szCs w:val="24"/>
          <w:highlight w:val="none"/>
        </w:rPr>
        <w:t>在不受任何干扰的情况下进行独立、公正的评审，作出</w:t>
      </w:r>
      <w:r>
        <w:rPr>
          <w:rFonts w:hint="eastAsia" w:ascii="宋体" w:hAnsi="宋体" w:eastAsia="宋体" w:cs="宋体"/>
          <w:color w:val="auto"/>
          <w:spacing w:val="-2"/>
          <w:sz w:val="24"/>
          <w:szCs w:val="24"/>
          <w:highlight w:val="none"/>
        </w:rPr>
        <w:t>书面评审意见，并说明理由。</w:t>
      </w:r>
      <w:r>
        <w:rPr>
          <w:rFonts w:hint="eastAsia" w:ascii="宋体" w:hAnsi="宋体" w:eastAsia="宋体" w:cs="宋体"/>
          <w:color w:val="auto"/>
          <w:spacing w:val="-1"/>
          <w:sz w:val="24"/>
          <w:szCs w:val="24"/>
          <w:highlight w:val="none"/>
        </w:rPr>
        <w:t>在争议评审期间，争议双方暂按总监理工程师的确定执行。</w:t>
      </w:r>
    </w:p>
    <w:p w14:paraId="76C2C3E8">
      <w:pPr>
        <w:spacing w:before="112" w:line="264" w:lineRule="auto"/>
        <w:ind w:right="18" w:firstLine="236" w:firstLineChars="1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24.3.6发包人和承包人接受评审意见的，由监理人根据评审意见拟定执行协议，</w:t>
      </w:r>
      <w:r>
        <w:rPr>
          <w:rFonts w:hint="eastAsia" w:ascii="宋体" w:hAnsi="宋体" w:eastAsia="宋体" w:cs="宋体"/>
          <w:color w:val="auto"/>
          <w:spacing w:val="-1"/>
          <w:sz w:val="24"/>
          <w:szCs w:val="24"/>
          <w:highlight w:val="none"/>
        </w:rPr>
        <w:t>经争议双方签字后作为合同的补充文件，并遵照执行。</w:t>
      </w:r>
    </w:p>
    <w:p w14:paraId="6A4F2556">
      <w:pPr>
        <w:spacing w:before="26" w:line="312" w:lineRule="auto"/>
        <w:ind w:right="20" w:firstLine="236" w:firstLineChars="1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24.3.7发包人或承包人不接受评审意见，并要求提交仲裁或提起诉讼的，应在收</w:t>
      </w:r>
      <w:r>
        <w:rPr>
          <w:rFonts w:hint="eastAsia" w:ascii="宋体" w:hAnsi="宋体" w:eastAsia="宋体" w:cs="宋体"/>
          <w:color w:val="auto"/>
          <w:sz w:val="24"/>
          <w:szCs w:val="24"/>
          <w:highlight w:val="none"/>
        </w:rPr>
        <w:t>到评审意见后的14天内将仲裁或起诉意向书面通知另一方，并抄送监理人，但在仲</w:t>
      </w:r>
      <w:r>
        <w:rPr>
          <w:rFonts w:hint="eastAsia" w:ascii="宋体" w:hAnsi="宋体" w:eastAsia="宋体" w:cs="宋体"/>
          <w:color w:val="auto"/>
          <w:spacing w:val="-1"/>
          <w:sz w:val="24"/>
          <w:szCs w:val="24"/>
          <w:highlight w:val="none"/>
        </w:rPr>
        <w:t>裁或诉讼结束前应暂按总监理工程师的确定执行。</w:t>
      </w:r>
    </w:p>
    <w:p w14:paraId="7F180AA7">
      <w:pPr>
        <w:spacing w:line="312" w:lineRule="auto"/>
        <w:rPr>
          <w:rFonts w:hint="eastAsia" w:ascii="宋体" w:hAnsi="宋体" w:eastAsia="宋体" w:cs="宋体"/>
          <w:color w:val="auto"/>
          <w:sz w:val="24"/>
          <w:szCs w:val="24"/>
          <w:highlight w:val="none"/>
        </w:rPr>
        <w:sectPr>
          <w:headerReference r:id="rId127" w:type="default"/>
          <w:footerReference r:id="rId128" w:type="default"/>
          <w:pgSz w:w="11907" w:h="16840"/>
          <w:pgMar w:top="1182" w:right="1269" w:bottom="1014" w:left="1786" w:header="849" w:footer="852" w:gutter="0"/>
          <w:pgNumType w:fmt="decimal"/>
          <w:cols w:space="720" w:num="1"/>
        </w:sectPr>
      </w:pPr>
    </w:p>
    <w:p w14:paraId="75C5416B">
      <w:pPr>
        <w:pStyle w:val="4"/>
        <w:spacing w:line="253" w:lineRule="auto"/>
        <w:rPr>
          <w:rFonts w:hint="eastAsia" w:ascii="宋体" w:hAnsi="宋体" w:eastAsia="宋体" w:cs="宋体"/>
          <w:color w:val="auto"/>
          <w:highlight w:val="none"/>
        </w:rPr>
      </w:pPr>
    </w:p>
    <w:p w14:paraId="33E565A3">
      <w:pPr>
        <w:pStyle w:val="4"/>
        <w:spacing w:line="253" w:lineRule="auto"/>
        <w:rPr>
          <w:rFonts w:hint="eastAsia" w:ascii="宋体" w:hAnsi="宋体" w:eastAsia="宋体" w:cs="宋体"/>
          <w:color w:val="auto"/>
          <w:highlight w:val="none"/>
        </w:rPr>
      </w:pPr>
    </w:p>
    <w:p w14:paraId="59943F1D">
      <w:pPr>
        <w:pStyle w:val="4"/>
        <w:spacing w:line="253" w:lineRule="auto"/>
        <w:rPr>
          <w:rFonts w:hint="eastAsia" w:ascii="宋体" w:hAnsi="宋体" w:eastAsia="宋体" w:cs="宋体"/>
          <w:color w:val="auto"/>
          <w:highlight w:val="none"/>
        </w:rPr>
      </w:pPr>
    </w:p>
    <w:p w14:paraId="00BEA0A1">
      <w:pPr>
        <w:pStyle w:val="4"/>
        <w:spacing w:line="254" w:lineRule="auto"/>
        <w:rPr>
          <w:rFonts w:hint="eastAsia" w:ascii="宋体" w:hAnsi="宋体" w:eastAsia="宋体" w:cs="宋体"/>
          <w:color w:val="auto"/>
          <w:highlight w:val="none"/>
        </w:rPr>
      </w:pPr>
    </w:p>
    <w:p w14:paraId="5AB777DD">
      <w:pPr>
        <w:spacing w:before="139" w:line="223" w:lineRule="auto"/>
        <w:ind w:left="2687"/>
        <w:outlineLvl w:val="1"/>
        <w:rPr>
          <w:rFonts w:hint="eastAsia" w:ascii="宋体" w:hAnsi="宋体" w:eastAsia="宋体" w:cs="宋体"/>
          <w:color w:val="auto"/>
          <w:sz w:val="43"/>
          <w:szCs w:val="43"/>
          <w:highlight w:val="none"/>
        </w:rPr>
      </w:pPr>
      <w:bookmarkStart w:id="566" w:name="_Toc26366"/>
      <w:bookmarkStart w:id="567" w:name="_Toc28837"/>
      <w:bookmarkStart w:id="568" w:name="_Toc20843"/>
      <w:bookmarkStart w:id="569" w:name="_Toc12424"/>
      <w:bookmarkStart w:id="570" w:name="_Toc13587"/>
      <w:r>
        <w:rPr>
          <w:rFonts w:hint="eastAsia" w:ascii="宋体" w:hAnsi="宋体" w:eastAsia="宋体" w:cs="宋体"/>
          <w:b/>
          <w:bCs/>
          <w:color w:val="auto"/>
          <w:spacing w:val="4"/>
          <w:sz w:val="43"/>
          <w:szCs w:val="43"/>
          <w:highlight w:val="none"/>
        </w:rPr>
        <w:t>第二节专用合同条款</w:t>
      </w:r>
      <w:bookmarkEnd w:id="566"/>
      <w:bookmarkEnd w:id="567"/>
      <w:bookmarkEnd w:id="568"/>
      <w:bookmarkEnd w:id="569"/>
      <w:bookmarkEnd w:id="570"/>
    </w:p>
    <w:p w14:paraId="51052439">
      <w:pPr>
        <w:spacing w:line="223" w:lineRule="auto"/>
        <w:rPr>
          <w:rFonts w:hint="eastAsia" w:ascii="宋体" w:hAnsi="宋体" w:eastAsia="宋体" w:cs="宋体"/>
          <w:color w:val="auto"/>
          <w:sz w:val="43"/>
          <w:szCs w:val="43"/>
          <w:highlight w:val="none"/>
        </w:rPr>
        <w:sectPr>
          <w:headerReference r:id="rId129" w:type="default"/>
          <w:footerReference r:id="rId130" w:type="default"/>
          <w:pgSz w:w="11907" w:h="16840"/>
          <w:pgMar w:top="1182" w:right="1290" w:bottom="1014" w:left="1786" w:header="849" w:footer="852" w:gutter="0"/>
          <w:pgNumType w:fmt="decimal"/>
          <w:cols w:space="720" w:num="1"/>
        </w:sectPr>
      </w:pPr>
    </w:p>
    <w:p w14:paraId="1FC40CD6">
      <w:pPr>
        <w:pStyle w:val="4"/>
        <w:spacing w:line="445" w:lineRule="auto"/>
        <w:rPr>
          <w:rFonts w:hint="eastAsia" w:ascii="宋体" w:hAnsi="宋体" w:eastAsia="宋体" w:cs="宋体"/>
          <w:color w:val="auto"/>
          <w:highlight w:val="none"/>
        </w:rPr>
      </w:pPr>
    </w:p>
    <w:p w14:paraId="20535ADF">
      <w:pPr>
        <w:spacing w:before="101" w:line="227" w:lineRule="auto"/>
        <w:ind w:left="2664"/>
        <w:outlineLvl w:val="2"/>
        <w:rPr>
          <w:rFonts w:hint="eastAsia" w:ascii="宋体" w:hAnsi="宋体" w:eastAsia="宋体" w:cs="宋体"/>
          <w:color w:val="auto"/>
          <w:sz w:val="31"/>
          <w:szCs w:val="31"/>
          <w:highlight w:val="none"/>
        </w:rPr>
      </w:pPr>
      <w:bookmarkStart w:id="571" w:name="_Toc6162"/>
      <w:bookmarkStart w:id="572" w:name="_Toc32105"/>
      <w:bookmarkStart w:id="573" w:name="_Toc29892"/>
      <w:bookmarkStart w:id="574" w:name="_Toc3793"/>
      <w:bookmarkStart w:id="575" w:name="_Toc27416"/>
      <w:r>
        <w:rPr>
          <w:rFonts w:hint="eastAsia" w:ascii="宋体" w:hAnsi="宋体" w:eastAsia="宋体" w:cs="宋体"/>
          <w:color w:val="auto"/>
          <w:spacing w:val="8"/>
          <w:sz w:val="31"/>
          <w:szCs w:val="31"/>
          <w:highlight w:val="none"/>
        </w:rPr>
        <w:t>A.公路工程专用合同条款</w:t>
      </w:r>
      <w:bookmarkEnd w:id="571"/>
      <w:bookmarkEnd w:id="572"/>
      <w:bookmarkEnd w:id="573"/>
      <w:bookmarkEnd w:id="574"/>
      <w:bookmarkEnd w:id="575"/>
    </w:p>
    <w:p w14:paraId="48F850AB">
      <w:pPr>
        <w:pStyle w:val="4"/>
        <w:spacing w:line="257" w:lineRule="auto"/>
        <w:rPr>
          <w:rFonts w:hint="eastAsia" w:ascii="宋体" w:hAnsi="宋体" w:eastAsia="宋体" w:cs="宋体"/>
          <w:color w:val="auto"/>
          <w:highlight w:val="none"/>
        </w:rPr>
      </w:pPr>
    </w:p>
    <w:p w14:paraId="518F5EFC">
      <w:pPr>
        <w:pStyle w:val="4"/>
        <w:spacing w:line="257" w:lineRule="auto"/>
        <w:rPr>
          <w:rFonts w:hint="eastAsia" w:ascii="宋体" w:hAnsi="宋体" w:eastAsia="宋体" w:cs="宋体"/>
          <w:color w:val="auto"/>
          <w:highlight w:val="none"/>
        </w:rPr>
      </w:pPr>
    </w:p>
    <w:p w14:paraId="10C327A1">
      <w:pPr>
        <w:spacing w:before="91" w:line="222" w:lineRule="auto"/>
        <w:ind w:left="44"/>
        <w:outlineLvl w:val="2"/>
        <w:rPr>
          <w:rFonts w:hint="eastAsia" w:ascii="宋体" w:hAnsi="宋体" w:eastAsia="宋体" w:cs="宋体"/>
          <w:color w:val="auto"/>
          <w:sz w:val="28"/>
          <w:szCs w:val="28"/>
          <w:highlight w:val="none"/>
        </w:rPr>
      </w:pPr>
      <w:bookmarkStart w:id="576" w:name="_Toc27520"/>
      <w:bookmarkStart w:id="577" w:name="_Toc12644"/>
      <w:bookmarkStart w:id="578" w:name="_Toc27766"/>
      <w:bookmarkStart w:id="579" w:name="_Toc3000"/>
      <w:bookmarkStart w:id="580" w:name="_Toc17795"/>
      <w:r>
        <w:rPr>
          <w:rFonts w:hint="eastAsia" w:ascii="宋体" w:hAnsi="宋体" w:eastAsia="宋体" w:cs="宋体"/>
          <w:color w:val="auto"/>
          <w:spacing w:val="-7"/>
          <w:sz w:val="28"/>
          <w:szCs w:val="28"/>
          <w:highlight w:val="none"/>
        </w:rPr>
        <w:t>1.一般约定</w:t>
      </w:r>
      <w:bookmarkEnd w:id="576"/>
      <w:bookmarkEnd w:id="577"/>
      <w:bookmarkEnd w:id="578"/>
      <w:bookmarkEnd w:id="579"/>
      <w:bookmarkEnd w:id="580"/>
    </w:p>
    <w:p w14:paraId="745AEC64">
      <w:pPr>
        <w:pStyle w:val="4"/>
        <w:spacing w:line="275" w:lineRule="auto"/>
        <w:rPr>
          <w:rFonts w:hint="eastAsia" w:ascii="宋体" w:hAnsi="宋体" w:eastAsia="宋体" w:cs="宋体"/>
          <w:color w:val="auto"/>
          <w:highlight w:val="none"/>
        </w:rPr>
      </w:pPr>
    </w:p>
    <w:p w14:paraId="585F436D">
      <w:pPr>
        <w:spacing w:before="78" w:line="222" w:lineRule="auto"/>
        <w:ind w:left="39"/>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1.1词语定义</w:t>
      </w:r>
    </w:p>
    <w:p w14:paraId="5834689C">
      <w:pPr>
        <w:pStyle w:val="4"/>
        <w:spacing w:line="298" w:lineRule="auto"/>
        <w:rPr>
          <w:rFonts w:hint="eastAsia" w:ascii="宋体" w:hAnsi="宋体" w:eastAsia="宋体" w:cs="宋体"/>
          <w:color w:val="auto"/>
          <w:highlight w:val="none"/>
        </w:rPr>
      </w:pPr>
    </w:p>
    <w:p w14:paraId="71C17B47">
      <w:pPr>
        <w:spacing w:before="78" w:line="223" w:lineRule="auto"/>
        <w:ind w:left="404"/>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1.1.1合同</w:t>
      </w:r>
    </w:p>
    <w:p w14:paraId="150C3DE4">
      <w:pPr>
        <w:spacing w:before="111" w:line="219" w:lineRule="auto"/>
        <w:ind w:left="383"/>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第1.1.1.6目细化为：</w:t>
      </w:r>
    </w:p>
    <w:p w14:paraId="298F7254">
      <w:pPr>
        <w:spacing w:before="138" w:line="305" w:lineRule="auto"/>
        <w:ind w:left="44" w:right="55" w:firstLine="34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技术规范：指本合同所约定的技术标准和要求，是合同文件</w:t>
      </w:r>
      <w:r>
        <w:rPr>
          <w:rFonts w:hint="eastAsia" w:ascii="宋体" w:hAnsi="宋体" w:eastAsia="宋体" w:cs="宋体"/>
          <w:color w:val="auto"/>
          <w:spacing w:val="-1"/>
          <w:sz w:val="24"/>
          <w:szCs w:val="24"/>
          <w:highlight w:val="none"/>
        </w:rPr>
        <w:t>的组成部分。通用合</w:t>
      </w:r>
      <w:r>
        <w:rPr>
          <w:rFonts w:hint="eastAsia" w:ascii="宋体" w:hAnsi="宋体" w:eastAsia="宋体" w:cs="宋体"/>
          <w:color w:val="auto"/>
          <w:spacing w:val="-5"/>
          <w:sz w:val="24"/>
          <w:szCs w:val="24"/>
          <w:highlight w:val="none"/>
        </w:rPr>
        <w:t>同条款中“技术标准和要求”一词具有相同含义。</w:t>
      </w:r>
    </w:p>
    <w:p w14:paraId="13A555AC">
      <w:pPr>
        <w:spacing w:line="219" w:lineRule="auto"/>
        <w:ind w:left="383"/>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第1.1.1.8目细化为：</w:t>
      </w:r>
    </w:p>
    <w:p w14:paraId="1AFA5576">
      <w:pPr>
        <w:spacing w:before="129" w:line="307" w:lineRule="auto"/>
        <w:ind w:left="19" w:right="71" w:firstLine="550"/>
        <w:jc w:val="both"/>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已标价工程量清单：指构成合同文件组成部分的</w:t>
      </w:r>
      <w:r>
        <w:rPr>
          <w:rFonts w:hint="eastAsia" w:ascii="宋体" w:hAnsi="宋体" w:eastAsia="宋体" w:cs="宋体"/>
          <w:color w:val="auto"/>
          <w:spacing w:val="5"/>
          <w:sz w:val="24"/>
          <w:szCs w:val="24"/>
          <w:highlight w:val="none"/>
        </w:rPr>
        <w:t>已标明价格、经算术性错误</w:t>
      </w:r>
      <w:r>
        <w:rPr>
          <w:rFonts w:hint="eastAsia" w:ascii="宋体" w:hAnsi="宋体" w:eastAsia="宋体" w:cs="宋体"/>
          <w:color w:val="auto"/>
          <w:spacing w:val="20"/>
          <w:sz w:val="24"/>
          <w:szCs w:val="24"/>
          <w:highlight w:val="none"/>
        </w:rPr>
        <w:t>修正及其他错误修正(如有)且承包人已确认的最终的工程量清单，包括工程</w:t>
      </w:r>
      <w:r>
        <w:rPr>
          <w:rFonts w:hint="eastAsia" w:ascii="宋体" w:hAnsi="宋体" w:eastAsia="宋体" w:cs="宋体"/>
          <w:color w:val="auto"/>
          <w:spacing w:val="13"/>
          <w:sz w:val="24"/>
          <w:szCs w:val="24"/>
          <w:highlight w:val="none"/>
        </w:rPr>
        <w:t>量清单说明、投标报价说明、计日工说明、其他说明及工程量清单各项表格(工</w:t>
      </w:r>
      <w:r>
        <w:rPr>
          <w:rFonts w:hint="eastAsia" w:ascii="宋体" w:hAnsi="宋体" w:eastAsia="宋体" w:cs="宋体"/>
          <w:color w:val="auto"/>
          <w:spacing w:val="-1"/>
          <w:sz w:val="24"/>
          <w:szCs w:val="24"/>
          <w:highlight w:val="none"/>
        </w:rPr>
        <w:t>程量清单表5.1~表5.5)。</w:t>
      </w:r>
    </w:p>
    <w:p w14:paraId="1F237D5A">
      <w:pPr>
        <w:spacing w:before="1" w:line="218" w:lineRule="auto"/>
        <w:ind w:left="391"/>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本项补充第1.1.1.10目：</w:t>
      </w:r>
    </w:p>
    <w:p w14:paraId="7D39197B">
      <w:pPr>
        <w:keepNext w:val="0"/>
        <w:keepLines w:val="0"/>
        <w:pageBreakBefore w:val="0"/>
        <w:widowControl/>
        <w:kinsoku w:val="0"/>
        <w:wordWrap/>
        <w:overflowPunct/>
        <w:topLinePunct w:val="0"/>
        <w:autoSpaceDE w:val="0"/>
        <w:autoSpaceDN w:val="0"/>
        <w:bidi w:val="0"/>
        <w:adjustRightInd w:val="0"/>
        <w:snapToGrid w:val="0"/>
        <w:spacing w:before="138" w:line="312" w:lineRule="auto"/>
        <w:ind w:right="0" w:firstLine="47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1.1.1.10补遗书：指发出招标文件之后由招标人向已取得招标文件的投标人发出</w:t>
      </w:r>
      <w:r>
        <w:rPr>
          <w:rFonts w:hint="eastAsia" w:ascii="宋体" w:hAnsi="宋体" w:eastAsia="宋体" w:cs="宋体"/>
          <w:color w:val="auto"/>
          <w:spacing w:val="-6"/>
          <w:sz w:val="24"/>
          <w:szCs w:val="24"/>
          <w:highlight w:val="none"/>
        </w:rPr>
        <w:t>的、编号的对招标文件所作的澄清、修改书。</w:t>
      </w:r>
    </w:p>
    <w:p w14:paraId="16D40990">
      <w:pPr>
        <w:spacing w:before="1" w:line="220" w:lineRule="auto"/>
        <w:ind w:left="406"/>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1.1.2合同当事人和人员本项补充</w:t>
      </w:r>
      <w:r>
        <w:rPr>
          <w:rFonts w:hint="eastAsia" w:ascii="宋体" w:hAnsi="宋体" w:eastAsia="宋体" w:cs="宋体"/>
          <w:color w:val="auto"/>
          <w:spacing w:val="-7"/>
          <w:sz w:val="24"/>
          <w:szCs w:val="24"/>
          <w:highlight w:val="none"/>
        </w:rPr>
        <w:t>第1.1.2.8目：</w:t>
      </w:r>
    </w:p>
    <w:p w14:paraId="3EE34C8D">
      <w:pPr>
        <w:spacing w:before="176" w:line="303" w:lineRule="auto"/>
        <w:ind w:left="23" w:right="48" w:firstLine="385"/>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1.1.2.8承包人项目总工：指由承包人书面委派常驻现场负责管理本合同工程的总</w:t>
      </w:r>
      <w:r>
        <w:rPr>
          <w:rFonts w:hint="eastAsia" w:ascii="宋体" w:hAnsi="宋体" w:eastAsia="宋体" w:cs="宋体"/>
          <w:color w:val="auto"/>
          <w:spacing w:val="-6"/>
          <w:sz w:val="24"/>
          <w:szCs w:val="24"/>
          <w:highlight w:val="none"/>
        </w:rPr>
        <w:t>工程师或技术总负责人。</w:t>
      </w:r>
    </w:p>
    <w:p w14:paraId="288E74F9">
      <w:pPr>
        <w:spacing w:before="1" w:line="221" w:lineRule="auto"/>
        <w:ind w:left="402"/>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1.1.3工程和设备</w:t>
      </w:r>
    </w:p>
    <w:p w14:paraId="6A22680E">
      <w:pPr>
        <w:spacing w:before="115" w:line="219" w:lineRule="auto"/>
        <w:ind w:left="383"/>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第1.1.3.4目细化为：</w:t>
      </w:r>
    </w:p>
    <w:p w14:paraId="5DCB43CB">
      <w:pPr>
        <w:spacing w:before="140" w:line="219" w:lineRule="auto"/>
        <w:ind w:right="41"/>
        <w:jc w:val="right"/>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单位工程：指在建设项目中，根据签订的合</w:t>
      </w:r>
      <w:r>
        <w:rPr>
          <w:rFonts w:hint="eastAsia" w:ascii="宋体" w:hAnsi="宋体" w:eastAsia="宋体" w:cs="宋体"/>
          <w:color w:val="auto"/>
          <w:spacing w:val="3"/>
          <w:sz w:val="24"/>
          <w:szCs w:val="24"/>
          <w:highlight w:val="none"/>
        </w:rPr>
        <w:t>同，具有独立施工条件的工程。第</w:t>
      </w:r>
    </w:p>
    <w:p w14:paraId="2E77CC9F">
      <w:pPr>
        <w:spacing w:before="118" w:line="221" w:lineRule="auto"/>
        <w:ind w:left="3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1.1.3.10目细化为：</w:t>
      </w:r>
    </w:p>
    <w:p w14:paraId="4F5B86F9">
      <w:pPr>
        <w:spacing w:before="118" w:line="303" w:lineRule="auto"/>
        <w:ind w:left="19" w:right="50" w:firstLine="372"/>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永久占地：指为实施本合同工程而需要的一切永久占用的土地，包括公路两侧路</w:t>
      </w:r>
      <w:r>
        <w:rPr>
          <w:rFonts w:hint="eastAsia" w:ascii="宋体" w:hAnsi="宋体" w:eastAsia="宋体" w:cs="宋体"/>
          <w:color w:val="auto"/>
          <w:spacing w:val="-6"/>
          <w:sz w:val="24"/>
          <w:szCs w:val="24"/>
          <w:highlight w:val="none"/>
        </w:rPr>
        <w:t>权范围内的用地。</w:t>
      </w:r>
    </w:p>
    <w:p w14:paraId="7A9E88B0">
      <w:pPr>
        <w:spacing w:before="1" w:line="219" w:lineRule="auto"/>
        <w:ind w:left="383"/>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第1.1.3.11目细化为：</w:t>
      </w:r>
    </w:p>
    <w:p w14:paraId="389E65EE">
      <w:pPr>
        <w:spacing w:before="134" w:line="318" w:lineRule="auto"/>
        <w:ind w:left="22" w:firstLine="421"/>
        <w:jc w:val="both"/>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临时占地：指为实施本合同工程而需要的一切临时占用的土地，包括施工所</w:t>
      </w:r>
      <w:r>
        <w:rPr>
          <w:rFonts w:hint="eastAsia" w:ascii="宋体" w:hAnsi="宋体" w:eastAsia="宋体" w:cs="宋体"/>
          <w:color w:val="auto"/>
          <w:spacing w:val="-12"/>
          <w:sz w:val="24"/>
          <w:szCs w:val="24"/>
          <w:highlight w:val="none"/>
        </w:rPr>
        <w:t>用的临时支线、便道、便桥和现场的临时出入通道，以及生产(办公)、生活等临时设施</w:t>
      </w:r>
      <w:r>
        <w:rPr>
          <w:rFonts w:hint="eastAsia" w:ascii="宋体" w:hAnsi="宋体" w:eastAsia="宋体" w:cs="宋体"/>
          <w:color w:val="auto"/>
          <w:spacing w:val="-8"/>
          <w:sz w:val="24"/>
          <w:szCs w:val="24"/>
          <w:highlight w:val="none"/>
        </w:rPr>
        <w:t>用地等。</w:t>
      </w:r>
    </w:p>
    <w:p w14:paraId="0FB9B45F">
      <w:pPr>
        <w:spacing w:line="318" w:lineRule="auto"/>
        <w:rPr>
          <w:rFonts w:hint="eastAsia" w:ascii="宋体" w:hAnsi="宋体" w:eastAsia="宋体" w:cs="宋体"/>
          <w:color w:val="auto"/>
          <w:sz w:val="24"/>
          <w:szCs w:val="24"/>
          <w:highlight w:val="none"/>
        </w:rPr>
        <w:sectPr>
          <w:headerReference r:id="rId131" w:type="default"/>
          <w:footerReference r:id="rId132" w:type="default"/>
          <w:pgSz w:w="11907" w:h="16840"/>
          <w:pgMar w:top="1182" w:right="1282" w:bottom="1014" w:left="1786" w:header="849" w:footer="852" w:gutter="0"/>
          <w:pgNumType w:fmt="decimal"/>
          <w:cols w:space="720" w:num="1"/>
        </w:sectPr>
      </w:pPr>
    </w:p>
    <w:p w14:paraId="6AD381B8">
      <w:pPr>
        <w:pStyle w:val="4"/>
        <w:spacing w:line="266" w:lineRule="auto"/>
        <w:rPr>
          <w:rFonts w:hint="eastAsia" w:ascii="宋体" w:hAnsi="宋体" w:eastAsia="宋体" w:cs="宋体"/>
          <w:color w:val="auto"/>
          <w:highlight w:val="none"/>
        </w:rPr>
      </w:pPr>
    </w:p>
    <w:p w14:paraId="0B960604">
      <w:pPr>
        <w:pStyle w:val="4"/>
        <w:spacing w:line="266" w:lineRule="auto"/>
        <w:rPr>
          <w:rFonts w:hint="eastAsia" w:ascii="宋体" w:hAnsi="宋体" w:eastAsia="宋体" w:cs="宋体"/>
          <w:color w:val="auto"/>
          <w:highlight w:val="none"/>
        </w:rPr>
      </w:pPr>
    </w:p>
    <w:p w14:paraId="5AF48B8A">
      <w:pPr>
        <w:spacing w:before="78" w:line="219" w:lineRule="auto"/>
        <w:ind w:left="391"/>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本项补充第1.1.3.12目、第1.1.</w:t>
      </w:r>
      <w:r>
        <w:rPr>
          <w:rFonts w:hint="eastAsia" w:ascii="宋体" w:hAnsi="宋体" w:eastAsia="宋体" w:cs="宋体"/>
          <w:color w:val="auto"/>
          <w:spacing w:val="-6"/>
          <w:sz w:val="24"/>
          <w:szCs w:val="24"/>
          <w:highlight w:val="none"/>
        </w:rPr>
        <w:t>3.13目：</w:t>
      </w:r>
    </w:p>
    <w:p w14:paraId="1CBD5336">
      <w:pPr>
        <w:spacing w:before="137" w:line="237" w:lineRule="auto"/>
        <w:ind w:left="23" w:right="298" w:firstLine="38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1.1.3.12分部工程：指在单位工程中，按结构部位、路</w:t>
      </w:r>
      <w:r>
        <w:rPr>
          <w:rFonts w:hint="eastAsia" w:ascii="宋体" w:hAnsi="宋体" w:eastAsia="宋体" w:cs="宋体"/>
          <w:color w:val="auto"/>
          <w:spacing w:val="-1"/>
          <w:sz w:val="24"/>
          <w:szCs w:val="24"/>
          <w:highlight w:val="none"/>
        </w:rPr>
        <w:t>段长度及施工特点或施</w:t>
      </w:r>
      <w:r>
        <w:rPr>
          <w:rFonts w:hint="eastAsia" w:ascii="宋体" w:hAnsi="宋体" w:eastAsia="宋体" w:cs="宋体"/>
          <w:color w:val="auto"/>
          <w:spacing w:val="-7"/>
          <w:sz w:val="24"/>
          <w:szCs w:val="24"/>
          <w:highlight w:val="none"/>
        </w:rPr>
        <w:t>工任务划分的若干个工程。</w:t>
      </w:r>
    </w:p>
    <w:p w14:paraId="17113C45">
      <w:pPr>
        <w:spacing w:before="95" w:line="265" w:lineRule="auto"/>
        <w:ind w:left="21" w:right="281" w:firstLine="387"/>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1.1.3.13分项工程：指在分部工程中，按不同的施工方法、材料、工序及路段</w:t>
      </w:r>
      <w:r>
        <w:rPr>
          <w:rFonts w:hint="eastAsia" w:ascii="宋体" w:hAnsi="宋体" w:eastAsia="宋体" w:cs="宋体"/>
          <w:color w:val="auto"/>
          <w:spacing w:val="-6"/>
          <w:sz w:val="24"/>
          <w:szCs w:val="24"/>
          <w:highlight w:val="none"/>
        </w:rPr>
        <w:t>长度等划分的若干个工程。</w:t>
      </w:r>
    </w:p>
    <w:p w14:paraId="14C39DA1">
      <w:pPr>
        <w:spacing w:before="102" w:line="222" w:lineRule="auto"/>
        <w:ind w:left="402"/>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1.1.6其他</w:t>
      </w:r>
    </w:p>
    <w:p w14:paraId="4113AB72">
      <w:pPr>
        <w:spacing w:before="109" w:line="219" w:lineRule="auto"/>
        <w:ind w:left="408"/>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本项补充第1.1.6.2目~第1.1.6.9目：</w:t>
      </w:r>
    </w:p>
    <w:p w14:paraId="438F6182">
      <w:pPr>
        <w:spacing w:before="142" w:line="264" w:lineRule="auto"/>
        <w:ind w:left="22" w:right="284" w:firstLine="371"/>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1.1.6.2竣工验收：指《公路工程竣(交)工验收办法》中的竣工验收。通用合同</w:t>
      </w:r>
      <w:r>
        <w:rPr>
          <w:rFonts w:hint="eastAsia" w:ascii="宋体" w:hAnsi="宋体" w:eastAsia="宋体" w:cs="宋体"/>
          <w:color w:val="auto"/>
          <w:spacing w:val="-5"/>
          <w:sz w:val="24"/>
          <w:szCs w:val="24"/>
          <w:highlight w:val="none"/>
        </w:rPr>
        <w:t>条款中“国家验收”一词具有相同含义。</w:t>
      </w:r>
    </w:p>
    <w:p w14:paraId="4229C8D3">
      <w:pPr>
        <w:spacing w:before="120" w:line="265" w:lineRule="auto"/>
        <w:ind w:left="43" w:right="281" w:firstLine="392"/>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1.1.6.3交工：指《公路工程竣(交)工验收办法》中的交工。通用合同条款</w:t>
      </w:r>
      <w:r>
        <w:rPr>
          <w:rFonts w:hint="eastAsia" w:ascii="宋体" w:hAnsi="宋体" w:eastAsia="宋体" w:cs="宋体"/>
          <w:color w:val="auto"/>
          <w:spacing w:val="-7"/>
          <w:sz w:val="24"/>
          <w:szCs w:val="24"/>
          <w:highlight w:val="none"/>
        </w:rPr>
        <w:t>中“竣工”一词具有相同含义。</w:t>
      </w:r>
    </w:p>
    <w:p w14:paraId="4AC35310">
      <w:pPr>
        <w:spacing w:before="120" w:line="265" w:lineRule="auto"/>
        <w:ind w:left="21" w:right="286" w:firstLine="416"/>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1.1.6.4交工验收：指《公路工程竣(交)工验收办法》中的交工验收。通用</w:t>
      </w:r>
      <w:r>
        <w:rPr>
          <w:rFonts w:hint="eastAsia" w:ascii="宋体" w:hAnsi="宋体" w:eastAsia="宋体" w:cs="宋体"/>
          <w:color w:val="auto"/>
          <w:spacing w:val="-2"/>
          <w:sz w:val="24"/>
          <w:szCs w:val="24"/>
          <w:highlight w:val="none"/>
        </w:rPr>
        <w:t>合同条款中“竣工验收”一词具有相同含义。</w:t>
      </w:r>
    </w:p>
    <w:p w14:paraId="6543297C">
      <w:pPr>
        <w:spacing w:before="122" w:line="263" w:lineRule="auto"/>
        <w:ind w:left="20" w:right="4" w:firstLine="414"/>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1.1.6.5交工验收证书：指《公</w:t>
      </w:r>
      <w:r>
        <w:rPr>
          <w:rFonts w:hint="eastAsia" w:ascii="宋体" w:hAnsi="宋体" w:eastAsia="宋体" w:cs="宋体"/>
          <w:color w:val="auto"/>
          <w:spacing w:val="2"/>
          <w:sz w:val="24"/>
          <w:szCs w:val="24"/>
          <w:highlight w:val="none"/>
        </w:rPr>
        <w:t>路工程竣(交)工验收办法》中的交工验收证书。</w:t>
      </w:r>
      <w:r>
        <w:rPr>
          <w:rFonts w:hint="eastAsia" w:ascii="宋体" w:hAnsi="宋体" w:eastAsia="宋体" w:cs="宋体"/>
          <w:color w:val="auto"/>
          <w:spacing w:val="-4"/>
          <w:sz w:val="24"/>
          <w:szCs w:val="24"/>
          <w:highlight w:val="none"/>
        </w:rPr>
        <w:t>通用合同条款中“工程接收证书”一词具有相同含义。</w:t>
      </w:r>
    </w:p>
    <w:p w14:paraId="10ECA853">
      <w:pPr>
        <w:spacing w:before="123" w:line="265" w:lineRule="auto"/>
        <w:ind w:left="23" w:right="24" w:firstLine="383"/>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1.1.6.6转包：指承包人违反法律和不履行合同规定的责任和义务，将中标工程全</w:t>
      </w:r>
      <w:r>
        <w:rPr>
          <w:rFonts w:hint="eastAsia" w:ascii="宋体" w:hAnsi="宋体" w:eastAsia="宋体" w:cs="宋体"/>
          <w:color w:val="auto"/>
          <w:spacing w:val="-3"/>
          <w:sz w:val="24"/>
          <w:szCs w:val="24"/>
          <w:highlight w:val="none"/>
        </w:rPr>
        <w:t>部委托或以专业分包的名义将中标工程肢解后全部</w:t>
      </w:r>
      <w:r>
        <w:rPr>
          <w:rFonts w:hint="eastAsia" w:ascii="宋体" w:hAnsi="宋体" w:eastAsia="宋体" w:cs="宋体"/>
          <w:color w:val="auto"/>
          <w:spacing w:val="-4"/>
          <w:sz w:val="24"/>
          <w:szCs w:val="24"/>
          <w:highlight w:val="none"/>
        </w:rPr>
        <w:t>委托给其他施工企业施工的行为。</w:t>
      </w:r>
    </w:p>
    <w:p w14:paraId="5D34B195">
      <w:pPr>
        <w:spacing w:before="123" w:line="279" w:lineRule="auto"/>
        <w:ind w:left="20" w:right="18" w:firstLine="38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1.1.6.7专业分包：指承包人与具有相应资格的施工</w:t>
      </w:r>
      <w:r>
        <w:rPr>
          <w:rFonts w:hint="eastAsia" w:ascii="宋体" w:hAnsi="宋体" w:eastAsia="宋体" w:cs="宋体"/>
          <w:color w:val="auto"/>
          <w:spacing w:val="-4"/>
          <w:sz w:val="24"/>
          <w:szCs w:val="24"/>
          <w:highlight w:val="none"/>
        </w:rPr>
        <w:t>企业签订专业分包合同，由分</w:t>
      </w:r>
      <w:r>
        <w:rPr>
          <w:rFonts w:hint="eastAsia" w:ascii="宋体" w:hAnsi="宋体" w:eastAsia="宋体" w:cs="宋体"/>
          <w:color w:val="auto"/>
          <w:spacing w:val="-18"/>
          <w:sz w:val="24"/>
          <w:szCs w:val="24"/>
          <w:highlight w:val="none"/>
        </w:rPr>
        <w:t>包人承担承包人委托的分部工程、分项工程或适合专业化队伍施工的其他工程，整体结</w:t>
      </w:r>
      <w:r>
        <w:rPr>
          <w:rFonts w:hint="eastAsia" w:ascii="宋体" w:hAnsi="宋体" w:eastAsia="宋体" w:cs="宋体"/>
          <w:color w:val="auto"/>
          <w:spacing w:val="-19"/>
          <w:sz w:val="24"/>
          <w:szCs w:val="24"/>
          <w:highlight w:val="none"/>
        </w:rPr>
        <w:t>算，</w:t>
      </w:r>
      <w:r>
        <w:rPr>
          <w:rFonts w:hint="eastAsia" w:ascii="宋体" w:hAnsi="宋体" w:eastAsia="宋体" w:cs="宋体"/>
          <w:color w:val="auto"/>
          <w:spacing w:val="-16"/>
          <w:sz w:val="24"/>
          <w:szCs w:val="24"/>
          <w:highlight w:val="none"/>
        </w:rPr>
        <w:t>并能独立控制工程质量、施工进度、材料采购、生产安全的施工行为。</w:t>
      </w:r>
    </w:p>
    <w:p w14:paraId="5C4BA80C">
      <w:pPr>
        <w:spacing w:before="124" w:line="279" w:lineRule="auto"/>
        <w:ind w:left="20" w:firstLine="38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1.1.6.8劳务分包：指承包人与具有施工劳务资质的劳务</w:t>
      </w:r>
      <w:r>
        <w:rPr>
          <w:rFonts w:hint="eastAsia" w:ascii="宋体" w:hAnsi="宋体" w:eastAsia="宋体" w:cs="宋体"/>
          <w:color w:val="auto"/>
          <w:spacing w:val="-3"/>
          <w:sz w:val="24"/>
          <w:szCs w:val="24"/>
          <w:highlight w:val="none"/>
        </w:rPr>
        <w:t>企业签订劳务分包合同，</w:t>
      </w:r>
      <w:r>
        <w:rPr>
          <w:rFonts w:hint="eastAsia" w:ascii="宋体" w:hAnsi="宋体" w:eastAsia="宋体" w:cs="宋体"/>
          <w:color w:val="auto"/>
          <w:spacing w:val="-18"/>
          <w:sz w:val="24"/>
          <w:szCs w:val="24"/>
          <w:highlight w:val="none"/>
        </w:rPr>
        <w:t>由劳务企业提供劳务人员及机具，由承包人统一组织施工、统一控制工程质量、施工进度、</w:t>
      </w:r>
      <w:r>
        <w:rPr>
          <w:rFonts w:hint="eastAsia" w:ascii="宋体" w:hAnsi="宋体" w:eastAsia="宋体" w:cs="宋体"/>
          <w:color w:val="auto"/>
          <w:spacing w:val="-15"/>
          <w:sz w:val="24"/>
          <w:szCs w:val="24"/>
          <w:highlight w:val="none"/>
        </w:rPr>
        <w:t>材料采购、生产安全的施工行为。</w:t>
      </w:r>
    </w:p>
    <w:p w14:paraId="6775C50C">
      <w:pPr>
        <w:spacing w:before="119" w:line="270" w:lineRule="auto"/>
        <w:ind w:left="22" w:right="82" w:firstLine="383"/>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1.1.6.9雇用民工：指承包人</w:t>
      </w:r>
      <w:r>
        <w:rPr>
          <w:rFonts w:hint="eastAsia" w:ascii="宋体" w:hAnsi="宋体" w:eastAsia="宋体" w:cs="宋体"/>
          <w:color w:val="auto"/>
          <w:spacing w:val="-4"/>
          <w:sz w:val="24"/>
          <w:szCs w:val="24"/>
          <w:highlight w:val="none"/>
        </w:rPr>
        <w:t>与具有相应劳动能力的自然人签订劳动合同，由承包人统一组织管理，从事分项工程施工或配套工程</w:t>
      </w:r>
      <w:r>
        <w:rPr>
          <w:rFonts w:hint="eastAsia" w:ascii="宋体" w:hAnsi="宋体" w:eastAsia="宋体" w:cs="宋体"/>
          <w:color w:val="auto"/>
          <w:spacing w:val="-5"/>
          <w:sz w:val="24"/>
          <w:szCs w:val="24"/>
          <w:highlight w:val="none"/>
        </w:rPr>
        <w:t>施工的行为。</w:t>
      </w:r>
    </w:p>
    <w:p w14:paraId="08CD8147">
      <w:pPr>
        <w:spacing w:before="308" w:line="221" w:lineRule="auto"/>
        <w:ind w:left="39"/>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1.4合同文件的优先顺序</w:t>
      </w:r>
    </w:p>
    <w:p w14:paraId="28BBC6D9">
      <w:pPr>
        <w:pStyle w:val="4"/>
        <w:spacing w:line="294" w:lineRule="auto"/>
        <w:rPr>
          <w:rFonts w:hint="eastAsia" w:ascii="宋体" w:hAnsi="宋体" w:eastAsia="宋体" w:cs="宋体"/>
          <w:color w:val="auto"/>
          <w:highlight w:val="none"/>
        </w:rPr>
      </w:pPr>
    </w:p>
    <w:p w14:paraId="67A8A627">
      <w:pPr>
        <w:spacing w:before="79" w:line="219"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5"/>
          <w:sz w:val="24"/>
          <w:szCs w:val="24"/>
          <w:highlight w:val="none"/>
        </w:rPr>
        <w:t>本款约定为：</w:t>
      </w:r>
    </w:p>
    <w:p w14:paraId="0027AF6F">
      <w:pPr>
        <w:spacing w:before="21" w:line="322" w:lineRule="auto"/>
        <w:ind w:left="19" w:right="85" w:firstLine="373"/>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组成合同的各项文件应互相解释，互为说明。除项目专用合同条款另有约定外，解</w:t>
      </w:r>
      <w:r>
        <w:rPr>
          <w:rFonts w:hint="eastAsia" w:ascii="宋体" w:hAnsi="宋体" w:eastAsia="宋体" w:cs="宋体"/>
          <w:color w:val="auto"/>
          <w:spacing w:val="-3"/>
          <w:sz w:val="24"/>
          <w:szCs w:val="24"/>
          <w:highlight w:val="none"/>
        </w:rPr>
        <w:t>释合同文件的优先顺序如下：</w:t>
      </w:r>
    </w:p>
    <w:p w14:paraId="263BA887">
      <w:pPr>
        <w:spacing w:before="1" w:line="323" w:lineRule="auto"/>
        <w:ind w:left="23" w:right="87" w:firstLine="408"/>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(1)合同协议书及各种合同附件(含评标期间和合同谈判过程中的澄清文件和补</w:t>
      </w:r>
      <w:r>
        <w:rPr>
          <w:rFonts w:hint="eastAsia" w:ascii="宋体" w:hAnsi="宋体" w:eastAsia="宋体" w:cs="宋体"/>
          <w:color w:val="auto"/>
          <w:spacing w:val="-4"/>
          <w:sz w:val="24"/>
          <w:szCs w:val="24"/>
          <w:highlight w:val="none"/>
        </w:rPr>
        <w:t>充资料)；</w:t>
      </w:r>
    </w:p>
    <w:p w14:paraId="187F8168">
      <w:pPr>
        <w:spacing w:line="323" w:lineRule="auto"/>
        <w:rPr>
          <w:rFonts w:hint="eastAsia" w:ascii="宋体" w:hAnsi="宋体" w:eastAsia="宋体" w:cs="宋体"/>
          <w:color w:val="auto"/>
          <w:sz w:val="24"/>
          <w:szCs w:val="24"/>
          <w:highlight w:val="none"/>
        </w:rPr>
        <w:sectPr>
          <w:headerReference r:id="rId133" w:type="default"/>
          <w:footerReference r:id="rId134" w:type="default"/>
          <w:pgSz w:w="11907" w:h="16840"/>
          <w:pgMar w:top="1182" w:right="1201" w:bottom="1014" w:left="1786" w:header="849" w:footer="852" w:gutter="0"/>
          <w:pgNumType w:fmt="decimal"/>
          <w:cols w:space="720" w:num="1"/>
        </w:sectPr>
      </w:pPr>
    </w:p>
    <w:p w14:paraId="075BA96D">
      <w:pPr>
        <w:pStyle w:val="4"/>
        <w:spacing w:line="263" w:lineRule="auto"/>
        <w:rPr>
          <w:rFonts w:hint="eastAsia" w:ascii="宋体" w:hAnsi="宋体" w:eastAsia="宋体" w:cs="宋体"/>
          <w:color w:val="auto"/>
          <w:highlight w:val="none"/>
        </w:rPr>
      </w:pPr>
    </w:p>
    <w:p w14:paraId="714012FF">
      <w:pPr>
        <w:pStyle w:val="4"/>
        <w:spacing w:line="263" w:lineRule="auto"/>
        <w:rPr>
          <w:rFonts w:hint="eastAsia" w:ascii="宋体" w:hAnsi="宋体" w:eastAsia="宋体" w:cs="宋体"/>
          <w:color w:val="auto"/>
          <w:highlight w:val="none"/>
        </w:rPr>
      </w:pPr>
    </w:p>
    <w:p w14:paraId="27DDB624">
      <w:pPr>
        <w:pStyle w:val="4"/>
        <w:spacing w:line="263" w:lineRule="auto"/>
        <w:rPr>
          <w:rFonts w:hint="eastAsia" w:ascii="宋体" w:hAnsi="宋体" w:eastAsia="宋体" w:cs="宋体"/>
          <w:color w:val="auto"/>
          <w:highlight w:val="none"/>
        </w:rPr>
      </w:pPr>
    </w:p>
    <w:p w14:paraId="30F6051C">
      <w:pPr>
        <w:pStyle w:val="4"/>
        <w:spacing w:line="263" w:lineRule="auto"/>
        <w:rPr>
          <w:rFonts w:hint="eastAsia" w:ascii="宋体" w:hAnsi="宋体" w:eastAsia="宋体" w:cs="宋体"/>
          <w:color w:val="auto"/>
          <w:highlight w:val="none"/>
        </w:rPr>
      </w:pPr>
    </w:p>
    <w:p w14:paraId="2742A0FD">
      <w:pPr>
        <w:spacing w:before="78" w:line="219" w:lineRule="auto"/>
        <w:ind w:left="511"/>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(2)中标通知书；</w:t>
      </w:r>
    </w:p>
    <w:p w14:paraId="24E46404">
      <w:pPr>
        <w:spacing w:before="118" w:line="219" w:lineRule="auto"/>
        <w:ind w:left="478"/>
        <w:rPr>
          <w:rFonts w:hint="eastAsia" w:ascii="宋体" w:hAnsi="宋体" w:eastAsia="宋体" w:cs="宋体"/>
          <w:color w:val="auto"/>
          <w:sz w:val="24"/>
          <w:szCs w:val="24"/>
          <w:highlight w:val="none"/>
        </w:rPr>
      </w:pPr>
      <w:r>
        <w:rPr>
          <w:rFonts w:hint="eastAsia" w:ascii="宋体" w:hAnsi="宋体" w:eastAsia="宋体" w:cs="宋体"/>
          <w:color w:val="auto"/>
          <w:spacing w:val="15"/>
          <w:sz w:val="24"/>
          <w:szCs w:val="24"/>
          <w:highlight w:val="none"/>
        </w:rPr>
        <w:t>(3)投标函及投标函附录；</w:t>
      </w:r>
    </w:p>
    <w:p w14:paraId="3CAB8766">
      <w:pPr>
        <w:spacing w:before="117" w:line="219" w:lineRule="auto"/>
        <w:ind w:left="48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(4)项目专用合同条款；</w:t>
      </w:r>
    </w:p>
    <w:p w14:paraId="33A00145">
      <w:pPr>
        <w:spacing w:before="224" w:line="219" w:lineRule="auto"/>
        <w:ind w:left="473"/>
        <w:rPr>
          <w:rFonts w:hint="eastAsia" w:ascii="宋体" w:hAnsi="宋体" w:eastAsia="宋体" w:cs="宋体"/>
          <w:color w:val="auto"/>
          <w:sz w:val="24"/>
          <w:szCs w:val="24"/>
          <w:highlight w:val="none"/>
        </w:rPr>
      </w:pPr>
      <w:r>
        <w:rPr>
          <w:rFonts w:hint="eastAsia" w:ascii="宋体" w:hAnsi="宋体" w:eastAsia="宋体" w:cs="宋体"/>
          <w:color w:val="auto"/>
          <w:spacing w:val="14"/>
          <w:sz w:val="24"/>
          <w:szCs w:val="24"/>
          <w:highlight w:val="none"/>
        </w:rPr>
        <w:t>(5)公路工程专用合同条款；</w:t>
      </w:r>
    </w:p>
    <w:p w14:paraId="59581145">
      <w:pPr>
        <w:spacing w:before="118" w:line="219" w:lineRule="auto"/>
        <w:ind w:left="50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(6)通用合同条款；</w:t>
      </w:r>
    </w:p>
    <w:p w14:paraId="3C237050">
      <w:pPr>
        <w:spacing w:before="118" w:line="220" w:lineRule="auto"/>
        <w:ind w:left="478"/>
        <w:rPr>
          <w:rFonts w:hint="eastAsia" w:ascii="宋体" w:hAnsi="宋体" w:eastAsia="宋体" w:cs="宋体"/>
          <w:color w:val="auto"/>
          <w:sz w:val="24"/>
          <w:szCs w:val="24"/>
          <w:highlight w:val="none"/>
        </w:rPr>
      </w:pPr>
      <w:r>
        <w:rPr>
          <w:rFonts w:hint="eastAsia" w:ascii="宋体" w:hAnsi="宋体" w:eastAsia="宋体" w:cs="宋体"/>
          <w:color w:val="auto"/>
          <w:spacing w:val="15"/>
          <w:sz w:val="24"/>
          <w:szCs w:val="24"/>
          <w:highlight w:val="none"/>
        </w:rPr>
        <w:t>(7)工程量清单计量规则；</w:t>
      </w:r>
    </w:p>
    <w:p w14:paraId="180A5CA9">
      <w:pPr>
        <w:spacing w:before="119" w:line="219" w:lineRule="auto"/>
        <w:ind w:left="50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(8)技术规范；</w:t>
      </w:r>
    </w:p>
    <w:p w14:paraId="088ABA25">
      <w:pPr>
        <w:spacing w:before="118" w:line="221" w:lineRule="auto"/>
        <w:ind w:left="523"/>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(9)图纸；</w:t>
      </w:r>
    </w:p>
    <w:p w14:paraId="00F8BCD1">
      <w:pPr>
        <w:spacing w:before="114" w:line="218" w:lineRule="auto"/>
        <w:ind w:left="478"/>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(10)已标价工程量清单；</w:t>
      </w:r>
    </w:p>
    <w:p w14:paraId="0639CF47">
      <w:pPr>
        <w:spacing w:before="122" w:line="219" w:lineRule="auto"/>
        <w:ind w:left="461"/>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(11)承包人有关人员、设备投入的承诺及投标文件中的施工组织设计；</w:t>
      </w:r>
    </w:p>
    <w:p w14:paraId="190AEB09">
      <w:pPr>
        <w:spacing w:before="117" w:line="219" w:lineRule="auto"/>
        <w:ind w:left="497"/>
        <w:rPr>
          <w:rFonts w:hint="eastAsia" w:ascii="宋体" w:hAnsi="宋体" w:eastAsia="宋体" w:cs="宋体"/>
          <w:color w:val="auto"/>
          <w:sz w:val="24"/>
          <w:szCs w:val="24"/>
          <w:highlight w:val="none"/>
        </w:rPr>
      </w:pPr>
      <w:r>
        <w:rPr>
          <w:rFonts w:hint="eastAsia" w:ascii="宋体" w:hAnsi="宋体" w:eastAsia="宋体" w:cs="宋体"/>
          <w:color w:val="auto"/>
          <w:spacing w:val="14"/>
          <w:sz w:val="24"/>
          <w:szCs w:val="24"/>
          <w:highlight w:val="none"/>
        </w:rPr>
        <w:t>(12)其他合同文件。</w:t>
      </w:r>
    </w:p>
    <w:p w14:paraId="2826A866">
      <w:pPr>
        <w:pStyle w:val="4"/>
        <w:spacing w:line="280" w:lineRule="auto"/>
        <w:rPr>
          <w:rFonts w:hint="eastAsia" w:ascii="宋体" w:hAnsi="宋体" w:eastAsia="宋体" w:cs="宋体"/>
          <w:color w:val="auto"/>
          <w:highlight w:val="none"/>
        </w:rPr>
      </w:pPr>
    </w:p>
    <w:p w14:paraId="0FBCA826">
      <w:pPr>
        <w:spacing w:before="78" w:line="222" w:lineRule="auto"/>
        <w:ind w:left="402"/>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1.5合同协议书</w:t>
      </w:r>
    </w:p>
    <w:p w14:paraId="4A4B2D0C">
      <w:pPr>
        <w:pStyle w:val="4"/>
        <w:spacing w:line="294" w:lineRule="auto"/>
        <w:rPr>
          <w:rFonts w:hint="eastAsia" w:ascii="宋体" w:hAnsi="宋体" w:eastAsia="宋体" w:cs="宋体"/>
          <w:color w:val="auto"/>
          <w:highlight w:val="none"/>
        </w:rPr>
      </w:pPr>
    </w:p>
    <w:p w14:paraId="7C92FDF7">
      <w:pPr>
        <w:spacing w:before="78" w:line="219" w:lineRule="auto"/>
        <w:ind w:left="355"/>
        <w:rPr>
          <w:rFonts w:hint="eastAsia" w:ascii="宋体" w:hAnsi="宋体" w:eastAsia="宋体" w:cs="宋体"/>
          <w:color w:val="auto"/>
          <w:sz w:val="24"/>
          <w:szCs w:val="24"/>
          <w:highlight w:val="none"/>
        </w:rPr>
      </w:pPr>
      <w:r>
        <w:rPr>
          <w:rFonts w:hint="eastAsia" w:ascii="宋体" w:hAnsi="宋体" w:eastAsia="宋体" w:cs="宋体"/>
          <w:color w:val="auto"/>
          <w:spacing w:val="-16"/>
          <w:sz w:val="24"/>
          <w:szCs w:val="24"/>
          <w:highlight w:val="none"/>
        </w:rPr>
        <w:t>本款补充：</w:t>
      </w:r>
    </w:p>
    <w:p w14:paraId="70C2A19B">
      <w:pPr>
        <w:spacing w:before="143" w:line="321" w:lineRule="auto"/>
        <w:ind w:left="21" w:firstLine="335"/>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制备本合同文件的费用由发包人承担。在合同协议书签订并生效之前，投标函和中标通知书将对双方具有约束力。</w:t>
      </w:r>
    </w:p>
    <w:p w14:paraId="42CA00E6">
      <w:pPr>
        <w:spacing w:before="173" w:line="222" w:lineRule="auto"/>
        <w:ind w:left="406"/>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1.6图纸和承包人文件</w:t>
      </w:r>
    </w:p>
    <w:p w14:paraId="6A1F2273">
      <w:pPr>
        <w:pStyle w:val="4"/>
        <w:spacing w:line="321" w:lineRule="auto"/>
        <w:rPr>
          <w:rFonts w:hint="eastAsia" w:ascii="宋体" w:hAnsi="宋体" w:eastAsia="宋体" w:cs="宋体"/>
          <w:color w:val="auto"/>
          <w:highlight w:val="none"/>
        </w:rPr>
      </w:pPr>
    </w:p>
    <w:p w14:paraId="0B536EFE">
      <w:pPr>
        <w:spacing w:before="78" w:line="262" w:lineRule="auto"/>
        <w:ind w:left="21" w:right="6518" w:firstLine="38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1.6.1图纸的提供</w:t>
      </w:r>
      <w:r>
        <w:rPr>
          <w:rFonts w:hint="eastAsia" w:ascii="宋体" w:hAnsi="宋体" w:eastAsia="宋体" w:cs="宋体"/>
          <w:color w:val="auto"/>
          <w:spacing w:val="-15"/>
          <w:sz w:val="24"/>
          <w:szCs w:val="24"/>
          <w:highlight w:val="none"/>
        </w:rPr>
        <w:t>本项细化为：</w:t>
      </w:r>
    </w:p>
    <w:p w14:paraId="52BDC5AC">
      <w:pPr>
        <w:spacing w:before="118" w:line="304" w:lineRule="auto"/>
        <w:ind w:left="22" w:right="60" w:firstLine="368"/>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监理人应在发出中标通知书之后42天内，向承包人免费提供由发包人或其委托</w:t>
      </w:r>
      <w:r>
        <w:rPr>
          <w:rFonts w:hint="eastAsia" w:ascii="宋体" w:hAnsi="宋体" w:eastAsia="宋体" w:cs="宋体"/>
          <w:color w:val="auto"/>
          <w:spacing w:val="5"/>
          <w:sz w:val="24"/>
          <w:szCs w:val="24"/>
          <w:highlight w:val="none"/>
        </w:rPr>
        <w:t>的设计单位设计的施工图纸、技术规范和其他技术资料2份，并向承包人进行技</w:t>
      </w:r>
      <w:r>
        <w:rPr>
          <w:rFonts w:hint="eastAsia" w:ascii="宋体" w:hAnsi="宋体" w:eastAsia="宋体" w:cs="宋体"/>
          <w:color w:val="auto"/>
          <w:spacing w:val="10"/>
          <w:sz w:val="24"/>
          <w:szCs w:val="24"/>
          <w:highlight w:val="none"/>
        </w:rPr>
        <w:t>术交底。承包人需要更多份数时，应自费复制。由于发包人未按时提供图纸造成</w:t>
      </w:r>
      <w:r>
        <w:rPr>
          <w:rFonts w:hint="eastAsia" w:ascii="宋体" w:hAnsi="宋体" w:eastAsia="宋体" w:cs="宋体"/>
          <w:color w:val="auto"/>
          <w:spacing w:val="-8"/>
          <w:sz w:val="24"/>
          <w:szCs w:val="24"/>
          <w:highlight w:val="none"/>
        </w:rPr>
        <w:t>工期延误的，按第11.3款的约定办理。</w:t>
      </w:r>
    </w:p>
    <w:p w14:paraId="093FC5E5">
      <w:pPr>
        <w:spacing w:before="1" w:line="221" w:lineRule="auto"/>
        <w:ind w:left="406"/>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1.6.2承包人提供的文件</w:t>
      </w:r>
    </w:p>
    <w:p w14:paraId="4F30DD37">
      <w:pPr>
        <w:spacing w:before="131" w:line="219"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5"/>
          <w:sz w:val="24"/>
          <w:szCs w:val="24"/>
          <w:highlight w:val="none"/>
        </w:rPr>
        <w:t>本项细化为：</w:t>
      </w:r>
    </w:p>
    <w:p w14:paraId="0248A02E">
      <w:pPr>
        <w:spacing w:before="139" w:line="305" w:lineRule="auto"/>
        <w:ind w:left="20" w:firstLine="370"/>
        <w:jc w:val="both"/>
        <w:rPr>
          <w:rFonts w:hint="eastAsia" w:ascii="宋体" w:hAnsi="宋体" w:eastAsia="宋体" w:cs="宋体"/>
          <w:color w:val="auto"/>
          <w:sz w:val="24"/>
          <w:szCs w:val="24"/>
          <w:highlight w:val="none"/>
        </w:rPr>
      </w:pPr>
      <w:r>
        <w:rPr>
          <w:rFonts w:hint="eastAsia" w:ascii="宋体" w:hAnsi="宋体" w:eastAsia="宋体" w:cs="宋体"/>
          <w:color w:val="auto"/>
          <w:spacing w:val="14"/>
          <w:sz w:val="24"/>
          <w:szCs w:val="24"/>
          <w:highlight w:val="none"/>
        </w:rPr>
        <w:t>有下列情形之一的，承包人应免费向监理人提交相关部分工程的施工图纸3</w:t>
      </w:r>
      <w:r>
        <w:rPr>
          <w:rFonts w:hint="eastAsia" w:ascii="宋体" w:hAnsi="宋体" w:eastAsia="宋体" w:cs="宋体"/>
          <w:color w:val="auto"/>
          <w:spacing w:val="-8"/>
          <w:sz w:val="24"/>
          <w:szCs w:val="24"/>
          <w:highlight w:val="none"/>
        </w:rPr>
        <w:t>份，并附必要的计算书、技术资料，或施工工艺图、设备安装图及安装设备的</w:t>
      </w:r>
      <w:r>
        <w:rPr>
          <w:rFonts w:hint="eastAsia" w:ascii="宋体" w:hAnsi="宋体" w:eastAsia="宋体" w:cs="宋体"/>
          <w:color w:val="auto"/>
          <w:spacing w:val="-9"/>
          <w:sz w:val="24"/>
          <w:szCs w:val="24"/>
          <w:highlight w:val="none"/>
        </w:rPr>
        <w:t>使用和维</w:t>
      </w:r>
      <w:r>
        <w:rPr>
          <w:rFonts w:hint="eastAsia" w:ascii="宋体" w:hAnsi="宋体" w:eastAsia="宋体" w:cs="宋体"/>
          <w:color w:val="auto"/>
          <w:spacing w:val="-4"/>
          <w:sz w:val="24"/>
          <w:szCs w:val="24"/>
          <w:highlight w:val="none"/>
        </w:rPr>
        <w:t>护手册各2份供监理人批准。</w:t>
      </w:r>
    </w:p>
    <w:p w14:paraId="29A17F97">
      <w:pPr>
        <w:spacing w:before="1" w:line="219" w:lineRule="auto"/>
        <w:ind w:left="46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(1)为使第1.6.1项所述的施工图纸适合于经施工测量后的纵、横断面；</w:t>
      </w:r>
    </w:p>
    <w:p w14:paraId="4C7BB195">
      <w:pPr>
        <w:spacing w:before="121" w:line="219" w:lineRule="auto"/>
        <w:ind w:left="468"/>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(2)为使第1.6.1项所述的施工图纸适合于现场具体地形；</w:t>
      </w:r>
    </w:p>
    <w:p w14:paraId="18340BFB">
      <w:pPr>
        <w:spacing w:before="117" w:line="219" w:lineRule="auto"/>
        <w:ind w:left="454"/>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(3)为使第1.6.1项所述的施工图纸适合于因尺寸与位置</w:t>
      </w:r>
      <w:r>
        <w:rPr>
          <w:rFonts w:hint="eastAsia" w:ascii="宋体" w:hAnsi="宋体" w:eastAsia="宋体" w:cs="宋体"/>
          <w:color w:val="auto"/>
          <w:spacing w:val="6"/>
          <w:sz w:val="24"/>
          <w:szCs w:val="24"/>
          <w:highlight w:val="none"/>
        </w:rPr>
        <w:t>变化而引起局部变</w:t>
      </w:r>
    </w:p>
    <w:p w14:paraId="76235879">
      <w:pPr>
        <w:spacing w:line="219" w:lineRule="auto"/>
        <w:rPr>
          <w:rFonts w:hint="eastAsia" w:ascii="宋体" w:hAnsi="宋体" w:eastAsia="宋体" w:cs="宋体"/>
          <w:color w:val="auto"/>
          <w:sz w:val="24"/>
          <w:szCs w:val="24"/>
          <w:highlight w:val="none"/>
        </w:rPr>
        <w:sectPr>
          <w:headerReference r:id="rId135" w:type="default"/>
          <w:footerReference r:id="rId136" w:type="default"/>
          <w:pgSz w:w="11907" w:h="16840"/>
          <w:pgMar w:top="1182" w:right="1286" w:bottom="1014" w:left="1786" w:header="849" w:footer="852" w:gutter="0"/>
          <w:pgNumType w:fmt="decimal"/>
          <w:cols w:space="720" w:num="1"/>
        </w:sectPr>
      </w:pPr>
    </w:p>
    <w:p w14:paraId="6924D880">
      <w:pPr>
        <w:spacing w:before="273" w:line="221" w:lineRule="auto"/>
        <w:ind w:left="34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更；</w:t>
      </w:r>
    </w:p>
    <w:p w14:paraId="29160FEC">
      <w:pPr>
        <w:spacing w:before="77" w:line="220" w:lineRule="auto"/>
        <w:ind w:left="502"/>
        <w:rPr>
          <w:rFonts w:hint="eastAsia" w:ascii="宋体" w:hAnsi="宋体" w:eastAsia="宋体" w:cs="宋体"/>
          <w:color w:val="auto"/>
          <w:sz w:val="24"/>
          <w:szCs w:val="24"/>
          <w:highlight w:val="none"/>
        </w:rPr>
      </w:pPr>
      <w:r>
        <w:rPr>
          <w:rFonts w:hint="eastAsia" w:ascii="宋体" w:hAnsi="宋体" w:eastAsia="宋体" w:cs="宋体"/>
          <w:color w:val="auto"/>
          <w:spacing w:val="17"/>
          <w:sz w:val="24"/>
          <w:szCs w:val="24"/>
          <w:highlight w:val="none"/>
        </w:rPr>
        <w:t>(4)由于合同要求与施工需要。</w:t>
      </w:r>
    </w:p>
    <w:p w14:paraId="448E82FF">
      <w:pPr>
        <w:spacing w:before="137" w:line="311" w:lineRule="auto"/>
        <w:ind w:left="22" w:firstLine="335"/>
        <w:rPr>
          <w:rFonts w:hint="eastAsia" w:ascii="宋体" w:hAnsi="宋体" w:eastAsia="宋体" w:cs="宋体"/>
          <w:color w:val="auto"/>
          <w:sz w:val="24"/>
          <w:szCs w:val="24"/>
          <w:highlight w:val="none"/>
        </w:rPr>
      </w:pPr>
      <w:r>
        <w:rPr>
          <w:rFonts w:hint="eastAsia" w:ascii="宋体" w:hAnsi="宋体" w:eastAsia="宋体" w:cs="宋体"/>
          <w:color w:val="auto"/>
          <w:spacing w:val="-15"/>
          <w:sz w:val="24"/>
          <w:szCs w:val="24"/>
          <w:highlight w:val="none"/>
        </w:rPr>
        <w:t>此类图纸应按监理人规定的格式和图幅绘制。监理人在收到由承包人绘制的上述工程、</w:t>
      </w:r>
      <w:r>
        <w:rPr>
          <w:rFonts w:hint="eastAsia" w:ascii="宋体" w:hAnsi="宋体" w:eastAsia="宋体" w:cs="宋体"/>
          <w:color w:val="auto"/>
          <w:spacing w:val="-13"/>
          <w:sz w:val="24"/>
          <w:szCs w:val="24"/>
          <w:highlight w:val="none"/>
        </w:rPr>
        <w:t>工艺图纸、计算书和有关技术资料后14天内应予批准或提出修改要求，承包人</w:t>
      </w:r>
      <w:r>
        <w:rPr>
          <w:rFonts w:hint="eastAsia" w:ascii="宋体" w:hAnsi="宋体" w:eastAsia="宋体" w:cs="宋体"/>
          <w:color w:val="auto"/>
          <w:spacing w:val="-14"/>
          <w:sz w:val="24"/>
          <w:szCs w:val="24"/>
          <w:highlight w:val="none"/>
        </w:rPr>
        <w:t>应按监理</w:t>
      </w:r>
      <w:r>
        <w:rPr>
          <w:rFonts w:hint="eastAsia" w:ascii="宋体" w:hAnsi="宋体" w:eastAsia="宋体" w:cs="宋体"/>
          <w:color w:val="auto"/>
          <w:spacing w:val="-2"/>
          <w:sz w:val="24"/>
          <w:szCs w:val="24"/>
          <w:highlight w:val="none"/>
        </w:rPr>
        <w:t>人提出的要求作出修改，重新向监理人提交，监理人应在7天内批准或提出进一步</w:t>
      </w:r>
      <w:r>
        <w:rPr>
          <w:rFonts w:hint="eastAsia" w:ascii="宋体" w:hAnsi="宋体" w:eastAsia="宋体" w:cs="宋体"/>
          <w:color w:val="auto"/>
          <w:spacing w:val="-6"/>
          <w:sz w:val="24"/>
          <w:szCs w:val="24"/>
          <w:highlight w:val="none"/>
        </w:rPr>
        <w:t>的修改意见。</w:t>
      </w:r>
    </w:p>
    <w:p w14:paraId="358CAD36">
      <w:pPr>
        <w:spacing w:before="126" w:line="222" w:lineRule="auto"/>
        <w:ind w:left="402"/>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1.6.4图纸的错误</w:t>
      </w:r>
    </w:p>
    <w:p w14:paraId="04F3C9B1">
      <w:pPr>
        <w:spacing w:before="131" w:line="219"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5"/>
          <w:sz w:val="24"/>
          <w:szCs w:val="24"/>
          <w:highlight w:val="none"/>
        </w:rPr>
        <w:t>本项细化为：</w:t>
      </w:r>
    </w:p>
    <w:p w14:paraId="416A80B8">
      <w:pPr>
        <w:spacing w:before="140" w:line="320" w:lineRule="auto"/>
        <w:ind w:left="20" w:right="63" w:firstLine="351"/>
        <w:jc w:val="both"/>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当承包人在查阅合同文件或在本合同工程实施过程中，</w:t>
      </w:r>
      <w:r>
        <w:rPr>
          <w:rFonts w:hint="eastAsia" w:ascii="宋体" w:hAnsi="宋体" w:eastAsia="宋体" w:cs="宋体"/>
          <w:color w:val="auto"/>
          <w:spacing w:val="-12"/>
          <w:sz w:val="24"/>
          <w:szCs w:val="24"/>
          <w:highlight w:val="none"/>
        </w:rPr>
        <w:t>发现有关的工程设计、技术规</w:t>
      </w:r>
      <w:r>
        <w:rPr>
          <w:rFonts w:hint="eastAsia" w:ascii="宋体" w:hAnsi="宋体" w:eastAsia="宋体" w:cs="宋体"/>
          <w:color w:val="auto"/>
          <w:spacing w:val="-8"/>
          <w:sz w:val="24"/>
          <w:szCs w:val="24"/>
          <w:highlight w:val="none"/>
        </w:rPr>
        <w:t>范、图纸或其他资料中的任何差错、遗漏或缺陷后，应及时通知监理人。监理人接到该</w:t>
      </w:r>
      <w:r>
        <w:rPr>
          <w:rFonts w:hint="eastAsia" w:ascii="宋体" w:hAnsi="宋体" w:eastAsia="宋体" w:cs="宋体"/>
          <w:color w:val="auto"/>
          <w:spacing w:val="-22"/>
          <w:sz w:val="24"/>
          <w:szCs w:val="24"/>
          <w:highlight w:val="none"/>
        </w:rPr>
        <w:t>通知后，应立即就此作出决定，并通知承包人和发包人。</w:t>
      </w:r>
    </w:p>
    <w:p w14:paraId="66CF3146">
      <w:pPr>
        <w:spacing w:before="168" w:line="222" w:lineRule="auto"/>
        <w:ind w:left="39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1.9严禁贿赂</w:t>
      </w:r>
    </w:p>
    <w:p w14:paraId="22457A2A">
      <w:pPr>
        <w:pStyle w:val="4"/>
        <w:spacing w:line="296" w:lineRule="auto"/>
        <w:rPr>
          <w:rFonts w:hint="eastAsia" w:ascii="宋体" w:hAnsi="宋体" w:eastAsia="宋体" w:cs="宋体"/>
          <w:color w:val="auto"/>
          <w:highlight w:val="none"/>
        </w:rPr>
      </w:pPr>
    </w:p>
    <w:p w14:paraId="1A39CF27">
      <w:pPr>
        <w:spacing w:before="78" w:line="219" w:lineRule="auto"/>
        <w:ind w:left="355"/>
        <w:rPr>
          <w:rFonts w:hint="eastAsia" w:ascii="宋体" w:hAnsi="宋体" w:eastAsia="宋体" w:cs="宋体"/>
          <w:color w:val="auto"/>
          <w:sz w:val="24"/>
          <w:szCs w:val="24"/>
          <w:highlight w:val="none"/>
        </w:rPr>
      </w:pPr>
      <w:r>
        <w:rPr>
          <w:rFonts w:hint="eastAsia" w:ascii="宋体" w:hAnsi="宋体" w:eastAsia="宋体" w:cs="宋体"/>
          <w:color w:val="auto"/>
          <w:spacing w:val="-16"/>
          <w:sz w:val="24"/>
          <w:szCs w:val="24"/>
          <w:highlight w:val="none"/>
        </w:rPr>
        <w:t>本款补充：</w:t>
      </w:r>
    </w:p>
    <w:p w14:paraId="739682AC">
      <w:pPr>
        <w:spacing w:before="139" w:line="315" w:lineRule="auto"/>
        <w:ind w:left="20" w:right="73" w:firstLine="356"/>
        <w:jc w:val="both"/>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在合同执行过程中，发包人和承包人应严格履行《廉政合同》约定</w:t>
      </w:r>
      <w:r>
        <w:rPr>
          <w:rFonts w:hint="eastAsia" w:ascii="宋体" w:hAnsi="宋体" w:eastAsia="宋体" w:cs="宋体"/>
          <w:color w:val="auto"/>
          <w:spacing w:val="-12"/>
          <w:sz w:val="24"/>
          <w:szCs w:val="24"/>
          <w:highlight w:val="none"/>
        </w:rPr>
        <w:t>的双方在廉政建设</w:t>
      </w:r>
      <w:r>
        <w:rPr>
          <w:rFonts w:hint="eastAsia" w:ascii="宋体" w:hAnsi="宋体" w:eastAsia="宋体" w:cs="宋体"/>
          <w:color w:val="auto"/>
          <w:spacing w:val="-14"/>
          <w:sz w:val="24"/>
          <w:szCs w:val="24"/>
          <w:highlight w:val="none"/>
        </w:rPr>
        <w:t>方面的权利和义务以及应承担的违约责任。承包人如果用行贿、送礼或其他不正当手</w:t>
      </w:r>
      <w:r>
        <w:rPr>
          <w:rFonts w:hint="eastAsia" w:ascii="宋体" w:hAnsi="宋体" w:eastAsia="宋体" w:cs="宋体"/>
          <w:color w:val="auto"/>
          <w:spacing w:val="-15"/>
          <w:sz w:val="24"/>
          <w:szCs w:val="24"/>
          <w:highlight w:val="none"/>
        </w:rPr>
        <w:t>段企</w:t>
      </w:r>
      <w:r>
        <w:rPr>
          <w:rFonts w:hint="eastAsia" w:ascii="宋体" w:hAnsi="宋体" w:eastAsia="宋体" w:cs="宋体"/>
          <w:color w:val="auto"/>
          <w:spacing w:val="2"/>
          <w:sz w:val="24"/>
          <w:szCs w:val="24"/>
          <w:highlight w:val="none"/>
        </w:rPr>
        <w:t>图影响或已经影响了发包人或监理人的行为和(或)</w:t>
      </w:r>
      <w:r>
        <w:rPr>
          <w:rFonts w:hint="eastAsia" w:ascii="宋体" w:hAnsi="宋体" w:eastAsia="宋体" w:cs="宋体"/>
          <w:color w:val="auto"/>
          <w:spacing w:val="1"/>
          <w:sz w:val="24"/>
          <w:szCs w:val="24"/>
          <w:highlight w:val="none"/>
        </w:rPr>
        <w:t>欲获得或已获得超出合同规定以</w:t>
      </w:r>
      <w:r>
        <w:rPr>
          <w:rFonts w:hint="eastAsia" w:ascii="宋体" w:hAnsi="宋体" w:eastAsia="宋体" w:cs="宋体"/>
          <w:color w:val="auto"/>
          <w:spacing w:val="-14"/>
          <w:sz w:val="24"/>
          <w:szCs w:val="24"/>
          <w:highlight w:val="none"/>
        </w:rPr>
        <w:t>外的额外费用，则发包人应按有关法纪严肃处理当事人，且承包人应对其上述行为造成的</w:t>
      </w:r>
      <w:r>
        <w:rPr>
          <w:rFonts w:hint="eastAsia" w:ascii="宋体" w:hAnsi="宋体" w:eastAsia="宋体" w:cs="宋体"/>
          <w:color w:val="auto"/>
          <w:spacing w:val="-19"/>
          <w:sz w:val="24"/>
          <w:szCs w:val="24"/>
          <w:highlight w:val="none"/>
        </w:rPr>
        <w:t>工程损害、发包人的经济损失等承担一切责任，并予</w:t>
      </w:r>
      <w:r>
        <w:rPr>
          <w:rFonts w:hint="eastAsia" w:ascii="宋体" w:hAnsi="宋体" w:eastAsia="宋体" w:cs="宋体"/>
          <w:color w:val="auto"/>
          <w:spacing w:val="-20"/>
          <w:sz w:val="24"/>
          <w:szCs w:val="24"/>
          <w:highlight w:val="none"/>
        </w:rPr>
        <w:t>赔偿。情节严重者，发包人有权终止承</w:t>
      </w:r>
      <w:r>
        <w:rPr>
          <w:rFonts w:hint="eastAsia" w:ascii="宋体" w:hAnsi="宋体" w:eastAsia="宋体" w:cs="宋体"/>
          <w:color w:val="auto"/>
          <w:spacing w:val="-15"/>
          <w:sz w:val="24"/>
          <w:szCs w:val="24"/>
          <w:highlight w:val="none"/>
        </w:rPr>
        <w:t>包人在本合同项下的承包。</w:t>
      </w:r>
    </w:p>
    <w:p w14:paraId="27297BB6">
      <w:pPr>
        <w:pStyle w:val="4"/>
        <w:spacing w:line="288" w:lineRule="auto"/>
        <w:rPr>
          <w:rFonts w:hint="eastAsia" w:ascii="宋体" w:hAnsi="宋体" w:eastAsia="宋体" w:cs="宋体"/>
          <w:color w:val="auto"/>
          <w:highlight w:val="none"/>
        </w:rPr>
      </w:pPr>
    </w:p>
    <w:p w14:paraId="64D11D39">
      <w:pPr>
        <w:spacing w:before="92" w:line="222" w:lineRule="auto"/>
        <w:ind w:left="17"/>
        <w:outlineLvl w:val="2"/>
        <w:rPr>
          <w:rFonts w:hint="eastAsia" w:ascii="宋体" w:hAnsi="宋体" w:eastAsia="宋体" w:cs="宋体"/>
          <w:color w:val="auto"/>
          <w:sz w:val="28"/>
          <w:szCs w:val="28"/>
          <w:highlight w:val="none"/>
        </w:rPr>
      </w:pPr>
      <w:bookmarkStart w:id="581" w:name="_Toc17210"/>
      <w:bookmarkStart w:id="582" w:name="_Toc5247"/>
      <w:bookmarkStart w:id="583" w:name="_Toc30691"/>
      <w:bookmarkStart w:id="584" w:name="_Toc22189"/>
      <w:bookmarkStart w:id="585" w:name="_Toc28142"/>
      <w:r>
        <w:rPr>
          <w:rFonts w:hint="eastAsia" w:ascii="宋体" w:hAnsi="宋体" w:eastAsia="宋体" w:cs="宋体"/>
          <w:color w:val="auto"/>
          <w:spacing w:val="-2"/>
          <w:sz w:val="28"/>
          <w:szCs w:val="28"/>
          <w:highlight w:val="none"/>
        </w:rPr>
        <w:t>2.发包人义务</w:t>
      </w:r>
      <w:bookmarkEnd w:id="581"/>
      <w:bookmarkEnd w:id="582"/>
      <w:bookmarkEnd w:id="583"/>
      <w:bookmarkEnd w:id="584"/>
      <w:bookmarkEnd w:id="585"/>
    </w:p>
    <w:p w14:paraId="11220FAF">
      <w:pPr>
        <w:pStyle w:val="4"/>
        <w:spacing w:line="279" w:lineRule="auto"/>
        <w:rPr>
          <w:rFonts w:hint="eastAsia" w:ascii="宋体" w:hAnsi="宋体" w:eastAsia="宋体" w:cs="宋体"/>
          <w:color w:val="auto"/>
          <w:highlight w:val="none"/>
        </w:rPr>
      </w:pPr>
    </w:p>
    <w:p w14:paraId="370A1939">
      <w:pPr>
        <w:spacing w:before="78" w:line="222" w:lineRule="auto"/>
        <w:ind w:left="386"/>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2.3提供施工场地</w:t>
      </w:r>
    </w:p>
    <w:p w14:paraId="50B92F09">
      <w:pPr>
        <w:pStyle w:val="4"/>
        <w:spacing w:line="290" w:lineRule="auto"/>
        <w:rPr>
          <w:rFonts w:hint="eastAsia" w:ascii="宋体" w:hAnsi="宋体" w:eastAsia="宋体" w:cs="宋体"/>
          <w:color w:val="auto"/>
          <w:highlight w:val="none"/>
        </w:rPr>
      </w:pPr>
    </w:p>
    <w:p w14:paraId="742A8EDD">
      <w:pPr>
        <w:spacing w:before="79" w:line="219" w:lineRule="auto"/>
        <w:ind w:left="355"/>
        <w:rPr>
          <w:rFonts w:hint="eastAsia" w:ascii="宋体" w:hAnsi="宋体" w:eastAsia="宋体" w:cs="宋体"/>
          <w:color w:val="auto"/>
          <w:sz w:val="24"/>
          <w:szCs w:val="24"/>
          <w:highlight w:val="none"/>
        </w:rPr>
      </w:pPr>
      <w:r>
        <w:rPr>
          <w:rFonts w:hint="eastAsia" w:ascii="宋体" w:hAnsi="宋体" w:eastAsia="宋体" w:cs="宋体"/>
          <w:color w:val="auto"/>
          <w:spacing w:val="-16"/>
          <w:sz w:val="24"/>
          <w:szCs w:val="24"/>
          <w:highlight w:val="none"/>
        </w:rPr>
        <w:t>本款补充：</w:t>
      </w:r>
    </w:p>
    <w:p w14:paraId="7B230C35">
      <w:pPr>
        <w:spacing w:before="142" w:line="311" w:lineRule="auto"/>
        <w:ind w:left="22" w:right="77" w:firstLine="431"/>
        <w:jc w:val="both"/>
        <w:rPr>
          <w:rFonts w:hint="eastAsia" w:ascii="宋体" w:hAnsi="宋体" w:eastAsia="宋体" w:cs="宋体"/>
          <w:color w:val="auto"/>
          <w:sz w:val="24"/>
          <w:szCs w:val="24"/>
          <w:highlight w:val="none"/>
        </w:rPr>
      </w:pPr>
      <w:r>
        <w:rPr>
          <w:rFonts w:hint="eastAsia" w:ascii="宋体" w:hAnsi="宋体" w:eastAsia="宋体" w:cs="宋体"/>
          <w:color w:val="auto"/>
          <w:spacing w:val="19"/>
          <w:sz w:val="24"/>
          <w:szCs w:val="24"/>
          <w:highlight w:val="none"/>
        </w:rPr>
        <w:t>发包人负责办理永久占地的征用及与之有关的拆迁赔偿手续并承担相关费</w:t>
      </w:r>
      <w:r>
        <w:rPr>
          <w:rFonts w:hint="eastAsia" w:ascii="宋体" w:hAnsi="宋体" w:eastAsia="宋体" w:cs="宋体"/>
          <w:color w:val="auto"/>
          <w:spacing w:val="-7"/>
          <w:sz w:val="24"/>
          <w:szCs w:val="24"/>
          <w:highlight w:val="none"/>
        </w:rPr>
        <w:t>用。承包人在按第10条规定提交施工进度计划的</w:t>
      </w:r>
      <w:r>
        <w:rPr>
          <w:rFonts w:hint="eastAsia" w:ascii="宋体" w:hAnsi="宋体" w:eastAsia="宋体" w:cs="宋体"/>
          <w:color w:val="auto"/>
          <w:spacing w:val="-8"/>
          <w:sz w:val="24"/>
          <w:szCs w:val="24"/>
          <w:highlight w:val="none"/>
        </w:rPr>
        <w:t>同时，应向监理人提交一份按施工先</w:t>
      </w:r>
      <w:r>
        <w:rPr>
          <w:rFonts w:hint="eastAsia" w:ascii="宋体" w:hAnsi="宋体" w:eastAsia="宋体" w:cs="宋体"/>
          <w:color w:val="auto"/>
          <w:spacing w:val="-6"/>
          <w:sz w:val="24"/>
          <w:szCs w:val="24"/>
          <w:highlight w:val="none"/>
        </w:rPr>
        <w:t>后次</w:t>
      </w:r>
    </w:p>
    <w:p w14:paraId="7D501254">
      <w:pPr>
        <w:spacing w:before="7" w:line="310" w:lineRule="auto"/>
        <w:ind w:left="23" w:right="87" w:firstLine="372"/>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序所需的永久占地计划。监理人应在收到此计划后的14天内审核并转报发包人</w:t>
      </w:r>
      <w:r>
        <w:rPr>
          <w:rFonts w:hint="eastAsia" w:ascii="宋体" w:hAnsi="宋体" w:eastAsia="宋体" w:cs="宋体"/>
          <w:color w:val="auto"/>
          <w:spacing w:val="11"/>
          <w:sz w:val="24"/>
          <w:szCs w:val="24"/>
          <w:highlight w:val="none"/>
        </w:rPr>
        <w:t>核备。发包人应在监理人发出本工程或分部工程开工通知之前，对承包人</w:t>
      </w:r>
      <w:r>
        <w:rPr>
          <w:rFonts w:hint="eastAsia" w:ascii="宋体" w:hAnsi="宋体" w:eastAsia="宋体" w:cs="宋体"/>
          <w:color w:val="auto"/>
          <w:spacing w:val="10"/>
          <w:sz w:val="24"/>
          <w:szCs w:val="24"/>
          <w:highlight w:val="none"/>
        </w:rPr>
        <w:t>开工所</w:t>
      </w:r>
      <w:r>
        <w:rPr>
          <w:rFonts w:hint="eastAsia" w:ascii="宋体" w:hAnsi="宋体" w:eastAsia="宋体" w:cs="宋体"/>
          <w:color w:val="auto"/>
          <w:spacing w:val="9"/>
          <w:sz w:val="24"/>
          <w:szCs w:val="24"/>
          <w:highlight w:val="none"/>
        </w:rPr>
        <w:t>需的永久占地办妥征用手续和相关拆迁赔偿</w:t>
      </w:r>
      <w:r>
        <w:rPr>
          <w:rFonts w:hint="eastAsia" w:ascii="宋体" w:hAnsi="宋体" w:eastAsia="宋体" w:cs="宋体"/>
          <w:color w:val="auto"/>
          <w:spacing w:val="8"/>
          <w:sz w:val="24"/>
          <w:szCs w:val="24"/>
          <w:highlight w:val="none"/>
        </w:rPr>
        <w:t>手续，通知承包人使用，以使承包人</w:t>
      </w:r>
      <w:r>
        <w:rPr>
          <w:rFonts w:hint="eastAsia" w:ascii="宋体" w:hAnsi="宋体" w:eastAsia="宋体" w:cs="宋体"/>
          <w:color w:val="auto"/>
          <w:spacing w:val="22"/>
          <w:sz w:val="24"/>
          <w:szCs w:val="24"/>
          <w:highlight w:val="none"/>
        </w:rPr>
        <w:t>能够及时开工；此后按承包人提交并经监理人同意的合同进度计划的安排，</w:t>
      </w:r>
      <w:r>
        <w:rPr>
          <w:rFonts w:hint="eastAsia" w:ascii="宋体" w:hAnsi="宋体" w:eastAsia="宋体" w:cs="宋体"/>
          <w:color w:val="auto"/>
          <w:spacing w:val="21"/>
          <w:sz w:val="24"/>
          <w:szCs w:val="24"/>
          <w:highlight w:val="none"/>
        </w:rPr>
        <w:t>分期(也可以一次)将施工所需的其余永久占地办妥征用以及拆迁赔偿手续，</w:t>
      </w:r>
    </w:p>
    <w:p w14:paraId="0E88977F">
      <w:pPr>
        <w:spacing w:line="310" w:lineRule="auto"/>
        <w:rPr>
          <w:rFonts w:hint="eastAsia" w:ascii="宋体" w:hAnsi="宋体" w:eastAsia="宋体" w:cs="宋体"/>
          <w:color w:val="auto"/>
          <w:sz w:val="24"/>
          <w:szCs w:val="24"/>
          <w:highlight w:val="none"/>
        </w:rPr>
        <w:sectPr>
          <w:headerReference r:id="rId137" w:type="default"/>
          <w:footerReference r:id="rId138" w:type="default"/>
          <w:pgSz w:w="11907" w:h="16840"/>
          <w:pgMar w:top="1182" w:right="1201" w:bottom="1014" w:left="1786" w:header="849" w:footer="852" w:gutter="0"/>
          <w:pgNumType w:fmt="decimal"/>
          <w:cols w:space="720" w:num="1"/>
        </w:sectPr>
      </w:pPr>
    </w:p>
    <w:p w14:paraId="71440E19">
      <w:pPr>
        <w:spacing w:before="294" w:line="311" w:lineRule="auto"/>
        <w:ind w:left="19" w:right="7"/>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通知承包人使用，以使承包人能够连续不间断地施工。由于承包</w:t>
      </w:r>
      <w:r>
        <w:rPr>
          <w:rFonts w:hint="eastAsia" w:ascii="宋体" w:hAnsi="宋体" w:eastAsia="宋体" w:cs="宋体"/>
          <w:color w:val="auto"/>
          <w:spacing w:val="-3"/>
          <w:sz w:val="24"/>
          <w:szCs w:val="24"/>
          <w:highlight w:val="none"/>
        </w:rPr>
        <w:t>人施工考虑不周或措</w:t>
      </w:r>
      <w:r>
        <w:rPr>
          <w:rFonts w:hint="eastAsia" w:ascii="宋体" w:hAnsi="宋体" w:eastAsia="宋体" w:cs="宋体"/>
          <w:color w:val="auto"/>
          <w:spacing w:val="5"/>
          <w:sz w:val="24"/>
          <w:szCs w:val="24"/>
          <w:highlight w:val="none"/>
        </w:rPr>
        <w:t>施不当等原因而造成的超计划占地或拆迁等所发生的征用和赔偿费用，应由</w:t>
      </w:r>
      <w:r>
        <w:rPr>
          <w:rFonts w:hint="eastAsia" w:ascii="宋体" w:hAnsi="宋体" w:eastAsia="宋体" w:cs="宋体"/>
          <w:color w:val="auto"/>
          <w:spacing w:val="4"/>
          <w:sz w:val="24"/>
          <w:szCs w:val="24"/>
          <w:highlight w:val="none"/>
        </w:rPr>
        <w:t>承包人</w:t>
      </w:r>
      <w:r>
        <w:rPr>
          <w:rFonts w:hint="eastAsia" w:ascii="宋体" w:hAnsi="宋体" w:eastAsia="宋体" w:cs="宋体"/>
          <w:color w:val="auto"/>
          <w:spacing w:val="-6"/>
          <w:sz w:val="24"/>
          <w:szCs w:val="24"/>
          <w:highlight w:val="none"/>
        </w:rPr>
        <w:t>承担。</w:t>
      </w:r>
    </w:p>
    <w:p w14:paraId="61E06DB5">
      <w:pPr>
        <w:spacing w:line="316" w:lineRule="auto"/>
        <w:ind w:left="19" w:right="16" w:firstLine="373"/>
        <w:jc w:val="both"/>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由于发包人未能按照本项规定办妥永久占地征用手续，影响</w:t>
      </w:r>
      <w:r>
        <w:rPr>
          <w:rFonts w:hint="eastAsia" w:ascii="宋体" w:hAnsi="宋体" w:eastAsia="宋体" w:cs="宋体"/>
          <w:color w:val="auto"/>
          <w:spacing w:val="-13"/>
          <w:sz w:val="24"/>
          <w:szCs w:val="24"/>
          <w:highlight w:val="none"/>
        </w:rPr>
        <w:t>承包人及时使用永久占地</w:t>
      </w:r>
      <w:r>
        <w:rPr>
          <w:rFonts w:hint="eastAsia" w:ascii="宋体" w:hAnsi="宋体" w:eastAsia="宋体" w:cs="宋体"/>
          <w:color w:val="auto"/>
          <w:spacing w:val="11"/>
          <w:sz w:val="24"/>
          <w:szCs w:val="24"/>
          <w:highlight w:val="none"/>
        </w:rPr>
        <w:t>造成的费用增加和(或)工期延误应由发包人承担。由于承包人未能按</w:t>
      </w:r>
      <w:r>
        <w:rPr>
          <w:rFonts w:hint="eastAsia" w:ascii="宋体" w:hAnsi="宋体" w:eastAsia="宋体" w:cs="宋体"/>
          <w:color w:val="auto"/>
          <w:spacing w:val="10"/>
          <w:sz w:val="24"/>
          <w:szCs w:val="24"/>
          <w:highlight w:val="none"/>
        </w:rPr>
        <w:t>照本项规定</w:t>
      </w:r>
      <w:r>
        <w:rPr>
          <w:rFonts w:hint="eastAsia" w:ascii="宋体" w:hAnsi="宋体" w:eastAsia="宋体" w:cs="宋体"/>
          <w:color w:val="auto"/>
          <w:spacing w:val="11"/>
          <w:sz w:val="24"/>
          <w:szCs w:val="24"/>
          <w:highlight w:val="none"/>
        </w:rPr>
        <w:t>提交占地计划，影响发包人办理永久占地征用手续造成的费用增加和(或)工期延</w:t>
      </w:r>
      <w:r>
        <w:rPr>
          <w:rFonts w:hint="eastAsia" w:ascii="宋体" w:hAnsi="宋体" w:eastAsia="宋体" w:cs="宋体"/>
          <w:color w:val="auto"/>
          <w:sz w:val="24"/>
          <w:szCs w:val="24"/>
          <w:highlight w:val="none"/>
        </w:rPr>
        <w:t>误由承包人承担。</w:t>
      </w:r>
    </w:p>
    <w:p w14:paraId="559C4F94">
      <w:pPr>
        <w:spacing w:before="80" w:line="225" w:lineRule="auto"/>
        <w:ind w:left="457"/>
        <w:outlineLvl w:val="2"/>
        <w:rPr>
          <w:rFonts w:hint="eastAsia" w:ascii="宋体" w:hAnsi="宋体" w:eastAsia="宋体" w:cs="宋体"/>
          <w:color w:val="auto"/>
          <w:sz w:val="28"/>
          <w:szCs w:val="28"/>
          <w:highlight w:val="none"/>
        </w:rPr>
      </w:pPr>
      <w:bookmarkStart w:id="586" w:name="_Toc9313"/>
      <w:bookmarkStart w:id="587" w:name="_Toc20109"/>
      <w:bookmarkStart w:id="588" w:name="_Toc10898"/>
      <w:bookmarkStart w:id="589" w:name="_Toc2082"/>
      <w:bookmarkStart w:id="590" w:name="_Toc9702"/>
      <w:r>
        <w:rPr>
          <w:rFonts w:hint="eastAsia" w:ascii="宋体" w:hAnsi="宋体" w:eastAsia="宋体" w:cs="宋体"/>
          <w:color w:val="auto"/>
          <w:spacing w:val="-3"/>
          <w:sz w:val="28"/>
          <w:szCs w:val="28"/>
          <w:highlight w:val="none"/>
        </w:rPr>
        <w:t>3.监理人</w:t>
      </w:r>
      <w:bookmarkEnd w:id="586"/>
      <w:bookmarkEnd w:id="587"/>
      <w:bookmarkEnd w:id="588"/>
      <w:bookmarkEnd w:id="589"/>
      <w:bookmarkEnd w:id="590"/>
    </w:p>
    <w:p w14:paraId="42C4FD23">
      <w:pPr>
        <w:pStyle w:val="4"/>
        <w:spacing w:line="264" w:lineRule="auto"/>
        <w:rPr>
          <w:rFonts w:hint="eastAsia" w:ascii="宋体" w:hAnsi="宋体" w:eastAsia="宋体" w:cs="宋体"/>
          <w:color w:val="auto"/>
          <w:highlight w:val="none"/>
        </w:rPr>
      </w:pPr>
    </w:p>
    <w:p w14:paraId="44BFE875">
      <w:pPr>
        <w:spacing w:before="78" w:line="221" w:lineRule="auto"/>
        <w:ind w:left="39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3.1监理人的职责和权力</w:t>
      </w:r>
    </w:p>
    <w:p w14:paraId="52372727">
      <w:pPr>
        <w:pStyle w:val="4"/>
        <w:spacing w:line="295" w:lineRule="auto"/>
        <w:rPr>
          <w:rFonts w:hint="eastAsia" w:ascii="宋体" w:hAnsi="宋体" w:eastAsia="宋体" w:cs="宋体"/>
          <w:color w:val="auto"/>
          <w:highlight w:val="none"/>
        </w:rPr>
      </w:pPr>
    </w:p>
    <w:p w14:paraId="410C8D9D">
      <w:pPr>
        <w:spacing w:before="78" w:line="219" w:lineRule="auto"/>
        <w:ind w:left="383"/>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第3.1.1项补充：</w:t>
      </w:r>
    </w:p>
    <w:p w14:paraId="5D584E82">
      <w:pPr>
        <w:spacing w:before="121" w:line="219" w:lineRule="auto"/>
        <w:ind w:left="386"/>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监理人在行使下列权力前需要经发包人事先批准：</w:t>
      </w:r>
    </w:p>
    <w:p w14:paraId="226B30E1">
      <w:pPr>
        <w:spacing w:before="137" w:line="265" w:lineRule="auto"/>
        <w:ind w:firstLine="254" w:firstLineChars="10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(1)根据第4.3款，同意分包本工程的某些非关键性工作或者适合专业化</w:t>
      </w:r>
      <w:r>
        <w:rPr>
          <w:rFonts w:hint="eastAsia" w:ascii="宋体" w:hAnsi="宋体" w:eastAsia="宋体" w:cs="宋体"/>
          <w:color w:val="auto"/>
          <w:spacing w:val="6"/>
          <w:sz w:val="24"/>
          <w:szCs w:val="24"/>
          <w:highlight w:val="none"/>
        </w:rPr>
        <w:t>队伍</w:t>
      </w:r>
      <w:r>
        <w:rPr>
          <w:rFonts w:hint="eastAsia" w:ascii="宋体" w:hAnsi="宋体" w:eastAsia="宋体" w:cs="宋体"/>
          <w:color w:val="auto"/>
          <w:spacing w:val="-12"/>
          <w:sz w:val="24"/>
          <w:szCs w:val="24"/>
          <w:highlight w:val="none"/>
        </w:rPr>
        <w:t>施工的专项工程；</w:t>
      </w:r>
    </w:p>
    <w:p w14:paraId="25D17E12">
      <w:pPr>
        <w:spacing w:before="96" w:line="219" w:lineRule="auto"/>
        <w:ind w:firstLine="250" w:firstLineChars="10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(2)确定第4.11款下产生的费用增加额；</w:t>
      </w:r>
    </w:p>
    <w:p w14:paraId="4ECFB3BF">
      <w:pPr>
        <w:spacing w:before="139" w:line="268" w:lineRule="auto"/>
        <w:ind w:firstLine="230" w:firstLineChars="10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(3)根据第11.1款、第12.3款、第12.4款发布开工通知</w:t>
      </w:r>
      <w:r>
        <w:rPr>
          <w:rFonts w:hint="eastAsia" w:ascii="宋体" w:hAnsi="宋体" w:eastAsia="宋体" w:cs="宋体"/>
          <w:color w:val="auto"/>
          <w:spacing w:val="-6"/>
          <w:sz w:val="24"/>
          <w:szCs w:val="24"/>
          <w:highlight w:val="none"/>
        </w:rPr>
        <w:t>、暂停施工指示或复工</w:t>
      </w:r>
      <w:r>
        <w:rPr>
          <w:rFonts w:hint="eastAsia" w:ascii="宋体" w:hAnsi="宋体" w:eastAsia="宋体" w:cs="宋体"/>
          <w:color w:val="auto"/>
          <w:spacing w:val="-9"/>
          <w:sz w:val="24"/>
          <w:szCs w:val="24"/>
          <w:highlight w:val="none"/>
        </w:rPr>
        <w:t>通知；</w:t>
      </w:r>
    </w:p>
    <w:p w14:paraId="5232F65E">
      <w:pPr>
        <w:spacing w:before="97" w:line="219" w:lineRule="auto"/>
        <w:ind w:left="46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(4)决定第11.3款、第11.4款下</w:t>
      </w:r>
      <w:r>
        <w:rPr>
          <w:rFonts w:hint="eastAsia" w:ascii="宋体" w:hAnsi="宋体" w:eastAsia="宋体" w:cs="宋体"/>
          <w:color w:val="auto"/>
          <w:sz w:val="24"/>
          <w:szCs w:val="24"/>
          <w:highlight w:val="none"/>
        </w:rPr>
        <w:t>的工期延长；</w:t>
      </w:r>
    </w:p>
    <w:p w14:paraId="6080C631">
      <w:pPr>
        <w:spacing w:before="111" w:line="219" w:lineRule="auto"/>
        <w:ind w:left="480"/>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(5)审查批准技术方案或设计的变更；</w:t>
      </w:r>
    </w:p>
    <w:p w14:paraId="46B1A398">
      <w:pPr>
        <w:spacing w:before="136" w:line="266" w:lineRule="auto"/>
        <w:ind w:left="19" w:right="9" w:firstLine="453"/>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(6)根据第15.3款发出的变更指示，其单</w:t>
      </w:r>
      <w:r>
        <w:rPr>
          <w:rFonts w:hint="eastAsia" w:ascii="宋体" w:hAnsi="宋体" w:eastAsia="宋体" w:cs="宋体"/>
          <w:color w:val="auto"/>
          <w:spacing w:val="8"/>
          <w:sz w:val="24"/>
          <w:szCs w:val="24"/>
          <w:highlight w:val="none"/>
        </w:rPr>
        <w:t>项工程变更或累计变更涉及的金额</w:t>
      </w:r>
      <w:r>
        <w:rPr>
          <w:rFonts w:hint="eastAsia" w:ascii="宋体" w:hAnsi="宋体" w:eastAsia="宋体" w:cs="宋体"/>
          <w:color w:val="auto"/>
          <w:spacing w:val="-6"/>
          <w:sz w:val="24"/>
          <w:szCs w:val="24"/>
          <w:highlight w:val="none"/>
        </w:rPr>
        <w:t>超过了项目专用合同条款数据表中规定的金额；</w:t>
      </w:r>
    </w:p>
    <w:p w14:paraId="2277DF97">
      <w:pPr>
        <w:spacing w:before="99" w:line="218" w:lineRule="auto"/>
        <w:ind w:left="461"/>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(7)确定第15.4款下变更工作的单价；</w:t>
      </w:r>
    </w:p>
    <w:p w14:paraId="6194FC73">
      <w:pPr>
        <w:spacing w:before="116" w:line="219" w:lineRule="auto"/>
        <w:ind w:left="45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(8)按照第15.6款决定有关暂列金额的使用；</w:t>
      </w:r>
    </w:p>
    <w:p w14:paraId="3BF4F95E">
      <w:pPr>
        <w:spacing w:before="120" w:line="218" w:lineRule="auto"/>
        <w:ind w:left="483"/>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(9)确定第15.8款下的暂估价金额；</w:t>
      </w:r>
    </w:p>
    <w:p w14:paraId="7850F201">
      <w:pPr>
        <w:spacing w:before="120" w:line="219" w:lineRule="auto"/>
        <w:ind w:left="468"/>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(10)确定第23.1款下的索赔额。</w:t>
      </w:r>
    </w:p>
    <w:p w14:paraId="7BC6A3C7">
      <w:pPr>
        <w:spacing w:before="161" w:line="348" w:lineRule="auto"/>
        <w:ind w:left="20" w:right="4" w:firstLine="387"/>
        <w:jc w:val="both"/>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如果发生紧急情况，监理人认为将造成人员伤亡，或危</w:t>
      </w:r>
      <w:r>
        <w:rPr>
          <w:rFonts w:hint="eastAsia" w:ascii="宋体" w:hAnsi="宋体" w:eastAsia="宋体" w:cs="宋体"/>
          <w:color w:val="auto"/>
          <w:spacing w:val="6"/>
          <w:sz w:val="24"/>
          <w:szCs w:val="24"/>
          <w:highlight w:val="none"/>
        </w:rPr>
        <w:t>及本工程或邻近的财</w:t>
      </w:r>
      <w:r>
        <w:rPr>
          <w:rFonts w:hint="eastAsia" w:ascii="宋体" w:hAnsi="宋体" w:eastAsia="宋体" w:cs="宋体"/>
          <w:color w:val="auto"/>
          <w:spacing w:val="12"/>
          <w:sz w:val="24"/>
          <w:szCs w:val="24"/>
          <w:highlight w:val="none"/>
        </w:rPr>
        <w:t>产需立即采取行动，监理人有权在未征得发</w:t>
      </w:r>
      <w:r>
        <w:rPr>
          <w:rFonts w:hint="eastAsia" w:ascii="宋体" w:hAnsi="宋体" w:eastAsia="宋体" w:cs="宋体"/>
          <w:color w:val="auto"/>
          <w:spacing w:val="11"/>
          <w:sz w:val="24"/>
          <w:szCs w:val="24"/>
          <w:highlight w:val="none"/>
        </w:rPr>
        <w:t>包人的批准的情况下发布处理紧急情</w:t>
      </w:r>
      <w:r>
        <w:rPr>
          <w:rFonts w:hint="eastAsia" w:ascii="宋体" w:hAnsi="宋体" w:eastAsia="宋体" w:cs="宋体"/>
          <w:color w:val="auto"/>
          <w:spacing w:val="-2"/>
          <w:sz w:val="24"/>
          <w:szCs w:val="24"/>
          <w:highlight w:val="none"/>
        </w:rPr>
        <w:t>况所必需的指令，承包人应予执行，由此造成的费用增加由监理人按第3.5款商定或</w:t>
      </w:r>
      <w:r>
        <w:rPr>
          <w:rFonts w:hint="eastAsia" w:ascii="宋体" w:hAnsi="宋体" w:eastAsia="宋体" w:cs="宋体"/>
          <w:color w:val="auto"/>
          <w:spacing w:val="-7"/>
          <w:sz w:val="24"/>
          <w:szCs w:val="24"/>
          <w:highlight w:val="none"/>
        </w:rPr>
        <w:t>确定。</w:t>
      </w:r>
    </w:p>
    <w:p w14:paraId="100EEF3E">
      <w:pPr>
        <w:spacing w:before="146" w:line="222" w:lineRule="auto"/>
        <w:ind w:left="39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3.5商定或确定</w:t>
      </w:r>
    </w:p>
    <w:p w14:paraId="0B4586FC">
      <w:pPr>
        <w:pStyle w:val="4"/>
        <w:spacing w:line="294" w:lineRule="auto"/>
        <w:rPr>
          <w:rFonts w:hint="eastAsia" w:ascii="宋体" w:hAnsi="宋体" w:eastAsia="宋体" w:cs="宋体"/>
          <w:color w:val="auto"/>
          <w:highlight w:val="none"/>
        </w:rPr>
      </w:pPr>
    </w:p>
    <w:p w14:paraId="367EB40F">
      <w:pPr>
        <w:spacing w:before="79" w:line="219" w:lineRule="auto"/>
        <w:ind w:left="383"/>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第3.5.1项补充：</w:t>
      </w:r>
    </w:p>
    <w:p w14:paraId="54BE7944">
      <w:pPr>
        <w:pStyle w:val="4"/>
        <w:spacing w:line="283" w:lineRule="auto"/>
        <w:rPr>
          <w:rFonts w:hint="eastAsia" w:ascii="宋体" w:hAnsi="宋体" w:eastAsia="宋体" w:cs="宋体"/>
          <w:color w:val="auto"/>
          <w:highlight w:val="none"/>
        </w:rPr>
      </w:pPr>
    </w:p>
    <w:p w14:paraId="34E13E0A">
      <w:pPr>
        <w:spacing w:before="79" w:line="220" w:lineRule="auto"/>
        <w:ind w:left="425"/>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如果这项商定或确定导致费用增加和(或)工期</w:t>
      </w:r>
      <w:r>
        <w:rPr>
          <w:rFonts w:hint="eastAsia" w:ascii="宋体" w:hAnsi="宋体" w:eastAsia="宋体" w:cs="宋体"/>
          <w:color w:val="auto"/>
          <w:spacing w:val="9"/>
          <w:sz w:val="24"/>
          <w:szCs w:val="24"/>
          <w:highlight w:val="none"/>
        </w:rPr>
        <w:t>延长，或者涉及确定变更</w:t>
      </w:r>
    </w:p>
    <w:p w14:paraId="197C0501">
      <w:pPr>
        <w:spacing w:line="220" w:lineRule="auto"/>
        <w:rPr>
          <w:rFonts w:hint="eastAsia" w:ascii="宋体" w:hAnsi="宋体" w:eastAsia="宋体" w:cs="宋体"/>
          <w:color w:val="auto"/>
          <w:sz w:val="24"/>
          <w:szCs w:val="24"/>
          <w:highlight w:val="none"/>
        </w:rPr>
        <w:sectPr>
          <w:headerReference r:id="rId139" w:type="default"/>
          <w:footerReference r:id="rId140" w:type="default"/>
          <w:pgSz w:w="11907" w:h="16840"/>
          <w:pgMar w:top="1182" w:right="1275" w:bottom="1014" w:left="1786" w:header="849" w:footer="852" w:gutter="0"/>
          <w:pgNumType w:fmt="decimal"/>
          <w:cols w:space="720" w:num="1"/>
        </w:sectPr>
      </w:pPr>
    </w:p>
    <w:p w14:paraId="59BDE51F">
      <w:pPr>
        <w:spacing w:before="292" w:line="218" w:lineRule="auto"/>
        <w:ind w:left="23"/>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工程的价格，则总监理工程师在发出通知前，应征得发包人的同意。</w:t>
      </w:r>
    </w:p>
    <w:p w14:paraId="0EE5FA3C">
      <w:pPr>
        <w:spacing w:before="204" w:line="223" w:lineRule="auto"/>
        <w:ind w:left="452"/>
        <w:outlineLvl w:val="2"/>
        <w:rPr>
          <w:rFonts w:hint="eastAsia" w:ascii="宋体" w:hAnsi="宋体" w:eastAsia="宋体" w:cs="宋体"/>
          <w:color w:val="auto"/>
          <w:sz w:val="28"/>
          <w:szCs w:val="28"/>
          <w:highlight w:val="none"/>
        </w:rPr>
      </w:pPr>
      <w:bookmarkStart w:id="591" w:name="_Toc6863"/>
      <w:bookmarkStart w:id="592" w:name="_Toc24991"/>
      <w:bookmarkStart w:id="593" w:name="_Toc3416"/>
      <w:bookmarkStart w:id="594" w:name="_Toc29433"/>
      <w:bookmarkStart w:id="595" w:name="_Toc27504"/>
      <w:r>
        <w:rPr>
          <w:rFonts w:hint="eastAsia" w:ascii="宋体" w:hAnsi="宋体" w:eastAsia="宋体" w:cs="宋体"/>
          <w:color w:val="auto"/>
          <w:spacing w:val="-1"/>
          <w:sz w:val="28"/>
          <w:szCs w:val="28"/>
          <w:highlight w:val="none"/>
        </w:rPr>
        <w:t>4.承包人</w:t>
      </w:r>
      <w:bookmarkEnd w:id="591"/>
      <w:bookmarkEnd w:id="592"/>
      <w:bookmarkEnd w:id="593"/>
      <w:bookmarkEnd w:id="594"/>
      <w:bookmarkEnd w:id="595"/>
    </w:p>
    <w:p w14:paraId="5740C125">
      <w:pPr>
        <w:pStyle w:val="4"/>
        <w:spacing w:line="267" w:lineRule="auto"/>
        <w:rPr>
          <w:rFonts w:hint="eastAsia" w:ascii="宋体" w:hAnsi="宋体" w:eastAsia="宋体" w:cs="宋体"/>
          <w:color w:val="auto"/>
          <w:highlight w:val="none"/>
        </w:rPr>
      </w:pPr>
    </w:p>
    <w:p w14:paraId="6EBA248B">
      <w:pPr>
        <w:spacing w:before="78" w:line="221" w:lineRule="auto"/>
        <w:ind w:left="38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4.1承包人的一般义务</w:t>
      </w:r>
    </w:p>
    <w:p w14:paraId="35B1FCE7">
      <w:pPr>
        <w:pStyle w:val="4"/>
        <w:spacing w:line="321" w:lineRule="auto"/>
        <w:rPr>
          <w:rFonts w:hint="eastAsia" w:ascii="宋体" w:hAnsi="宋体" w:eastAsia="宋体" w:cs="宋体"/>
          <w:color w:val="auto"/>
          <w:highlight w:val="none"/>
        </w:rPr>
      </w:pPr>
    </w:p>
    <w:p w14:paraId="3CDDB510">
      <w:pPr>
        <w:spacing w:before="78" w:line="271" w:lineRule="auto"/>
        <w:ind w:left="365" w:right="5888" w:firstLine="1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4.1.9工程的维护和照管</w:t>
      </w:r>
      <w:r>
        <w:rPr>
          <w:rFonts w:hint="eastAsia" w:ascii="宋体" w:hAnsi="宋体" w:eastAsia="宋体" w:cs="宋体"/>
          <w:color w:val="auto"/>
          <w:spacing w:val="-15"/>
          <w:sz w:val="24"/>
          <w:szCs w:val="24"/>
          <w:highlight w:val="none"/>
        </w:rPr>
        <w:t>本项细化为：</w:t>
      </w:r>
    </w:p>
    <w:p w14:paraId="2FB10950">
      <w:pPr>
        <w:spacing w:before="199" w:line="304" w:lineRule="auto"/>
        <w:ind w:left="23" w:right="82" w:firstLine="423"/>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(1)交工验收证书颁发前，承包人应负责照管和维护工程及将用于或安装在本</w:t>
      </w:r>
      <w:r>
        <w:rPr>
          <w:rFonts w:hint="eastAsia" w:ascii="宋体" w:hAnsi="宋体" w:eastAsia="宋体" w:cs="宋体"/>
          <w:color w:val="auto"/>
          <w:spacing w:val="4"/>
          <w:sz w:val="24"/>
          <w:szCs w:val="24"/>
          <w:highlight w:val="none"/>
        </w:rPr>
        <w:t>工程中的材料、设备。交工验收证书颁发时尚有部分未交工工程的，承包人还应负责该未交工工程、材料、设备的照管和维护工作，直至交工后移交给发包人为止。</w:t>
      </w:r>
    </w:p>
    <w:p w14:paraId="63776E1C">
      <w:pPr>
        <w:spacing w:before="308" w:line="304" w:lineRule="auto"/>
        <w:ind w:left="22" w:right="79" w:firstLine="424"/>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(2)在承包人负责照管与维护期间，如果本工程或材料、设备等发生损失或损</w:t>
      </w:r>
      <w:r>
        <w:rPr>
          <w:rFonts w:hint="eastAsia" w:ascii="宋体" w:hAnsi="宋体" w:eastAsia="宋体" w:cs="宋体"/>
          <w:color w:val="auto"/>
          <w:spacing w:val="4"/>
          <w:sz w:val="24"/>
          <w:szCs w:val="24"/>
          <w:highlight w:val="none"/>
        </w:rPr>
        <w:t>害，除不可抗力原因之外，承包人均应自费弥补，并达到合同要求。承包人还应对</w:t>
      </w:r>
      <w:r>
        <w:rPr>
          <w:rFonts w:hint="eastAsia" w:ascii="宋体" w:hAnsi="宋体" w:eastAsia="宋体" w:cs="宋体"/>
          <w:color w:val="auto"/>
          <w:spacing w:val="3"/>
          <w:sz w:val="24"/>
          <w:szCs w:val="24"/>
          <w:highlight w:val="none"/>
        </w:rPr>
        <w:t>按第19条规定而实施作业过程中由承包人造成的对工程的任何损失或损害负责。</w:t>
      </w:r>
    </w:p>
    <w:p w14:paraId="2F944BDF">
      <w:pPr>
        <w:spacing w:before="169" w:line="262" w:lineRule="auto"/>
        <w:ind w:left="21" w:right="6728" w:firstLine="36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4.1.10其他义务</w:t>
      </w:r>
      <w:r>
        <w:rPr>
          <w:rFonts w:hint="eastAsia" w:ascii="宋体" w:hAnsi="宋体" w:eastAsia="宋体" w:cs="宋体"/>
          <w:color w:val="auto"/>
          <w:spacing w:val="2"/>
          <w:sz w:val="24"/>
          <w:szCs w:val="24"/>
          <w:highlight w:val="none"/>
        </w:rPr>
        <w:t>本项细化为：</w:t>
      </w:r>
    </w:p>
    <w:p w14:paraId="721137A0">
      <w:pPr>
        <w:spacing w:before="142" w:line="349" w:lineRule="auto"/>
        <w:ind w:left="22" w:right="82" w:firstLine="424"/>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(1)临时占地由承包人向当地政府土地管理部门申请，并办理租用手续，承包人按有关规定直接支付其费用，发包人对此将予以协调。</w:t>
      </w:r>
    </w:p>
    <w:p w14:paraId="4E517BB4">
      <w:pPr>
        <w:spacing w:before="132" w:line="348" w:lineRule="auto"/>
        <w:ind w:left="18" w:firstLine="399"/>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临时占地范围包括承包人驻地的办公室、食堂、宿舍、道路和机械设备停放场、</w:t>
      </w:r>
      <w:r>
        <w:rPr>
          <w:rFonts w:hint="eastAsia" w:ascii="宋体" w:hAnsi="宋体" w:eastAsia="宋体" w:cs="宋体"/>
          <w:color w:val="auto"/>
          <w:spacing w:val="5"/>
          <w:sz w:val="24"/>
          <w:szCs w:val="24"/>
          <w:highlight w:val="none"/>
        </w:rPr>
        <w:t>材料堆放场地、弃土场、预制场、拌和场、仓</w:t>
      </w:r>
      <w:r>
        <w:rPr>
          <w:rFonts w:hint="eastAsia" w:ascii="宋体" w:hAnsi="宋体" w:eastAsia="宋体" w:cs="宋体"/>
          <w:color w:val="auto"/>
          <w:spacing w:val="4"/>
          <w:sz w:val="24"/>
          <w:szCs w:val="24"/>
          <w:highlight w:val="none"/>
        </w:rPr>
        <w:t>库、进场临时道路、临时便道、便桥</w:t>
      </w:r>
      <w:r>
        <w:rPr>
          <w:rFonts w:hint="eastAsia" w:ascii="宋体" w:hAnsi="宋体" w:eastAsia="宋体" w:cs="宋体"/>
          <w:color w:val="auto"/>
          <w:spacing w:val="3"/>
          <w:sz w:val="24"/>
          <w:szCs w:val="24"/>
          <w:highlight w:val="none"/>
        </w:rPr>
        <w:t>等。承包人应在“临时占地计划表”范围内按实际需要与先后次序，提出具体计划</w:t>
      </w:r>
      <w:r>
        <w:rPr>
          <w:rFonts w:hint="eastAsia" w:ascii="宋体" w:hAnsi="宋体" w:eastAsia="宋体" w:cs="宋体"/>
          <w:color w:val="auto"/>
          <w:spacing w:val="5"/>
          <w:sz w:val="24"/>
          <w:szCs w:val="24"/>
          <w:highlight w:val="none"/>
        </w:rPr>
        <w:t>报监理人同意，并报发包人。临时占地的面积</w:t>
      </w:r>
      <w:r>
        <w:rPr>
          <w:rFonts w:hint="eastAsia" w:ascii="宋体" w:hAnsi="宋体" w:eastAsia="宋体" w:cs="宋体"/>
          <w:color w:val="auto"/>
          <w:spacing w:val="4"/>
          <w:sz w:val="24"/>
          <w:szCs w:val="24"/>
          <w:highlight w:val="none"/>
        </w:rPr>
        <w:t>和使用期应满足工程需要，费用包括</w:t>
      </w:r>
      <w:r>
        <w:rPr>
          <w:rFonts w:hint="eastAsia" w:ascii="宋体" w:hAnsi="宋体" w:eastAsia="宋体" w:cs="宋体"/>
          <w:color w:val="auto"/>
          <w:spacing w:val="3"/>
          <w:sz w:val="24"/>
          <w:szCs w:val="24"/>
          <w:highlight w:val="none"/>
        </w:rPr>
        <w:t>临时占地数量、时间及因此而发生的协调、租用、复耕、地面附着物(电力、电信、房屋、坟墓除外)的拆迁补偿等相关费用。除项目专用合同条款另有约定外，临时</w:t>
      </w:r>
      <w:r>
        <w:rPr>
          <w:rFonts w:hint="eastAsia" w:ascii="宋体" w:hAnsi="宋体" w:eastAsia="宋体" w:cs="宋体"/>
          <w:color w:val="auto"/>
          <w:spacing w:val="2"/>
          <w:sz w:val="24"/>
          <w:szCs w:val="24"/>
          <w:highlight w:val="none"/>
        </w:rPr>
        <w:t>占地的租地费用实行总额包干，列入工程量清单第100章中由承包人按总额报价。</w:t>
      </w:r>
    </w:p>
    <w:p w14:paraId="165AD0E6">
      <w:pPr>
        <w:spacing w:before="137" w:line="348" w:lineRule="auto"/>
        <w:ind w:left="22" w:right="82" w:firstLine="395"/>
        <w:jc w:val="both"/>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临时占地退还前，承包人应自费恢复到临时占地使用前的状况。如因承包人撤</w:t>
      </w:r>
      <w:r>
        <w:rPr>
          <w:rFonts w:hint="eastAsia" w:ascii="宋体" w:hAnsi="宋体" w:eastAsia="宋体" w:cs="宋体"/>
          <w:color w:val="auto"/>
          <w:spacing w:val="4"/>
          <w:sz w:val="24"/>
          <w:szCs w:val="24"/>
          <w:highlight w:val="none"/>
        </w:rPr>
        <w:t>离后未按要求对临时占地进行恢复或虽进行了恢复但未达到使用标准的，将由发包</w:t>
      </w:r>
      <w:r>
        <w:rPr>
          <w:rFonts w:hint="eastAsia" w:ascii="宋体" w:hAnsi="宋体" w:eastAsia="宋体" w:cs="宋体"/>
          <w:color w:val="auto"/>
          <w:spacing w:val="5"/>
          <w:sz w:val="24"/>
          <w:szCs w:val="24"/>
          <w:highlight w:val="none"/>
        </w:rPr>
        <w:t>人委托第三方对其恢复，所发生的费用将从应付给承包人的任何款项内扣除。</w:t>
      </w:r>
    </w:p>
    <w:p w14:paraId="77FD7C75">
      <w:pPr>
        <w:spacing w:before="132" w:line="349" w:lineRule="auto"/>
        <w:ind w:left="20" w:right="82" w:firstLine="426"/>
        <w:jc w:val="both"/>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(2)除项目专用合同条款另有约定外，承包人应承担并支付为获得本合同工程</w:t>
      </w:r>
      <w:r>
        <w:rPr>
          <w:rFonts w:hint="eastAsia" w:ascii="宋体" w:hAnsi="宋体" w:eastAsia="宋体" w:cs="宋体"/>
          <w:color w:val="auto"/>
          <w:spacing w:val="4"/>
          <w:sz w:val="24"/>
          <w:szCs w:val="24"/>
          <w:highlight w:val="none"/>
        </w:rPr>
        <w:t>所需的石料、砂、砾石、黏土或其他当地材料等所发生的料场使用费及其他开支或补偿费。发包人应尽可能协助承包人办理料场租用手续及解决使用过程中的有关问</w:t>
      </w:r>
      <w:r>
        <w:rPr>
          <w:rFonts w:hint="eastAsia" w:ascii="宋体" w:hAnsi="宋体" w:eastAsia="宋体" w:cs="宋体"/>
          <w:color w:val="auto"/>
          <w:spacing w:val="-5"/>
          <w:sz w:val="24"/>
          <w:szCs w:val="24"/>
          <w:highlight w:val="none"/>
        </w:rPr>
        <w:t>题。</w:t>
      </w:r>
    </w:p>
    <w:p w14:paraId="2B255ABB">
      <w:pPr>
        <w:spacing w:line="349" w:lineRule="auto"/>
        <w:rPr>
          <w:rFonts w:hint="eastAsia" w:ascii="宋体" w:hAnsi="宋体" w:eastAsia="宋体" w:cs="宋体"/>
          <w:color w:val="auto"/>
          <w:sz w:val="24"/>
          <w:szCs w:val="24"/>
          <w:highlight w:val="none"/>
        </w:rPr>
        <w:sectPr>
          <w:headerReference r:id="rId141" w:type="default"/>
          <w:footerReference r:id="rId142" w:type="default"/>
          <w:pgSz w:w="11907" w:h="16840"/>
          <w:pgMar w:top="1182" w:right="1214" w:bottom="1014" w:left="1786" w:header="849" w:footer="852" w:gutter="0"/>
          <w:pgNumType w:fmt="decimal"/>
          <w:cols w:space="720" w:num="1"/>
        </w:sectPr>
      </w:pPr>
    </w:p>
    <w:p w14:paraId="7146D243">
      <w:pPr>
        <w:spacing w:before="290" w:line="315" w:lineRule="auto"/>
        <w:ind w:left="19" w:right="110" w:firstLine="400"/>
        <w:jc w:val="both"/>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(3)承包人应严格遵守国家有关解决拖欠工程款和民工工资的法律、法规，及时</w:t>
      </w:r>
      <w:r>
        <w:rPr>
          <w:rFonts w:hint="eastAsia" w:ascii="宋体" w:hAnsi="宋体" w:eastAsia="宋体" w:cs="宋体"/>
          <w:color w:val="auto"/>
          <w:spacing w:val="-10"/>
          <w:sz w:val="24"/>
          <w:szCs w:val="24"/>
          <w:highlight w:val="none"/>
        </w:rPr>
        <w:t>支付</w:t>
      </w:r>
      <w:r>
        <w:rPr>
          <w:rFonts w:hint="eastAsia" w:ascii="宋体" w:hAnsi="宋体" w:eastAsia="宋体" w:cs="宋体"/>
          <w:color w:val="auto"/>
          <w:spacing w:val="-11"/>
          <w:sz w:val="24"/>
          <w:szCs w:val="24"/>
          <w:highlight w:val="none"/>
        </w:rPr>
        <w:t>工程中的材料、设备货款及民工工资等费用。承包人不得以任何借口拖欠材料、设备货款及民工工资等费用，如果出现此种现象，发包人有权代为支付其拖欠的材料、设备货</w:t>
      </w:r>
      <w:r>
        <w:rPr>
          <w:rFonts w:hint="eastAsia" w:ascii="宋体" w:hAnsi="宋体" w:eastAsia="宋体" w:cs="宋体"/>
          <w:color w:val="auto"/>
          <w:spacing w:val="-10"/>
          <w:sz w:val="24"/>
          <w:szCs w:val="24"/>
          <w:highlight w:val="none"/>
        </w:rPr>
        <w:t>款及民工工资，并从应付给承包人的工程款中扣除相应款项，并对承包人处以5000元</w:t>
      </w:r>
      <w:r>
        <w:rPr>
          <w:rFonts w:hint="eastAsia" w:ascii="宋体" w:hAnsi="宋体" w:eastAsia="宋体" w:cs="宋体"/>
          <w:color w:val="auto"/>
          <w:spacing w:val="-8"/>
          <w:sz w:val="24"/>
          <w:szCs w:val="24"/>
          <w:highlight w:val="none"/>
        </w:rPr>
        <w:t>/次的罚款。对恶意拖欠和拒不按计划支付的，作为不良记录纳入公路建设市场信用信</w:t>
      </w:r>
      <w:r>
        <w:rPr>
          <w:rFonts w:hint="eastAsia" w:ascii="宋体" w:hAnsi="宋体" w:eastAsia="宋体" w:cs="宋体"/>
          <w:color w:val="auto"/>
          <w:spacing w:val="-11"/>
          <w:sz w:val="24"/>
          <w:szCs w:val="24"/>
          <w:highlight w:val="none"/>
        </w:rPr>
        <w:t>息管理系统。承包人的项目经理部是民工工资支付行为的主体，承包人的项目经理是民工工资支付的责任人。项目经理部要建立全体民工花名册和工资支付表，确保将工资直</w:t>
      </w:r>
      <w:r>
        <w:rPr>
          <w:rFonts w:hint="eastAsia" w:ascii="宋体" w:hAnsi="宋体" w:eastAsia="宋体" w:cs="宋体"/>
          <w:color w:val="auto"/>
          <w:spacing w:val="-8"/>
          <w:sz w:val="24"/>
          <w:szCs w:val="24"/>
          <w:highlight w:val="none"/>
        </w:rPr>
        <w:t>接发放给民工本人，或委托银行发放民工工资，严禁发放给“包工头”或其他不具备</w:t>
      </w:r>
      <w:r>
        <w:rPr>
          <w:rFonts w:hint="eastAsia" w:ascii="宋体" w:hAnsi="宋体" w:eastAsia="宋体" w:cs="宋体"/>
          <w:color w:val="auto"/>
          <w:spacing w:val="-10"/>
          <w:sz w:val="24"/>
          <w:szCs w:val="24"/>
          <w:highlight w:val="none"/>
        </w:rPr>
        <w:t>用工主体资格的组织和个人。</w:t>
      </w:r>
    </w:p>
    <w:p w14:paraId="7EE564B3">
      <w:pPr>
        <w:spacing w:before="114" w:line="315" w:lineRule="auto"/>
        <w:ind w:left="20" w:right="110" w:firstLine="360"/>
        <w:jc w:val="both"/>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工资支付表应如实记录支付单位、支付时间、支付</w:t>
      </w:r>
      <w:r>
        <w:rPr>
          <w:rFonts w:hint="eastAsia" w:ascii="宋体" w:hAnsi="宋体" w:eastAsia="宋体" w:cs="宋体"/>
          <w:color w:val="auto"/>
          <w:spacing w:val="-12"/>
          <w:sz w:val="24"/>
          <w:szCs w:val="24"/>
          <w:highlight w:val="none"/>
        </w:rPr>
        <w:t>对象、支付数额、支付对象的身份</w:t>
      </w:r>
      <w:r>
        <w:rPr>
          <w:rFonts w:hint="eastAsia" w:ascii="宋体" w:hAnsi="宋体" w:eastAsia="宋体" w:cs="宋体"/>
          <w:color w:val="auto"/>
          <w:spacing w:val="-11"/>
          <w:sz w:val="24"/>
          <w:szCs w:val="24"/>
          <w:highlight w:val="none"/>
        </w:rPr>
        <w:t>证号和签字等信息。民工花名册和工资支付表应每月报监理人备查，不按时报查的，对</w:t>
      </w:r>
      <w:r>
        <w:rPr>
          <w:rFonts w:hint="eastAsia" w:ascii="宋体" w:hAnsi="宋体" w:eastAsia="宋体" w:cs="宋体"/>
          <w:color w:val="auto"/>
          <w:spacing w:val="-9"/>
          <w:sz w:val="24"/>
          <w:szCs w:val="24"/>
          <w:highlight w:val="none"/>
        </w:rPr>
        <w:t>承包人处以5000元/次的罚款。</w:t>
      </w:r>
    </w:p>
    <w:p w14:paraId="19F22B6A">
      <w:pPr>
        <w:spacing w:before="118" w:line="298" w:lineRule="auto"/>
        <w:ind w:left="19" w:firstLine="40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(4)承包人应分解工程价款中的人工费用，在工程项目所在地银行开设民工工资(劳</w:t>
      </w:r>
      <w:r>
        <w:rPr>
          <w:rFonts w:hint="eastAsia" w:ascii="宋体" w:hAnsi="宋体" w:eastAsia="宋体" w:cs="宋体"/>
          <w:color w:val="auto"/>
          <w:spacing w:val="-11"/>
          <w:sz w:val="24"/>
          <w:szCs w:val="24"/>
          <w:highlight w:val="none"/>
        </w:rPr>
        <w:t>务费)专用账户，专项用于支付民工工资。发包人应按照本合同约定的比例或承包人提供</w:t>
      </w:r>
      <w:r>
        <w:rPr>
          <w:rFonts w:hint="eastAsia" w:ascii="宋体" w:hAnsi="宋体" w:eastAsia="宋体" w:cs="宋体"/>
          <w:color w:val="auto"/>
          <w:spacing w:val="-10"/>
          <w:sz w:val="24"/>
          <w:szCs w:val="24"/>
          <w:highlight w:val="none"/>
        </w:rPr>
        <w:t>的人工费用数额，将应付工程款中的人工费单独拨付到承包人开设的民工工资(劳务费)</w:t>
      </w:r>
      <w:r>
        <w:rPr>
          <w:rFonts w:hint="eastAsia" w:ascii="宋体" w:hAnsi="宋体" w:eastAsia="宋体" w:cs="宋体"/>
          <w:color w:val="auto"/>
          <w:spacing w:val="-8"/>
          <w:sz w:val="24"/>
          <w:szCs w:val="24"/>
          <w:highlight w:val="none"/>
        </w:rPr>
        <w:t>专用账户。民工工资(劳务费)专用账户应向人力资源社会保障部门和交通运输主管部门备案，并委托开户银行负责日常监管，确保专款专用。开户银行发现账户资金不足、被</w:t>
      </w:r>
      <w:r>
        <w:rPr>
          <w:rFonts w:hint="eastAsia" w:ascii="宋体" w:hAnsi="宋体" w:eastAsia="宋体" w:cs="宋体"/>
          <w:color w:val="auto"/>
          <w:spacing w:val="-10"/>
          <w:sz w:val="24"/>
          <w:szCs w:val="24"/>
          <w:highlight w:val="none"/>
        </w:rPr>
        <w:t>挪用等情况，应及时向人力资源社会保障部门和交通运输主管部门报告。</w:t>
      </w:r>
    </w:p>
    <w:p w14:paraId="5E28CD1D">
      <w:pPr>
        <w:spacing w:before="247" w:line="290" w:lineRule="auto"/>
        <w:ind w:left="19" w:right="110" w:firstLine="400"/>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(5)承包人应严格执行招标文件技术规范对施工标准化提出的具体要求，结合本单位</w:t>
      </w:r>
      <w:r>
        <w:rPr>
          <w:rFonts w:hint="eastAsia" w:ascii="宋体" w:hAnsi="宋体" w:eastAsia="宋体" w:cs="宋体"/>
          <w:color w:val="auto"/>
          <w:spacing w:val="-8"/>
          <w:sz w:val="24"/>
          <w:szCs w:val="24"/>
          <w:highlight w:val="none"/>
        </w:rPr>
        <w:t>施工能力和技术优势，积极采取有利于标准化施工的组织方式和工艺流程，加强工地建设、工艺控制、人员管理和内业资料管理，强化对施工一线操作人员的培训，改善</w:t>
      </w:r>
      <w:r>
        <w:rPr>
          <w:rFonts w:hint="eastAsia" w:ascii="宋体" w:hAnsi="宋体" w:eastAsia="宋体" w:cs="宋体"/>
          <w:color w:val="auto"/>
          <w:spacing w:val="-9"/>
          <w:sz w:val="24"/>
          <w:szCs w:val="24"/>
          <w:highlight w:val="none"/>
        </w:rPr>
        <w:t>职工生产生活条件，与此相关的费用承包人应列入工程</w:t>
      </w:r>
      <w:r>
        <w:rPr>
          <w:rFonts w:hint="eastAsia" w:ascii="宋体" w:hAnsi="宋体" w:eastAsia="宋体" w:cs="宋体"/>
          <w:color w:val="auto"/>
          <w:spacing w:val="-10"/>
          <w:sz w:val="24"/>
          <w:szCs w:val="24"/>
          <w:highlight w:val="none"/>
        </w:rPr>
        <w:t>量清单第100章中。</w:t>
      </w:r>
    </w:p>
    <w:p w14:paraId="26E0D83F">
      <w:pPr>
        <w:spacing w:before="244" w:line="219" w:lineRule="auto"/>
        <w:ind w:left="420"/>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(6)承包人应履行项目专用合同条款约定的其他义务。</w:t>
      </w:r>
    </w:p>
    <w:p w14:paraId="24F2F111">
      <w:pPr>
        <w:spacing w:before="177" w:line="273" w:lineRule="auto"/>
        <w:ind w:left="379" w:right="6945" w:firstLine="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4.2履约保证金</w:t>
      </w:r>
      <w:r>
        <w:rPr>
          <w:rFonts w:hint="eastAsia" w:ascii="宋体" w:hAnsi="宋体" w:eastAsia="宋体" w:cs="宋体"/>
          <w:color w:val="auto"/>
          <w:spacing w:val="-9"/>
          <w:sz w:val="24"/>
          <w:szCs w:val="24"/>
          <w:highlight w:val="none"/>
        </w:rPr>
        <w:t>本款细化为：</w:t>
      </w:r>
    </w:p>
    <w:p w14:paraId="176648E5">
      <w:pPr>
        <w:spacing w:before="247" w:line="315" w:lineRule="auto"/>
        <w:ind w:left="21" w:right="110" w:firstLine="356"/>
        <w:jc w:val="both"/>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承包人应保证其履约保证金在发包人签发交工验收证书且承包人按照合同约定缴纳</w:t>
      </w:r>
      <w:r>
        <w:rPr>
          <w:rFonts w:hint="eastAsia" w:ascii="宋体" w:hAnsi="宋体" w:eastAsia="宋体" w:cs="宋体"/>
          <w:color w:val="auto"/>
          <w:spacing w:val="-12"/>
          <w:sz w:val="24"/>
          <w:szCs w:val="24"/>
          <w:highlight w:val="none"/>
        </w:rPr>
        <w:t>质量保证金前一直有效。发包人应在收到承包人缴纳的质量保证金后28</w:t>
      </w:r>
      <w:r>
        <w:rPr>
          <w:rFonts w:hint="eastAsia" w:ascii="宋体" w:hAnsi="宋体" w:eastAsia="宋体" w:cs="宋体"/>
          <w:color w:val="auto"/>
          <w:spacing w:val="-13"/>
          <w:sz w:val="24"/>
          <w:szCs w:val="24"/>
          <w:highlight w:val="none"/>
        </w:rPr>
        <w:t>天内将履约保证</w:t>
      </w:r>
      <w:r>
        <w:rPr>
          <w:rFonts w:hint="eastAsia" w:ascii="宋体" w:hAnsi="宋体" w:eastAsia="宋体" w:cs="宋体"/>
          <w:color w:val="auto"/>
          <w:spacing w:val="-9"/>
          <w:sz w:val="24"/>
          <w:szCs w:val="24"/>
          <w:highlight w:val="none"/>
        </w:rPr>
        <w:t>金退还给承包人。</w:t>
      </w:r>
    </w:p>
    <w:p w14:paraId="03E3E806">
      <w:pPr>
        <w:spacing w:before="115" w:line="316" w:lineRule="auto"/>
        <w:ind w:left="20" w:right="110" w:firstLine="357"/>
        <w:jc w:val="both"/>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承包人拒绝按照本合同约定缴纳质量保证金的，发包</w:t>
      </w:r>
      <w:r>
        <w:rPr>
          <w:rFonts w:hint="eastAsia" w:ascii="宋体" w:hAnsi="宋体" w:eastAsia="宋体" w:cs="宋体"/>
          <w:color w:val="auto"/>
          <w:spacing w:val="-12"/>
          <w:sz w:val="24"/>
          <w:szCs w:val="24"/>
          <w:highlight w:val="none"/>
        </w:rPr>
        <w:t>人有权从交工付款证书中扣留相</w:t>
      </w:r>
      <w:r>
        <w:rPr>
          <w:rFonts w:hint="eastAsia" w:ascii="宋体" w:hAnsi="宋体" w:eastAsia="宋体" w:cs="宋体"/>
          <w:color w:val="auto"/>
          <w:spacing w:val="-8"/>
          <w:sz w:val="24"/>
          <w:szCs w:val="24"/>
          <w:highlight w:val="none"/>
        </w:rPr>
        <w:t>应金额作为质量保证金，或者直接将履约保证金金额用于保证承包人在缺陷责任期内履</w:t>
      </w:r>
      <w:r>
        <w:rPr>
          <w:rFonts w:hint="eastAsia" w:ascii="宋体" w:hAnsi="宋体" w:eastAsia="宋体" w:cs="宋体"/>
          <w:color w:val="auto"/>
          <w:spacing w:val="-9"/>
          <w:sz w:val="24"/>
          <w:szCs w:val="24"/>
          <w:highlight w:val="none"/>
        </w:rPr>
        <w:t>行缺陷修复义务。</w:t>
      </w:r>
    </w:p>
    <w:p w14:paraId="1A221844">
      <w:pPr>
        <w:spacing w:before="49" w:line="222" w:lineRule="auto"/>
        <w:ind w:left="388"/>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4.3分包</w:t>
      </w:r>
    </w:p>
    <w:p w14:paraId="4C5E17CB">
      <w:pPr>
        <w:spacing w:line="222" w:lineRule="auto"/>
        <w:rPr>
          <w:rFonts w:hint="eastAsia" w:ascii="宋体" w:hAnsi="宋体" w:eastAsia="宋体" w:cs="宋体"/>
          <w:color w:val="auto"/>
          <w:sz w:val="24"/>
          <w:szCs w:val="24"/>
          <w:highlight w:val="none"/>
        </w:rPr>
        <w:sectPr>
          <w:headerReference r:id="rId143" w:type="default"/>
          <w:footerReference r:id="rId144" w:type="default"/>
          <w:pgSz w:w="11907" w:h="16840"/>
          <w:pgMar w:top="1182" w:right="1169" w:bottom="1014" w:left="1786" w:header="849" w:footer="852" w:gutter="0"/>
          <w:pgNumType w:fmt="decimal"/>
          <w:cols w:space="720" w:num="1"/>
        </w:sectPr>
      </w:pPr>
    </w:p>
    <w:p w14:paraId="2930B15C">
      <w:pPr>
        <w:pStyle w:val="4"/>
        <w:spacing w:line="284" w:lineRule="auto"/>
        <w:rPr>
          <w:rFonts w:hint="eastAsia" w:ascii="宋体" w:hAnsi="宋体" w:eastAsia="宋体" w:cs="宋体"/>
          <w:color w:val="auto"/>
          <w:highlight w:val="none"/>
        </w:rPr>
      </w:pPr>
    </w:p>
    <w:p w14:paraId="65AC30E7">
      <w:pPr>
        <w:pStyle w:val="4"/>
        <w:spacing w:line="285" w:lineRule="auto"/>
        <w:rPr>
          <w:rFonts w:hint="eastAsia" w:ascii="宋体" w:hAnsi="宋体" w:eastAsia="宋体" w:cs="宋体"/>
          <w:color w:val="auto"/>
          <w:highlight w:val="none"/>
        </w:rPr>
      </w:pPr>
    </w:p>
    <w:p w14:paraId="487B7C15">
      <w:pPr>
        <w:spacing w:before="78" w:line="219" w:lineRule="auto"/>
        <w:ind w:left="40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第4.3.2项~第4.3.4项细化为：</w:t>
      </w:r>
    </w:p>
    <w:p w14:paraId="64DCB46F">
      <w:pPr>
        <w:spacing w:before="138" w:line="267" w:lineRule="auto"/>
        <w:ind w:left="19" w:right="2" w:firstLine="357"/>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4.3.2承包人不得将工程关键性工作分包给第三人。经发包人同意，承包人可将工</w:t>
      </w:r>
      <w:r>
        <w:rPr>
          <w:rFonts w:hint="eastAsia" w:ascii="宋体" w:hAnsi="宋体" w:eastAsia="宋体" w:cs="宋体"/>
          <w:color w:val="auto"/>
          <w:spacing w:val="-10"/>
          <w:sz w:val="24"/>
          <w:szCs w:val="24"/>
          <w:highlight w:val="none"/>
        </w:rPr>
        <w:t>程的其他部分或工作分包给第三人。分包包括专业分包和劳务分包。</w:t>
      </w:r>
    </w:p>
    <w:p w14:paraId="601BBD7C">
      <w:pPr>
        <w:spacing w:before="242" w:line="220" w:lineRule="auto"/>
        <w:ind w:left="377"/>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4.3.3专业分包</w:t>
      </w:r>
    </w:p>
    <w:p w14:paraId="08442D61">
      <w:pPr>
        <w:spacing w:before="242" w:line="219" w:lineRule="auto"/>
        <w:ind w:left="377"/>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在工程施工过程中，承包人进行专业分包必须遵守以下规定：</w:t>
      </w:r>
    </w:p>
    <w:p w14:paraId="53041508">
      <w:pPr>
        <w:spacing w:before="245" w:line="290" w:lineRule="auto"/>
        <w:ind w:left="20" w:firstLine="39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(1)允许专业分包的工程范围仅限于非关键性工程或者适合专业化队伍施工的专项</w:t>
      </w:r>
      <w:r>
        <w:rPr>
          <w:rFonts w:hint="eastAsia" w:ascii="宋体" w:hAnsi="宋体" w:eastAsia="宋体" w:cs="宋体"/>
          <w:color w:val="auto"/>
          <w:spacing w:val="-8"/>
          <w:sz w:val="24"/>
          <w:szCs w:val="24"/>
          <w:highlight w:val="none"/>
        </w:rPr>
        <w:t>工程。未列入投标文件的专项工程，承包人不得分包。但因工程变更增加了有特殊性技术要求、特殊工艺或者涉及专利保护等的专项工程，且按规定无须再进行招标的，由承</w:t>
      </w:r>
      <w:r>
        <w:rPr>
          <w:rFonts w:hint="eastAsia" w:ascii="宋体" w:hAnsi="宋体" w:eastAsia="宋体" w:cs="宋体"/>
          <w:color w:val="auto"/>
          <w:spacing w:val="-10"/>
          <w:sz w:val="24"/>
          <w:szCs w:val="24"/>
          <w:highlight w:val="none"/>
        </w:rPr>
        <w:t>包人提出书面申请，经发包人书面同意，可以分包。</w:t>
      </w:r>
    </w:p>
    <w:p w14:paraId="2DF593DB">
      <w:pPr>
        <w:spacing w:before="243" w:line="267" w:lineRule="auto"/>
        <w:ind w:left="20" w:right="58" w:firstLine="399"/>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(2)专业分包人的资格能力(含安全生产能力)应与其分包工程</w:t>
      </w:r>
      <w:r>
        <w:rPr>
          <w:rFonts w:hint="eastAsia" w:ascii="宋体" w:hAnsi="宋体" w:eastAsia="宋体" w:cs="宋体"/>
          <w:color w:val="auto"/>
          <w:spacing w:val="-11"/>
          <w:sz w:val="24"/>
          <w:szCs w:val="24"/>
          <w:highlight w:val="none"/>
        </w:rPr>
        <w:t>的标准和规模相适应，</w:t>
      </w:r>
      <w:r>
        <w:rPr>
          <w:rFonts w:hint="eastAsia" w:ascii="宋体" w:hAnsi="宋体" w:eastAsia="宋体" w:cs="宋体"/>
          <w:color w:val="auto"/>
          <w:spacing w:val="-9"/>
          <w:sz w:val="24"/>
          <w:szCs w:val="24"/>
          <w:highlight w:val="none"/>
        </w:rPr>
        <w:t>且应当具备如下条件：</w:t>
      </w:r>
    </w:p>
    <w:p w14:paraId="7E738392">
      <w:pPr>
        <w:spacing w:before="245" w:line="219" w:lineRule="auto"/>
        <w:ind w:left="379"/>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a.具有经工商登记的法人资格；</w:t>
      </w:r>
    </w:p>
    <w:p w14:paraId="6DCB3F42">
      <w:pPr>
        <w:spacing w:before="244" w:line="219" w:lineRule="auto"/>
        <w:ind w:left="374"/>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b.具有从事类似工程经验的管理与技术人员；</w:t>
      </w:r>
    </w:p>
    <w:p w14:paraId="13436DE8">
      <w:pPr>
        <w:spacing w:before="243" w:line="220" w:lineRule="auto"/>
        <w:ind w:left="383"/>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c.具有(自有或租赁)分包工程所需的施工设备。</w:t>
      </w:r>
    </w:p>
    <w:p w14:paraId="16402A59">
      <w:pPr>
        <w:spacing w:before="244" w:line="316" w:lineRule="auto"/>
        <w:ind w:left="19" w:firstLine="358"/>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承包人应向监理人提交专业分包人的资格能力证明材料，经监理人审查并报</w:t>
      </w:r>
      <w:r>
        <w:rPr>
          <w:rFonts w:hint="eastAsia" w:ascii="宋体" w:hAnsi="宋体" w:eastAsia="宋体" w:cs="宋体"/>
          <w:color w:val="auto"/>
          <w:spacing w:val="-9"/>
          <w:sz w:val="24"/>
          <w:szCs w:val="24"/>
          <w:highlight w:val="none"/>
        </w:rPr>
        <w:t>发包人</w:t>
      </w:r>
      <w:r>
        <w:rPr>
          <w:rFonts w:hint="eastAsia" w:ascii="宋体" w:hAnsi="宋体" w:eastAsia="宋体" w:cs="宋体"/>
          <w:color w:val="auto"/>
          <w:spacing w:val="-10"/>
          <w:sz w:val="24"/>
          <w:szCs w:val="24"/>
          <w:highlight w:val="none"/>
        </w:rPr>
        <w:t>批准后，可以将相应专业工程分包给该专业分包人。</w:t>
      </w:r>
    </w:p>
    <w:p w14:paraId="2610563C">
      <w:pPr>
        <w:spacing w:before="115" w:line="219" w:lineRule="auto"/>
        <w:ind w:firstLine="216" w:firstLineChars="100"/>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(3)专业分包工程不得再次分包。</w:t>
      </w:r>
    </w:p>
    <w:p w14:paraId="79297B6E">
      <w:pPr>
        <w:keepNext w:val="0"/>
        <w:keepLines w:val="0"/>
        <w:pageBreakBefore w:val="0"/>
        <w:widowControl/>
        <w:kinsoku w:val="0"/>
        <w:wordWrap/>
        <w:overflowPunct/>
        <w:topLinePunct w:val="0"/>
        <w:autoSpaceDE w:val="0"/>
        <w:autoSpaceDN w:val="0"/>
        <w:bidi w:val="0"/>
        <w:adjustRightInd w:val="0"/>
        <w:snapToGrid w:val="0"/>
        <w:spacing w:before="245" w:line="296" w:lineRule="auto"/>
        <w:ind w:firstLine="228" w:firstLineChars="1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(4)承包人和专业分包人应当按照交通运输主管部门制定的统一格式依法签订专业</w:t>
      </w:r>
      <w:r>
        <w:rPr>
          <w:rFonts w:hint="eastAsia" w:ascii="宋体" w:hAnsi="宋体" w:eastAsia="宋体" w:cs="宋体"/>
          <w:color w:val="auto"/>
          <w:spacing w:val="-8"/>
          <w:sz w:val="24"/>
          <w:szCs w:val="24"/>
          <w:highlight w:val="none"/>
        </w:rPr>
        <w:t>分包合同，并履行合同约定的义务。专业分包合同必须遵循承包合同的各项原则，满足承包合同中的质量、安全、进度、环保以及其他技术、经济等要求。专业分包合同必须明确约定工程款支付条款、结算方式以及保证按期支付的相应措施，确保工程款的</w:t>
      </w:r>
      <w:r>
        <w:rPr>
          <w:rFonts w:hint="eastAsia" w:ascii="宋体" w:hAnsi="宋体" w:eastAsia="宋体" w:cs="宋体"/>
          <w:color w:val="auto"/>
          <w:spacing w:val="-10"/>
          <w:sz w:val="24"/>
          <w:szCs w:val="24"/>
          <w:highlight w:val="none"/>
        </w:rPr>
        <w:t>支付。承包人应在工程实施前，将经监理人审查同意后的分包合同报发包人备案。</w:t>
      </w:r>
    </w:p>
    <w:p w14:paraId="6AC1FE0D">
      <w:pPr>
        <w:spacing w:before="243" w:line="291" w:lineRule="auto"/>
        <w:ind w:left="22" w:firstLine="397"/>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(5)专业分包人应当设立项目管理机构，对所分包工程的施工活动实施管理。项</w:t>
      </w:r>
      <w:r>
        <w:rPr>
          <w:rFonts w:hint="eastAsia" w:ascii="宋体" w:hAnsi="宋体" w:eastAsia="宋体" w:cs="宋体"/>
          <w:color w:val="auto"/>
          <w:spacing w:val="-10"/>
          <w:sz w:val="24"/>
          <w:szCs w:val="24"/>
          <w:highlight w:val="none"/>
        </w:rPr>
        <w:t>目管</w:t>
      </w:r>
      <w:r>
        <w:rPr>
          <w:rFonts w:hint="eastAsia" w:ascii="宋体" w:hAnsi="宋体" w:eastAsia="宋体" w:cs="宋体"/>
          <w:color w:val="auto"/>
          <w:spacing w:val="-11"/>
          <w:sz w:val="24"/>
          <w:szCs w:val="24"/>
          <w:highlight w:val="none"/>
        </w:rPr>
        <w:t>理机构应当具有与分包工程的规模、技术复杂程度相适应的技术、经济管理人员，其中</w:t>
      </w:r>
      <w:r>
        <w:rPr>
          <w:rFonts w:hint="eastAsia" w:ascii="宋体" w:hAnsi="宋体" w:eastAsia="宋体" w:cs="宋体"/>
          <w:color w:val="auto"/>
          <w:spacing w:val="-12"/>
          <w:sz w:val="24"/>
          <w:szCs w:val="24"/>
          <w:highlight w:val="none"/>
        </w:rPr>
        <w:t>项</w:t>
      </w:r>
      <w:r>
        <w:rPr>
          <w:rFonts w:hint="eastAsia" w:ascii="宋体" w:hAnsi="宋体" w:eastAsia="宋体" w:cs="宋体"/>
          <w:color w:val="auto"/>
          <w:spacing w:val="-11"/>
          <w:sz w:val="24"/>
          <w:szCs w:val="24"/>
          <w:highlight w:val="none"/>
        </w:rPr>
        <w:t>目负责人和技术、财务、计量、质量、安全等主要管理人员必须是专业分包人本单</w:t>
      </w:r>
      <w:r>
        <w:rPr>
          <w:rFonts w:hint="eastAsia" w:ascii="宋体" w:hAnsi="宋体" w:eastAsia="宋体" w:cs="宋体"/>
          <w:color w:val="auto"/>
          <w:spacing w:val="-10"/>
          <w:sz w:val="24"/>
          <w:szCs w:val="24"/>
          <w:highlight w:val="none"/>
        </w:rPr>
        <w:t>位</w:t>
      </w:r>
      <w:r>
        <w:rPr>
          <w:rFonts w:hint="eastAsia" w:ascii="宋体" w:hAnsi="宋体" w:eastAsia="宋体" w:cs="宋体"/>
          <w:color w:val="auto"/>
          <w:spacing w:val="-7"/>
          <w:sz w:val="24"/>
          <w:szCs w:val="24"/>
          <w:highlight w:val="none"/>
        </w:rPr>
        <w:t>人员。</w:t>
      </w:r>
    </w:p>
    <w:p w14:paraId="6867E5C0">
      <w:pPr>
        <w:spacing w:before="241" w:line="283" w:lineRule="auto"/>
        <w:ind w:left="18" w:firstLine="401"/>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(6)承包人应当建立健全相关分包管理制度和台账，对专业分包工程的质量、安全、</w:t>
      </w:r>
      <w:r>
        <w:rPr>
          <w:rFonts w:hint="eastAsia" w:ascii="宋体" w:hAnsi="宋体" w:eastAsia="宋体" w:cs="宋体"/>
          <w:color w:val="auto"/>
          <w:spacing w:val="-11"/>
          <w:sz w:val="24"/>
          <w:szCs w:val="24"/>
          <w:highlight w:val="none"/>
        </w:rPr>
        <w:t>进度和专业分包人的行为等实施全过程管理，按照合同约定对专业分包工程的实施向发包人负责，并承担赔偿责任。专业分包合同不免除承包合同中规定的承包人的责任或者</w:t>
      </w:r>
    </w:p>
    <w:p w14:paraId="4594C268">
      <w:pPr>
        <w:spacing w:line="283" w:lineRule="auto"/>
        <w:rPr>
          <w:rFonts w:hint="eastAsia" w:ascii="宋体" w:hAnsi="宋体" w:eastAsia="宋体" w:cs="宋体"/>
          <w:color w:val="auto"/>
          <w:sz w:val="24"/>
          <w:szCs w:val="24"/>
          <w:highlight w:val="none"/>
        </w:rPr>
        <w:sectPr>
          <w:headerReference r:id="rId145" w:type="default"/>
          <w:footerReference r:id="rId146" w:type="default"/>
          <w:pgSz w:w="11907" w:h="16840"/>
          <w:pgMar w:top="1182" w:right="1279" w:bottom="1014" w:left="1786" w:header="849" w:footer="852" w:gutter="0"/>
          <w:pgNumType w:fmt="decimal"/>
          <w:cols w:space="720" w:num="1"/>
        </w:sectPr>
      </w:pPr>
    </w:p>
    <w:p w14:paraId="3D19BEAA">
      <w:pPr>
        <w:spacing w:before="293" w:line="219" w:lineRule="auto"/>
        <w:ind w:left="23"/>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义务。</w:t>
      </w:r>
    </w:p>
    <w:p w14:paraId="07B88E54">
      <w:pPr>
        <w:spacing w:before="242" w:line="283" w:lineRule="auto"/>
        <w:ind w:left="20" w:right="75" w:firstLine="399"/>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(7)专业分包人应当依据专业分包合同的约定，组织分包工程的施工，并对分包工程</w:t>
      </w:r>
      <w:r>
        <w:rPr>
          <w:rFonts w:hint="eastAsia" w:ascii="宋体" w:hAnsi="宋体" w:eastAsia="宋体" w:cs="宋体"/>
          <w:color w:val="auto"/>
          <w:spacing w:val="-11"/>
          <w:sz w:val="24"/>
          <w:szCs w:val="24"/>
          <w:highlight w:val="none"/>
        </w:rPr>
        <w:t>的质量、安全和进度等实施有效控制。专业分包人对其分包的工程向承包人负责，并就</w:t>
      </w:r>
      <w:r>
        <w:rPr>
          <w:rFonts w:hint="eastAsia" w:ascii="宋体" w:hAnsi="宋体" w:eastAsia="宋体" w:cs="宋体"/>
          <w:color w:val="auto"/>
          <w:spacing w:val="-10"/>
          <w:sz w:val="24"/>
          <w:szCs w:val="24"/>
          <w:highlight w:val="none"/>
        </w:rPr>
        <w:t>所分包的工程向发包人承担连带责任。</w:t>
      </w:r>
    </w:p>
    <w:p w14:paraId="5C3408AF">
      <w:pPr>
        <w:spacing w:before="242" w:line="283" w:lineRule="auto"/>
        <w:ind w:left="20" w:right="75" w:firstLine="39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(8)承包人对施工现场安全负总责，并对专业分包人的安全生产进行培训和管理。</w:t>
      </w:r>
      <w:r>
        <w:rPr>
          <w:rFonts w:hint="eastAsia" w:ascii="宋体" w:hAnsi="宋体" w:eastAsia="宋体" w:cs="宋体"/>
          <w:color w:val="auto"/>
          <w:spacing w:val="-8"/>
          <w:sz w:val="24"/>
          <w:szCs w:val="24"/>
          <w:highlight w:val="none"/>
        </w:rPr>
        <w:t>专业分包人应将其专业分包工程的施工组织设计和施工安全方案报承包人备案。专业分</w:t>
      </w:r>
      <w:r>
        <w:rPr>
          <w:rFonts w:hint="eastAsia" w:ascii="宋体" w:hAnsi="宋体" w:eastAsia="宋体" w:cs="宋体"/>
          <w:color w:val="auto"/>
          <w:spacing w:val="-10"/>
          <w:sz w:val="24"/>
          <w:szCs w:val="24"/>
          <w:highlight w:val="none"/>
        </w:rPr>
        <w:t>包人对分包施工现场安全负责，发现事故隐患，应及时处理。</w:t>
      </w:r>
    </w:p>
    <w:p w14:paraId="259A89B6">
      <w:pPr>
        <w:spacing w:before="242" w:line="220" w:lineRule="auto"/>
        <w:ind w:left="378"/>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违反上述规定之一者属违规分包。</w:t>
      </w:r>
    </w:p>
    <w:p w14:paraId="0D0BB634">
      <w:pPr>
        <w:spacing w:before="242" w:line="219" w:lineRule="auto"/>
        <w:ind w:left="377"/>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4.3.4劳务分包</w:t>
      </w:r>
    </w:p>
    <w:p w14:paraId="05166374">
      <w:pPr>
        <w:spacing w:before="244" w:line="219" w:lineRule="auto"/>
        <w:ind w:left="377"/>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在工程施工过程中，承包人进行劳务分包必须遵守以下规定：</w:t>
      </w:r>
    </w:p>
    <w:p w14:paraId="366FCFF9">
      <w:pPr>
        <w:spacing w:before="243" w:line="219" w:lineRule="auto"/>
        <w:ind w:left="420"/>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(1)劳务分包人应具有施工劳务资质。</w:t>
      </w:r>
    </w:p>
    <w:p w14:paraId="49D0AD21">
      <w:pPr>
        <w:spacing w:before="245" w:line="290" w:lineRule="auto"/>
        <w:ind w:left="20" w:right="75" w:firstLine="39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(2)劳务分包应当依法签订劳务分包合同，劳务分包合同必须由承包人的法定代</w:t>
      </w:r>
      <w:r>
        <w:rPr>
          <w:rFonts w:hint="eastAsia" w:ascii="宋体" w:hAnsi="宋体" w:eastAsia="宋体" w:cs="宋体"/>
          <w:color w:val="auto"/>
          <w:spacing w:val="-10"/>
          <w:sz w:val="24"/>
          <w:szCs w:val="24"/>
          <w:highlight w:val="none"/>
        </w:rPr>
        <w:t>表人</w:t>
      </w:r>
      <w:r>
        <w:rPr>
          <w:rFonts w:hint="eastAsia" w:ascii="宋体" w:hAnsi="宋体" w:eastAsia="宋体" w:cs="宋体"/>
          <w:color w:val="auto"/>
          <w:spacing w:val="-11"/>
          <w:sz w:val="24"/>
          <w:szCs w:val="24"/>
          <w:highlight w:val="none"/>
        </w:rPr>
        <w:t>或其委托代理人与劳务分包人直接签订，不得由他人代签。承包人的项目经理部、项目经理、施工班组等不具备用工主体资格，不能与劳务分包人签订劳务分包合同。承包人</w:t>
      </w:r>
      <w:r>
        <w:rPr>
          <w:rFonts w:hint="eastAsia" w:ascii="宋体" w:hAnsi="宋体" w:eastAsia="宋体" w:cs="宋体"/>
          <w:color w:val="auto"/>
          <w:spacing w:val="-10"/>
          <w:sz w:val="24"/>
          <w:szCs w:val="24"/>
          <w:highlight w:val="none"/>
        </w:rPr>
        <w:t>应向发包人和监理人提交劳务分包合同副本并报项目所在地劳动保障部门备案。</w:t>
      </w:r>
    </w:p>
    <w:p w14:paraId="2C4A23EA">
      <w:pPr>
        <w:spacing w:before="244" w:line="283" w:lineRule="auto"/>
        <w:ind w:left="23" w:right="75" w:firstLine="396"/>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(3)承包人雇用的劳务作业应加入到承包人的施工班组统一管理。有关施工质量、施</w:t>
      </w:r>
      <w:r>
        <w:rPr>
          <w:rFonts w:hint="eastAsia" w:ascii="宋体" w:hAnsi="宋体" w:eastAsia="宋体" w:cs="宋体"/>
          <w:color w:val="auto"/>
          <w:spacing w:val="-11"/>
          <w:sz w:val="24"/>
          <w:szCs w:val="24"/>
          <w:highlight w:val="none"/>
        </w:rPr>
        <w:t>工安全、施工进度、环境保护、技术方案、试验检测、材料保管与供应、机械设备等都</w:t>
      </w:r>
      <w:r>
        <w:rPr>
          <w:rFonts w:hint="eastAsia" w:ascii="宋体" w:hAnsi="宋体" w:eastAsia="宋体" w:cs="宋体"/>
          <w:color w:val="auto"/>
          <w:spacing w:val="-10"/>
          <w:sz w:val="24"/>
          <w:szCs w:val="24"/>
          <w:highlight w:val="none"/>
        </w:rPr>
        <w:t>必须由承包人管理与调配，不得以包代管。</w:t>
      </w:r>
    </w:p>
    <w:p w14:paraId="444524ED">
      <w:pPr>
        <w:spacing w:before="242" w:line="267" w:lineRule="auto"/>
        <w:ind w:left="22" w:right="75" w:firstLine="397"/>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(4)承包人应当对劳务分包人员进行安全培训和管理，劳务分包人不得将其分包的劳</w:t>
      </w:r>
      <w:r>
        <w:rPr>
          <w:rFonts w:hint="eastAsia" w:ascii="宋体" w:hAnsi="宋体" w:eastAsia="宋体" w:cs="宋体"/>
          <w:color w:val="auto"/>
          <w:spacing w:val="-9"/>
          <w:sz w:val="24"/>
          <w:szCs w:val="24"/>
          <w:highlight w:val="none"/>
        </w:rPr>
        <w:t>务作业再次分包。</w:t>
      </w:r>
    </w:p>
    <w:p w14:paraId="2FC05C1F">
      <w:pPr>
        <w:spacing w:before="245" w:line="220" w:lineRule="auto"/>
        <w:ind w:left="378"/>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违反上述规定之一者属违规分包。</w:t>
      </w:r>
    </w:p>
    <w:p w14:paraId="0AB8EBC2">
      <w:pPr>
        <w:spacing w:before="242" w:line="219" w:lineRule="auto"/>
        <w:ind w:left="37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本款补充第4.3.6项、第4.3.7项：</w:t>
      </w:r>
    </w:p>
    <w:p w14:paraId="63BEC0C4">
      <w:pPr>
        <w:spacing w:before="244" w:line="219" w:lineRule="auto"/>
        <w:ind w:left="377"/>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4.3.6发包人对承包人与分包人之间的法律与经济纠纷不承担任</w:t>
      </w:r>
      <w:r>
        <w:rPr>
          <w:rFonts w:hint="eastAsia" w:ascii="宋体" w:hAnsi="宋体" w:eastAsia="宋体" w:cs="宋体"/>
          <w:color w:val="auto"/>
          <w:spacing w:val="-10"/>
          <w:sz w:val="24"/>
          <w:szCs w:val="24"/>
          <w:highlight w:val="none"/>
        </w:rPr>
        <w:t>何责任和义务。</w:t>
      </w:r>
    </w:p>
    <w:p w14:paraId="6F0F1657">
      <w:pPr>
        <w:spacing w:before="242" w:line="219"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4"/>
          <w:sz w:val="24"/>
          <w:szCs w:val="24"/>
          <w:highlight w:val="none"/>
        </w:rPr>
        <w:t>4.3.7本项目的各项分包工作均应遵守《公路工程施工分包管理办法》的</w:t>
      </w:r>
      <w:r>
        <w:rPr>
          <w:rFonts w:hint="eastAsia" w:ascii="宋体" w:hAnsi="宋体" w:eastAsia="宋体" w:cs="宋体"/>
          <w:color w:val="auto"/>
          <w:spacing w:val="-15"/>
          <w:sz w:val="24"/>
          <w:szCs w:val="24"/>
          <w:highlight w:val="none"/>
        </w:rPr>
        <w:t>有关规定。</w:t>
      </w:r>
    </w:p>
    <w:p w14:paraId="72D882A2">
      <w:pPr>
        <w:spacing w:before="294" w:line="222" w:lineRule="auto"/>
        <w:ind w:left="384"/>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4.4联合体</w:t>
      </w:r>
    </w:p>
    <w:p w14:paraId="55B87053">
      <w:pPr>
        <w:spacing w:before="136" w:line="219" w:lineRule="auto"/>
        <w:ind w:left="37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本款补充第4.4.4项：</w:t>
      </w:r>
    </w:p>
    <w:p w14:paraId="0FB7684A">
      <w:pPr>
        <w:spacing w:before="244" w:line="219" w:lineRule="auto"/>
        <w:ind w:left="377"/>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4.4.4未经发包人事先同意，联合体的组成与结构不得变动。</w:t>
      </w:r>
    </w:p>
    <w:p w14:paraId="51F5CDA2">
      <w:pPr>
        <w:spacing w:before="293" w:line="221" w:lineRule="auto"/>
        <w:ind w:left="388"/>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4.6承包人人员的管理</w:t>
      </w:r>
    </w:p>
    <w:p w14:paraId="148F03F8">
      <w:pPr>
        <w:spacing w:line="221" w:lineRule="auto"/>
        <w:rPr>
          <w:rFonts w:hint="eastAsia" w:ascii="宋体" w:hAnsi="宋体" w:eastAsia="宋体" w:cs="宋体"/>
          <w:color w:val="auto"/>
          <w:sz w:val="24"/>
          <w:szCs w:val="24"/>
          <w:highlight w:val="none"/>
        </w:rPr>
        <w:sectPr>
          <w:headerReference r:id="rId147" w:type="default"/>
          <w:footerReference r:id="rId148" w:type="default"/>
          <w:pgSz w:w="11907" w:h="16840"/>
          <w:pgMar w:top="1182" w:right="1204" w:bottom="1014" w:left="1786" w:header="849" w:footer="852" w:gutter="0"/>
          <w:pgNumType w:fmt="decimal"/>
          <w:cols w:space="720" w:num="1"/>
        </w:sectPr>
      </w:pPr>
    </w:p>
    <w:p w14:paraId="6C88C621">
      <w:pPr>
        <w:spacing w:before="293" w:line="219" w:lineRule="auto"/>
        <w:ind w:left="52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第4.6.3项细化为：</w:t>
      </w:r>
    </w:p>
    <w:p w14:paraId="6F63D296">
      <w:pPr>
        <w:spacing w:before="243" w:line="316" w:lineRule="auto"/>
        <w:ind w:left="165" w:right="75" w:firstLine="354"/>
        <w:jc w:val="both"/>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承包人安排在施工场地的主要管理人员和技术骨干应与承</w:t>
      </w:r>
      <w:r>
        <w:rPr>
          <w:rFonts w:hint="eastAsia" w:ascii="宋体" w:hAnsi="宋体" w:eastAsia="宋体" w:cs="宋体"/>
          <w:color w:val="auto"/>
          <w:spacing w:val="-12"/>
          <w:sz w:val="24"/>
          <w:szCs w:val="24"/>
          <w:highlight w:val="none"/>
        </w:rPr>
        <w:t>包人承诺的名单一致，并保</w:t>
      </w:r>
      <w:r>
        <w:rPr>
          <w:rFonts w:hint="eastAsia" w:ascii="宋体" w:hAnsi="宋体" w:eastAsia="宋体" w:cs="宋体"/>
          <w:color w:val="auto"/>
          <w:spacing w:val="-8"/>
          <w:sz w:val="24"/>
          <w:szCs w:val="24"/>
          <w:highlight w:val="none"/>
        </w:rPr>
        <w:t>持相对稳定。未经监理人批准，上述人员不应无故不到位或被替换；若确实无法到位或</w:t>
      </w:r>
      <w:r>
        <w:rPr>
          <w:rFonts w:hint="eastAsia" w:ascii="宋体" w:hAnsi="宋体" w:eastAsia="宋体" w:cs="宋体"/>
          <w:color w:val="auto"/>
          <w:spacing w:val="-10"/>
          <w:sz w:val="24"/>
          <w:szCs w:val="24"/>
          <w:highlight w:val="none"/>
        </w:rPr>
        <w:t>需替换，需经监理人审核并报发包人批准后，用同等资质和经历的人员替换。</w:t>
      </w:r>
    </w:p>
    <w:p w14:paraId="7D0028DF">
      <w:pPr>
        <w:spacing w:before="112" w:line="219" w:lineRule="auto"/>
        <w:ind w:left="521"/>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本款补充第4.6.5项：</w:t>
      </w:r>
    </w:p>
    <w:p w14:paraId="485F4931">
      <w:pPr>
        <w:spacing w:before="241" w:line="316" w:lineRule="auto"/>
        <w:ind w:left="162" w:right="75" w:firstLine="356"/>
        <w:jc w:val="both"/>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4.6.5尽管承包人已按承诺派遣了上述各类</w:t>
      </w:r>
      <w:r>
        <w:rPr>
          <w:rFonts w:hint="eastAsia" w:ascii="宋体" w:hAnsi="宋体" w:eastAsia="宋体" w:cs="宋体"/>
          <w:color w:val="auto"/>
          <w:spacing w:val="-11"/>
          <w:sz w:val="24"/>
          <w:szCs w:val="24"/>
          <w:highlight w:val="none"/>
        </w:rPr>
        <w:t>人员，但若这些人员仍不能满足合同进度</w:t>
      </w:r>
      <w:r>
        <w:rPr>
          <w:rFonts w:hint="eastAsia" w:ascii="宋体" w:hAnsi="宋体" w:eastAsia="宋体" w:cs="宋体"/>
          <w:color w:val="auto"/>
          <w:spacing w:val="-8"/>
          <w:sz w:val="24"/>
          <w:szCs w:val="24"/>
          <w:highlight w:val="none"/>
        </w:rPr>
        <w:t>计划和(或)质量要求时，监理人有权要求承包人继续增派或雇用这类人员，并书面通知承包人和抄送发包人。承包人在接到上述通知后应立即执行监理人的上述指示，不得</w:t>
      </w:r>
      <w:r>
        <w:rPr>
          <w:rFonts w:hint="eastAsia" w:ascii="宋体" w:hAnsi="宋体" w:eastAsia="宋体" w:cs="宋体"/>
          <w:color w:val="auto"/>
          <w:spacing w:val="-10"/>
          <w:sz w:val="24"/>
          <w:szCs w:val="24"/>
          <w:highlight w:val="none"/>
        </w:rPr>
        <w:t>无故拖延，由此增加的费用和(或)工期延误由承包人承担。</w:t>
      </w:r>
    </w:p>
    <w:p w14:paraId="1AEA5EBE">
      <w:pPr>
        <w:spacing w:before="161" w:line="221" w:lineRule="auto"/>
        <w:ind w:left="5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4.7撤换承包人项目经理和其他人员</w:t>
      </w:r>
    </w:p>
    <w:p w14:paraId="38EF8C87">
      <w:pPr>
        <w:spacing w:before="139" w:line="219" w:lineRule="auto"/>
        <w:ind w:left="521"/>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本款细化为：</w:t>
      </w:r>
    </w:p>
    <w:p w14:paraId="1EC69BC4">
      <w:pPr>
        <w:tabs>
          <w:tab w:val="left" w:pos="163"/>
        </w:tabs>
        <w:spacing w:before="246" w:line="315" w:lineRule="auto"/>
        <w:ind w:right="75" w:firstLine="621"/>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承包人应对其项目经理和其他人员进行有效管理。监理人要求撤换不能胜任本职工</w:t>
      </w:r>
      <w:r>
        <w:rPr>
          <w:rFonts w:hint="eastAsia" w:ascii="宋体" w:hAnsi="宋体" w:eastAsia="宋体" w:cs="宋体"/>
          <w:color w:val="auto"/>
          <w:spacing w:val="-7"/>
          <w:sz w:val="24"/>
          <w:szCs w:val="24"/>
          <w:highlight w:val="none"/>
        </w:rPr>
        <w:t>作、行为不端或玩忽职守的承包人项目经理和其他人员的，承包人应予以撤换，同时委</w:t>
      </w:r>
      <w:r>
        <w:rPr>
          <w:rFonts w:hint="eastAsia" w:ascii="宋体" w:hAnsi="宋体" w:eastAsia="宋体" w:cs="宋体"/>
          <w:color w:val="auto"/>
          <w:sz w:val="24"/>
          <w:szCs w:val="24"/>
          <w:highlight w:val="none"/>
          <w:u w:val="single" w:color="auto"/>
        </w:rPr>
        <w:tab/>
      </w:r>
      <w:r>
        <w:rPr>
          <w:rFonts w:hint="eastAsia" w:ascii="宋体" w:hAnsi="宋体" w:eastAsia="宋体" w:cs="宋体"/>
          <w:color w:val="auto"/>
          <w:spacing w:val="-10"/>
          <w:sz w:val="24"/>
          <w:szCs w:val="24"/>
          <w:highlight w:val="none"/>
          <w:u w:val="single" w:color="auto"/>
        </w:rPr>
        <w:t>派经发包人与监理人同意</w:t>
      </w:r>
      <w:r>
        <w:rPr>
          <w:rFonts w:hint="eastAsia" w:ascii="宋体" w:hAnsi="宋体" w:eastAsia="宋体" w:cs="宋体"/>
          <w:color w:val="auto"/>
          <w:spacing w:val="-10"/>
          <w:sz w:val="24"/>
          <w:szCs w:val="24"/>
          <w:highlight w:val="none"/>
        </w:rPr>
        <w:t>的新的项目经理和其他人员。</w:t>
      </w:r>
    </w:p>
    <w:p w14:paraId="59FAB33A">
      <w:pPr>
        <w:spacing w:before="164" w:line="222" w:lineRule="auto"/>
        <w:ind w:left="5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4.9工程价款应专款专用</w:t>
      </w:r>
    </w:p>
    <w:p w14:paraId="5CAA7EE0">
      <w:pPr>
        <w:spacing w:before="136" w:line="219" w:lineRule="auto"/>
        <w:ind w:left="521"/>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本款细化为：</w:t>
      </w:r>
    </w:p>
    <w:p w14:paraId="123E811A">
      <w:pPr>
        <w:spacing w:before="244" w:line="315" w:lineRule="auto"/>
        <w:ind w:left="162" w:right="18" w:firstLine="361"/>
        <w:jc w:val="both"/>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发包人按合同约定支付给承包人的各项价款应专</w:t>
      </w:r>
      <w:r>
        <w:rPr>
          <w:rFonts w:hint="eastAsia" w:ascii="宋体" w:hAnsi="宋体" w:eastAsia="宋体" w:cs="宋体"/>
          <w:color w:val="auto"/>
          <w:spacing w:val="-12"/>
          <w:sz w:val="24"/>
          <w:szCs w:val="24"/>
          <w:highlight w:val="none"/>
        </w:rPr>
        <w:t>用于合同工程。承包人必须在发包人</w:t>
      </w:r>
      <w:r>
        <w:rPr>
          <w:rFonts w:hint="eastAsia" w:ascii="宋体" w:hAnsi="宋体" w:eastAsia="宋体" w:cs="宋体"/>
          <w:color w:val="auto"/>
          <w:spacing w:val="-8"/>
          <w:sz w:val="24"/>
          <w:szCs w:val="24"/>
          <w:highlight w:val="none"/>
        </w:rPr>
        <w:t>指定的银行开户，并与发包人、银行共同签订《工程资金监管协议》，接受发包人和银行对资金的监管。承包人应向发包人授权进行本合同工程开户银行工程资金的查询。发包人支付的工程进度款应为本工程的专款专用资金，不得转移或用于其他工程。发包人的期中支付款将转入该银行所设的专门账户，发包人及其派出机构有权不定期对承包人</w:t>
      </w:r>
      <w:r>
        <w:rPr>
          <w:rFonts w:hint="eastAsia" w:ascii="宋体" w:hAnsi="宋体" w:eastAsia="宋体" w:cs="宋体"/>
          <w:color w:val="auto"/>
          <w:spacing w:val="-14"/>
          <w:sz w:val="24"/>
          <w:szCs w:val="24"/>
          <w:highlight w:val="none"/>
        </w:rPr>
        <w:t>工程资金使用情况进行检查，发现问题及时责令承包人限期改正，否则，将终止月支付，</w:t>
      </w:r>
      <w:r>
        <w:rPr>
          <w:rFonts w:hint="eastAsia" w:ascii="宋体" w:hAnsi="宋体" w:eastAsia="宋体" w:cs="宋体"/>
          <w:color w:val="auto"/>
          <w:spacing w:val="-9"/>
          <w:sz w:val="24"/>
          <w:szCs w:val="24"/>
          <w:highlight w:val="none"/>
        </w:rPr>
        <w:t>直至承包人改正为止。</w:t>
      </w:r>
    </w:p>
    <w:p w14:paraId="12888AC8">
      <w:pPr>
        <w:spacing w:before="161" w:line="222" w:lineRule="auto"/>
        <w:ind w:left="5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4.10承包人现场查勘</w:t>
      </w:r>
    </w:p>
    <w:p w14:paraId="0BEEEF06">
      <w:pPr>
        <w:spacing w:before="137" w:line="217" w:lineRule="auto"/>
        <w:ind w:left="52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第4.10.1项细化为：①</w:t>
      </w:r>
    </w:p>
    <w:p w14:paraId="2A5AD489">
      <w:pPr>
        <w:spacing w:before="247" w:line="316" w:lineRule="auto"/>
        <w:ind w:left="162" w:firstLine="361"/>
        <w:jc w:val="both"/>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发包人提供的本合同工程的水文、地质、气象和</w:t>
      </w:r>
      <w:r>
        <w:rPr>
          <w:rFonts w:hint="eastAsia" w:ascii="宋体" w:hAnsi="宋体" w:eastAsia="宋体" w:cs="宋体"/>
          <w:color w:val="auto"/>
          <w:spacing w:val="-12"/>
          <w:sz w:val="24"/>
          <w:szCs w:val="24"/>
          <w:highlight w:val="none"/>
        </w:rPr>
        <w:t>料场分布、取土场、弃土场位置等资料均属于参考资料，并不构成合同文件的组成部分，承包人应对自己就上述资料的解释、</w:t>
      </w:r>
      <w:r>
        <w:rPr>
          <w:rFonts w:hint="eastAsia" w:ascii="宋体" w:hAnsi="宋体" w:eastAsia="宋体" w:cs="宋体"/>
          <w:color w:val="auto"/>
          <w:spacing w:val="-10"/>
          <w:sz w:val="24"/>
          <w:szCs w:val="24"/>
          <w:highlight w:val="none"/>
        </w:rPr>
        <w:t>推论和应用负责，发包人不对承包人据此作出的判断和决策承担任何责任。</w:t>
      </w:r>
    </w:p>
    <w:p w14:paraId="093294FB">
      <w:pPr>
        <w:spacing w:before="160" w:line="222" w:lineRule="auto"/>
        <w:ind w:left="5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4.11不利物质条件</w:t>
      </w:r>
    </w:p>
    <w:p w14:paraId="6AE48F2B">
      <w:pPr>
        <w:spacing w:line="222" w:lineRule="auto"/>
        <w:rPr>
          <w:rFonts w:hint="eastAsia" w:ascii="宋体" w:hAnsi="宋体" w:eastAsia="宋体" w:cs="宋体"/>
          <w:color w:val="auto"/>
          <w:sz w:val="24"/>
          <w:szCs w:val="24"/>
          <w:highlight w:val="none"/>
        </w:rPr>
        <w:sectPr>
          <w:headerReference r:id="rId149" w:type="default"/>
          <w:footerReference r:id="rId150" w:type="default"/>
          <w:pgSz w:w="11907" w:h="16840"/>
          <w:pgMar w:top="1182" w:right="1204" w:bottom="1014" w:left="1643" w:header="849" w:footer="852" w:gutter="0"/>
          <w:pgNumType w:fmt="decimal"/>
          <w:cols w:space="720" w:num="1"/>
        </w:sectPr>
      </w:pPr>
    </w:p>
    <w:p w14:paraId="40BB4394">
      <w:pPr>
        <w:spacing w:before="293" w:line="219" w:lineRule="auto"/>
        <w:ind w:left="378"/>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第4.11.2项细化为：</w:t>
      </w:r>
    </w:p>
    <w:p w14:paraId="2402598E">
      <w:pPr>
        <w:spacing w:before="240" w:line="316" w:lineRule="auto"/>
        <w:ind w:left="20" w:firstLine="356"/>
        <w:jc w:val="both"/>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4.11.2承包人遇到不可预见的不利物质条件时，应采取适应</w:t>
      </w:r>
      <w:r>
        <w:rPr>
          <w:rFonts w:hint="eastAsia" w:ascii="宋体" w:hAnsi="宋体" w:eastAsia="宋体" w:cs="宋体"/>
          <w:color w:val="auto"/>
          <w:spacing w:val="-8"/>
          <w:sz w:val="24"/>
          <w:szCs w:val="24"/>
          <w:highlight w:val="none"/>
        </w:rPr>
        <w:t>不利物质条件的合理</w:t>
      </w:r>
      <w:r>
        <w:rPr>
          <w:rFonts w:hint="eastAsia" w:ascii="宋体" w:hAnsi="宋体" w:eastAsia="宋体" w:cs="宋体"/>
          <w:color w:val="auto"/>
          <w:spacing w:val="-11"/>
          <w:sz w:val="24"/>
          <w:szCs w:val="24"/>
          <w:highlight w:val="none"/>
        </w:rPr>
        <w:t>措施继续施工，并及时通知监理人。监理人应当及时发出指示，指示构成变更的，按第</w:t>
      </w:r>
      <w:r>
        <w:rPr>
          <w:rFonts w:hint="eastAsia" w:ascii="宋体" w:hAnsi="宋体" w:eastAsia="宋体" w:cs="宋体"/>
          <w:color w:val="auto"/>
          <w:spacing w:val="-10"/>
          <w:sz w:val="24"/>
          <w:szCs w:val="24"/>
          <w:highlight w:val="none"/>
        </w:rPr>
        <w:t>15条约定办理。监理人没有发出指示的，承包人因采取合理措施</w:t>
      </w:r>
      <w:r>
        <w:rPr>
          <w:rFonts w:hint="eastAsia" w:ascii="宋体" w:hAnsi="宋体" w:eastAsia="宋体" w:cs="宋体"/>
          <w:color w:val="auto"/>
          <w:spacing w:val="-11"/>
          <w:sz w:val="24"/>
          <w:szCs w:val="24"/>
          <w:highlight w:val="none"/>
        </w:rPr>
        <w:t>而增加的费用和(或)工</w:t>
      </w:r>
      <w:r>
        <w:rPr>
          <w:rFonts w:hint="eastAsia" w:ascii="宋体" w:hAnsi="宋体" w:eastAsia="宋体" w:cs="宋体"/>
          <w:color w:val="auto"/>
          <w:spacing w:val="-10"/>
          <w:sz w:val="24"/>
          <w:szCs w:val="24"/>
          <w:highlight w:val="none"/>
        </w:rPr>
        <w:t>期延误，由发包人承担。</w:t>
      </w:r>
    </w:p>
    <w:p w14:paraId="1ED74D0B">
      <w:pPr>
        <w:spacing w:before="113" w:line="219" w:lineRule="auto"/>
        <w:ind w:left="37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本款补充第4.11.3项：</w:t>
      </w:r>
    </w:p>
    <w:p w14:paraId="4986569E">
      <w:pPr>
        <w:spacing w:before="246" w:line="219" w:lineRule="auto"/>
        <w:ind w:left="377"/>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4.11.3可预见的不利物质条件</w:t>
      </w:r>
    </w:p>
    <w:p w14:paraId="2BD9291C">
      <w:pPr>
        <w:spacing w:before="244" w:line="315" w:lineRule="auto"/>
        <w:ind w:left="21" w:firstLine="398"/>
        <w:jc w:val="both"/>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(1)对于项目专用合同条款中已经明确指出的不利物质条件无论承包人是否有其</w:t>
      </w:r>
      <w:r>
        <w:rPr>
          <w:rFonts w:hint="eastAsia" w:ascii="宋体" w:hAnsi="宋体" w:eastAsia="宋体" w:cs="宋体"/>
          <w:color w:val="auto"/>
          <w:spacing w:val="-10"/>
          <w:sz w:val="24"/>
          <w:szCs w:val="24"/>
          <w:highlight w:val="none"/>
        </w:rPr>
        <w:t>经历</w:t>
      </w:r>
      <w:r>
        <w:rPr>
          <w:rFonts w:hint="eastAsia" w:ascii="宋体" w:hAnsi="宋体" w:eastAsia="宋体" w:cs="宋体"/>
          <w:color w:val="auto"/>
          <w:spacing w:val="-8"/>
          <w:sz w:val="24"/>
          <w:szCs w:val="24"/>
          <w:highlight w:val="none"/>
        </w:rPr>
        <w:t>和经验均视为承包人在接受合同时已预见其影响，并已在签约合同价中计入因其影响</w:t>
      </w:r>
      <w:r>
        <w:rPr>
          <w:rFonts w:hint="eastAsia" w:ascii="宋体" w:hAnsi="宋体" w:eastAsia="宋体" w:cs="宋体"/>
          <w:color w:val="auto"/>
          <w:spacing w:val="-10"/>
          <w:sz w:val="24"/>
          <w:szCs w:val="24"/>
          <w:highlight w:val="none"/>
        </w:rPr>
        <w:t>而可能发生的一切费用。</w:t>
      </w:r>
    </w:p>
    <w:p w14:paraId="435ADA4C">
      <w:pPr>
        <w:spacing w:before="114" w:line="315" w:lineRule="auto"/>
        <w:ind w:left="22" w:right="2" w:firstLine="354"/>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①如果在招标阶段，招标人在图纸中直接指定了取土场和弃土场位置，且</w:t>
      </w:r>
      <w:r>
        <w:rPr>
          <w:rFonts w:hint="eastAsia" w:ascii="宋体" w:hAnsi="宋体" w:eastAsia="宋体" w:cs="宋体"/>
          <w:color w:val="auto"/>
          <w:spacing w:val="-9"/>
          <w:sz w:val="24"/>
          <w:szCs w:val="24"/>
          <w:highlight w:val="none"/>
        </w:rPr>
        <w:t>作为投标</w:t>
      </w:r>
      <w:r>
        <w:rPr>
          <w:rFonts w:hint="eastAsia" w:ascii="宋体" w:hAnsi="宋体" w:eastAsia="宋体" w:cs="宋体"/>
          <w:color w:val="auto"/>
          <w:spacing w:val="-10"/>
          <w:sz w:val="24"/>
          <w:szCs w:val="24"/>
          <w:highlight w:val="none"/>
        </w:rPr>
        <w:t>人投标报价的依据，则招标人应在项目专用合同条款中对本项规定进行调整。</w:t>
      </w:r>
    </w:p>
    <w:p w14:paraId="076E4DA5">
      <w:pPr>
        <w:spacing w:before="119" w:line="315" w:lineRule="auto"/>
        <w:ind w:left="22" w:firstLine="397"/>
        <w:jc w:val="both"/>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(2)对于项目专用合同条款未明确指出，但是在不利物质条件发生之前，监理人已</w:t>
      </w:r>
      <w:r>
        <w:rPr>
          <w:rFonts w:hint="eastAsia" w:ascii="宋体" w:hAnsi="宋体" w:eastAsia="宋体" w:cs="宋体"/>
          <w:color w:val="auto"/>
          <w:spacing w:val="-8"/>
          <w:sz w:val="24"/>
          <w:szCs w:val="24"/>
          <w:highlight w:val="none"/>
        </w:rPr>
        <w:t>经指示承包人有可能发生，但承包人未能及时采取有效措施，而导致的损失和后果均</w:t>
      </w:r>
      <w:r>
        <w:rPr>
          <w:rFonts w:hint="eastAsia" w:ascii="宋体" w:hAnsi="宋体" w:eastAsia="宋体" w:cs="宋体"/>
          <w:color w:val="auto"/>
          <w:spacing w:val="-9"/>
          <w:sz w:val="24"/>
          <w:szCs w:val="24"/>
          <w:highlight w:val="none"/>
        </w:rPr>
        <w:t>由承包人承担。</w:t>
      </w:r>
    </w:p>
    <w:p w14:paraId="56821A60">
      <w:pPr>
        <w:spacing w:before="116" w:line="219" w:lineRule="auto"/>
        <w:ind w:left="378"/>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补充第4.12款、第4.13款：</w:t>
      </w:r>
    </w:p>
    <w:p w14:paraId="47B14A43">
      <w:pPr>
        <w:spacing w:before="293" w:line="221" w:lineRule="auto"/>
        <w:ind w:left="38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4.12投标文件的完备性</w:t>
      </w:r>
    </w:p>
    <w:p w14:paraId="71727C33">
      <w:pPr>
        <w:spacing w:before="138" w:line="315" w:lineRule="auto"/>
        <w:ind w:left="19" w:firstLine="359"/>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合同双方一致认为，承包人在递交投标文件前，对</w:t>
      </w:r>
      <w:r>
        <w:rPr>
          <w:rFonts w:hint="eastAsia" w:ascii="宋体" w:hAnsi="宋体" w:eastAsia="宋体" w:cs="宋体"/>
          <w:color w:val="auto"/>
          <w:spacing w:val="-12"/>
          <w:sz w:val="24"/>
          <w:szCs w:val="24"/>
          <w:highlight w:val="none"/>
        </w:rPr>
        <w:t>本合同工程的投标文件和已标价工</w:t>
      </w:r>
      <w:r>
        <w:rPr>
          <w:rFonts w:hint="eastAsia" w:ascii="宋体" w:hAnsi="宋体" w:eastAsia="宋体" w:cs="宋体"/>
          <w:color w:val="auto"/>
          <w:spacing w:val="-8"/>
          <w:sz w:val="24"/>
          <w:szCs w:val="24"/>
          <w:highlight w:val="none"/>
        </w:rPr>
        <w:t>程量清单中开列的单价和总额价已查明是正确的和完备的。投标的单价和总额价应已包</w:t>
      </w:r>
      <w:r>
        <w:rPr>
          <w:rFonts w:hint="eastAsia" w:ascii="宋体" w:hAnsi="宋体" w:eastAsia="宋体" w:cs="宋体"/>
          <w:color w:val="auto"/>
          <w:spacing w:val="-12"/>
          <w:sz w:val="24"/>
          <w:szCs w:val="24"/>
          <w:highlight w:val="none"/>
        </w:rPr>
        <w:t>括</w:t>
      </w:r>
      <w:r>
        <w:rPr>
          <w:rFonts w:hint="eastAsia" w:ascii="宋体" w:hAnsi="宋体" w:eastAsia="宋体" w:cs="宋体"/>
          <w:color w:val="auto"/>
          <w:spacing w:val="-11"/>
          <w:sz w:val="24"/>
          <w:szCs w:val="24"/>
          <w:highlight w:val="none"/>
        </w:rPr>
        <w:t>了合同中规定的承包人的全部义务(包括提供货物、材料、设备、服务的义务，并包</w:t>
      </w:r>
      <w:r>
        <w:rPr>
          <w:rFonts w:hint="eastAsia" w:ascii="宋体" w:hAnsi="宋体" w:eastAsia="宋体" w:cs="宋体"/>
          <w:color w:val="auto"/>
          <w:spacing w:val="-10"/>
          <w:sz w:val="24"/>
          <w:szCs w:val="24"/>
          <w:highlight w:val="none"/>
        </w:rPr>
        <w:t>括</w:t>
      </w:r>
      <w:r>
        <w:rPr>
          <w:rFonts w:hint="eastAsia" w:ascii="宋体" w:hAnsi="宋体" w:eastAsia="宋体" w:cs="宋体"/>
          <w:color w:val="auto"/>
          <w:spacing w:val="-5"/>
          <w:sz w:val="24"/>
          <w:szCs w:val="24"/>
          <w:highlight w:val="none"/>
        </w:rPr>
        <w:t>了暂列金额和暂估价范围内的额外工作的义务)以及为实施和完成本合同工程及其缺陷</w:t>
      </w:r>
      <w:r>
        <w:rPr>
          <w:rFonts w:hint="eastAsia" w:ascii="宋体" w:hAnsi="宋体" w:eastAsia="宋体" w:cs="宋体"/>
          <w:color w:val="auto"/>
          <w:spacing w:val="-10"/>
          <w:sz w:val="24"/>
          <w:szCs w:val="24"/>
          <w:highlight w:val="none"/>
        </w:rPr>
        <w:t>修复所必需的一切工作和条件。</w:t>
      </w:r>
    </w:p>
    <w:p w14:paraId="13D4D142">
      <w:pPr>
        <w:spacing w:before="162" w:line="222" w:lineRule="auto"/>
        <w:ind w:left="38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4.13开展党建工作要求</w:t>
      </w:r>
    </w:p>
    <w:p w14:paraId="680DD10C">
      <w:pPr>
        <w:spacing w:before="140" w:line="315" w:lineRule="auto"/>
        <w:ind w:left="20" w:firstLine="356"/>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对于政府投资的国家高速公路项目，或承包人为国有控股或</w:t>
      </w:r>
      <w:r>
        <w:rPr>
          <w:rFonts w:hint="eastAsia" w:ascii="宋体" w:hAnsi="宋体" w:eastAsia="宋体" w:cs="宋体"/>
          <w:color w:val="auto"/>
          <w:spacing w:val="-12"/>
          <w:sz w:val="24"/>
          <w:szCs w:val="24"/>
          <w:highlight w:val="none"/>
        </w:rPr>
        <w:t>参股企业的，承包人应按</w:t>
      </w:r>
      <w:r>
        <w:rPr>
          <w:rFonts w:hint="eastAsia" w:ascii="宋体" w:hAnsi="宋体" w:eastAsia="宋体" w:cs="宋体"/>
          <w:color w:val="auto"/>
          <w:spacing w:val="-8"/>
          <w:sz w:val="24"/>
          <w:szCs w:val="24"/>
          <w:highlight w:val="none"/>
        </w:rPr>
        <w:t>规定在项目现场设立基层党组织。不满足上述情形的，承包人应创造条件使党员能够参</w:t>
      </w:r>
      <w:r>
        <w:rPr>
          <w:rFonts w:hint="eastAsia" w:ascii="宋体" w:hAnsi="宋体" w:eastAsia="宋体" w:cs="宋体"/>
          <w:color w:val="auto"/>
          <w:spacing w:val="-10"/>
          <w:sz w:val="24"/>
          <w:szCs w:val="24"/>
          <w:highlight w:val="none"/>
        </w:rPr>
        <w:t>加党组织生活并接受相应管理。</w:t>
      </w:r>
    </w:p>
    <w:p w14:paraId="0620B0DA">
      <w:pPr>
        <w:spacing w:before="115" w:line="316" w:lineRule="auto"/>
        <w:ind w:left="22" w:firstLine="355"/>
        <w:jc w:val="both"/>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承包人在项目现场设立基层党组织的，应明确党组织机构</w:t>
      </w:r>
      <w:r>
        <w:rPr>
          <w:rFonts w:hint="eastAsia" w:ascii="宋体" w:hAnsi="宋体" w:eastAsia="宋体" w:cs="宋体"/>
          <w:color w:val="auto"/>
          <w:spacing w:val="-12"/>
          <w:sz w:val="24"/>
          <w:szCs w:val="24"/>
          <w:highlight w:val="none"/>
        </w:rPr>
        <w:t>设置、党组织负责人及党务</w:t>
      </w:r>
      <w:r>
        <w:rPr>
          <w:rFonts w:hint="eastAsia" w:ascii="宋体" w:hAnsi="宋体" w:eastAsia="宋体" w:cs="宋体"/>
          <w:color w:val="auto"/>
          <w:spacing w:val="-8"/>
          <w:sz w:val="24"/>
          <w:szCs w:val="24"/>
          <w:highlight w:val="none"/>
        </w:rPr>
        <w:t>工作人员配备情况，编制党务工作开展预案，并按照预案要求在项目实施过程中同步开</w:t>
      </w:r>
      <w:r>
        <w:rPr>
          <w:rFonts w:hint="eastAsia" w:ascii="宋体" w:hAnsi="宋体" w:eastAsia="宋体" w:cs="宋体"/>
          <w:color w:val="auto"/>
          <w:spacing w:val="-10"/>
          <w:sz w:val="24"/>
          <w:szCs w:val="24"/>
          <w:highlight w:val="none"/>
        </w:rPr>
        <w:t>展党务工作，充分发挥基层党组织在项目实施中的作用。</w:t>
      </w:r>
    </w:p>
    <w:p w14:paraId="1424B131">
      <w:pPr>
        <w:pStyle w:val="4"/>
        <w:spacing w:line="297" w:lineRule="auto"/>
        <w:rPr>
          <w:rFonts w:hint="eastAsia" w:ascii="宋体" w:hAnsi="宋体" w:eastAsia="宋体" w:cs="宋体"/>
          <w:color w:val="auto"/>
          <w:highlight w:val="none"/>
        </w:rPr>
      </w:pPr>
    </w:p>
    <w:p w14:paraId="09F0783E">
      <w:pPr>
        <w:spacing w:before="92" w:line="222" w:lineRule="auto"/>
        <w:ind w:left="454"/>
        <w:outlineLvl w:val="2"/>
        <w:rPr>
          <w:rFonts w:hint="eastAsia" w:ascii="宋体" w:hAnsi="宋体" w:eastAsia="宋体" w:cs="宋体"/>
          <w:color w:val="auto"/>
          <w:sz w:val="28"/>
          <w:szCs w:val="28"/>
          <w:highlight w:val="none"/>
        </w:rPr>
      </w:pPr>
      <w:bookmarkStart w:id="596" w:name="_Toc30400"/>
      <w:bookmarkStart w:id="597" w:name="_Toc3226"/>
      <w:bookmarkStart w:id="598" w:name="_Toc21529"/>
      <w:bookmarkStart w:id="599" w:name="_Toc28216"/>
      <w:bookmarkStart w:id="600" w:name="_Toc30511"/>
      <w:r>
        <w:rPr>
          <w:rFonts w:hint="eastAsia" w:ascii="宋体" w:hAnsi="宋体" w:eastAsia="宋体" w:cs="宋体"/>
          <w:color w:val="auto"/>
          <w:spacing w:val="-3"/>
          <w:sz w:val="28"/>
          <w:szCs w:val="28"/>
          <w:highlight w:val="none"/>
        </w:rPr>
        <w:t>5.材料和工程设备</w:t>
      </w:r>
      <w:bookmarkEnd w:id="596"/>
      <w:bookmarkEnd w:id="597"/>
      <w:bookmarkEnd w:id="598"/>
      <w:bookmarkEnd w:id="599"/>
      <w:bookmarkEnd w:id="600"/>
    </w:p>
    <w:p w14:paraId="003BA78C">
      <w:pPr>
        <w:spacing w:line="222" w:lineRule="auto"/>
        <w:rPr>
          <w:rFonts w:hint="eastAsia" w:ascii="宋体" w:hAnsi="宋体" w:eastAsia="宋体" w:cs="宋体"/>
          <w:color w:val="auto"/>
          <w:sz w:val="28"/>
          <w:szCs w:val="28"/>
          <w:highlight w:val="none"/>
        </w:rPr>
        <w:sectPr>
          <w:headerReference r:id="rId151" w:type="default"/>
          <w:footerReference r:id="rId152" w:type="default"/>
          <w:pgSz w:w="11907" w:h="16840"/>
          <w:pgMar w:top="1182" w:right="1279" w:bottom="1014" w:left="1786" w:header="849" w:footer="852" w:gutter="0"/>
          <w:pgNumType w:fmt="decimal"/>
          <w:cols w:space="720" w:num="1"/>
        </w:sectPr>
      </w:pPr>
    </w:p>
    <w:p w14:paraId="4A7D068B">
      <w:pPr>
        <w:pStyle w:val="4"/>
        <w:spacing w:line="273" w:lineRule="auto"/>
        <w:rPr>
          <w:rFonts w:hint="eastAsia" w:ascii="宋体" w:hAnsi="宋体" w:eastAsia="宋体" w:cs="宋体"/>
          <w:color w:val="auto"/>
          <w:highlight w:val="none"/>
        </w:rPr>
      </w:pPr>
    </w:p>
    <w:p w14:paraId="4CF28D20">
      <w:pPr>
        <w:pStyle w:val="4"/>
        <w:spacing w:line="274" w:lineRule="auto"/>
        <w:rPr>
          <w:rFonts w:hint="eastAsia" w:ascii="宋体" w:hAnsi="宋体" w:eastAsia="宋体" w:cs="宋体"/>
          <w:color w:val="auto"/>
          <w:highlight w:val="none"/>
        </w:rPr>
      </w:pPr>
    </w:p>
    <w:p w14:paraId="774816BB">
      <w:pPr>
        <w:spacing w:before="78" w:line="221" w:lineRule="auto"/>
        <w:ind w:left="39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5.2发包人提供的材料和工程设备</w:t>
      </w:r>
    </w:p>
    <w:p w14:paraId="3CB90AF7">
      <w:pPr>
        <w:pStyle w:val="4"/>
        <w:spacing w:line="298" w:lineRule="auto"/>
        <w:rPr>
          <w:rFonts w:hint="eastAsia" w:ascii="宋体" w:hAnsi="宋体" w:eastAsia="宋体" w:cs="宋体"/>
          <w:color w:val="auto"/>
          <w:highlight w:val="none"/>
        </w:rPr>
      </w:pPr>
    </w:p>
    <w:p w14:paraId="048F4065">
      <w:pPr>
        <w:spacing w:before="78" w:line="219" w:lineRule="auto"/>
        <w:ind w:left="383"/>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第5.2.3项补充：</w:t>
      </w:r>
    </w:p>
    <w:p w14:paraId="0A1FB633">
      <w:pPr>
        <w:spacing w:before="141" w:line="315" w:lineRule="auto"/>
        <w:ind w:left="20" w:firstLine="357"/>
        <w:jc w:val="both"/>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承</w:t>
      </w:r>
      <w:r>
        <w:rPr>
          <w:rFonts w:hint="eastAsia" w:ascii="宋体" w:hAnsi="宋体" w:eastAsia="宋体" w:cs="宋体"/>
          <w:color w:val="auto"/>
          <w:spacing w:val="-11"/>
          <w:sz w:val="24"/>
          <w:szCs w:val="24"/>
          <w:highlight w:val="none"/>
        </w:rPr>
        <w:t>包人负责接收并按规定对材料进行抽样检验和对工</w:t>
      </w:r>
      <w:r>
        <w:rPr>
          <w:rFonts w:hint="eastAsia" w:ascii="宋体" w:hAnsi="宋体" w:eastAsia="宋体" w:cs="宋体"/>
          <w:color w:val="auto"/>
          <w:spacing w:val="-12"/>
          <w:sz w:val="24"/>
          <w:szCs w:val="24"/>
          <w:highlight w:val="none"/>
        </w:rPr>
        <w:t>程设备进行检验测试，若发现</w:t>
      </w:r>
      <w:r>
        <w:rPr>
          <w:rFonts w:hint="eastAsia" w:ascii="宋体" w:hAnsi="宋体" w:eastAsia="宋体" w:cs="宋体"/>
          <w:color w:val="auto"/>
          <w:spacing w:val="-11"/>
          <w:sz w:val="24"/>
          <w:szCs w:val="24"/>
          <w:highlight w:val="none"/>
        </w:rPr>
        <w:t>材</w:t>
      </w:r>
      <w:r>
        <w:rPr>
          <w:rFonts w:hint="eastAsia" w:ascii="宋体" w:hAnsi="宋体" w:eastAsia="宋体" w:cs="宋体"/>
          <w:color w:val="auto"/>
          <w:spacing w:val="-8"/>
          <w:sz w:val="24"/>
          <w:szCs w:val="24"/>
          <w:highlight w:val="none"/>
        </w:rPr>
        <w:t>料和工程设备存在缺陷，承包人应及时通知监理人，发包人应及时改正通知中指出的缺陷。承包人负责接收后的运输和保管，因承包人的原因发生丢失、损坏或进度拖延，由</w:t>
      </w:r>
      <w:r>
        <w:rPr>
          <w:rFonts w:hint="eastAsia" w:ascii="宋体" w:hAnsi="宋体" w:eastAsia="宋体" w:cs="宋体"/>
          <w:color w:val="auto"/>
          <w:spacing w:val="-9"/>
          <w:sz w:val="24"/>
          <w:szCs w:val="24"/>
          <w:highlight w:val="none"/>
        </w:rPr>
        <w:t>承包人承担相应责任。</w:t>
      </w:r>
    </w:p>
    <w:p w14:paraId="447B39DD">
      <w:pPr>
        <w:spacing w:before="79" w:line="222" w:lineRule="auto"/>
        <w:ind w:left="453"/>
        <w:outlineLvl w:val="2"/>
        <w:rPr>
          <w:rFonts w:hint="eastAsia" w:ascii="宋体" w:hAnsi="宋体" w:eastAsia="宋体" w:cs="宋体"/>
          <w:color w:val="auto"/>
          <w:sz w:val="28"/>
          <w:szCs w:val="28"/>
          <w:highlight w:val="none"/>
        </w:rPr>
      </w:pPr>
      <w:bookmarkStart w:id="601" w:name="_Toc20436"/>
      <w:bookmarkStart w:id="602" w:name="_Toc20059"/>
      <w:bookmarkStart w:id="603" w:name="_Toc21686"/>
      <w:bookmarkStart w:id="604" w:name="_Toc3911"/>
      <w:bookmarkStart w:id="605" w:name="_Toc9589"/>
      <w:r>
        <w:rPr>
          <w:rFonts w:hint="eastAsia" w:ascii="宋体" w:hAnsi="宋体" w:eastAsia="宋体" w:cs="宋体"/>
          <w:color w:val="auto"/>
          <w:spacing w:val="-4"/>
          <w:sz w:val="28"/>
          <w:szCs w:val="28"/>
          <w:highlight w:val="none"/>
        </w:rPr>
        <w:t>6.施工设备和临时设施</w:t>
      </w:r>
      <w:bookmarkEnd w:id="601"/>
      <w:bookmarkEnd w:id="602"/>
      <w:bookmarkEnd w:id="603"/>
      <w:bookmarkEnd w:id="604"/>
      <w:bookmarkEnd w:id="605"/>
    </w:p>
    <w:p w14:paraId="79EBE8DD">
      <w:pPr>
        <w:pStyle w:val="4"/>
        <w:spacing w:line="270" w:lineRule="auto"/>
        <w:rPr>
          <w:rFonts w:hint="eastAsia" w:ascii="宋体" w:hAnsi="宋体" w:eastAsia="宋体" w:cs="宋体"/>
          <w:color w:val="auto"/>
          <w:highlight w:val="none"/>
        </w:rPr>
      </w:pPr>
    </w:p>
    <w:p w14:paraId="4DC08971">
      <w:pPr>
        <w:spacing w:before="78" w:line="222" w:lineRule="auto"/>
        <w:ind w:left="3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6.1承包人提供的施工设备和临时设施</w:t>
      </w:r>
    </w:p>
    <w:p w14:paraId="6A1AAB37">
      <w:pPr>
        <w:pStyle w:val="4"/>
        <w:spacing w:line="297" w:lineRule="auto"/>
        <w:rPr>
          <w:rFonts w:hint="eastAsia" w:ascii="宋体" w:hAnsi="宋体" w:eastAsia="宋体" w:cs="宋体"/>
          <w:color w:val="auto"/>
          <w:highlight w:val="none"/>
        </w:rPr>
      </w:pPr>
    </w:p>
    <w:p w14:paraId="3B06C3F6">
      <w:pPr>
        <w:spacing w:before="78" w:line="219" w:lineRule="auto"/>
        <w:ind w:left="383"/>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第6.1.2项约定为：</w:t>
      </w:r>
    </w:p>
    <w:p w14:paraId="2B3771AD">
      <w:pPr>
        <w:spacing w:before="140" w:line="316" w:lineRule="auto"/>
        <w:ind w:left="24" w:right="2" w:firstLine="353"/>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承包人应自行承担修建临时设施的费用，需</w:t>
      </w:r>
      <w:r>
        <w:rPr>
          <w:rFonts w:hint="eastAsia" w:ascii="宋体" w:hAnsi="宋体" w:eastAsia="宋体" w:cs="宋体"/>
          <w:color w:val="auto"/>
          <w:spacing w:val="-8"/>
          <w:sz w:val="24"/>
          <w:szCs w:val="24"/>
          <w:highlight w:val="none"/>
        </w:rPr>
        <w:t>要临时占地的，应由承包人按第4.1.10</w:t>
      </w:r>
      <w:r>
        <w:rPr>
          <w:rFonts w:hint="eastAsia" w:ascii="宋体" w:hAnsi="宋体" w:eastAsia="宋体" w:cs="宋体"/>
          <w:color w:val="auto"/>
          <w:spacing w:val="-9"/>
          <w:sz w:val="24"/>
          <w:szCs w:val="24"/>
          <w:highlight w:val="none"/>
        </w:rPr>
        <w:t>项(1)目的规定办理。</w:t>
      </w:r>
    </w:p>
    <w:p w14:paraId="38CB0494">
      <w:pPr>
        <w:spacing w:before="164" w:line="222" w:lineRule="auto"/>
        <w:ind w:left="3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6.3要求承包人增加或更换施工设备</w:t>
      </w:r>
    </w:p>
    <w:p w14:paraId="2DDC0DC7">
      <w:pPr>
        <w:pStyle w:val="4"/>
        <w:spacing w:line="360" w:lineRule="auto"/>
        <w:rPr>
          <w:rFonts w:hint="eastAsia" w:ascii="宋体" w:hAnsi="宋体" w:eastAsia="宋体" w:cs="宋体"/>
          <w:color w:val="auto"/>
          <w:highlight w:val="none"/>
        </w:rPr>
      </w:pPr>
    </w:p>
    <w:p w14:paraId="6E5CE10C">
      <w:pPr>
        <w:spacing w:before="79" w:line="219" w:lineRule="auto"/>
        <w:ind w:left="37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本款细化为：</w:t>
      </w:r>
    </w:p>
    <w:p w14:paraId="02AAB2ED">
      <w:pPr>
        <w:spacing w:before="241" w:line="316" w:lineRule="auto"/>
        <w:ind w:left="20" w:firstLine="357"/>
        <w:jc w:val="both"/>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承</w:t>
      </w:r>
      <w:r>
        <w:rPr>
          <w:rFonts w:hint="eastAsia" w:ascii="宋体" w:hAnsi="宋体" w:eastAsia="宋体" w:cs="宋体"/>
          <w:color w:val="auto"/>
          <w:spacing w:val="-11"/>
          <w:sz w:val="24"/>
          <w:szCs w:val="24"/>
          <w:highlight w:val="none"/>
        </w:rPr>
        <w:t>包人承诺的施工设备必须按时到达现场，不得拖延、缺</w:t>
      </w:r>
      <w:r>
        <w:rPr>
          <w:rFonts w:hint="eastAsia" w:ascii="宋体" w:hAnsi="宋体" w:eastAsia="宋体" w:cs="宋体"/>
          <w:color w:val="auto"/>
          <w:spacing w:val="-12"/>
          <w:sz w:val="24"/>
          <w:szCs w:val="24"/>
          <w:highlight w:val="none"/>
        </w:rPr>
        <w:t>短或任意更换。尽管承包</w:t>
      </w:r>
      <w:r>
        <w:rPr>
          <w:rFonts w:hint="eastAsia" w:ascii="宋体" w:hAnsi="宋体" w:eastAsia="宋体" w:cs="宋体"/>
          <w:color w:val="auto"/>
          <w:spacing w:val="-11"/>
          <w:sz w:val="24"/>
          <w:szCs w:val="24"/>
          <w:highlight w:val="none"/>
        </w:rPr>
        <w:t>人</w:t>
      </w:r>
      <w:r>
        <w:rPr>
          <w:rFonts w:hint="eastAsia" w:ascii="宋体" w:hAnsi="宋体" w:eastAsia="宋体" w:cs="宋体"/>
          <w:color w:val="auto"/>
          <w:spacing w:val="-8"/>
          <w:sz w:val="24"/>
          <w:szCs w:val="24"/>
          <w:highlight w:val="none"/>
        </w:rPr>
        <w:t>已按承诺提供了上述设备，但若承包人使用的施工设备不能满足合同进度计划和(或)质</w:t>
      </w:r>
      <w:r>
        <w:rPr>
          <w:rFonts w:hint="eastAsia" w:ascii="宋体" w:hAnsi="宋体" w:eastAsia="宋体" w:cs="宋体"/>
          <w:color w:val="auto"/>
          <w:spacing w:val="-11"/>
          <w:sz w:val="24"/>
          <w:szCs w:val="24"/>
          <w:highlight w:val="none"/>
        </w:rPr>
        <w:t>量要求时，监理人有权要求承包人增加或更换施工设备，承包人应及时增加或更换，由</w:t>
      </w:r>
      <w:r>
        <w:rPr>
          <w:rFonts w:hint="eastAsia" w:ascii="宋体" w:hAnsi="宋体" w:eastAsia="宋体" w:cs="宋体"/>
          <w:color w:val="auto"/>
          <w:spacing w:val="-10"/>
          <w:sz w:val="24"/>
          <w:szCs w:val="24"/>
          <w:highlight w:val="none"/>
        </w:rPr>
        <w:t>此增加的费用和(或)工期延误由承包人承担。</w:t>
      </w:r>
    </w:p>
    <w:p w14:paraId="240A0C32">
      <w:pPr>
        <w:pStyle w:val="4"/>
        <w:spacing w:line="290" w:lineRule="auto"/>
        <w:rPr>
          <w:rFonts w:hint="eastAsia" w:ascii="宋体" w:hAnsi="宋体" w:eastAsia="宋体" w:cs="宋体"/>
          <w:color w:val="auto"/>
          <w:highlight w:val="none"/>
        </w:rPr>
      </w:pPr>
    </w:p>
    <w:p w14:paraId="3EFC59E9">
      <w:pPr>
        <w:spacing w:before="92" w:line="222" w:lineRule="auto"/>
        <w:ind w:left="456"/>
        <w:outlineLvl w:val="2"/>
        <w:rPr>
          <w:rFonts w:hint="eastAsia" w:ascii="宋体" w:hAnsi="宋体" w:eastAsia="宋体" w:cs="宋体"/>
          <w:color w:val="auto"/>
          <w:sz w:val="28"/>
          <w:szCs w:val="28"/>
          <w:highlight w:val="none"/>
        </w:rPr>
      </w:pPr>
      <w:bookmarkStart w:id="606" w:name="_Toc14873"/>
      <w:bookmarkStart w:id="607" w:name="_Toc31074"/>
      <w:bookmarkStart w:id="608" w:name="_Toc22435"/>
      <w:bookmarkStart w:id="609" w:name="_Toc24661"/>
      <w:bookmarkStart w:id="610" w:name="_Toc18290"/>
      <w:r>
        <w:rPr>
          <w:rFonts w:hint="eastAsia" w:ascii="宋体" w:hAnsi="宋体" w:eastAsia="宋体" w:cs="宋体"/>
          <w:color w:val="auto"/>
          <w:spacing w:val="-5"/>
          <w:sz w:val="28"/>
          <w:szCs w:val="28"/>
          <w:highlight w:val="none"/>
        </w:rPr>
        <w:t>7.交通运输</w:t>
      </w:r>
      <w:bookmarkEnd w:id="606"/>
      <w:bookmarkEnd w:id="607"/>
      <w:bookmarkEnd w:id="608"/>
      <w:bookmarkEnd w:id="609"/>
      <w:bookmarkEnd w:id="610"/>
    </w:p>
    <w:p w14:paraId="7F956364">
      <w:pPr>
        <w:pStyle w:val="4"/>
        <w:spacing w:line="270" w:lineRule="auto"/>
        <w:rPr>
          <w:rFonts w:hint="eastAsia" w:ascii="宋体" w:hAnsi="宋体" w:eastAsia="宋体" w:cs="宋体"/>
          <w:color w:val="auto"/>
          <w:highlight w:val="none"/>
        </w:rPr>
      </w:pPr>
    </w:p>
    <w:p w14:paraId="786CC229">
      <w:pPr>
        <w:spacing w:before="79" w:line="222" w:lineRule="auto"/>
        <w:ind w:left="39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7.1道路通行权和场外设施</w:t>
      </w:r>
    </w:p>
    <w:p w14:paraId="2791C22D">
      <w:pPr>
        <w:pStyle w:val="4"/>
        <w:spacing w:line="358" w:lineRule="auto"/>
        <w:rPr>
          <w:rFonts w:hint="eastAsia" w:ascii="宋体" w:hAnsi="宋体" w:eastAsia="宋体" w:cs="宋体"/>
          <w:color w:val="auto"/>
          <w:highlight w:val="none"/>
        </w:rPr>
      </w:pPr>
    </w:p>
    <w:p w14:paraId="339E2E0F">
      <w:pPr>
        <w:spacing w:before="78" w:line="219" w:lineRule="auto"/>
        <w:ind w:left="37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本款约定为：</w:t>
      </w:r>
    </w:p>
    <w:p w14:paraId="681509F6">
      <w:pPr>
        <w:spacing w:before="247" w:line="315" w:lineRule="auto"/>
        <w:ind w:left="20" w:firstLine="357"/>
        <w:jc w:val="both"/>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承包人应根据合同工程的施工需要，负责办理取得出入施</w:t>
      </w:r>
      <w:r>
        <w:rPr>
          <w:rFonts w:hint="eastAsia" w:ascii="宋体" w:hAnsi="宋体" w:eastAsia="宋体" w:cs="宋体"/>
          <w:color w:val="auto"/>
          <w:spacing w:val="-12"/>
          <w:sz w:val="24"/>
          <w:szCs w:val="24"/>
          <w:highlight w:val="none"/>
        </w:rPr>
        <w:t>工场地的专用和临时道路的</w:t>
      </w:r>
      <w:r>
        <w:rPr>
          <w:rFonts w:hint="eastAsia" w:ascii="宋体" w:hAnsi="宋体" w:eastAsia="宋体" w:cs="宋体"/>
          <w:color w:val="auto"/>
          <w:spacing w:val="-8"/>
          <w:sz w:val="24"/>
          <w:szCs w:val="24"/>
          <w:highlight w:val="none"/>
        </w:rPr>
        <w:t>通行权，以及取得为工程建设所需修建场外设施的权利，并承担有关费用。需要发包人</w:t>
      </w:r>
      <w:r>
        <w:rPr>
          <w:rFonts w:hint="eastAsia" w:ascii="宋体" w:hAnsi="宋体" w:eastAsia="宋体" w:cs="宋体"/>
          <w:color w:val="auto"/>
          <w:spacing w:val="-10"/>
          <w:sz w:val="24"/>
          <w:szCs w:val="24"/>
          <w:highlight w:val="none"/>
        </w:rPr>
        <w:t>协调时，发包人应协助承包人办理相关手续。</w:t>
      </w:r>
    </w:p>
    <w:p w14:paraId="2531114B">
      <w:pPr>
        <w:pStyle w:val="4"/>
        <w:spacing w:line="291" w:lineRule="auto"/>
        <w:rPr>
          <w:rFonts w:hint="eastAsia" w:ascii="宋体" w:hAnsi="宋体" w:eastAsia="宋体" w:cs="宋体"/>
          <w:color w:val="auto"/>
          <w:highlight w:val="none"/>
        </w:rPr>
      </w:pPr>
    </w:p>
    <w:p w14:paraId="77BBD9B4">
      <w:pPr>
        <w:spacing w:before="92" w:line="220" w:lineRule="auto"/>
        <w:ind w:left="458"/>
        <w:outlineLvl w:val="2"/>
        <w:rPr>
          <w:rFonts w:hint="eastAsia" w:ascii="宋体" w:hAnsi="宋体" w:eastAsia="宋体" w:cs="宋体"/>
          <w:color w:val="auto"/>
          <w:sz w:val="28"/>
          <w:szCs w:val="28"/>
          <w:highlight w:val="none"/>
        </w:rPr>
      </w:pPr>
      <w:bookmarkStart w:id="611" w:name="_Toc19910"/>
      <w:bookmarkStart w:id="612" w:name="_Toc4764"/>
      <w:bookmarkStart w:id="613" w:name="_Toc21512"/>
      <w:bookmarkStart w:id="614" w:name="_Toc1601"/>
      <w:bookmarkStart w:id="615" w:name="_Toc8665"/>
      <w:r>
        <w:rPr>
          <w:rFonts w:hint="eastAsia" w:ascii="宋体" w:hAnsi="宋体" w:eastAsia="宋体" w:cs="宋体"/>
          <w:color w:val="auto"/>
          <w:spacing w:val="-4"/>
          <w:sz w:val="28"/>
          <w:szCs w:val="28"/>
          <w:highlight w:val="none"/>
        </w:rPr>
        <w:t>8.测量放线</w:t>
      </w:r>
      <w:bookmarkEnd w:id="611"/>
      <w:bookmarkEnd w:id="612"/>
      <w:bookmarkEnd w:id="613"/>
      <w:bookmarkEnd w:id="614"/>
      <w:bookmarkEnd w:id="615"/>
    </w:p>
    <w:p w14:paraId="6BED88BB">
      <w:pPr>
        <w:pStyle w:val="4"/>
        <w:spacing w:line="278" w:lineRule="auto"/>
        <w:rPr>
          <w:rFonts w:hint="eastAsia" w:ascii="宋体" w:hAnsi="宋体" w:eastAsia="宋体" w:cs="宋体"/>
          <w:color w:val="auto"/>
          <w:highlight w:val="none"/>
        </w:rPr>
      </w:pPr>
    </w:p>
    <w:p w14:paraId="4AF6D01D">
      <w:pPr>
        <w:spacing w:before="79" w:line="222" w:lineRule="auto"/>
        <w:ind w:left="393"/>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8.4监理人使用施工控制网</w:t>
      </w:r>
    </w:p>
    <w:p w14:paraId="0CD7F03F">
      <w:pPr>
        <w:spacing w:line="222" w:lineRule="auto"/>
        <w:rPr>
          <w:rFonts w:hint="eastAsia" w:ascii="宋体" w:hAnsi="宋体" w:eastAsia="宋体" w:cs="宋体"/>
          <w:color w:val="auto"/>
          <w:sz w:val="24"/>
          <w:szCs w:val="24"/>
          <w:highlight w:val="none"/>
        </w:rPr>
        <w:sectPr>
          <w:headerReference r:id="rId153" w:type="default"/>
          <w:footerReference r:id="rId154" w:type="default"/>
          <w:pgSz w:w="11907" w:h="16840"/>
          <w:pgMar w:top="1182" w:right="1279" w:bottom="1014" w:left="1786" w:header="849" w:footer="852" w:gutter="0"/>
          <w:pgNumType w:fmt="decimal"/>
          <w:cols w:space="720" w:num="1"/>
        </w:sectPr>
      </w:pPr>
    </w:p>
    <w:p w14:paraId="598E07D1">
      <w:pPr>
        <w:pStyle w:val="4"/>
        <w:spacing w:line="315" w:lineRule="auto"/>
        <w:rPr>
          <w:rFonts w:hint="eastAsia" w:ascii="宋体" w:hAnsi="宋体" w:eastAsia="宋体" w:cs="宋体"/>
          <w:color w:val="auto"/>
          <w:highlight w:val="none"/>
        </w:rPr>
      </w:pPr>
    </w:p>
    <w:p w14:paraId="0AD14FF2">
      <w:pPr>
        <w:pStyle w:val="4"/>
        <w:spacing w:line="315" w:lineRule="auto"/>
        <w:rPr>
          <w:rFonts w:hint="eastAsia" w:ascii="宋体" w:hAnsi="宋体" w:eastAsia="宋体" w:cs="宋体"/>
          <w:color w:val="auto"/>
          <w:highlight w:val="none"/>
        </w:rPr>
      </w:pPr>
    </w:p>
    <w:p w14:paraId="48D7E0C6">
      <w:pPr>
        <w:spacing w:before="78" w:line="219" w:lineRule="auto"/>
        <w:ind w:left="37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本款补充：</w:t>
      </w:r>
    </w:p>
    <w:p w14:paraId="0CBFDF5B">
      <w:pPr>
        <w:spacing w:before="244" w:line="219" w:lineRule="auto"/>
        <w:ind w:left="380"/>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经监理人批准，其他相关承包人也可免费使用施工控制网。</w:t>
      </w:r>
    </w:p>
    <w:p w14:paraId="2CE612BD">
      <w:pPr>
        <w:pStyle w:val="4"/>
        <w:spacing w:line="314" w:lineRule="auto"/>
        <w:rPr>
          <w:rFonts w:hint="eastAsia" w:ascii="宋体" w:hAnsi="宋体" w:eastAsia="宋体" w:cs="宋体"/>
          <w:color w:val="auto"/>
          <w:highlight w:val="none"/>
        </w:rPr>
      </w:pPr>
    </w:p>
    <w:p w14:paraId="21F0820F">
      <w:pPr>
        <w:pStyle w:val="4"/>
        <w:spacing w:line="315" w:lineRule="auto"/>
        <w:rPr>
          <w:rFonts w:hint="eastAsia" w:ascii="宋体" w:hAnsi="宋体" w:eastAsia="宋体" w:cs="宋体"/>
          <w:color w:val="auto"/>
          <w:highlight w:val="none"/>
        </w:rPr>
      </w:pPr>
    </w:p>
    <w:p w14:paraId="62C81673">
      <w:pPr>
        <w:spacing w:before="91" w:line="222" w:lineRule="auto"/>
        <w:ind w:left="445"/>
        <w:outlineLvl w:val="2"/>
        <w:rPr>
          <w:rFonts w:hint="eastAsia" w:ascii="宋体" w:hAnsi="宋体" w:eastAsia="宋体" w:cs="宋体"/>
          <w:color w:val="auto"/>
          <w:sz w:val="28"/>
          <w:szCs w:val="28"/>
          <w:highlight w:val="none"/>
        </w:rPr>
      </w:pPr>
      <w:bookmarkStart w:id="616" w:name="_Toc1147"/>
      <w:bookmarkStart w:id="617" w:name="_Toc8643"/>
      <w:bookmarkStart w:id="618" w:name="_Toc14689"/>
      <w:bookmarkStart w:id="619" w:name="_Toc30081"/>
      <w:bookmarkStart w:id="620" w:name="_Toc23980"/>
      <w:r>
        <w:rPr>
          <w:rFonts w:hint="eastAsia" w:ascii="宋体" w:hAnsi="宋体" w:eastAsia="宋体" w:cs="宋体"/>
          <w:color w:val="auto"/>
          <w:spacing w:val="-5"/>
          <w:sz w:val="28"/>
          <w:szCs w:val="28"/>
          <w:highlight w:val="none"/>
        </w:rPr>
        <w:t>9.施工安全、治安保卫和环境保护</w:t>
      </w:r>
      <w:bookmarkEnd w:id="616"/>
      <w:bookmarkEnd w:id="617"/>
      <w:bookmarkEnd w:id="618"/>
      <w:bookmarkEnd w:id="619"/>
      <w:bookmarkEnd w:id="620"/>
    </w:p>
    <w:p w14:paraId="5BD1595D">
      <w:pPr>
        <w:pStyle w:val="4"/>
        <w:spacing w:line="271" w:lineRule="auto"/>
        <w:rPr>
          <w:rFonts w:hint="eastAsia" w:ascii="宋体" w:hAnsi="宋体" w:eastAsia="宋体" w:cs="宋体"/>
          <w:color w:val="auto"/>
          <w:highlight w:val="none"/>
        </w:rPr>
      </w:pPr>
    </w:p>
    <w:p w14:paraId="4FC86C6E">
      <w:pPr>
        <w:spacing w:before="78" w:line="221" w:lineRule="auto"/>
        <w:ind w:left="39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9.2承包人的施工安全责任</w:t>
      </w:r>
    </w:p>
    <w:p w14:paraId="36FE3C70">
      <w:pPr>
        <w:spacing w:before="140" w:line="219" w:lineRule="auto"/>
        <w:ind w:left="378"/>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第9.2.1项细化为：</w:t>
      </w:r>
    </w:p>
    <w:p w14:paraId="6721B8A2">
      <w:pPr>
        <w:spacing w:before="243" w:line="315" w:lineRule="auto"/>
        <w:ind w:left="21" w:firstLine="356"/>
        <w:jc w:val="both"/>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承</w:t>
      </w:r>
      <w:r>
        <w:rPr>
          <w:rFonts w:hint="eastAsia" w:ascii="宋体" w:hAnsi="宋体" w:eastAsia="宋体" w:cs="宋体"/>
          <w:color w:val="auto"/>
          <w:spacing w:val="-11"/>
          <w:sz w:val="24"/>
          <w:szCs w:val="24"/>
          <w:highlight w:val="none"/>
        </w:rPr>
        <w:t>包人应按合同约定履行安全职责，严格执行国家、地方</w:t>
      </w:r>
      <w:r>
        <w:rPr>
          <w:rFonts w:hint="eastAsia" w:ascii="宋体" w:hAnsi="宋体" w:eastAsia="宋体" w:cs="宋体"/>
          <w:color w:val="auto"/>
          <w:spacing w:val="-12"/>
          <w:sz w:val="24"/>
          <w:szCs w:val="24"/>
          <w:highlight w:val="none"/>
        </w:rPr>
        <w:t>政府有关施工安全管理方</w:t>
      </w:r>
      <w:r>
        <w:rPr>
          <w:rFonts w:hint="eastAsia" w:ascii="宋体" w:hAnsi="宋体" w:eastAsia="宋体" w:cs="宋体"/>
          <w:color w:val="auto"/>
          <w:spacing w:val="-11"/>
          <w:sz w:val="24"/>
          <w:szCs w:val="24"/>
          <w:highlight w:val="none"/>
        </w:rPr>
        <w:t>面</w:t>
      </w:r>
      <w:r>
        <w:rPr>
          <w:rFonts w:hint="eastAsia" w:ascii="宋体" w:hAnsi="宋体" w:eastAsia="宋体" w:cs="宋体"/>
          <w:color w:val="auto"/>
          <w:spacing w:val="-8"/>
          <w:sz w:val="24"/>
          <w:szCs w:val="24"/>
          <w:highlight w:val="none"/>
        </w:rPr>
        <w:t>的法律、法规及规章制度，同时严格执行发包人制订的本项目安全生产管理方面的规章</w:t>
      </w:r>
      <w:r>
        <w:rPr>
          <w:rFonts w:hint="eastAsia" w:ascii="宋体" w:hAnsi="宋体" w:eastAsia="宋体" w:cs="宋体"/>
          <w:color w:val="auto"/>
          <w:spacing w:val="-10"/>
          <w:sz w:val="24"/>
          <w:szCs w:val="24"/>
          <w:highlight w:val="none"/>
        </w:rPr>
        <w:t>制度、安全检查程序及施工安全管理要求，以及监理人有关安全工作的指示。</w:t>
      </w:r>
    </w:p>
    <w:p w14:paraId="6666765D">
      <w:pPr>
        <w:spacing w:before="115" w:line="315" w:lineRule="auto"/>
        <w:ind w:left="19" w:firstLine="358"/>
        <w:jc w:val="both"/>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承包人应根据本工程的实际安全施工要求，编制施工安全</w:t>
      </w:r>
      <w:r>
        <w:rPr>
          <w:rFonts w:hint="eastAsia" w:ascii="宋体" w:hAnsi="宋体" w:eastAsia="宋体" w:cs="宋体"/>
          <w:color w:val="auto"/>
          <w:spacing w:val="-12"/>
          <w:sz w:val="24"/>
          <w:szCs w:val="24"/>
          <w:highlight w:val="none"/>
        </w:rPr>
        <w:t>技术措施，并在签订合同协</w:t>
      </w:r>
      <w:r>
        <w:rPr>
          <w:rFonts w:hint="eastAsia" w:ascii="宋体" w:hAnsi="宋体" w:eastAsia="宋体" w:cs="宋体"/>
          <w:color w:val="auto"/>
          <w:spacing w:val="-9"/>
          <w:sz w:val="24"/>
          <w:szCs w:val="24"/>
          <w:highlight w:val="none"/>
        </w:rPr>
        <w:t>议书后28天内，报监理人和发包人批准。该施工安全技术措施包括(但不限于)施工</w:t>
      </w:r>
      <w:r>
        <w:rPr>
          <w:rFonts w:hint="eastAsia" w:ascii="宋体" w:hAnsi="宋体" w:eastAsia="宋体" w:cs="宋体"/>
          <w:color w:val="auto"/>
          <w:spacing w:val="-12"/>
          <w:sz w:val="24"/>
          <w:szCs w:val="24"/>
          <w:highlight w:val="none"/>
        </w:rPr>
        <w:t>安</w:t>
      </w:r>
      <w:r>
        <w:rPr>
          <w:rFonts w:hint="eastAsia" w:ascii="宋体" w:hAnsi="宋体" w:eastAsia="宋体" w:cs="宋体"/>
          <w:color w:val="auto"/>
          <w:spacing w:val="-11"/>
          <w:sz w:val="24"/>
          <w:szCs w:val="24"/>
          <w:highlight w:val="none"/>
        </w:rPr>
        <w:t>全保障体系，安全生产责任制，安全生产管理规章制度，安全防护施工方案，施工</w:t>
      </w:r>
      <w:r>
        <w:rPr>
          <w:rFonts w:hint="eastAsia" w:ascii="宋体" w:hAnsi="宋体" w:eastAsia="宋体" w:cs="宋体"/>
          <w:color w:val="auto"/>
          <w:spacing w:val="-10"/>
          <w:sz w:val="24"/>
          <w:szCs w:val="24"/>
          <w:highlight w:val="none"/>
        </w:rPr>
        <w:t>现</w:t>
      </w:r>
      <w:r>
        <w:rPr>
          <w:rFonts w:hint="eastAsia" w:ascii="宋体" w:hAnsi="宋体" w:eastAsia="宋体" w:cs="宋体"/>
          <w:color w:val="auto"/>
          <w:spacing w:val="-8"/>
          <w:sz w:val="24"/>
          <w:szCs w:val="24"/>
          <w:highlight w:val="none"/>
        </w:rPr>
        <w:t>场临时用电方案，施工安全评估，安全预控及保证措施方案，紧急应变措施，安全标识、警示和围护方案等。对影响安全的重要工序和下列危险性较大的工程应编制专项施工方案，并附安全验算结果，经承包人项目总工签字并报监理人和发包人批准后实施，</w:t>
      </w:r>
      <w:r>
        <w:rPr>
          <w:rFonts w:hint="eastAsia" w:ascii="宋体" w:hAnsi="宋体" w:eastAsia="宋体" w:cs="宋体"/>
          <w:color w:val="auto"/>
          <w:spacing w:val="-10"/>
          <w:sz w:val="24"/>
          <w:szCs w:val="24"/>
          <w:highlight w:val="none"/>
        </w:rPr>
        <w:t>由专职安全生产管理人员进行现场监督。</w:t>
      </w:r>
    </w:p>
    <w:p w14:paraId="5E7BF94A">
      <w:pPr>
        <w:spacing w:before="113" w:line="219" w:lineRule="auto"/>
        <w:ind w:left="379"/>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本项目需要编制专项施工方案的工程包括但不限于以下内容：</w:t>
      </w:r>
    </w:p>
    <w:p w14:paraId="6DC5C5B4">
      <w:pPr>
        <w:spacing w:before="244" w:line="219" w:lineRule="auto"/>
        <w:ind w:left="420"/>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(1)不良地质条件下有潜在危险性的土方、石方开挖；</w:t>
      </w:r>
    </w:p>
    <w:p w14:paraId="7521CE57">
      <w:pPr>
        <w:spacing w:before="243" w:line="219" w:lineRule="auto"/>
        <w:ind w:left="420"/>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(2)滑坡和高边坡处理；</w:t>
      </w:r>
    </w:p>
    <w:p w14:paraId="5528155E">
      <w:pPr>
        <w:spacing w:before="244" w:line="219" w:lineRule="auto"/>
        <w:ind w:left="420"/>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(3)桩基础、挡墙基础、深水基础及围堰工程；</w:t>
      </w:r>
    </w:p>
    <w:p w14:paraId="1ACFCC21">
      <w:pPr>
        <w:spacing w:before="245" w:line="219" w:lineRule="auto"/>
        <w:ind w:left="420"/>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(4)桥梁工程中的梁、拱、柱等构件施工等；</w:t>
      </w:r>
    </w:p>
    <w:p w14:paraId="1DF2042F">
      <w:pPr>
        <w:spacing w:before="244" w:line="219" w:lineRule="auto"/>
        <w:ind w:left="420"/>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(5)隧道工程中的不良地质隧道、高瓦斯隧道等；</w:t>
      </w:r>
    </w:p>
    <w:p w14:paraId="23F52BA3">
      <w:pPr>
        <w:spacing w:before="243" w:line="219" w:lineRule="auto"/>
        <w:ind w:left="420"/>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(6)水上工程中的打桩船作业、施工船作</w:t>
      </w:r>
      <w:r>
        <w:rPr>
          <w:rFonts w:hint="eastAsia" w:ascii="宋体" w:hAnsi="宋体" w:eastAsia="宋体" w:cs="宋体"/>
          <w:color w:val="auto"/>
          <w:spacing w:val="-11"/>
          <w:sz w:val="24"/>
          <w:szCs w:val="24"/>
          <w:highlight w:val="none"/>
        </w:rPr>
        <w:t>业、外海孤岛作业、边通航边施工作业等；</w:t>
      </w:r>
    </w:p>
    <w:p w14:paraId="587195FB">
      <w:pPr>
        <w:spacing w:before="243" w:line="218" w:lineRule="auto"/>
        <w:ind w:left="420"/>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(7)水下工程中的水下焊接、混凝土浇筑、爆破工程等；</w:t>
      </w:r>
    </w:p>
    <w:p w14:paraId="3D1E069C">
      <w:pPr>
        <w:spacing w:before="247" w:line="218" w:lineRule="auto"/>
        <w:ind w:left="420"/>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(8)爆破工程；</w:t>
      </w:r>
    </w:p>
    <w:p w14:paraId="2B740840">
      <w:pPr>
        <w:spacing w:before="243" w:line="267" w:lineRule="auto"/>
        <w:ind w:left="35" w:right="2" w:firstLine="385"/>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(9)大型临时工程中的大型支架、模板、便桥的架设与拆除；桥梁、码头的加固</w:t>
      </w:r>
      <w:r>
        <w:rPr>
          <w:rFonts w:hint="eastAsia" w:ascii="宋体" w:hAnsi="宋体" w:eastAsia="宋体" w:cs="宋体"/>
          <w:color w:val="auto"/>
          <w:spacing w:val="-10"/>
          <w:sz w:val="24"/>
          <w:szCs w:val="24"/>
          <w:highlight w:val="none"/>
        </w:rPr>
        <w:t>与拆</w:t>
      </w:r>
      <w:r>
        <w:rPr>
          <w:rFonts w:hint="eastAsia" w:ascii="宋体" w:hAnsi="宋体" w:eastAsia="宋体" w:cs="宋体"/>
          <w:color w:val="auto"/>
          <w:spacing w:val="-12"/>
          <w:sz w:val="24"/>
          <w:szCs w:val="24"/>
          <w:highlight w:val="none"/>
        </w:rPr>
        <w:t>除；</w:t>
      </w:r>
    </w:p>
    <w:p w14:paraId="1B895647">
      <w:pPr>
        <w:spacing w:before="246" w:line="220" w:lineRule="auto"/>
        <w:ind w:left="420"/>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(10)其他危险性较大的工程。</w:t>
      </w:r>
    </w:p>
    <w:p w14:paraId="5CDBD513">
      <w:pPr>
        <w:spacing w:line="220" w:lineRule="auto"/>
        <w:rPr>
          <w:rFonts w:hint="eastAsia" w:ascii="宋体" w:hAnsi="宋体" w:eastAsia="宋体" w:cs="宋体"/>
          <w:color w:val="auto"/>
          <w:sz w:val="24"/>
          <w:szCs w:val="24"/>
          <w:highlight w:val="none"/>
        </w:rPr>
        <w:sectPr>
          <w:footerReference r:id="rId155" w:type="default"/>
          <w:pgSz w:w="11907" w:h="16840"/>
          <w:pgMar w:top="1182" w:right="1279" w:bottom="1014" w:left="1786" w:header="849" w:footer="852" w:gutter="0"/>
          <w:pgNumType w:fmt="decimal"/>
          <w:cols w:space="720" w:num="1"/>
        </w:sectPr>
      </w:pPr>
    </w:p>
    <w:p w14:paraId="5B7C68F6">
      <w:pPr>
        <w:spacing w:before="292" w:line="316" w:lineRule="auto"/>
        <w:ind w:left="19" w:right="75" w:firstLine="35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监理人和发包人在检查中发现有安全问题或有违反安全管理规章制度的情</w:t>
      </w:r>
      <w:r>
        <w:rPr>
          <w:rFonts w:hint="eastAsia" w:ascii="宋体" w:hAnsi="宋体" w:eastAsia="宋体" w:cs="宋体"/>
          <w:color w:val="auto"/>
          <w:spacing w:val="-9"/>
          <w:sz w:val="24"/>
          <w:szCs w:val="24"/>
          <w:highlight w:val="none"/>
        </w:rPr>
        <w:t>况时，可视为承包人违约，应按第22.1款的规定办理。</w:t>
      </w:r>
    </w:p>
    <w:p w14:paraId="264CCAA8">
      <w:pPr>
        <w:spacing w:before="117" w:line="219" w:lineRule="auto"/>
        <w:ind w:left="378"/>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第9.2.5项细化为：</w:t>
      </w:r>
    </w:p>
    <w:p w14:paraId="74DC0246">
      <w:pPr>
        <w:spacing w:before="240" w:line="315" w:lineRule="auto"/>
        <w:ind w:left="21" w:firstLine="370"/>
        <w:jc w:val="both"/>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除项目专用合同条款另有约定外，安全生产费用应为投标价(不含安全生产费及建筑</w:t>
      </w:r>
      <w:r>
        <w:rPr>
          <w:rFonts w:hint="eastAsia" w:ascii="宋体" w:hAnsi="宋体" w:eastAsia="宋体" w:cs="宋体"/>
          <w:color w:val="auto"/>
          <w:spacing w:val="-10"/>
          <w:sz w:val="24"/>
          <w:szCs w:val="24"/>
          <w:highlight w:val="none"/>
        </w:rPr>
        <w:t>工程一切险及第三者责任险的保险费)的1.5%(若发包人公布了最高投标限价时，按</w:t>
      </w:r>
      <w:r>
        <w:rPr>
          <w:rFonts w:hint="eastAsia" w:ascii="宋体" w:hAnsi="宋体" w:eastAsia="宋体" w:cs="宋体"/>
          <w:color w:val="auto"/>
          <w:spacing w:val="-11"/>
          <w:sz w:val="24"/>
          <w:szCs w:val="24"/>
          <w:highlight w:val="none"/>
        </w:rPr>
        <w:t>最高投标限价的1.5%计)。安全生产费用应用于施工安全防护用具及设施的采</w:t>
      </w:r>
      <w:r>
        <w:rPr>
          <w:rFonts w:hint="eastAsia" w:ascii="宋体" w:hAnsi="宋体" w:eastAsia="宋体" w:cs="宋体"/>
          <w:color w:val="auto"/>
          <w:spacing w:val="-12"/>
          <w:sz w:val="24"/>
          <w:szCs w:val="24"/>
          <w:highlight w:val="none"/>
        </w:rPr>
        <w:t>购和更新、</w:t>
      </w:r>
      <w:r>
        <w:rPr>
          <w:rFonts w:hint="eastAsia" w:ascii="宋体" w:hAnsi="宋体" w:eastAsia="宋体" w:cs="宋体"/>
          <w:color w:val="auto"/>
          <w:spacing w:val="-8"/>
          <w:sz w:val="24"/>
          <w:szCs w:val="24"/>
          <w:highlight w:val="none"/>
        </w:rPr>
        <w:t>安全施工措施的落实、安全生产条件的改善，不得挪作他用。如承包人在此基础上增加安全生产费用以满足项目施工需要，则承包人应在本项目工程量清单其他相关子目的单价或总额价中予以考虑，发包人不再另行支付。因采取合同未约定的特殊防护措施增加</w:t>
      </w:r>
      <w:r>
        <w:rPr>
          <w:rFonts w:hint="eastAsia" w:ascii="宋体" w:hAnsi="宋体" w:eastAsia="宋体" w:cs="宋体"/>
          <w:color w:val="auto"/>
          <w:spacing w:val="-9"/>
          <w:sz w:val="24"/>
          <w:szCs w:val="24"/>
          <w:highlight w:val="none"/>
        </w:rPr>
        <w:t>的费用，由监理人按第3.5款商定或确定。</w:t>
      </w:r>
    </w:p>
    <w:p w14:paraId="7AF436A7">
      <w:pPr>
        <w:spacing w:before="113" w:line="219" w:lineRule="auto"/>
        <w:ind w:left="37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本款补充第9.2.8项~第9.2.11项：</w:t>
      </w:r>
    </w:p>
    <w:p w14:paraId="5AD163EB">
      <w:pPr>
        <w:spacing w:before="245" w:line="317" w:lineRule="auto"/>
        <w:ind w:left="21" w:right="90" w:firstLine="357"/>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9.2.8承包人应充分关注和保障所有在现场工作的人员的安全，采取以下有效措施，</w:t>
      </w:r>
      <w:r>
        <w:rPr>
          <w:rFonts w:hint="eastAsia" w:ascii="宋体" w:hAnsi="宋体" w:eastAsia="宋体" w:cs="宋体"/>
          <w:color w:val="auto"/>
          <w:spacing w:val="-10"/>
          <w:sz w:val="24"/>
          <w:szCs w:val="24"/>
          <w:highlight w:val="none"/>
        </w:rPr>
        <w:t>使现场和本合同工程的实施保持有条不紊，以免使上述人员的安全受到威胁。</w:t>
      </w:r>
    </w:p>
    <w:p w14:paraId="71F05E56">
      <w:pPr>
        <w:spacing w:before="112" w:line="267" w:lineRule="auto"/>
        <w:ind w:left="21" w:right="77" w:firstLine="398"/>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(1)按《公路水运工程安全生产监督管理办法》规定的最低数量和资质条件配备专职安全生产管理人员；</w:t>
      </w:r>
    </w:p>
    <w:p w14:paraId="2E7AE25F">
      <w:pPr>
        <w:spacing w:before="241" w:line="283" w:lineRule="auto"/>
        <w:ind w:left="21" w:right="77" w:firstLine="398"/>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(2)承包人的垂直运输机械作业人员、施工船舶作业人员、爆破作业人员、安装拆</w:t>
      </w:r>
      <w:r>
        <w:rPr>
          <w:rFonts w:hint="eastAsia" w:ascii="宋体" w:hAnsi="宋体" w:eastAsia="宋体" w:cs="宋体"/>
          <w:color w:val="auto"/>
          <w:spacing w:val="-8"/>
          <w:sz w:val="24"/>
          <w:szCs w:val="24"/>
          <w:highlight w:val="none"/>
        </w:rPr>
        <w:t>卸工、起重信号工、电工、焊工等国家规定的特种作业人员，必须按照国家规定经过</w:t>
      </w:r>
      <w:r>
        <w:rPr>
          <w:rFonts w:hint="eastAsia" w:ascii="宋体" w:hAnsi="宋体" w:eastAsia="宋体" w:cs="宋体"/>
          <w:color w:val="auto"/>
          <w:spacing w:val="-10"/>
          <w:sz w:val="24"/>
          <w:szCs w:val="24"/>
          <w:highlight w:val="none"/>
        </w:rPr>
        <w:t>专门的安全作业培训，并取得特种作业操作资格证书后，方可上岗作业；</w:t>
      </w:r>
    </w:p>
    <w:p w14:paraId="37EBE7DA">
      <w:pPr>
        <w:spacing w:before="244" w:line="219" w:lineRule="auto"/>
        <w:ind w:left="420"/>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(3)所有施工机具设备和高空作业设备均</w:t>
      </w:r>
      <w:r>
        <w:rPr>
          <w:rFonts w:hint="eastAsia" w:ascii="宋体" w:hAnsi="宋体" w:eastAsia="宋体" w:cs="宋体"/>
          <w:color w:val="auto"/>
          <w:spacing w:val="-11"/>
          <w:sz w:val="24"/>
          <w:szCs w:val="24"/>
          <w:highlight w:val="none"/>
        </w:rPr>
        <w:t>应定期检查，并有安全员的签字记录；</w:t>
      </w:r>
    </w:p>
    <w:p w14:paraId="3A3E5E10">
      <w:pPr>
        <w:spacing w:before="242" w:line="268" w:lineRule="auto"/>
        <w:ind w:left="23" w:right="77" w:firstLine="396"/>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(4)根据本合同各单位工程的施工特点，严格执行《公路水运工程安全生产监督管</w:t>
      </w:r>
      <w:r>
        <w:rPr>
          <w:rFonts w:hint="eastAsia" w:ascii="宋体" w:hAnsi="宋体" w:eastAsia="宋体" w:cs="宋体"/>
          <w:color w:val="auto"/>
          <w:spacing w:val="-10"/>
          <w:sz w:val="24"/>
          <w:szCs w:val="24"/>
          <w:highlight w:val="none"/>
        </w:rPr>
        <w:t>理办法》《公路工程施工安全技术规范》等有关规定。</w:t>
      </w:r>
    </w:p>
    <w:p w14:paraId="7DF28FBA">
      <w:pPr>
        <w:spacing w:before="243" w:line="282" w:lineRule="auto"/>
        <w:ind w:left="19" w:firstLine="35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9.2.9为了保护本合同工程免遭损坏，或为了现场附近和</w:t>
      </w:r>
      <w:r>
        <w:rPr>
          <w:rFonts w:hint="eastAsia" w:ascii="宋体" w:hAnsi="宋体" w:eastAsia="宋体" w:cs="宋体"/>
          <w:color w:val="auto"/>
          <w:spacing w:val="-10"/>
          <w:sz w:val="24"/>
          <w:szCs w:val="24"/>
          <w:highlight w:val="none"/>
        </w:rPr>
        <w:t>过往群众的安全与方便，</w:t>
      </w:r>
      <w:r>
        <w:rPr>
          <w:rFonts w:hint="eastAsia" w:ascii="宋体" w:hAnsi="宋体" w:eastAsia="宋体" w:cs="宋体"/>
          <w:color w:val="auto"/>
          <w:spacing w:val="-12"/>
          <w:sz w:val="24"/>
          <w:szCs w:val="24"/>
          <w:highlight w:val="none"/>
        </w:rPr>
        <w:t>在确有必要的时候和地方，或当监理人或有关主管部门要求时，承包人应自费提供照明、</w:t>
      </w:r>
      <w:r>
        <w:rPr>
          <w:rFonts w:hint="eastAsia" w:ascii="宋体" w:hAnsi="宋体" w:eastAsia="宋体" w:cs="宋体"/>
          <w:color w:val="auto"/>
          <w:spacing w:val="-10"/>
          <w:sz w:val="24"/>
          <w:szCs w:val="24"/>
          <w:highlight w:val="none"/>
        </w:rPr>
        <w:t>警卫、护栅、警告标志等安全防护设施。</w:t>
      </w:r>
    </w:p>
    <w:p w14:paraId="10176471">
      <w:pPr>
        <w:spacing w:before="244" w:line="266" w:lineRule="auto"/>
        <w:ind w:left="21" w:right="75" w:firstLine="357"/>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9.2.10在通航水域施工时，承包人应与当地主管部门取得</w:t>
      </w:r>
      <w:r>
        <w:rPr>
          <w:rFonts w:hint="eastAsia" w:ascii="宋体" w:hAnsi="宋体" w:eastAsia="宋体" w:cs="宋体"/>
          <w:color w:val="auto"/>
          <w:spacing w:val="-8"/>
          <w:sz w:val="24"/>
          <w:szCs w:val="24"/>
          <w:highlight w:val="none"/>
        </w:rPr>
        <w:t>联系，设置必要的导航</w:t>
      </w:r>
      <w:r>
        <w:rPr>
          <w:rFonts w:hint="eastAsia" w:ascii="宋体" w:hAnsi="宋体" w:eastAsia="宋体" w:cs="宋体"/>
          <w:color w:val="auto"/>
          <w:spacing w:val="-10"/>
          <w:sz w:val="24"/>
          <w:szCs w:val="24"/>
          <w:highlight w:val="none"/>
        </w:rPr>
        <w:t>标志，及时发布航行通告，确保施工水域安全。</w:t>
      </w:r>
    </w:p>
    <w:p w14:paraId="30ACB1B9">
      <w:pPr>
        <w:keepNext w:val="0"/>
        <w:keepLines w:val="0"/>
        <w:pageBreakBefore w:val="0"/>
        <w:widowControl/>
        <w:kinsoku w:val="0"/>
        <w:wordWrap/>
        <w:overflowPunct/>
        <w:topLinePunct w:val="0"/>
        <w:autoSpaceDE w:val="0"/>
        <w:autoSpaceDN w:val="0"/>
        <w:bidi w:val="0"/>
        <w:adjustRightInd w:val="0"/>
        <w:snapToGrid w:val="0"/>
        <w:spacing w:before="248" w:line="291" w:lineRule="auto"/>
        <w:ind w:right="0" w:firstLine="226" w:firstLineChars="1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9.2.11在整个施工过程中对承包人采取的施工安全措施，</w:t>
      </w:r>
      <w:r>
        <w:rPr>
          <w:rFonts w:hint="eastAsia" w:ascii="宋体" w:hAnsi="宋体" w:eastAsia="宋体" w:cs="宋体"/>
          <w:color w:val="auto"/>
          <w:spacing w:val="-8"/>
          <w:sz w:val="24"/>
          <w:szCs w:val="24"/>
          <w:highlight w:val="none"/>
        </w:rPr>
        <w:t>发包人和监理人有权监</w:t>
      </w:r>
      <w:r>
        <w:rPr>
          <w:rFonts w:hint="eastAsia" w:ascii="宋体" w:hAnsi="宋体" w:eastAsia="宋体" w:cs="宋体"/>
          <w:color w:val="auto"/>
          <w:spacing w:val="-11"/>
          <w:sz w:val="24"/>
          <w:szCs w:val="24"/>
          <w:highlight w:val="none"/>
        </w:rPr>
        <w:t>督，并向承包人提出整改要求。如果由于承包人未能对其负责的上述事项采取各种必要的措施而导致或发生与此有关的人身伤亡、罚款、索赔、损失补偿、诉讼费用及其他一</w:t>
      </w:r>
      <w:r>
        <w:rPr>
          <w:rFonts w:hint="eastAsia" w:ascii="宋体" w:hAnsi="宋体" w:eastAsia="宋体" w:cs="宋体"/>
          <w:color w:val="auto"/>
          <w:spacing w:val="-10"/>
          <w:sz w:val="24"/>
          <w:szCs w:val="24"/>
          <w:highlight w:val="none"/>
        </w:rPr>
        <w:t>切责任应由承包人负责。</w:t>
      </w:r>
    </w:p>
    <w:p w14:paraId="71AB9DEC">
      <w:pPr>
        <w:keepNext w:val="0"/>
        <w:keepLines w:val="0"/>
        <w:pageBreakBefore w:val="0"/>
        <w:widowControl/>
        <w:kinsoku w:val="0"/>
        <w:wordWrap/>
        <w:overflowPunct/>
        <w:topLinePunct w:val="0"/>
        <w:autoSpaceDE w:val="0"/>
        <w:autoSpaceDN w:val="0"/>
        <w:bidi w:val="0"/>
        <w:adjustRightInd w:val="0"/>
        <w:snapToGrid w:val="0"/>
        <w:spacing w:line="291" w:lineRule="auto"/>
        <w:ind w:left="0" w:right="0"/>
        <w:textAlignment w:val="baseline"/>
        <w:rPr>
          <w:rFonts w:hint="eastAsia" w:ascii="宋体" w:hAnsi="宋体" w:eastAsia="宋体" w:cs="宋体"/>
          <w:color w:val="auto"/>
          <w:sz w:val="24"/>
          <w:szCs w:val="24"/>
          <w:highlight w:val="none"/>
        </w:rPr>
        <w:sectPr>
          <w:headerReference r:id="rId156" w:type="default"/>
          <w:footerReference r:id="rId157" w:type="default"/>
          <w:pgSz w:w="11907" w:h="16840"/>
          <w:pgMar w:top="1182" w:right="1204" w:bottom="1014" w:left="1786" w:header="849" w:footer="852" w:gutter="0"/>
          <w:pgNumType w:fmt="decimal"/>
          <w:cols w:space="720" w:num="1"/>
        </w:sectPr>
      </w:pPr>
    </w:p>
    <w:p w14:paraId="5B47459B">
      <w:pPr>
        <w:spacing w:before="272" w:line="222" w:lineRule="auto"/>
        <w:ind w:left="39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9.4环境保护</w:t>
      </w:r>
    </w:p>
    <w:p w14:paraId="64CEE97D">
      <w:pPr>
        <w:pStyle w:val="4"/>
        <w:spacing w:line="358" w:lineRule="auto"/>
        <w:rPr>
          <w:rFonts w:hint="eastAsia" w:ascii="宋体" w:hAnsi="宋体" w:eastAsia="宋体" w:cs="宋体"/>
          <w:color w:val="auto"/>
          <w:highlight w:val="none"/>
        </w:rPr>
      </w:pPr>
    </w:p>
    <w:p w14:paraId="775344F5">
      <w:pPr>
        <w:spacing w:before="78" w:line="219" w:lineRule="auto"/>
        <w:ind w:left="37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本款补充第9.4.7项~第9.4.11项：</w:t>
      </w:r>
    </w:p>
    <w:p w14:paraId="6742C2C8">
      <w:pPr>
        <w:spacing w:before="244" w:line="219" w:lineRule="auto"/>
        <w:ind w:left="37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9.4.7承包人应切实执行技术规范中有关环境保护方面的条款和规定。</w:t>
      </w:r>
    </w:p>
    <w:p w14:paraId="47C790B0">
      <w:pPr>
        <w:spacing w:before="246" w:line="298" w:lineRule="auto"/>
        <w:ind w:left="19" w:firstLine="400"/>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(1)对于来自施工机械和运输车辆的施工噪声，为保护施工人员的健康，应遵守《中</w:t>
      </w:r>
      <w:r>
        <w:rPr>
          <w:rFonts w:hint="eastAsia" w:ascii="宋体" w:hAnsi="宋体" w:eastAsia="宋体" w:cs="宋体"/>
          <w:color w:val="auto"/>
          <w:spacing w:val="-8"/>
          <w:sz w:val="24"/>
          <w:szCs w:val="24"/>
          <w:highlight w:val="none"/>
        </w:rPr>
        <w:t>华人民共和国环境噪声污染防治法》并依据《工业企业噪声卫生标准》合理安排工作人</w:t>
      </w:r>
      <w:r>
        <w:rPr>
          <w:rFonts w:hint="eastAsia" w:ascii="宋体" w:hAnsi="宋体" w:eastAsia="宋体" w:cs="宋体"/>
          <w:color w:val="auto"/>
          <w:spacing w:val="-11"/>
          <w:sz w:val="24"/>
          <w:szCs w:val="24"/>
          <w:highlight w:val="none"/>
        </w:rPr>
        <w:t>员轮流操作筑路机械，减少接触高噪声的时间，或间歇安排高噪声的工作。对距噪声源较近的施工人员，除采取使用防护耳塞或头盔等有效措施外，还应当缩短其劳动时间。同时，要注意对机械的经常性保养，尽量使其噪声降低到最低水平。为保护施工现场附</w:t>
      </w:r>
      <w:r>
        <w:rPr>
          <w:rFonts w:hint="eastAsia" w:ascii="宋体" w:hAnsi="宋体" w:eastAsia="宋体" w:cs="宋体"/>
          <w:color w:val="auto"/>
          <w:spacing w:val="-9"/>
          <w:sz w:val="24"/>
          <w:szCs w:val="24"/>
          <w:highlight w:val="none"/>
        </w:rPr>
        <w:t>近居民的夜间休息，对居民区150m以内的施工现场，施工</w:t>
      </w:r>
      <w:r>
        <w:rPr>
          <w:rFonts w:hint="eastAsia" w:ascii="宋体" w:hAnsi="宋体" w:eastAsia="宋体" w:cs="宋体"/>
          <w:color w:val="auto"/>
          <w:spacing w:val="-10"/>
          <w:sz w:val="24"/>
          <w:szCs w:val="24"/>
          <w:highlight w:val="none"/>
        </w:rPr>
        <w:t>时间应加以控制。</w:t>
      </w:r>
    </w:p>
    <w:p w14:paraId="4C8A59E6">
      <w:pPr>
        <w:spacing w:before="243" w:line="283" w:lineRule="auto"/>
        <w:ind w:left="24" w:right="2" w:firstLine="395"/>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9"/>
          <w:sz w:val="24"/>
          <w:szCs w:val="24"/>
          <w:highlight w:val="none"/>
        </w:rPr>
        <w:t>(2)对于公路施工中粉尘污染的主要污染源――灰土拌和、施工车辆和筑路机械运</w:t>
      </w:r>
      <w:r>
        <w:rPr>
          <w:rFonts w:hint="eastAsia" w:ascii="宋体" w:hAnsi="宋体" w:eastAsia="宋体" w:cs="宋体"/>
          <w:color w:val="auto"/>
          <w:spacing w:val="-8"/>
          <w:sz w:val="24"/>
          <w:szCs w:val="24"/>
          <w:highlight w:val="none"/>
        </w:rPr>
        <w:t>行及运输产生的扬尘，应采取有效措施减轻其对施工现场的大气污染，保护人</w:t>
      </w:r>
      <w:r>
        <w:rPr>
          <w:rFonts w:hint="eastAsia" w:ascii="宋体" w:hAnsi="宋体" w:eastAsia="宋体" w:cs="宋体"/>
          <w:color w:val="auto"/>
          <w:spacing w:val="-9"/>
          <w:sz w:val="24"/>
          <w:szCs w:val="24"/>
          <w:highlight w:val="none"/>
        </w:rPr>
        <w:t>民健康，</w:t>
      </w:r>
      <w:r>
        <w:rPr>
          <w:rFonts w:hint="eastAsia" w:ascii="宋体" w:hAnsi="宋体" w:eastAsia="宋体" w:cs="宋体"/>
          <w:color w:val="auto"/>
          <w:spacing w:val="-7"/>
          <w:sz w:val="24"/>
          <w:szCs w:val="24"/>
          <w:highlight w:val="none"/>
        </w:rPr>
        <w:t>如</w:t>
      </w:r>
      <w:r>
        <w:rPr>
          <w:rFonts w:hint="eastAsia" w:ascii="宋体" w:hAnsi="宋体" w:eastAsia="宋体" w:cs="宋体"/>
          <w:color w:val="auto"/>
          <w:spacing w:val="-7"/>
          <w:sz w:val="24"/>
          <w:szCs w:val="24"/>
          <w:highlight w:val="none"/>
          <w:lang w:eastAsia="zh-CN"/>
        </w:rPr>
        <w:t>：</w:t>
      </w:r>
    </w:p>
    <w:p w14:paraId="15C8CE9B">
      <w:pPr>
        <w:spacing w:before="242" w:line="219" w:lineRule="auto"/>
        <w:ind w:left="379"/>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a.拌和设备应有较好的密封，或有防尘设备。</w:t>
      </w:r>
    </w:p>
    <w:p w14:paraId="7B87F50F">
      <w:pPr>
        <w:spacing w:before="242" w:line="219" w:lineRule="auto"/>
        <w:ind w:left="374"/>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b.施工通道、沥青混凝土拌和站及灰土拌和</w:t>
      </w:r>
      <w:r>
        <w:rPr>
          <w:rFonts w:hint="eastAsia" w:ascii="宋体" w:hAnsi="宋体" w:eastAsia="宋体" w:cs="宋体"/>
          <w:color w:val="auto"/>
          <w:spacing w:val="-10"/>
          <w:sz w:val="24"/>
          <w:szCs w:val="24"/>
          <w:highlight w:val="none"/>
        </w:rPr>
        <w:t>站应经常进行洒水降尘。</w:t>
      </w:r>
    </w:p>
    <w:p w14:paraId="6DE0F35B">
      <w:pPr>
        <w:spacing w:before="247" w:line="219" w:lineRule="auto"/>
        <w:ind w:left="383"/>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c.路面施工应注意保持水分，以免扬尘。</w:t>
      </w:r>
    </w:p>
    <w:p w14:paraId="58CB7B64">
      <w:pPr>
        <w:spacing w:before="244" w:line="267" w:lineRule="auto"/>
        <w:ind w:left="20" w:firstLine="362"/>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d.隧道出渣和桥梁钻孔灌注桩施工时排出的泥浆要进行妥善处理，严禁向河流或</w:t>
      </w:r>
      <w:r>
        <w:rPr>
          <w:rFonts w:hint="eastAsia" w:ascii="宋体" w:hAnsi="宋体" w:eastAsia="宋体" w:cs="宋体"/>
          <w:color w:val="auto"/>
          <w:spacing w:val="-9"/>
          <w:sz w:val="24"/>
          <w:szCs w:val="24"/>
          <w:highlight w:val="none"/>
        </w:rPr>
        <w:t>农田排放。</w:t>
      </w:r>
    </w:p>
    <w:p w14:paraId="782E67F7">
      <w:pPr>
        <w:spacing w:before="240" w:line="318" w:lineRule="auto"/>
        <w:ind w:left="22" w:right="42" w:firstLine="397"/>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(3)采取可靠措施保证原有交通的正常通行，维持沿线村镇的居民饮水、农田</w:t>
      </w:r>
      <w:r>
        <w:rPr>
          <w:rFonts w:hint="eastAsia" w:ascii="宋体" w:hAnsi="宋体" w:eastAsia="宋体" w:cs="宋体"/>
          <w:color w:val="auto"/>
          <w:spacing w:val="-11"/>
          <w:sz w:val="24"/>
          <w:szCs w:val="24"/>
          <w:highlight w:val="none"/>
        </w:rPr>
        <w:t>灌溉、</w:t>
      </w:r>
      <w:r>
        <w:rPr>
          <w:rFonts w:hint="eastAsia" w:ascii="宋体" w:hAnsi="宋体" w:eastAsia="宋体" w:cs="宋体"/>
          <w:color w:val="auto"/>
          <w:spacing w:val="-10"/>
          <w:sz w:val="24"/>
          <w:szCs w:val="24"/>
          <w:highlight w:val="none"/>
        </w:rPr>
        <w:t>生产生活用电及通信等管线的正常使用。</w:t>
      </w:r>
    </w:p>
    <w:p w14:paraId="4A8B1600">
      <w:pPr>
        <w:spacing w:before="111" w:line="291" w:lineRule="auto"/>
        <w:ind w:left="19" w:firstLine="359"/>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9.4.8在整个施工过程中对承包人采取</w:t>
      </w:r>
      <w:r>
        <w:rPr>
          <w:rFonts w:hint="eastAsia" w:ascii="宋体" w:hAnsi="宋体" w:eastAsia="宋体" w:cs="宋体"/>
          <w:color w:val="auto"/>
          <w:spacing w:val="-11"/>
          <w:sz w:val="24"/>
          <w:szCs w:val="24"/>
          <w:highlight w:val="none"/>
        </w:rPr>
        <w:t>的环境保护措施，发包人和监理人有权监督，</w:t>
      </w:r>
      <w:r>
        <w:rPr>
          <w:rFonts w:hint="eastAsia" w:ascii="宋体" w:hAnsi="宋体" w:eastAsia="宋体" w:cs="宋体"/>
          <w:color w:val="auto"/>
          <w:spacing w:val="-8"/>
          <w:sz w:val="24"/>
          <w:szCs w:val="24"/>
          <w:highlight w:val="none"/>
        </w:rPr>
        <w:t>并向承包人提出整改要求。如果由于承包人未能对其负责的上述事项采取各种必要的措施而导致或发生与此有关的人身伤亡、罚款、索赔、损失补偿、诉讼费用及其他一切责</w:t>
      </w:r>
      <w:r>
        <w:rPr>
          <w:rFonts w:hint="eastAsia" w:ascii="宋体" w:hAnsi="宋体" w:eastAsia="宋体" w:cs="宋体"/>
          <w:color w:val="auto"/>
          <w:spacing w:val="-9"/>
          <w:sz w:val="24"/>
          <w:szCs w:val="24"/>
          <w:highlight w:val="none"/>
        </w:rPr>
        <w:t>任应由承包人负责。</w:t>
      </w:r>
    </w:p>
    <w:p w14:paraId="456BECCA">
      <w:pPr>
        <w:spacing w:before="242" w:line="267" w:lineRule="auto"/>
        <w:ind w:left="22" w:firstLine="356"/>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9.4.9在施工期间，承包人应随时保持</w:t>
      </w:r>
      <w:r>
        <w:rPr>
          <w:rFonts w:hint="eastAsia" w:ascii="宋体" w:hAnsi="宋体" w:eastAsia="宋体" w:cs="宋体"/>
          <w:color w:val="auto"/>
          <w:spacing w:val="-11"/>
          <w:sz w:val="24"/>
          <w:szCs w:val="24"/>
          <w:highlight w:val="none"/>
        </w:rPr>
        <w:t>现场整洁，施工设备和材料、工程设备应整齐</w:t>
      </w:r>
      <w:r>
        <w:rPr>
          <w:rFonts w:hint="eastAsia" w:ascii="宋体" w:hAnsi="宋体" w:eastAsia="宋体" w:cs="宋体"/>
          <w:color w:val="auto"/>
          <w:spacing w:val="-10"/>
          <w:sz w:val="24"/>
          <w:szCs w:val="24"/>
          <w:highlight w:val="none"/>
        </w:rPr>
        <w:t>妥善存放和储存，废料与垃圾及不再需要的临时设施应及时从现场清除、拆除并运走。</w:t>
      </w:r>
    </w:p>
    <w:p w14:paraId="5CB4B509">
      <w:pPr>
        <w:spacing w:before="243" w:line="295" w:lineRule="auto"/>
        <w:ind w:left="20" w:firstLine="35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9.4.10在施工期间，承包人应严格遵守《关于在公路建设</w:t>
      </w:r>
      <w:r>
        <w:rPr>
          <w:rFonts w:hint="eastAsia" w:ascii="宋体" w:hAnsi="宋体" w:eastAsia="宋体" w:cs="宋体"/>
          <w:color w:val="auto"/>
          <w:spacing w:val="-8"/>
          <w:sz w:val="24"/>
          <w:szCs w:val="24"/>
          <w:highlight w:val="none"/>
        </w:rPr>
        <w:t>中实行最严格的耕地保</w:t>
      </w:r>
      <w:r>
        <w:rPr>
          <w:rFonts w:hint="eastAsia" w:ascii="宋体" w:hAnsi="宋体" w:eastAsia="宋体" w:cs="宋体"/>
          <w:color w:val="auto"/>
          <w:spacing w:val="-11"/>
          <w:sz w:val="24"/>
          <w:szCs w:val="24"/>
          <w:highlight w:val="none"/>
        </w:rPr>
        <w:t>护制度的若干意见》的相关规定，规范用地、科学用地、合理用地和节约用地。承包人</w:t>
      </w:r>
      <w:r>
        <w:rPr>
          <w:rFonts w:hint="eastAsia" w:ascii="宋体" w:hAnsi="宋体" w:eastAsia="宋体" w:cs="宋体"/>
          <w:color w:val="auto"/>
          <w:spacing w:val="-12"/>
          <w:sz w:val="24"/>
          <w:szCs w:val="24"/>
          <w:highlight w:val="none"/>
        </w:rPr>
        <w:t>应</w:t>
      </w:r>
      <w:r>
        <w:rPr>
          <w:rFonts w:hint="eastAsia" w:ascii="宋体" w:hAnsi="宋体" w:eastAsia="宋体" w:cs="宋体"/>
          <w:color w:val="auto"/>
          <w:spacing w:val="-11"/>
          <w:sz w:val="24"/>
          <w:szCs w:val="24"/>
          <w:highlight w:val="none"/>
        </w:rPr>
        <w:t>合理利用所占耕地地表的耕作层，用于重新造地；合理设置取土坑和弃土场，取土</w:t>
      </w:r>
      <w:r>
        <w:rPr>
          <w:rFonts w:hint="eastAsia" w:ascii="宋体" w:hAnsi="宋体" w:eastAsia="宋体" w:cs="宋体"/>
          <w:color w:val="auto"/>
          <w:spacing w:val="-10"/>
          <w:sz w:val="24"/>
          <w:szCs w:val="24"/>
          <w:highlight w:val="none"/>
        </w:rPr>
        <w:t>坑</w:t>
      </w:r>
      <w:r>
        <w:rPr>
          <w:rFonts w:hint="eastAsia" w:ascii="宋体" w:hAnsi="宋体" w:eastAsia="宋体" w:cs="宋体"/>
          <w:color w:val="auto"/>
          <w:spacing w:val="-11"/>
          <w:sz w:val="24"/>
          <w:szCs w:val="24"/>
          <w:highlight w:val="none"/>
        </w:rPr>
        <w:t>和弃土场的施工防护要符合要求，防止水土流失。承包人应严格控制临时占地数量，施工便道、各种料场、预制场要根据工程进度统筹考虑，尽可能设置在公路用地范围内或</w:t>
      </w:r>
    </w:p>
    <w:p w14:paraId="58A2DF1D">
      <w:pPr>
        <w:spacing w:line="295" w:lineRule="auto"/>
        <w:rPr>
          <w:rFonts w:hint="eastAsia" w:ascii="宋体" w:hAnsi="宋体" w:eastAsia="宋体" w:cs="宋体"/>
          <w:color w:val="auto"/>
          <w:sz w:val="24"/>
          <w:szCs w:val="24"/>
          <w:highlight w:val="none"/>
        </w:rPr>
        <w:sectPr>
          <w:headerReference r:id="rId158" w:type="default"/>
          <w:footerReference r:id="rId159" w:type="default"/>
          <w:pgSz w:w="11907" w:h="16840"/>
          <w:pgMar w:top="1182" w:right="1279" w:bottom="1014" w:left="1786" w:header="849" w:footer="852" w:gutter="0"/>
          <w:pgNumType w:fmt="decimal"/>
          <w:cols w:space="720" w:num="1"/>
        </w:sectPr>
      </w:pPr>
    </w:p>
    <w:p w14:paraId="775CDB3E">
      <w:pPr>
        <w:spacing w:before="292" w:line="316" w:lineRule="auto"/>
        <w:ind w:left="65" w:hanging="44"/>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利用荒坡、废弃地解决，不得占用农田。施工过程中要采取有效措施防止污染农田，项</w:t>
      </w:r>
      <w:r>
        <w:rPr>
          <w:rFonts w:hint="eastAsia" w:ascii="宋体" w:hAnsi="宋体" w:eastAsia="宋体" w:cs="宋体"/>
          <w:color w:val="auto"/>
          <w:spacing w:val="-13"/>
          <w:sz w:val="24"/>
          <w:szCs w:val="24"/>
          <w:highlight w:val="none"/>
        </w:rPr>
        <w:t>目完工后承包人应将临时占地自费恢复到临时占地使用前的状况。</w:t>
      </w:r>
    </w:p>
    <w:p w14:paraId="6366687D">
      <w:pPr>
        <w:spacing w:before="117" w:line="315" w:lineRule="auto"/>
        <w:ind w:left="19" w:firstLine="359"/>
        <w:jc w:val="both"/>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9.4.11承包人应严格按照国家有关法规要求，做好施工</w:t>
      </w:r>
      <w:r>
        <w:rPr>
          <w:rFonts w:hint="eastAsia" w:ascii="宋体" w:hAnsi="宋体" w:eastAsia="宋体" w:cs="宋体"/>
          <w:color w:val="auto"/>
          <w:spacing w:val="-8"/>
          <w:sz w:val="24"/>
          <w:szCs w:val="24"/>
          <w:highlight w:val="none"/>
        </w:rPr>
        <w:t>过程中的生态保护和水土</w:t>
      </w:r>
      <w:r>
        <w:rPr>
          <w:rFonts w:hint="eastAsia" w:ascii="宋体" w:hAnsi="宋体" w:eastAsia="宋体" w:cs="宋体"/>
          <w:color w:val="auto"/>
          <w:spacing w:val="-11"/>
          <w:sz w:val="24"/>
          <w:szCs w:val="24"/>
          <w:highlight w:val="none"/>
        </w:rPr>
        <w:t>保持工作。施工中要尽可能减少对原地面的扰动，减少对地面草木的破坏，需要爆破作业的，应按规定进行控爆设计。雨季填筑路基应随挖、随运、随填、随压，要完善施工</w:t>
      </w:r>
      <w:r>
        <w:rPr>
          <w:rFonts w:hint="eastAsia" w:ascii="宋体" w:hAnsi="宋体" w:eastAsia="宋体" w:cs="宋体"/>
          <w:color w:val="auto"/>
          <w:spacing w:val="-9"/>
          <w:sz w:val="24"/>
          <w:szCs w:val="24"/>
          <w:highlight w:val="none"/>
        </w:rPr>
        <w:t>中的临时排水系统，加强施工便道的管理。取(弃)土场必须先挡后弃，严禁在指定的取(弃)土场以外的地方乱挖乱弃。</w:t>
      </w:r>
    </w:p>
    <w:p w14:paraId="26536D8F">
      <w:pPr>
        <w:pStyle w:val="4"/>
        <w:spacing w:line="295" w:lineRule="auto"/>
        <w:rPr>
          <w:rFonts w:hint="eastAsia" w:ascii="宋体" w:hAnsi="宋体" w:eastAsia="宋体" w:cs="宋体"/>
          <w:color w:val="auto"/>
          <w:highlight w:val="none"/>
        </w:rPr>
      </w:pPr>
    </w:p>
    <w:p w14:paraId="1E72B8A9">
      <w:pPr>
        <w:spacing w:before="91" w:line="222" w:lineRule="auto"/>
        <w:ind w:left="464"/>
        <w:outlineLvl w:val="2"/>
        <w:rPr>
          <w:rFonts w:hint="eastAsia" w:ascii="宋体" w:hAnsi="宋体" w:eastAsia="宋体" w:cs="宋体"/>
          <w:color w:val="auto"/>
          <w:sz w:val="28"/>
          <w:szCs w:val="28"/>
          <w:highlight w:val="none"/>
        </w:rPr>
      </w:pPr>
      <w:bookmarkStart w:id="621" w:name="_Toc17395"/>
      <w:bookmarkStart w:id="622" w:name="_Toc5887"/>
      <w:bookmarkStart w:id="623" w:name="_Toc7751"/>
      <w:bookmarkStart w:id="624" w:name="_Toc6787"/>
      <w:bookmarkStart w:id="625" w:name="_Toc17017"/>
      <w:r>
        <w:rPr>
          <w:rFonts w:hint="eastAsia" w:ascii="宋体" w:hAnsi="宋体" w:eastAsia="宋体" w:cs="宋体"/>
          <w:color w:val="auto"/>
          <w:spacing w:val="-7"/>
          <w:sz w:val="28"/>
          <w:szCs w:val="28"/>
          <w:highlight w:val="none"/>
        </w:rPr>
        <w:t>10.进度计划</w:t>
      </w:r>
      <w:bookmarkEnd w:id="621"/>
      <w:bookmarkEnd w:id="622"/>
      <w:bookmarkEnd w:id="623"/>
      <w:bookmarkEnd w:id="624"/>
      <w:bookmarkEnd w:id="625"/>
    </w:p>
    <w:p w14:paraId="0E3AA444">
      <w:pPr>
        <w:pStyle w:val="4"/>
        <w:spacing w:line="268" w:lineRule="auto"/>
        <w:rPr>
          <w:rFonts w:hint="eastAsia" w:ascii="宋体" w:hAnsi="宋体" w:eastAsia="宋体" w:cs="宋体"/>
          <w:color w:val="auto"/>
          <w:highlight w:val="none"/>
        </w:rPr>
      </w:pPr>
    </w:p>
    <w:p w14:paraId="4D6340DA">
      <w:pPr>
        <w:spacing w:before="78" w:line="222" w:lineRule="auto"/>
        <w:ind w:left="402"/>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10.1合同进度计划</w:t>
      </w:r>
    </w:p>
    <w:p w14:paraId="3FC42286">
      <w:pPr>
        <w:pStyle w:val="4"/>
        <w:spacing w:line="358" w:lineRule="auto"/>
        <w:rPr>
          <w:rFonts w:hint="eastAsia" w:ascii="宋体" w:hAnsi="宋体" w:eastAsia="宋体" w:cs="宋体"/>
          <w:color w:val="auto"/>
          <w:highlight w:val="none"/>
        </w:rPr>
      </w:pPr>
    </w:p>
    <w:p w14:paraId="0AAD5A3E">
      <w:pPr>
        <w:spacing w:before="79" w:line="219" w:lineRule="auto"/>
        <w:ind w:left="37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本款补充：</w:t>
      </w:r>
    </w:p>
    <w:p w14:paraId="1F2FA1F6">
      <w:pPr>
        <w:spacing w:before="244" w:line="219" w:lineRule="auto"/>
        <w:ind w:left="378"/>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承包人编制施工方案说明的内容见项目专用合同条款。</w:t>
      </w:r>
    </w:p>
    <w:p w14:paraId="4AAA5B8E">
      <w:pPr>
        <w:spacing w:before="243" w:line="316" w:lineRule="auto"/>
        <w:ind w:left="22" w:firstLine="355"/>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承包人向监理人报送施工进度计划和施工方案说明的期限：签订合同协议书后28天</w:t>
      </w:r>
      <w:r>
        <w:rPr>
          <w:rFonts w:hint="eastAsia" w:ascii="宋体" w:hAnsi="宋体" w:eastAsia="宋体" w:cs="宋体"/>
          <w:color w:val="auto"/>
          <w:spacing w:val="-7"/>
          <w:sz w:val="24"/>
          <w:szCs w:val="24"/>
          <w:highlight w:val="none"/>
        </w:rPr>
        <w:t>之内。</w:t>
      </w:r>
    </w:p>
    <w:p w14:paraId="5AB87E2B">
      <w:pPr>
        <w:spacing w:before="113" w:line="318" w:lineRule="auto"/>
        <w:ind w:left="24" w:firstLine="354"/>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8"/>
          <w:sz w:val="24"/>
          <w:szCs w:val="24"/>
          <w:highlight w:val="none"/>
        </w:rPr>
        <w:t>监理人应在14天内对承包人施工进度计划和施工方案说明予以批复或提出修改意</w:t>
      </w:r>
      <w:r>
        <w:rPr>
          <w:rFonts w:hint="eastAsia" w:ascii="宋体" w:hAnsi="宋体" w:eastAsia="宋体" w:cs="宋体"/>
          <w:color w:val="auto"/>
          <w:spacing w:val="-7"/>
          <w:sz w:val="24"/>
          <w:szCs w:val="24"/>
          <w:highlight w:val="none"/>
        </w:rPr>
        <w:t>见</w:t>
      </w:r>
      <w:r>
        <w:rPr>
          <w:rFonts w:hint="eastAsia" w:ascii="宋体" w:hAnsi="宋体" w:eastAsia="宋体" w:cs="宋体"/>
          <w:color w:val="auto"/>
          <w:spacing w:val="-7"/>
          <w:sz w:val="24"/>
          <w:szCs w:val="24"/>
          <w:highlight w:val="none"/>
          <w:lang w:eastAsia="zh-CN"/>
        </w:rPr>
        <w:t>。</w:t>
      </w:r>
    </w:p>
    <w:p w14:paraId="1124D588">
      <w:pPr>
        <w:spacing w:before="113" w:line="316" w:lineRule="auto"/>
        <w:ind w:left="20" w:firstLine="358"/>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合同进度计划应按照关键线路网络图和主要工作横道图两种形式分别编绘</w:t>
      </w:r>
      <w:r>
        <w:rPr>
          <w:rFonts w:hint="eastAsia" w:ascii="宋体" w:hAnsi="宋体" w:eastAsia="宋体" w:cs="宋体"/>
          <w:color w:val="auto"/>
          <w:spacing w:val="-9"/>
          <w:sz w:val="24"/>
          <w:szCs w:val="24"/>
          <w:highlight w:val="none"/>
        </w:rPr>
        <w:t>，并应包</w:t>
      </w:r>
      <w:r>
        <w:rPr>
          <w:rFonts w:hint="eastAsia" w:ascii="宋体" w:hAnsi="宋体" w:eastAsia="宋体" w:cs="宋体"/>
          <w:color w:val="auto"/>
          <w:spacing w:val="-10"/>
          <w:sz w:val="24"/>
          <w:szCs w:val="24"/>
          <w:highlight w:val="none"/>
        </w:rPr>
        <w:t>括每月预计完成的工作量和形象进度。</w:t>
      </w:r>
    </w:p>
    <w:p w14:paraId="15A418F4">
      <w:pPr>
        <w:spacing w:before="171" w:line="222" w:lineRule="auto"/>
        <w:ind w:left="406"/>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10.2合同进度计划的修订</w:t>
      </w:r>
    </w:p>
    <w:p w14:paraId="78DDBFB3">
      <w:pPr>
        <w:spacing w:before="86" w:line="219" w:lineRule="auto"/>
        <w:ind w:left="379"/>
        <w:outlineLvl w:val="2"/>
        <w:rPr>
          <w:rFonts w:hint="eastAsia" w:ascii="宋体" w:hAnsi="宋体" w:eastAsia="宋体" w:cs="宋体"/>
          <w:color w:val="auto"/>
          <w:sz w:val="24"/>
          <w:szCs w:val="24"/>
          <w:highlight w:val="none"/>
        </w:rPr>
      </w:pPr>
      <w:bookmarkStart w:id="626" w:name="_Toc30247"/>
      <w:bookmarkStart w:id="627" w:name="_Toc24905"/>
      <w:bookmarkStart w:id="628" w:name="_Toc30088"/>
      <w:bookmarkStart w:id="629" w:name="_Toc19560"/>
      <w:bookmarkStart w:id="630" w:name="_Toc16580"/>
      <w:r>
        <w:rPr>
          <w:rFonts w:hint="eastAsia" w:ascii="宋体" w:hAnsi="宋体" w:eastAsia="宋体" w:cs="宋体"/>
          <w:color w:val="auto"/>
          <w:spacing w:val="-9"/>
          <w:sz w:val="24"/>
          <w:szCs w:val="24"/>
          <w:highlight w:val="none"/>
        </w:rPr>
        <w:t>本款补充：</w:t>
      </w:r>
      <w:bookmarkEnd w:id="626"/>
      <w:bookmarkEnd w:id="627"/>
      <w:bookmarkEnd w:id="628"/>
      <w:bookmarkEnd w:id="629"/>
      <w:bookmarkEnd w:id="630"/>
    </w:p>
    <w:p w14:paraId="1501A700">
      <w:pPr>
        <w:spacing w:before="140" w:line="316" w:lineRule="auto"/>
        <w:ind w:left="24" w:right="2" w:firstLine="353"/>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承包人提交合同进度计划修订申请报告，并附有关措</w:t>
      </w:r>
      <w:r>
        <w:rPr>
          <w:rFonts w:hint="eastAsia" w:ascii="宋体" w:hAnsi="宋体" w:eastAsia="宋体" w:cs="宋体"/>
          <w:color w:val="auto"/>
          <w:spacing w:val="-12"/>
          <w:sz w:val="24"/>
          <w:szCs w:val="24"/>
          <w:highlight w:val="none"/>
        </w:rPr>
        <w:t>施和相关资料的期限：实际进度</w:t>
      </w:r>
      <w:r>
        <w:rPr>
          <w:rFonts w:hint="eastAsia" w:ascii="宋体" w:hAnsi="宋体" w:eastAsia="宋体" w:cs="宋体"/>
          <w:color w:val="auto"/>
          <w:spacing w:val="-13"/>
          <w:sz w:val="24"/>
          <w:szCs w:val="24"/>
          <w:highlight w:val="none"/>
        </w:rPr>
        <w:t>发生滞后的当月25日前。</w:t>
      </w:r>
    </w:p>
    <w:p w14:paraId="5F9F229C">
      <w:pPr>
        <w:spacing w:before="115" w:line="219" w:lineRule="auto"/>
        <w:ind w:left="379"/>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监理人批复修订合同进度计划的期限：收到修订合同进度计划后14天内。</w:t>
      </w:r>
    </w:p>
    <w:p w14:paraId="0B1CE7CD">
      <w:pPr>
        <w:spacing w:before="245" w:line="219" w:lineRule="auto"/>
        <w:ind w:left="37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本条补充第10.3款、第10.4款：</w:t>
      </w:r>
    </w:p>
    <w:p w14:paraId="2ACD604D">
      <w:pPr>
        <w:spacing w:before="102" w:line="222" w:lineRule="auto"/>
        <w:ind w:left="402"/>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10.3年度施工计划</w:t>
      </w:r>
    </w:p>
    <w:p w14:paraId="4CDFF6F3">
      <w:pPr>
        <w:pStyle w:val="4"/>
        <w:spacing w:line="358" w:lineRule="auto"/>
        <w:rPr>
          <w:rFonts w:hint="eastAsia" w:ascii="宋体" w:hAnsi="宋体" w:eastAsia="宋体" w:cs="宋体"/>
          <w:color w:val="auto"/>
          <w:highlight w:val="none"/>
        </w:rPr>
      </w:pPr>
    </w:p>
    <w:p w14:paraId="0622FADD">
      <w:pPr>
        <w:spacing w:before="78" w:line="315" w:lineRule="auto"/>
        <w:ind w:left="20" w:firstLine="357"/>
        <w:jc w:val="both"/>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承包人应在每年11月底前，根据已同意的合同进度计划或其修订的计划，向监理</w:t>
      </w:r>
      <w:r>
        <w:rPr>
          <w:rFonts w:hint="eastAsia" w:ascii="宋体" w:hAnsi="宋体" w:eastAsia="宋体" w:cs="宋体"/>
          <w:color w:val="auto"/>
          <w:spacing w:val="-10"/>
          <w:sz w:val="24"/>
          <w:szCs w:val="24"/>
          <w:highlight w:val="none"/>
        </w:rPr>
        <w:t>人提交2份格式和内容符合监理人合理</w:t>
      </w:r>
      <w:r>
        <w:rPr>
          <w:rFonts w:hint="eastAsia" w:ascii="宋体" w:hAnsi="宋体" w:eastAsia="宋体" w:cs="宋体"/>
          <w:color w:val="auto"/>
          <w:spacing w:val="-11"/>
          <w:sz w:val="24"/>
          <w:szCs w:val="24"/>
          <w:highlight w:val="none"/>
        </w:rPr>
        <w:t>规定的下一年度的施工计划，以供审查。该计划</w:t>
      </w:r>
      <w:r>
        <w:rPr>
          <w:rFonts w:hint="eastAsia" w:ascii="宋体" w:hAnsi="宋体" w:eastAsia="宋体" w:cs="宋体"/>
          <w:color w:val="auto"/>
          <w:spacing w:val="-8"/>
          <w:sz w:val="24"/>
          <w:szCs w:val="24"/>
          <w:highlight w:val="none"/>
        </w:rPr>
        <w:t>应包括本年度估计完成的和下一年度预计完成的分项工程数量和工作量，以及为实施此</w:t>
      </w:r>
      <w:r>
        <w:rPr>
          <w:rFonts w:hint="eastAsia" w:ascii="宋体" w:hAnsi="宋体" w:eastAsia="宋体" w:cs="宋体"/>
          <w:color w:val="auto"/>
          <w:spacing w:val="-9"/>
          <w:sz w:val="24"/>
          <w:szCs w:val="24"/>
          <w:highlight w:val="none"/>
        </w:rPr>
        <w:t>计划将采取的措施。</w:t>
      </w:r>
    </w:p>
    <w:p w14:paraId="49E8638A">
      <w:pPr>
        <w:spacing w:line="315" w:lineRule="auto"/>
        <w:rPr>
          <w:rFonts w:hint="eastAsia" w:ascii="宋体" w:hAnsi="宋体" w:eastAsia="宋体" w:cs="宋体"/>
          <w:color w:val="auto"/>
          <w:sz w:val="24"/>
          <w:szCs w:val="24"/>
          <w:highlight w:val="none"/>
        </w:rPr>
        <w:sectPr>
          <w:headerReference r:id="rId160" w:type="default"/>
          <w:footerReference r:id="rId161" w:type="default"/>
          <w:pgSz w:w="11907" w:h="16840"/>
          <w:pgMar w:top="1182" w:right="1279" w:bottom="1014" w:left="1786" w:header="849" w:footer="852" w:gutter="0"/>
          <w:pgNumType w:fmt="decimal"/>
          <w:cols w:space="720" w:num="1"/>
        </w:sectPr>
      </w:pPr>
    </w:p>
    <w:p w14:paraId="4617F078">
      <w:pPr>
        <w:spacing w:before="273" w:line="223" w:lineRule="auto"/>
        <w:ind w:left="402"/>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10.4合同用款计划</w:t>
      </w:r>
    </w:p>
    <w:p w14:paraId="1B1D9AB7">
      <w:pPr>
        <w:pStyle w:val="4"/>
        <w:spacing w:line="352" w:lineRule="auto"/>
        <w:rPr>
          <w:rFonts w:hint="eastAsia" w:ascii="宋体" w:hAnsi="宋体" w:eastAsia="宋体" w:cs="宋体"/>
          <w:color w:val="auto"/>
          <w:highlight w:val="none"/>
        </w:rPr>
      </w:pPr>
    </w:p>
    <w:p w14:paraId="5C95DE5D">
      <w:pPr>
        <w:spacing w:before="78" w:line="316" w:lineRule="auto"/>
        <w:ind w:left="24" w:firstLine="353"/>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承包人应在签订本合同协议书后28天之内，按招标文件中规定的格式，向监理人提交2份按合同规定承包人有权得到支付的详细的季度合同用款计划，以备监理人查阅。</w:t>
      </w:r>
      <w:r>
        <w:rPr>
          <w:rFonts w:hint="eastAsia" w:ascii="宋体" w:hAnsi="宋体" w:eastAsia="宋体" w:cs="宋体"/>
          <w:color w:val="auto"/>
          <w:spacing w:val="-6"/>
          <w:sz w:val="24"/>
          <w:szCs w:val="24"/>
          <w:highlight w:val="none"/>
        </w:rPr>
        <w:t>如果监理人提出要求，承包人还应按季度提交修订的合同用款计划。</w:t>
      </w:r>
    </w:p>
    <w:p w14:paraId="6E4BBF4D">
      <w:pPr>
        <w:pStyle w:val="4"/>
        <w:spacing w:line="286" w:lineRule="auto"/>
        <w:rPr>
          <w:rFonts w:hint="eastAsia" w:ascii="宋体" w:hAnsi="宋体" w:eastAsia="宋体" w:cs="宋体"/>
          <w:color w:val="auto"/>
          <w:highlight w:val="none"/>
        </w:rPr>
      </w:pPr>
    </w:p>
    <w:p w14:paraId="2C24B526">
      <w:pPr>
        <w:spacing w:before="91" w:line="221" w:lineRule="auto"/>
        <w:ind w:left="464"/>
        <w:outlineLvl w:val="2"/>
        <w:rPr>
          <w:rFonts w:hint="eastAsia" w:ascii="宋体" w:hAnsi="宋体" w:eastAsia="宋体" w:cs="宋体"/>
          <w:color w:val="auto"/>
          <w:sz w:val="28"/>
          <w:szCs w:val="28"/>
          <w:highlight w:val="none"/>
        </w:rPr>
      </w:pPr>
      <w:bookmarkStart w:id="631" w:name="_Toc7839"/>
      <w:bookmarkStart w:id="632" w:name="_Toc139"/>
      <w:bookmarkStart w:id="633" w:name="_Toc19667"/>
      <w:bookmarkStart w:id="634" w:name="_Toc9896"/>
      <w:bookmarkStart w:id="635" w:name="_Toc3696"/>
      <w:r>
        <w:rPr>
          <w:rFonts w:hint="eastAsia" w:ascii="宋体" w:hAnsi="宋体" w:eastAsia="宋体" w:cs="宋体"/>
          <w:color w:val="auto"/>
          <w:spacing w:val="-12"/>
          <w:sz w:val="28"/>
          <w:szCs w:val="28"/>
          <w:highlight w:val="none"/>
        </w:rPr>
        <w:t>11.开工和交工</w:t>
      </w:r>
      <w:bookmarkEnd w:id="631"/>
      <w:bookmarkEnd w:id="632"/>
      <w:bookmarkEnd w:id="633"/>
      <w:bookmarkEnd w:id="634"/>
      <w:bookmarkEnd w:id="635"/>
    </w:p>
    <w:p w14:paraId="55FC70A0">
      <w:pPr>
        <w:pStyle w:val="4"/>
        <w:spacing w:line="273" w:lineRule="auto"/>
        <w:rPr>
          <w:rFonts w:hint="eastAsia" w:ascii="宋体" w:hAnsi="宋体" w:eastAsia="宋体" w:cs="宋体"/>
          <w:color w:val="auto"/>
          <w:highlight w:val="none"/>
        </w:rPr>
      </w:pPr>
    </w:p>
    <w:p w14:paraId="52F7AE31">
      <w:pPr>
        <w:spacing w:before="78" w:line="224" w:lineRule="auto"/>
        <w:ind w:left="402"/>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11.1开工</w:t>
      </w:r>
    </w:p>
    <w:p w14:paraId="3D5FD45D">
      <w:pPr>
        <w:pStyle w:val="4"/>
        <w:spacing w:line="350" w:lineRule="auto"/>
        <w:rPr>
          <w:rFonts w:hint="eastAsia" w:ascii="宋体" w:hAnsi="宋体" w:eastAsia="宋体" w:cs="宋体"/>
          <w:color w:val="auto"/>
          <w:highlight w:val="none"/>
        </w:rPr>
      </w:pPr>
    </w:p>
    <w:p w14:paraId="179B3EEA">
      <w:pPr>
        <w:spacing w:before="78" w:line="219" w:lineRule="auto"/>
        <w:ind w:left="37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第11.1.2项补充：</w:t>
      </w:r>
    </w:p>
    <w:p w14:paraId="13C09A62">
      <w:pPr>
        <w:spacing w:before="245" w:line="315" w:lineRule="auto"/>
        <w:ind w:left="23" w:firstLine="354"/>
        <w:jc w:val="both"/>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承包人应在分部工程开工前14天向监理人提交分部工程开工报审表，若承包人的开</w:t>
      </w:r>
      <w:r>
        <w:rPr>
          <w:rFonts w:hint="eastAsia" w:ascii="宋体" w:hAnsi="宋体" w:eastAsia="宋体" w:cs="宋体"/>
          <w:color w:val="auto"/>
          <w:spacing w:val="-8"/>
          <w:sz w:val="24"/>
          <w:szCs w:val="24"/>
          <w:highlight w:val="none"/>
        </w:rPr>
        <w:t>工准备、工作计划和质量控制方法是可接受的且已获得批准，则经监理人书面同意，分</w:t>
      </w:r>
      <w:r>
        <w:rPr>
          <w:rFonts w:hint="eastAsia" w:ascii="宋体" w:hAnsi="宋体" w:eastAsia="宋体" w:cs="宋体"/>
          <w:color w:val="auto"/>
          <w:spacing w:val="-10"/>
          <w:sz w:val="24"/>
          <w:szCs w:val="24"/>
          <w:highlight w:val="none"/>
        </w:rPr>
        <w:t>部工程才能开工。</w:t>
      </w:r>
    </w:p>
    <w:p w14:paraId="39DC1443">
      <w:pPr>
        <w:spacing w:before="20" w:line="221" w:lineRule="auto"/>
        <w:ind w:left="406"/>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11.3发包人的工期延误</w:t>
      </w:r>
    </w:p>
    <w:p w14:paraId="197A39BA">
      <w:pPr>
        <w:pStyle w:val="4"/>
        <w:spacing w:line="361" w:lineRule="auto"/>
        <w:rPr>
          <w:rFonts w:hint="eastAsia" w:ascii="宋体" w:hAnsi="宋体" w:eastAsia="宋体" w:cs="宋体"/>
          <w:color w:val="auto"/>
          <w:highlight w:val="none"/>
        </w:rPr>
      </w:pPr>
    </w:p>
    <w:p w14:paraId="26D57761">
      <w:pPr>
        <w:spacing w:before="78" w:line="219" w:lineRule="auto"/>
        <w:ind w:left="37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本款补充：</w:t>
      </w:r>
    </w:p>
    <w:p w14:paraId="547998CA">
      <w:pPr>
        <w:spacing w:before="244" w:line="316" w:lineRule="auto"/>
        <w:ind w:left="40" w:right="2" w:firstLine="355"/>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即使由于上述原因造成工期延误，如果受影响的工程并非处在工程施工进度网络计划</w:t>
      </w:r>
      <w:r>
        <w:rPr>
          <w:rFonts w:hint="eastAsia" w:ascii="宋体" w:hAnsi="宋体" w:eastAsia="宋体" w:cs="宋体"/>
          <w:color w:val="auto"/>
          <w:spacing w:val="-11"/>
          <w:sz w:val="24"/>
          <w:szCs w:val="24"/>
          <w:highlight w:val="none"/>
        </w:rPr>
        <w:t>的关键线路上，则承包人无权要求延长总工期。</w:t>
      </w:r>
    </w:p>
    <w:p w14:paraId="2618AAA7">
      <w:pPr>
        <w:spacing w:before="170" w:line="221" w:lineRule="auto"/>
        <w:ind w:left="406"/>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11.4异常恶劣的气候条件</w:t>
      </w:r>
    </w:p>
    <w:p w14:paraId="32F088B3">
      <w:pPr>
        <w:pStyle w:val="4"/>
        <w:spacing w:line="354" w:lineRule="auto"/>
        <w:rPr>
          <w:rFonts w:hint="eastAsia" w:ascii="宋体" w:hAnsi="宋体" w:eastAsia="宋体" w:cs="宋体"/>
          <w:color w:val="auto"/>
          <w:highlight w:val="none"/>
        </w:rPr>
      </w:pPr>
    </w:p>
    <w:p w14:paraId="7D9EA3D0">
      <w:pPr>
        <w:spacing w:before="78" w:line="219" w:lineRule="auto"/>
        <w:ind w:left="37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本款补充：</w:t>
      </w:r>
    </w:p>
    <w:p w14:paraId="2BB79EB3">
      <w:pPr>
        <w:spacing w:before="209" w:line="290" w:lineRule="auto"/>
        <w:ind w:left="21" w:right="42" w:firstLine="35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异常气候是指项目所在地30年以上一遇的罕见气候现象</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"http://baike.baidu.com/view/8193.htm" </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9"/>
          <w:sz w:val="24"/>
          <w:szCs w:val="24"/>
          <w:highlight w:val="none"/>
        </w:rPr>
        <w:t>(包括温度</w:t>
      </w:r>
      <w:r>
        <w:rPr>
          <w:rFonts w:hint="eastAsia" w:ascii="宋体" w:hAnsi="宋体" w:eastAsia="宋体" w:cs="宋体"/>
          <w:color w:val="auto"/>
          <w:spacing w:val="-9"/>
          <w:sz w:val="24"/>
          <w:szCs w:val="24"/>
          <w:highlight w:val="none"/>
        </w:rPr>
        <w:fldChar w:fldCharType="end"/>
      </w:r>
      <w:r>
        <w:rPr>
          <w:rFonts w:hint="eastAsia" w:ascii="宋体" w:hAnsi="宋体" w:eastAsia="宋体" w:cs="宋体"/>
          <w:color w:val="auto"/>
          <w:spacing w:val="-9"/>
          <w:sz w:val="24"/>
          <w:szCs w:val="24"/>
          <w:highlight w:val="none"/>
        </w:rPr>
        <w:t>、降水、降雪、</w:t>
      </w:r>
      <w:r>
        <w:rPr>
          <w:rFonts w:hint="eastAsia" w:ascii="宋体" w:hAnsi="宋体" w:eastAsia="宋体" w:cs="宋体"/>
          <w:color w:val="auto"/>
          <w:spacing w:val="-10"/>
          <w:sz w:val="24"/>
          <w:szCs w:val="24"/>
          <w:highlight w:val="none"/>
        </w:rPr>
        <w:t>风等)。异常恶劣的气候条件在项目专用合同条款中作具体约定。</w:t>
      </w:r>
    </w:p>
    <w:p w14:paraId="2467D3E8">
      <w:pPr>
        <w:spacing w:before="75" w:line="249" w:lineRule="auto"/>
        <w:ind w:left="365" w:right="5935" w:firstLine="41"/>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11.5承包人的工期延误</w:t>
      </w:r>
      <w:r>
        <w:rPr>
          <w:rFonts w:hint="eastAsia" w:ascii="宋体" w:hAnsi="宋体" w:eastAsia="宋体" w:cs="宋体"/>
          <w:color w:val="auto"/>
          <w:spacing w:val="-15"/>
          <w:sz w:val="24"/>
          <w:szCs w:val="24"/>
          <w:highlight w:val="none"/>
        </w:rPr>
        <w:t>本款细化为：</w:t>
      </w:r>
    </w:p>
    <w:p w14:paraId="0E348A25">
      <w:pPr>
        <w:keepNext w:val="0"/>
        <w:keepLines w:val="0"/>
        <w:pageBreakBefore w:val="0"/>
        <w:widowControl/>
        <w:kinsoku w:val="0"/>
        <w:wordWrap/>
        <w:overflowPunct/>
        <w:topLinePunct w:val="0"/>
        <w:autoSpaceDE w:val="0"/>
        <w:autoSpaceDN w:val="0"/>
        <w:bidi w:val="0"/>
        <w:adjustRightInd w:val="0"/>
        <w:snapToGrid w:val="0"/>
        <w:spacing w:before="143" w:line="298" w:lineRule="auto"/>
        <w:ind w:firstLine="666" w:firstLineChars="3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(1)承包人应严格执行监理人批准的合同进度计划，对工作量计划和形象进度计划</w:t>
      </w:r>
      <w:r>
        <w:rPr>
          <w:rFonts w:hint="eastAsia" w:ascii="宋体" w:hAnsi="宋体" w:eastAsia="宋体" w:cs="宋体"/>
          <w:color w:val="auto"/>
          <w:spacing w:val="-7"/>
          <w:sz w:val="24"/>
          <w:szCs w:val="24"/>
          <w:highlight w:val="none"/>
        </w:rPr>
        <w:t>分别控制。除第11.3款规定外，承包人的实际工程进度</w:t>
      </w:r>
      <w:r>
        <w:rPr>
          <w:rFonts w:hint="eastAsia" w:ascii="宋体" w:hAnsi="宋体" w:eastAsia="宋体" w:cs="宋体"/>
          <w:color w:val="auto"/>
          <w:spacing w:val="-8"/>
          <w:sz w:val="24"/>
          <w:szCs w:val="24"/>
          <w:highlight w:val="none"/>
        </w:rPr>
        <w:t>曲线应在合同进度管理曲线规</w:t>
      </w:r>
      <w:r>
        <w:rPr>
          <w:rFonts w:hint="eastAsia" w:ascii="宋体" w:hAnsi="宋体" w:eastAsia="宋体" w:cs="宋体"/>
          <w:color w:val="auto"/>
          <w:spacing w:val="-11"/>
          <w:sz w:val="24"/>
          <w:szCs w:val="24"/>
          <w:highlight w:val="none"/>
        </w:rPr>
        <w:t>定的安全区域之内。若承包人的实际工程进度曲线处在合同进度管理曲线规定的安全区域的下限之外时，则监理人有权认为本合同工程的进度过慢，并通知承包人应采取必要</w:t>
      </w:r>
      <w:r>
        <w:rPr>
          <w:rFonts w:hint="eastAsia" w:ascii="宋体" w:hAnsi="宋体" w:eastAsia="宋体" w:cs="宋体"/>
          <w:color w:val="auto"/>
          <w:spacing w:val="-12"/>
          <w:sz w:val="24"/>
          <w:szCs w:val="24"/>
          <w:highlight w:val="none"/>
        </w:rPr>
        <w:t>措</w:t>
      </w:r>
      <w:r>
        <w:rPr>
          <w:rFonts w:hint="eastAsia" w:ascii="宋体" w:hAnsi="宋体" w:eastAsia="宋体" w:cs="宋体"/>
          <w:color w:val="auto"/>
          <w:spacing w:val="-11"/>
          <w:sz w:val="24"/>
          <w:szCs w:val="24"/>
          <w:highlight w:val="none"/>
        </w:rPr>
        <w:t>施，以便加快工程进度，确保工程能在预定的工期内交工。承包人应采取措施加快</w:t>
      </w:r>
      <w:r>
        <w:rPr>
          <w:rFonts w:hint="eastAsia" w:ascii="宋体" w:hAnsi="宋体" w:eastAsia="宋体" w:cs="宋体"/>
          <w:color w:val="auto"/>
          <w:spacing w:val="-10"/>
          <w:sz w:val="24"/>
          <w:szCs w:val="24"/>
          <w:highlight w:val="none"/>
        </w:rPr>
        <w:t>进度，并承担加快进度所增加的费用。</w:t>
      </w:r>
    </w:p>
    <w:p w14:paraId="440FA8EE">
      <w:pPr>
        <w:spacing w:before="246" w:line="266" w:lineRule="auto"/>
        <w:ind w:left="21" w:firstLine="624" w:firstLineChars="289"/>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(2</w:t>
      </w:r>
      <w:r>
        <w:rPr>
          <w:rFonts w:hint="eastAsia" w:ascii="宋体" w:hAnsi="宋体" w:eastAsia="宋体" w:cs="宋体"/>
          <w:color w:val="auto"/>
          <w:spacing w:val="-11"/>
          <w:sz w:val="24"/>
          <w:szCs w:val="24"/>
          <w:highlight w:val="none"/>
        </w:rPr>
        <w:t>)如果承包人在接到监理人通知后的14天内，未能采取加</w:t>
      </w:r>
      <w:r>
        <w:rPr>
          <w:rFonts w:hint="eastAsia" w:ascii="宋体" w:hAnsi="宋体" w:eastAsia="宋体" w:cs="宋体"/>
          <w:color w:val="auto"/>
          <w:spacing w:val="-12"/>
          <w:sz w:val="24"/>
          <w:szCs w:val="24"/>
          <w:highlight w:val="none"/>
        </w:rPr>
        <w:t>快工程进度的措施，</w:t>
      </w:r>
      <w:r>
        <w:rPr>
          <w:rFonts w:hint="eastAsia" w:ascii="宋体" w:hAnsi="宋体" w:eastAsia="宋体" w:cs="宋体"/>
          <w:color w:val="auto"/>
          <w:spacing w:val="-10"/>
          <w:sz w:val="24"/>
          <w:szCs w:val="24"/>
          <w:highlight w:val="none"/>
        </w:rPr>
        <w:t>致</w:t>
      </w:r>
      <w:r>
        <w:rPr>
          <w:rFonts w:hint="eastAsia" w:ascii="宋体" w:hAnsi="宋体" w:eastAsia="宋体" w:cs="宋体"/>
          <w:color w:val="auto"/>
          <w:spacing w:val="-9"/>
          <w:sz w:val="24"/>
          <w:szCs w:val="24"/>
          <w:highlight w:val="none"/>
        </w:rPr>
        <w:t>使实际工程进度进一步滞后，或承包人虽采取了一些措</w:t>
      </w:r>
      <w:r>
        <w:rPr>
          <w:rFonts w:hint="eastAsia" w:ascii="宋体" w:hAnsi="宋体" w:eastAsia="宋体" w:cs="宋体"/>
          <w:color w:val="auto"/>
          <w:spacing w:val="-10"/>
          <w:sz w:val="24"/>
          <w:szCs w:val="24"/>
          <w:highlight w:val="none"/>
        </w:rPr>
        <w:t>施，仍无法按预计工期交工时，</w:t>
      </w:r>
    </w:p>
    <w:p w14:paraId="71F1ADA2">
      <w:pPr>
        <w:spacing w:line="266" w:lineRule="auto"/>
        <w:rPr>
          <w:rFonts w:hint="eastAsia" w:ascii="宋体" w:hAnsi="宋体" w:eastAsia="宋体" w:cs="宋体"/>
          <w:color w:val="auto"/>
          <w:sz w:val="24"/>
          <w:szCs w:val="24"/>
          <w:highlight w:val="none"/>
        </w:rPr>
        <w:sectPr>
          <w:headerReference r:id="rId162" w:type="default"/>
          <w:footerReference r:id="rId163" w:type="default"/>
          <w:pgSz w:w="11907" w:h="16840"/>
          <w:pgMar w:top="1182" w:right="1279" w:bottom="1014" w:left="1786" w:header="849" w:footer="852" w:gutter="0"/>
          <w:pgNumType w:fmt="decimal"/>
          <w:cols w:space="720" w:num="1"/>
        </w:sectPr>
      </w:pPr>
    </w:p>
    <w:p w14:paraId="3C99AE22">
      <w:pPr>
        <w:spacing w:before="291" w:line="316" w:lineRule="auto"/>
        <w:ind w:left="20" w:right="56"/>
        <w:jc w:val="both"/>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监理人应立即通知发包人。发包人在向承包人发出书面警告通知14天后，发包人可按</w:t>
      </w:r>
      <w:r>
        <w:rPr>
          <w:rFonts w:hint="eastAsia" w:ascii="宋体" w:hAnsi="宋体" w:eastAsia="宋体" w:cs="宋体"/>
          <w:color w:val="auto"/>
          <w:spacing w:val="-7"/>
          <w:sz w:val="24"/>
          <w:szCs w:val="24"/>
          <w:highlight w:val="none"/>
        </w:rPr>
        <w:t>第22.1款终止对承包人的雇用，也可将本合同工程中</w:t>
      </w:r>
      <w:r>
        <w:rPr>
          <w:rFonts w:hint="eastAsia" w:ascii="宋体" w:hAnsi="宋体" w:eastAsia="宋体" w:cs="宋体"/>
          <w:color w:val="auto"/>
          <w:spacing w:val="-8"/>
          <w:sz w:val="24"/>
          <w:szCs w:val="24"/>
          <w:highlight w:val="none"/>
        </w:rPr>
        <w:t>的一部分工作交由其他承包人或</w:t>
      </w:r>
      <w:r>
        <w:rPr>
          <w:rFonts w:hint="eastAsia" w:ascii="宋体" w:hAnsi="宋体" w:eastAsia="宋体" w:cs="宋体"/>
          <w:color w:val="auto"/>
          <w:spacing w:val="-10"/>
          <w:sz w:val="24"/>
          <w:szCs w:val="24"/>
          <w:highlight w:val="none"/>
        </w:rPr>
        <w:t>其他分包人完成。在不解除本合同规定的承包人责任和义务的同</w:t>
      </w:r>
      <w:r>
        <w:rPr>
          <w:rFonts w:hint="eastAsia" w:ascii="宋体" w:hAnsi="宋体" w:eastAsia="宋体" w:cs="宋体"/>
          <w:color w:val="auto"/>
          <w:spacing w:val="-11"/>
          <w:sz w:val="24"/>
          <w:szCs w:val="24"/>
          <w:highlight w:val="none"/>
        </w:rPr>
        <w:t>时，承包人应承担因</w:t>
      </w:r>
      <w:r>
        <w:rPr>
          <w:rFonts w:hint="eastAsia" w:ascii="宋体" w:hAnsi="宋体" w:eastAsia="宋体" w:cs="宋体"/>
          <w:color w:val="auto"/>
          <w:spacing w:val="-9"/>
          <w:sz w:val="24"/>
          <w:szCs w:val="24"/>
          <w:highlight w:val="none"/>
        </w:rPr>
        <w:t>此所增加的一切费用。</w:t>
      </w:r>
    </w:p>
    <w:p w14:paraId="39FE872B">
      <w:pPr>
        <w:spacing w:before="113" w:line="295" w:lineRule="auto"/>
        <w:ind w:left="20" w:right="56" w:firstLine="39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(3)由于承包人原因造成工期延误，承包人应支付逾期交工违约金。逾期交工违约</w:t>
      </w:r>
      <w:r>
        <w:rPr>
          <w:rFonts w:hint="eastAsia" w:ascii="宋体" w:hAnsi="宋体" w:eastAsia="宋体" w:cs="宋体"/>
          <w:color w:val="auto"/>
          <w:spacing w:val="-11"/>
          <w:sz w:val="24"/>
          <w:szCs w:val="24"/>
          <w:highlight w:val="none"/>
        </w:rPr>
        <w:t>金的计算方法在项目专用合同条款数据表中约定，时间自预定的交工日期起到交工验收证书中写明的实际交工日期止(扣除已批准的延长工期)，按天</w:t>
      </w:r>
      <w:r>
        <w:rPr>
          <w:rFonts w:hint="eastAsia" w:ascii="宋体" w:hAnsi="宋体" w:eastAsia="宋体" w:cs="宋体"/>
          <w:color w:val="auto"/>
          <w:spacing w:val="-12"/>
          <w:sz w:val="24"/>
          <w:szCs w:val="24"/>
          <w:highlight w:val="none"/>
        </w:rPr>
        <w:t>计算。逾期交工违约金</w:t>
      </w:r>
      <w:r>
        <w:rPr>
          <w:rFonts w:hint="eastAsia" w:ascii="宋体" w:hAnsi="宋体" w:eastAsia="宋体" w:cs="宋体"/>
          <w:color w:val="auto"/>
          <w:spacing w:val="-8"/>
          <w:sz w:val="24"/>
          <w:szCs w:val="24"/>
          <w:highlight w:val="none"/>
        </w:rPr>
        <w:t>累计金额最高不超过项目专用合同条款数据表中写明的限额。发包人可以从应付或到期</w:t>
      </w:r>
      <w:r>
        <w:rPr>
          <w:rFonts w:hint="eastAsia" w:ascii="宋体" w:hAnsi="宋体" w:eastAsia="宋体" w:cs="宋体"/>
          <w:color w:val="auto"/>
          <w:spacing w:val="-10"/>
          <w:sz w:val="24"/>
          <w:szCs w:val="24"/>
          <w:highlight w:val="none"/>
        </w:rPr>
        <w:t>应付给承包人的任何款项中或采用其他方法扣除此违约金。</w:t>
      </w:r>
    </w:p>
    <w:p w14:paraId="1E6905EA">
      <w:pPr>
        <w:spacing w:before="244" w:line="219" w:lineRule="auto"/>
        <w:ind w:left="420"/>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(4)承包人支付逾期交工违约金，不免除承包人完成工程及修补缺陷的义务。</w:t>
      </w:r>
    </w:p>
    <w:p w14:paraId="7874D710">
      <w:pPr>
        <w:spacing w:before="244" w:line="282" w:lineRule="auto"/>
        <w:ind w:left="21" w:right="56" w:firstLine="398"/>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(5)如果在合同工程完工之前，已对合同工程内按时完工的单位工程签发了交工验</w:t>
      </w:r>
      <w:r>
        <w:rPr>
          <w:rFonts w:hint="eastAsia" w:ascii="宋体" w:hAnsi="宋体" w:eastAsia="宋体" w:cs="宋体"/>
          <w:color w:val="auto"/>
          <w:spacing w:val="-11"/>
          <w:sz w:val="24"/>
          <w:szCs w:val="24"/>
          <w:highlight w:val="none"/>
        </w:rPr>
        <w:t>收证书，则合同工程的逾期交工违约金，应按已签发交工验收证书的单位工程的价值占</w:t>
      </w:r>
      <w:r>
        <w:rPr>
          <w:rFonts w:hint="eastAsia" w:ascii="宋体" w:hAnsi="宋体" w:eastAsia="宋体" w:cs="宋体"/>
          <w:color w:val="auto"/>
          <w:spacing w:val="-10"/>
          <w:sz w:val="24"/>
          <w:szCs w:val="24"/>
          <w:highlight w:val="none"/>
        </w:rPr>
        <w:t>合同工程价值的比例予以减少，但本规定不应影响逾期交工违约金的规定限额。</w:t>
      </w:r>
    </w:p>
    <w:p w14:paraId="1E4BAB8F">
      <w:pPr>
        <w:pStyle w:val="4"/>
        <w:spacing w:line="313" w:lineRule="auto"/>
        <w:rPr>
          <w:rFonts w:hint="eastAsia" w:ascii="宋体" w:hAnsi="宋体" w:eastAsia="宋体" w:cs="宋体"/>
          <w:color w:val="auto"/>
          <w:highlight w:val="none"/>
        </w:rPr>
      </w:pPr>
    </w:p>
    <w:p w14:paraId="3FE729CD">
      <w:pPr>
        <w:spacing w:before="79" w:line="222" w:lineRule="auto"/>
        <w:ind w:left="402"/>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11.6工期提前</w:t>
      </w:r>
    </w:p>
    <w:p w14:paraId="620AA329">
      <w:pPr>
        <w:pStyle w:val="4"/>
        <w:spacing w:line="357" w:lineRule="auto"/>
        <w:rPr>
          <w:rFonts w:hint="eastAsia" w:ascii="宋体" w:hAnsi="宋体" w:eastAsia="宋体" w:cs="宋体"/>
          <w:color w:val="auto"/>
          <w:highlight w:val="none"/>
        </w:rPr>
      </w:pPr>
    </w:p>
    <w:p w14:paraId="308091FF">
      <w:pPr>
        <w:spacing w:before="78" w:line="219" w:lineRule="auto"/>
        <w:ind w:left="37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本款补充：</w:t>
      </w:r>
    </w:p>
    <w:p w14:paraId="37F578E9">
      <w:pPr>
        <w:spacing w:before="243" w:line="316" w:lineRule="auto"/>
        <w:ind w:left="20" w:right="56" w:firstLine="361"/>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发包人不得随意要求承包人提前交工，承包人也</w:t>
      </w:r>
      <w:r>
        <w:rPr>
          <w:rFonts w:hint="eastAsia" w:ascii="宋体" w:hAnsi="宋体" w:eastAsia="宋体" w:cs="宋体"/>
          <w:color w:val="auto"/>
          <w:spacing w:val="-12"/>
          <w:sz w:val="24"/>
          <w:szCs w:val="24"/>
          <w:highlight w:val="none"/>
        </w:rPr>
        <w:t>不得随意提出提前交工的建议。如遇</w:t>
      </w:r>
      <w:r>
        <w:rPr>
          <w:rFonts w:hint="eastAsia" w:ascii="宋体" w:hAnsi="宋体" w:eastAsia="宋体" w:cs="宋体"/>
          <w:color w:val="auto"/>
          <w:spacing w:val="-10"/>
          <w:sz w:val="24"/>
          <w:szCs w:val="24"/>
          <w:highlight w:val="none"/>
        </w:rPr>
        <w:t>特殊情况，确需将工期提前的，发包人和承包人必须采取有效措施，确保工程质量。</w:t>
      </w:r>
    </w:p>
    <w:p w14:paraId="1D0231F6">
      <w:pPr>
        <w:spacing w:before="116" w:line="316" w:lineRule="auto"/>
        <w:ind w:left="22" w:right="56" w:firstLine="359"/>
        <w:jc w:val="both"/>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如果承包人提前交工，发包人支付奖金的计算方法在项目专用合同条款数据</w:t>
      </w:r>
      <w:r>
        <w:rPr>
          <w:rFonts w:hint="eastAsia" w:ascii="宋体" w:hAnsi="宋体" w:eastAsia="宋体" w:cs="宋体"/>
          <w:color w:val="auto"/>
          <w:spacing w:val="-6"/>
          <w:sz w:val="24"/>
          <w:szCs w:val="24"/>
          <w:highlight w:val="none"/>
        </w:rPr>
        <w:t>表中约</w:t>
      </w:r>
      <w:r>
        <w:rPr>
          <w:rFonts w:hint="eastAsia" w:ascii="宋体" w:hAnsi="宋体" w:eastAsia="宋体" w:cs="宋体"/>
          <w:color w:val="auto"/>
          <w:spacing w:val="-8"/>
          <w:sz w:val="24"/>
          <w:szCs w:val="24"/>
          <w:highlight w:val="none"/>
        </w:rPr>
        <w:t>定，时间自交工验收证书中写明的实际交工日期起至预定的交工日期止，按天计算。但</w:t>
      </w:r>
      <w:r>
        <w:rPr>
          <w:rFonts w:hint="eastAsia" w:ascii="宋体" w:hAnsi="宋体" w:eastAsia="宋体" w:cs="宋体"/>
          <w:color w:val="auto"/>
          <w:spacing w:val="-10"/>
          <w:sz w:val="24"/>
          <w:szCs w:val="24"/>
          <w:highlight w:val="none"/>
        </w:rPr>
        <w:t>奖金最高限额不超过项目专用合同条款数据表中写明的限额。</w:t>
      </w:r>
    </w:p>
    <w:p w14:paraId="51C9BE4C">
      <w:pPr>
        <w:spacing w:before="113" w:line="219" w:lineRule="auto"/>
        <w:ind w:left="37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本条补充第11.7款：</w:t>
      </w:r>
    </w:p>
    <w:p w14:paraId="02939EFF">
      <w:pPr>
        <w:spacing w:before="101" w:line="222" w:lineRule="auto"/>
        <w:ind w:left="404"/>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11.7工作时间的限制</w:t>
      </w:r>
    </w:p>
    <w:p w14:paraId="0DFB5A50">
      <w:pPr>
        <w:pStyle w:val="4"/>
        <w:spacing w:line="355" w:lineRule="auto"/>
        <w:rPr>
          <w:rFonts w:hint="eastAsia" w:ascii="宋体" w:hAnsi="宋体" w:eastAsia="宋体" w:cs="宋体"/>
          <w:color w:val="auto"/>
          <w:highlight w:val="none"/>
        </w:rPr>
      </w:pPr>
    </w:p>
    <w:p w14:paraId="72346ADB">
      <w:pPr>
        <w:spacing w:before="79" w:line="318" w:lineRule="auto"/>
        <w:ind w:left="23" w:right="56" w:firstLine="354"/>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承包人在夜间或国家规定的节假日进行永久工程的施工，应向监理人报告，</w:t>
      </w:r>
      <w:r>
        <w:rPr>
          <w:rFonts w:hint="eastAsia" w:ascii="宋体" w:hAnsi="宋体" w:eastAsia="宋体" w:cs="宋体"/>
          <w:color w:val="auto"/>
          <w:spacing w:val="-9"/>
          <w:sz w:val="24"/>
          <w:szCs w:val="24"/>
          <w:highlight w:val="none"/>
        </w:rPr>
        <w:t>以便监</w:t>
      </w:r>
      <w:r>
        <w:rPr>
          <w:rFonts w:hint="eastAsia" w:ascii="宋体" w:hAnsi="宋体" w:eastAsia="宋体" w:cs="宋体"/>
          <w:color w:val="auto"/>
          <w:spacing w:val="-10"/>
          <w:sz w:val="24"/>
          <w:szCs w:val="24"/>
          <w:highlight w:val="none"/>
        </w:rPr>
        <w:t>理人履行监理职责和义务。</w:t>
      </w:r>
    </w:p>
    <w:p w14:paraId="678AD42C">
      <w:pPr>
        <w:spacing w:before="113" w:line="315" w:lineRule="auto"/>
        <w:ind w:left="25" w:firstLine="350"/>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但是，为了抢救生命或保护财产，或为了工程的安全、质量而不可避免地短暂作业，</w:t>
      </w:r>
      <w:r>
        <w:rPr>
          <w:rFonts w:hint="eastAsia" w:ascii="宋体" w:hAnsi="宋体" w:eastAsia="宋体" w:cs="宋体"/>
          <w:color w:val="auto"/>
          <w:spacing w:val="-10"/>
          <w:sz w:val="24"/>
          <w:szCs w:val="24"/>
          <w:highlight w:val="none"/>
        </w:rPr>
        <w:t>则不必事先向监理人报告。但承包人应在事后立即向监理人报告。</w:t>
      </w:r>
    </w:p>
    <w:p w14:paraId="18640B78">
      <w:pPr>
        <w:spacing w:before="116" w:line="219" w:lineRule="auto"/>
        <w:ind w:left="379"/>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本款规定不适用于习惯上或施工本身要求实行连续生产的作业。</w:t>
      </w:r>
    </w:p>
    <w:p w14:paraId="26519EE0">
      <w:pPr>
        <w:spacing w:before="201" w:line="224" w:lineRule="auto"/>
        <w:ind w:left="471"/>
        <w:outlineLvl w:val="2"/>
        <w:rPr>
          <w:rFonts w:hint="eastAsia" w:ascii="宋体" w:hAnsi="宋体" w:eastAsia="宋体" w:cs="宋体"/>
          <w:color w:val="auto"/>
          <w:sz w:val="28"/>
          <w:szCs w:val="28"/>
          <w:highlight w:val="none"/>
        </w:rPr>
      </w:pPr>
      <w:bookmarkStart w:id="636" w:name="_Toc14512"/>
      <w:bookmarkStart w:id="637" w:name="_Toc11454"/>
      <w:bookmarkStart w:id="638" w:name="_Toc25192"/>
      <w:bookmarkStart w:id="639" w:name="_Toc118"/>
      <w:bookmarkStart w:id="640" w:name="_Toc29737"/>
      <w:r>
        <w:rPr>
          <w:rFonts w:hint="eastAsia" w:ascii="宋体" w:hAnsi="宋体" w:eastAsia="宋体" w:cs="宋体"/>
          <w:color w:val="auto"/>
          <w:spacing w:val="-7"/>
          <w:sz w:val="28"/>
          <w:szCs w:val="28"/>
          <w:highlight w:val="none"/>
        </w:rPr>
        <w:t>12.暂停施工</w:t>
      </w:r>
      <w:bookmarkEnd w:id="636"/>
      <w:bookmarkEnd w:id="637"/>
      <w:bookmarkEnd w:id="638"/>
      <w:bookmarkEnd w:id="639"/>
      <w:bookmarkEnd w:id="640"/>
    </w:p>
    <w:p w14:paraId="44809B37">
      <w:pPr>
        <w:pStyle w:val="4"/>
        <w:spacing w:line="268" w:lineRule="auto"/>
        <w:rPr>
          <w:rFonts w:hint="eastAsia" w:ascii="宋体" w:hAnsi="宋体" w:eastAsia="宋体" w:cs="宋体"/>
          <w:color w:val="auto"/>
          <w:highlight w:val="none"/>
        </w:rPr>
      </w:pPr>
    </w:p>
    <w:p w14:paraId="40CB4559">
      <w:pPr>
        <w:spacing w:before="79" w:line="221" w:lineRule="auto"/>
        <w:ind w:left="406"/>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12.1承包人暂停施工的责任</w:t>
      </w:r>
    </w:p>
    <w:p w14:paraId="2C8B4E5E">
      <w:pPr>
        <w:spacing w:line="221" w:lineRule="auto"/>
        <w:rPr>
          <w:rFonts w:hint="eastAsia" w:ascii="宋体" w:hAnsi="宋体" w:eastAsia="宋体" w:cs="宋体"/>
          <w:color w:val="auto"/>
          <w:sz w:val="24"/>
          <w:szCs w:val="24"/>
          <w:highlight w:val="none"/>
        </w:rPr>
        <w:sectPr>
          <w:headerReference r:id="rId164" w:type="default"/>
          <w:footerReference r:id="rId165" w:type="default"/>
          <w:pgSz w:w="11907" w:h="16840"/>
          <w:pgMar w:top="1182" w:right="1223" w:bottom="1014" w:left="1786" w:header="849" w:footer="852" w:gutter="0"/>
          <w:pgNumType w:fmt="decimal"/>
          <w:cols w:space="720" w:num="1"/>
        </w:sectPr>
      </w:pPr>
    </w:p>
    <w:p w14:paraId="63F5CABB">
      <w:pPr>
        <w:pStyle w:val="4"/>
        <w:spacing w:line="316" w:lineRule="auto"/>
        <w:rPr>
          <w:rFonts w:hint="eastAsia" w:ascii="宋体" w:hAnsi="宋体" w:eastAsia="宋体" w:cs="宋体"/>
          <w:color w:val="auto"/>
          <w:highlight w:val="none"/>
        </w:rPr>
      </w:pPr>
    </w:p>
    <w:p w14:paraId="5F78D3B8">
      <w:pPr>
        <w:pStyle w:val="4"/>
        <w:spacing w:line="316" w:lineRule="auto"/>
        <w:rPr>
          <w:rFonts w:hint="eastAsia" w:ascii="宋体" w:hAnsi="宋体" w:eastAsia="宋体" w:cs="宋体"/>
          <w:color w:val="auto"/>
          <w:highlight w:val="none"/>
        </w:rPr>
      </w:pPr>
    </w:p>
    <w:p w14:paraId="34BE27B1">
      <w:pPr>
        <w:spacing w:before="78" w:line="219" w:lineRule="auto"/>
        <w:ind w:left="37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本款第(5)项细化为：</w:t>
      </w:r>
    </w:p>
    <w:p w14:paraId="1CD9528D">
      <w:pPr>
        <w:spacing w:before="244" w:line="219" w:lineRule="auto"/>
        <w:ind w:left="420"/>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(5)现场气候条件导致的必要停工(第11.4款约定的异常恶劣的气候条件除外)；</w:t>
      </w:r>
    </w:p>
    <w:p w14:paraId="5C747093">
      <w:pPr>
        <w:spacing w:before="243" w:line="219" w:lineRule="auto"/>
        <w:ind w:left="420"/>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(6)项目专用合同条款可能约定的由承包人承担的其他暂停施工。</w:t>
      </w:r>
    </w:p>
    <w:p w14:paraId="6C8417BF">
      <w:pPr>
        <w:spacing w:before="196" w:line="222" w:lineRule="auto"/>
        <w:ind w:left="466"/>
        <w:outlineLvl w:val="2"/>
        <w:rPr>
          <w:rFonts w:hint="eastAsia" w:ascii="宋体" w:hAnsi="宋体" w:eastAsia="宋体" w:cs="宋体"/>
          <w:color w:val="auto"/>
          <w:sz w:val="28"/>
          <w:szCs w:val="28"/>
          <w:highlight w:val="none"/>
        </w:rPr>
      </w:pPr>
      <w:bookmarkStart w:id="641" w:name="_Toc524"/>
      <w:bookmarkStart w:id="642" w:name="_Toc29882"/>
      <w:bookmarkStart w:id="643" w:name="_Toc16275"/>
      <w:bookmarkStart w:id="644" w:name="_Toc9382"/>
      <w:bookmarkStart w:id="645" w:name="_Toc17775"/>
      <w:r>
        <w:rPr>
          <w:rFonts w:hint="eastAsia" w:ascii="宋体" w:hAnsi="宋体" w:eastAsia="宋体" w:cs="宋体"/>
          <w:color w:val="auto"/>
          <w:spacing w:val="-6"/>
          <w:sz w:val="28"/>
          <w:szCs w:val="28"/>
          <w:highlight w:val="none"/>
        </w:rPr>
        <w:t>13.工程质量</w:t>
      </w:r>
      <w:bookmarkEnd w:id="641"/>
      <w:bookmarkEnd w:id="642"/>
      <w:bookmarkEnd w:id="643"/>
      <w:bookmarkEnd w:id="644"/>
      <w:bookmarkEnd w:id="645"/>
    </w:p>
    <w:p w14:paraId="4D4D4C87">
      <w:pPr>
        <w:pStyle w:val="4"/>
        <w:spacing w:line="268" w:lineRule="auto"/>
        <w:rPr>
          <w:rFonts w:hint="eastAsia" w:ascii="宋体" w:hAnsi="宋体" w:eastAsia="宋体" w:cs="宋体"/>
          <w:color w:val="auto"/>
          <w:highlight w:val="none"/>
        </w:rPr>
      </w:pPr>
    </w:p>
    <w:p w14:paraId="604EF240">
      <w:pPr>
        <w:spacing w:before="78" w:line="222" w:lineRule="auto"/>
        <w:ind w:left="402"/>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13.1工程质量要求</w:t>
      </w:r>
    </w:p>
    <w:p w14:paraId="6601014F">
      <w:pPr>
        <w:pStyle w:val="4"/>
        <w:spacing w:line="356" w:lineRule="auto"/>
        <w:rPr>
          <w:rFonts w:hint="eastAsia" w:ascii="宋体" w:hAnsi="宋体" w:eastAsia="宋体" w:cs="宋体"/>
          <w:color w:val="auto"/>
          <w:highlight w:val="none"/>
        </w:rPr>
      </w:pPr>
    </w:p>
    <w:p w14:paraId="025926BE">
      <w:pPr>
        <w:spacing w:before="79" w:line="219" w:lineRule="auto"/>
        <w:ind w:left="378"/>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第13.1.1项约定为：</w:t>
      </w:r>
    </w:p>
    <w:p w14:paraId="6D3CE231">
      <w:pPr>
        <w:spacing w:before="245" w:line="316" w:lineRule="auto"/>
        <w:ind w:left="24" w:right="2" w:firstLine="356"/>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工程</w:t>
      </w:r>
      <w:r>
        <w:rPr>
          <w:rFonts w:hint="eastAsia" w:ascii="宋体" w:hAnsi="宋体" w:eastAsia="宋体" w:cs="宋体"/>
          <w:color w:val="auto"/>
          <w:spacing w:val="-12"/>
          <w:sz w:val="24"/>
          <w:szCs w:val="24"/>
          <w:highlight w:val="none"/>
        </w:rPr>
        <w:t>质量验收按技术规范及《公路工程质量检验</w:t>
      </w:r>
      <w:r>
        <w:rPr>
          <w:rFonts w:hint="eastAsia" w:ascii="宋体" w:hAnsi="宋体" w:eastAsia="宋体" w:cs="宋体"/>
          <w:color w:val="auto"/>
          <w:spacing w:val="-13"/>
          <w:sz w:val="24"/>
          <w:szCs w:val="24"/>
          <w:highlight w:val="none"/>
        </w:rPr>
        <w:t>评定标准》执行。本款补充第13.1.</w:t>
      </w:r>
      <w:r>
        <w:rPr>
          <w:rFonts w:hint="eastAsia" w:ascii="宋体" w:hAnsi="宋体" w:eastAsia="宋体" w:cs="宋体"/>
          <w:color w:val="auto"/>
          <w:spacing w:val="-11"/>
          <w:sz w:val="24"/>
          <w:szCs w:val="24"/>
          <w:highlight w:val="none"/>
        </w:rPr>
        <w:t>4</w:t>
      </w:r>
      <w:r>
        <w:rPr>
          <w:rFonts w:hint="eastAsia" w:ascii="宋体" w:hAnsi="宋体" w:eastAsia="宋体" w:cs="宋体"/>
          <w:color w:val="auto"/>
          <w:spacing w:val="-8"/>
          <w:sz w:val="24"/>
          <w:szCs w:val="24"/>
          <w:highlight w:val="none"/>
        </w:rPr>
        <w:t>项、第13.1.5项：</w:t>
      </w:r>
    </w:p>
    <w:p w14:paraId="62293773">
      <w:pPr>
        <w:spacing w:before="113" w:line="267" w:lineRule="auto"/>
        <w:ind w:left="24" w:firstLine="371"/>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13.1.4发包人和承包人应严格遵守《关于严格落实公路工程质量责任制的若干意</w:t>
      </w:r>
      <w:r>
        <w:rPr>
          <w:rFonts w:hint="eastAsia" w:ascii="宋体" w:hAnsi="宋体" w:eastAsia="宋体" w:cs="宋体"/>
          <w:color w:val="auto"/>
          <w:spacing w:val="-11"/>
          <w:sz w:val="24"/>
          <w:szCs w:val="24"/>
          <w:highlight w:val="none"/>
        </w:rPr>
        <w:t>见》的相关规定，认真执行工程质量责任登记制度并按要求填写工程质量责任登记</w:t>
      </w:r>
      <w:r>
        <w:rPr>
          <w:rFonts w:hint="eastAsia" w:ascii="宋体" w:hAnsi="宋体" w:eastAsia="宋体" w:cs="宋体"/>
          <w:color w:val="auto"/>
          <w:spacing w:val="-12"/>
          <w:sz w:val="24"/>
          <w:szCs w:val="24"/>
          <w:highlight w:val="none"/>
        </w:rPr>
        <w:t>表。</w:t>
      </w:r>
    </w:p>
    <w:p w14:paraId="168E9DC7">
      <w:pPr>
        <w:spacing w:before="242" w:line="283" w:lineRule="auto"/>
        <w:ind w:left="20" w:firstLine="375"/>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13.1.5本项目严格执行质量责任追究制度。质量事故处理实行“四不放过”原则：</w:t>
      </w:r>
      <w:r>
        <w:rPr>
          <w:rFonts w:hint="eastAsia" w:ascii="宋体" w:hAnsi="宋体" w:eastAsia="宋体" w:cs="宋体"/>
          <w:color w:val="auto"/>
          <w:spacing w:val="-8"/>
          <w:sz w:val="24"/>
          <w:szCs w:val="24"/>
          <w:highlight w:val="none"/>
        </w:rPr>
        <w:t>事故原因调查不清不放过；事故责任者没有受到教育不放过；没有防范措施不放过；相</w:t>
      </w:r>
      <w:r>
        <w:rPr>
          <w:rFonts w:hint="eastAsia" w:ascii="宋体" w:hAnsi="宋体" w:eastAsia="宋体" w:cs="宋体"/>
          <w:color w:val="auto"/>
          <w:spacing w:val="-10"/>
          <w:sz w:val="24"/>
          <w:szCs w:val="24"/>
          <w:highlight w:val="none"/>
        </w:rPr>
        <w:t>关责任人没受到处理不放过。</w:t>
      </w:r>
    </w:p>
    <w:p w14:paraId="08EAFBEF">
      <w:pPr>
        <w:spacing w:before="181" w:line="222" w:lineRule="auto"/>
        <w:ind w:left="406"/>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13.2承包人的质量管理</w:t>
      </w:r>
    </w:p>
    <w:p w14:paraId="49730B1E">
      <w:pPr>
        <w:pStyle w:val="4"/>
        <w:spacing w:line="360" w:lineRule="auto"/>
        <w:rPr>
          <w:rFonts w:hint="eastAsia" w:ascii="宋体" w:hAnsi="宋体" w:eastAsia="宋体" w:cs="宋体"/>
          <w:color w:val="auto"/>
          <w:highlight w:val="none"/>
        </w:rPr>
      </w:pPr>
    </w:p>
    <w:p w14:paraId="2752109D">
      <w:pPr>
        <w:spacing w:before="79" w:line="219" w:lineRule="auto"/>
        <w:ind w:left="37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第13.2.1项补充：</w:t>
      </w:r>
    </w:p>
    <w:p w14:paraId="71CB1B5F">
      <w:pPr>
        <w:spacing w:before="242" w:line="219" w:lineRule="auto"/>
        <w:ind w:left="378"/>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承包人提交工程质量保证措施文件的期限：签</w:t>
      </w:r>
      <w:r>
        <w:rPr>
          <w:rFonts w:hint="eastAsia" w:ascii="宋体" w:hAnsi="宋体" w:eastAsia="宋体" w:cs="宋体"/>
          <w:color w:val="auto"/>
          <w:spacing w:val="-10"/>
          <w:sz w:val="24"/>
          <w:szCs w:val="24"/>
          <w:highlight w:val="none"/>
        </w:rPr>
        <w:t>订合同协议书后28天之内。</w:t>
      </w:r>
    </w:p>
    <w:p w14:paraId="0A353C5F">
      <w:pPr>
        <w:spacing w:before="244" w:line="219" w:lineRule="auto"/>
        <w:ind w:left="379"/>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本款补充第13.2.3项~第13.2.10</w:t>
      </w:r>
      <w:r>
        <w:rPr>
          <w:rFonts w:hint="eastAsia" w:ascii="宋体" w:hAnsi="宋体" w:eastAsia="宋体" w:cs="宋体"/>
          <w:color w:val="auto"/>
          <w:spacing w:val="-8"/>
          <w:sz w:val="24"/>
          <w:szCs w:val="24"/>
          <w:highlight w:val="none"/>
        </w:rPr>
        <w:t>项：</w:t>
      </w:r>
    </w:p>
    <w:p w14:paraId="7013943D">
      <w:pPr>
        <w:spacing w:before="247" w:line="282" w:lineRule="auto"/>
        <w:ind w:left="20" w:firstLine="375"/>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13.2.3公路工程施行质量责任终身制。承包人应当书面明确相应的项目负责人和质量负责人。承包人的相关人员按照国家法律法规和有关规定在工程合理使用年限内承担</w:t>
      </w:r>
      <w:r>
        <w:rPr>
          <w:rFonts w:hint="eastAsia" w:ascii="宋体" w:hAnsi="宋体" w:eastAsia="宋体" w:cs="宋体"/>
          <w:color w:val="auto"/>
          <w:spacing w:val="-9"/>
          <w:sz w:val="24"/>
          <w:szCs w:val="24"/>
          <w:highlight w:val="none"/>
        </w:rPr>
        <w:t>相应的质量责任。</w:t>
      </w:r>
    </w:p>
    <w:p w14:paraId="056A545A">
      <w:pPr>
        <w:spacing w:before="244" w:line="282" w:lineRule="auto"/>
        <w:ind w:left="20" w:firstLine="375"/>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13.2.4承包人应当建立健全工程质量保证体系，制定质量管理制度，强化工程质量管理措施，完善工程质量目标保障机制；严格遵守国家有关法律、法规和规章，严格</w:t>
      </w:r>
      <w:r>
        <w:rPr>
          <w:rFonts w:hint="eastAsia" w:ascii="宋体" w:hAnsi="宋体" w:eastAsia="宋体" w:cs="宋体"/>
          <w:color w:val="auto"/>
          <w:spacing w:val="-10"/>
          <w:sz w:val="24"/>
          <w:szCs w:val="24"/>
          <w:highlight w:val="none"/>
        </w:rPr>
        <w:t>执行公路工程强制性技术标准、各类技术规范及规程，全面履行工程合同义务。</w:t>
      </w:r>
    </w:p>
    <w:p w14:paraId="0FED789B">
      <w:pPr>
        <w:spacing w:before="245" w:line="267" w:lineRule="auto"/>
        <w:ind w:left="23" w:firstLine="372"/>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13.2.5承包人对工程施工质量负责，应当按合同约定设立现场质量管理机构、配备</w:t>
      </w:r>
      <w:r>
        <w:rPr>
          <w:rFonts w:hint="eastAsia" w:ascii="宋体" w:hAnsi="宋体" w:eastAsia="宋体" w:cs="宋体"/>
          <w:color w:val="auto"/>
          <w:spacing w:val="-10"/>
          <w:sz w:val="24"/>
          <w:szCs w:val="24"/>
          <w:highlight w:val="none"/>
        </w:rPr>
        <w:t>工程技术人员和质量管理人员，落实工程施工质量责任制。</w:t>
      </w:r>
    </w:p>
    <w:p w14:paraId="00E21C05">
      <w:pPr>
        <w:spacing w:before="243" w:line="266" w:lineRule="auto"/>
        <w:ind w:firstLine="43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13</w:t>
      </w:r>
      <w:r>
        <w:rPr>
          <w:rFonts w:hint="eastAsia" w:ascii="宋体" w:hAnsi="宋体" w:eastAsia="宋体" w:cs="宋体"/>
          <w:color w:val="auto"/>
          <w:spacing w:val="-11"/>
          <w:sz w:val="24"/>
          <w:szCs w:val="24"/>
          <w:highlight w:val="none"/>
        </w:rPr>
        <w:t>.2.6承包人应当严格按照工程设计图纸、施工技术标准和合同约定施工，对原</w:t>
      </w:r>
      <w:r>
        <w:rPr>
          <w:rFonts w:hint="eastAsia" w:ascii="宋体" w:hAnsi="宋体" w:eastAsia="宋体" w:cs="宋体"/>
          <w:color w:val="auto"/>
          <w:spacing w:val="-9"/>
          <w:sz w:val="24"/>
          <w:szCs w:val="24"/>
          <w:highlight w:val="none"/>
        </w:rPr>
        <w:t>材</w:t>
      </w:r>
      <w:r>
        <w:rPr>
          <w:rFonts w:hint="eastAsia" w:ascii="宋体" w:hAnsi="宋体" w:eastAsia="宋体" w:cs="宋体"/>
          <w:color w:val="auto"/>
          <w:spacing w:val="-8"/>
          <w:sz w:val="24"/>
          <w:szCs w:val="24"/>
          <w:highlight w:val="none"/>
        </w:rPr>
        <w:t>料、混合料、构配件、工程实体、机电设备等进行检验；按规定施行班组自检、工序交</w:t>
      </w:r>
    </w:p>
    <w:p w14:paraId="3EF44F6F">
      <w:pPr>
        <w:spacing w:line="266" w:lineRule="auto"/>
        <w:rPr>
          <w:rFonts w:hint="eastAsia" w:ascii="宋体" w:hAnsi="宋体" w:eastAsia="宋体" w:cs="宋体"/>
          <w:color w:val="auto"/>
          <w:sz w:val="24"/>
          <w:szCs w:val="24"/>
          <w:highlight w:val="none"/>
        </w:rPr>
        <w:sectPr>
          <w:headerReference r:id="rId166" w:type="default"/>
          <w:footerReference r:id="rId167" w:type="default"/>
          <w:pgSz w:w="11907" w:h="16840"/>
          <w:pgMar w:top="1182" w:right="1279" w:bottom="1014" w:left="1786" w:header="849" w:footer="852" w:gutter="0"/>
          <w:pgNumType w:fmt="decimal"/>
          <w:cols w:space="720" w:num="1"/>
        </w:sectPr>
      </w:pPr>
    </w:p>
    <w:p w14:paraId="5E6E641B">
      <w:pPr>
        <w:spacing w:before="292" w:line="316" w:lineRule="auto"/>
        <w:ind w:left="19" w:right="56"/>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接检、专职质检员检验的质量控制程序；对分项工程、分部工程和单位工程进行质量自</w:t>
      </w:r>
      <w:r>
        <w:rPr>
          <w:rFonts w:hint="eastAsia" w:ascii="宋体" w:hAnsi="宋体" w:eastAsia="宋体" w:cs="宋体"/>
          <w:color w:val="auto"/>
          <w:spacing w:val="-10"/>
          <w:sz w:val="24"/>
          <w:szCs w:val="24"/>
          <w:highlight w:val="none"/>
        </w:rPr>
        <w:t>评。检验或者自评不合格的，不得进入下道工序或者投入使用。</w:t>
      </w:r>
    </w:p>
    <w:p w14:paraId="03A9F41D">
      <w:pPr>
        <w:spacing w:before="118" w:line="290" w:lineRule="auto"/>
        <w:ind w:left="20" w:firstLine="375"/>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13.2.7承包人应当加强施工过程质量控制，并形成完整、可追溯的施工质量管理</w:t>
      </w:r>
      <w:r>
        <w:rPr>
          <w:rFonts w:hint="eastAsia" w:ascii="宋体" w:hAnsi="宋体" w:eastAsia="宋体" w:cs="宋体"/>
          <w:color w:val="auto"/>
          <w:spacing w:val="-11"/>
          <w:sz w:val="24"/>
          <w:szCs w:val="24"/>
          <w:highlight w:val="none"/>
        </w:rPr>
        <w:t>资料，主体工程的隐蔽部位施工还应当保留影像资料。对施工中出现的质量问题或者验</w:t>
      </w:r>
      <w:r>
        <w:rPr>
          <w:rFonts w:hint="eastAsia" w:ascii="宋体" w:hAnsi="宋体" w:eastAsia="宋体" w:cs="宋体"/>
          <w:color w:val="auto"/>
          <w:spacing w:val="-15"/>
          <w:sz w:val="24"/>
          <w:szCs w:val="24"/>
          <w:highlight w:val="none"/>
        </w:rPr>
        <w:t>收不合格的工程，应当负责返工处理；对在保修范围和保修期限内发生质量问</w:t>
      </w:r>
      <w:r>
        <w:rPr>
          <w:rFonts w:hint="eastAsia" w:ascii="宋体" w:hAnsi="宋体" w:eastAsia="宋体" w:cs="宋体"/>
          <w:color w:val="auto"/>
          <w:spacing w:val="-16"/>
          <w:sz w:val="24"/>
          <w:szCs w:val="24"/>
          <w:highlight w:val="none"/>
        </w:rPr>
        <w:t>题的工程，</w:t>
      </w:r>
      <w:r>
        <w:rPr>
          <w:rFonts w:hint="eastAsia" w:ascii="宋体" w:hAnsi="宋体" w:eastAsia="宋体" w:cs="宋体"/>
          <w:color w:val="auto"/>
          <w:spacing w:val="-9"/>
          <w:sz w:val="24"/>
          <w:szCs w:val="24"/>
          <w:highlight w:val="none"/>
        </w:rPr>
        <w:t>应当履行保修义务。</w:t>
      </w:r>
    </w:p>
    <w:p w14:paraId="0E032889">
      <w:pPr>
        <w:spacing w:before="244" w:line="290" w:lineRule="auto"/>
        <w:ind w:right="56" w:firstLine="220" w:firstLineChars="100"/>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13.2.8承包人应当按照合同约定设立工地临时</w:t>
      </w:r>
      <w:r>
        <w:rPr>
          <w:rFonts w:hint="eastAsia" w:ascii="宋体" w:hAnsi="宋体" w:eastAsia="宋体" w:cs="宋体"/>
          <w:color w:val="auto"/>
          <w:spacing w:val="-11"/>
          <w:sz w:val="24"/>
          <w:szCs w:val="24"/>
          <w:highlight w:val="none"/>
        </w:rPr>
        <w:t>试验室，配齐检测和试验仪器、仪表，及时校正确保其精度；严格按照工程技术标准、检测规范和规程，在核定的试验检测参数范围内开展试验检测活动，并确保规范规定的检验、抽检频率。承包人应当对其</w:t>
      </w:r>
      <w:r>
        <w:rPr>
          <w:rFonts w:hint="eastAsia" w:ascii="宋体" w:hAnsi="宋体" w:eastAsia="宋体" w:cs="宋体"/>
          <w:color w:val="auto"/>
          <w:spacing w:val="-10"/>
          <w:sz w:val="24"/>
          <w:szCs w:val="24"/>
          <w:highlight w:val="none"/>
        </w:rPr>
        <w:t>设立的工地临时试验室所出具的试验检测数据和报告的真实性、客观性、准确性负责。</w:t>
      </w:r>
    </w:p>
    <w:p w14:paraId="5A793DA8">
      <w:pPr>
        <w:spacing w:before="243" w:line="267" w:lineRule="auto"/>
        <w:ind w:left="23" w:right="56" w:firstLine="372"/>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13.2.9承包人应当依法规范分包行为，并对承担的工程质量负总责，分包单位对</w:t>
      </w:r>
      <w:r>
        <w:rPr>
          <w:rFonts w:hint="eastAsia" w:ascii="宋体" w:hAnsi="宋体" w:eastAsia="宋体" w:cs="宋体"/>
          <w:color w:val="auto"/>
          <w:spacing w:val="-10"/>
          <w:sz w:val="24"/>
          <w:szCs w:val="24"/>
          <w:highlight w:val="none"/>
        </w:rPr>
        <w:t>分包合同范围内的工程质量负责。</w:t>
      </w:r>
    </w:p>
    <w:p w14:paraId="1C941CDC">
      <w:pPr>
        <w:spacing w:before="244" w:line="267" w:lineRule="auto"/>
        <w:ind w:left="18" w:right="56" w:firstLine="377"/>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13.2.10承包人驻工程现场机构应在现场驻地和重要的分部、分项工程施工现场设</w:t>
      </w:r>
      <w:r>
        <w:rPr>
          <w:rFonts w:hint="eastAsia" w:ascii="宋体" w:hAnsi="宋体" w:eastAsia="宋体" w:cs="宋体"/>
          <w:color w:val="auto"/>
          <w:spacing w:val="-10"/>
          <w:sz w:val="24"/>
          <w:szCs w:val="24"/>
          <w:highlight w:val="none"/>
        </w:rPr>
        <w:t>置明显的工程质量责任登记表公示牌。</w:t>
      </w:r>
    </w:p>
    <w:p w14:paraId="43D9F768">
      <w:pPr>
        <w:spacing w:before="305" w:line="222" w:lineRule="auto"/>
        <w:ind w:left="406"/>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13.4监理人的质量检查</w:t>
      </w:r>
    </w:p>
    <w:p w14:paraId="78E54253">
      <w:pPr>
        <w:pStyle w:val="4"/>
        <w:spacing w:line="355" w:lineRule="auto"/>
        <w:rPr>
          <w:rFonts w:hint="eastAsia" w:ascii="宋体" w:hAnsi="宋体" w:eastAsia="宋体" w:cs="宋体"/>
          <w:color w:val="auto"/>
          <w:highlight w:val="none"/>
        </w:rPr>
      </w:pPr>
    </w:p>
    <w:p w14:paraId="20FA518E">
      <w:pPr>
        <w:spacing w:before="78" w:line="219" w:lineRule="auto"/>
        <w:ind w:left="37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本款补充：</w:t>
      </w:r>
    </w:p>
    <w:p w14:paraId="73499774">
      <w:pPr>
        <w:spacing w:before="245" w:line="316" w:lineRule="auto"/>
        <w:ind w:left="21" w:right="56" w:firstLine="357"/>
        <w:jc w:val="both"/>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监理人及其委派的检验人员，应能进入工程现场，以及材料或工程设备的制</w:t>
      </w:r>
      <w:r>
        <w:rPr>
          <w:rFonts w:hint="eastAsia" w:ascii="宋体" w:hAnsi="宋体" w:eastAsia="宋体" w:cs="宋体"/>
          <w:color w:val="auto"/>
          <w:spacing w:val="-9"/>
          <w:sz w:val="24"/>
          <w:szCs w:val="24"/>
          <w:highlight w:val="none"/>
        </w:rPr>
        <w:t>造、加</w:t>
      </w:r>
      <w:r>
        <w:rPr>
          <w:rFonts w:hint="eastAsia" w:ascii="宋体" w:hAnsi="宋体" w:eastAsia="宋体" w:cs="宋体"/>
          <w:color w:val="auto"/>
          <w:spacing w:val="-11"/>
          <w:sz w:val="24"/>
          <w:szCs w:val="24"/>
          <w:highlight w:val="none"/>
        </w:rPr>
        <w:t>工或制配的车间和场所，包括不属于承包人的车间或场所进行检查，承包人应为此提供</w:t>
      </w:r>
      <w:r>
        <w:rPr>
          <w:rFonts w:hint="eastAsia" w:ascii="宋体" w:hAnsi="宋体" w:eastAsia="宋体" w:cs="宋体"/>
          <w:color w:val="auto"/>
          <w:spacing w:val="-9"/>
          <w:sz w:val="24"/>
          <w:szCs w:val="24"/>
          <w:highlight w:val="none"/>
        </w:rPr>
        <w:t>便利和协助。</w:t>
      </w:r>
    </w:p>
    <w:p w14:paraId="6DAAC3D9">
      <w:pPr>
        <w:spacing w:before="113" w:line="315" w:lineRule="auto"/>
        <w:ind w:left="20" w:right="56" w:firstLine="358"/>
        <w:jc w:val="both"/>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监理人可以将材料或工程设备的检查和检验委托给一家独立的有质量检验认证资格</w:t>
      </w:r>
      <w:r>
        <w:rPr>
          <w:rFonts w:hint="eastAsia" w:ascii="宋体" w:hAnsi="宋体" w:eastAsia="宋体" w:cs="宋体"/>
          <w:color w:val="auto"/>
          <w:spacing w:val="-8"/>
          <w:sz w:val="24"/>
          <w:szCs w:val="24"/>
          <w:highlight w:val="none"/>
        </w:rPr>
        <w:t>的检验单位。该独立检验单位的检验结果应视为监理人完成的。监理人应将这种委托的</w:t>
      </w:r>
      <w:r>
        <w:rPr>
          <w:rFonts w:hint="eastAsia" w:ascii="宋体" w:hAnsi="宋体" w:eastAsia="宋体" w:cs="宋体"/>
          <w:color w:val="auto"/>
          <w:spacing w:val="-10"/>
          <w:sz w:val="24"/>
          <w:szCs w:val="24"/>
          <w:highlight w:val="none"/>
        </w:rPr>
        <w:t>通知书不少于7天前交给承包人。</w:t>
      </w:r>
    </w:p>
    <w:p w14:paraId="4BCDBBCF">
      <w:pPr>
        <w:spacing w:before="170" w:line="222" w:lineRule="auto"/>
        <w:ind w:left="406"/>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13.5工程隐蔽部位覆盖前的检查</w:t>
      </w:r>
    </w:p>
    <w:p w14:paraId="785DED71">
      <w:pPr>
        <w:pStyle w:val="4"/>
        <w:spacing w:line="411" w:lineRule="auto"/>
        <w:rPr>
          <w:rFonts w:hint="eastAsia" w:ascii="宋体" w:hAnsi="宋体" w:eastAsia="宋体" w:cs="宋体"/>
          <w:color w:val="auto"/>
          <w:highlight w:val="none"/>
        </w:rPr>
      </w:pPr>
    </w:p>
    <w:p w14:paraId="716DA2BE">
      <w:pPr>
        <w:spacing w:before="79" w:line="219" w:lineRule="auto"/>
        <w:ind w:left="37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第13.5.1项补充：</w:t>
      </w:r>
    </w:p>
    <w:p w14:paraId="1431DEC1">
      <w:pPr>
        <w:spacing w:before="140" w:line="316" w:lineRule="auto"/>
        <w:ind w:left="22" w:right="56" w:firstLine="370"/>
        <w:jc w:val="both"/>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当监理人有指令时，承包人应对重要隐蔽工程进行拍摄或照相并应保证监理人有充分</w:t>
      </w:r>
      <w:r>
        <w:rPr>
          <w:rFonts w:hint="eastAsia" w:ascii="宋体" w:hAnsi="宋体" w:eastAsia="宋体" w:cs="宋体"/>
          <w:color w:val="auto"/>
          <w:spacing w:val="-8"/>
          <w:sz w:val="24"/>
          <w:szCs w:val="24"/>
          <w:highlight w:val="none"/>
        </w:rPr>
        <w:t>的机会对将要覆盖或掩蔽的工程进行检查和量测，特别是在基础以上的任一部分工程修</w:t>
      </w:r>
      <w:r>
        <w:rPr>
          <w:rFonts w:hint="eastAsia" w:ascii="宋体" w:hAnsi="宋体" w:eastAsia="宋体" w:cs="宋体"/>
          <w:color w:val="auto"/>
          <w:spacing w:val="-10"/>
          <w:sz w:val="24"/>
          <w:szCs w:val="24"/>
          <w:highlight w:val="none"/>
        </w:rPr>
        <w:t>筑之前，对该基础进行检查。</w:t>
      </w:r>
    </w:p>
    <w:p w14:paraId="40F41794">
      <w:pPr>
        <w:spacing w:before="168" w:line="222" w:lineRule="auto"/>
        <w:ind w:left="40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13.6清除不合格工程</w:t>
      </w:r>
    </w:p>
    <w:p w14:paraId="11601A7D">
      <w:pPr>
        <w:spacing w:before="138" w:line="219" w:lineRule="auto"/>
        <w:ind w:left="378"/>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第13.6.1项细化为：</w:t>
      </w:r>
    </w:p>
    <w:p w14:paraId="30F83997">
      <w:pPr>
        <w:spacing w:line="219" w:lineRule="auto"/>
        <w:rPr>
          <w:rFonts w:hint="eastAsia" w:ascii="宋体" w:hAnsi="宋体" w:eastAsia="宋体" w:cs="宋体"/>
          <w:color w:val="auto"/>
          <w:sz w:val="24"/>
          <w:szCs w:val="24"/>
          <w:highlight w:val="none"/>
        </w:rPr>
        <w:sectPr>
          <w:headerReference r:id="rId168" w:type="default"/>
          <w:footerReference r:id="rId169" w:type="default"/>
          <w:pgSz w:w="11907" w:h="16840"/>
          <w:pgMar w:top="1182" w:right="1223" w:bottom="1014" w:left="1786" w:header="849" w:footer="852" w:gutter="0"/>
          <w:pgNumType w:fmt="decimal"/>
          <w:cols w:space="720" w:num="1"/>
        </w:sectPr>
      </w:pPr>
    </w:p>
    <w:p w14:paraId="5D0E8FD5">
      <w:pPr>
        <w:spacing w:before="291" w:line="291" w:lineRule="auto"/>
        <w:ind w:left="22" w:firstLine="397"/>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(1</w:t>
      </w:r>
      <w:r>
        <w:rPr>
          <w:rFonts w:hint="eastAsia" w:ascii="宋体" w:hAnsi="宋体" w:eastAsia="宋体" w:cs="宋体"/>
          <w:color w:val="auto"/>
          <w:spacing w:val="-12"/>
          <w:sz w:val="24"/>
          <w:szCs w:val="24"/>
          <w:highlight w:val="none"/>
        </w:rPr>
        <w:t>)承包人使用不合格材料、工程设备，或采用不适当的施工工艺，或施工不当，</w:t>
      </w:r>
      <w:r>
        <w:rPr>
          <w:rFonts w:hint="eastAsia" w:ascii="宋体" w:hAnsi="宋体" w:eastAsia="宋体" w:cs="宋体"/>
          <w:color w:val="auto"/>
          <w:spacing w:val="-10"/>
          <w:sz w:val="24"/>
          <w:szCs w:val="24"/>
          <w:highlight w:val="none"/>
        </w:rPr>
        <w:t>造</w:t>
      </w:r>
      <w:r>
        <w:rPr>
          <w:rFonts w:hint="eastAsia" w:ascii="宋体" w:hAnsi="宋体" w:eastAsia="宋体" w:cs="宋体"/>
          <w:color w:val="auto"/>
          <w:spacing w:val="-12"/>
          <w:sz w:val="24"/>
          <w:szCs w:val="24"/>
          <w:highlight w:val="none"/>
        </w:rPr>
        <w:t>成</w:t>
      </w:r>
      <w:r>
        <w:rPr>
          <w:rFonts w:hint="eastAsia" w:ascii="宋体" w:hAnsi="宋体" w:eastAsia="宋体" w:cs="宋体"/>
          <w:color w:val="auto"/>
          <w:spacing w:val="-11"/>
          <w:sz w:val="24"/>
          <w:szCs w:val="24"/>
          <w:highlight w:val="none"/>
        </w:rPr>
        <w:t>工程不合格的，监理人可以随时发出指示，要求承包人立即采取措施进行替换、补</w:t>
      </w:r>
      <w:r>
        <w:rPr>
          <w:rFonts w:hint="eastAsia" w:ascii="宋体" w:hAnsi="宋体" w:eastAsia="宋体" w:cs="宋体"/>
          <w:color w:val="auto"/>
          <w:spacing w:val="-10"/>
          <w:sz w:val="24"/>
          <w:szCs w:val="24"/>
          <w:highlight w:val="none"/>
        </w:rPr>
        <w:t>救</w:t>
      </w:r>
      <w:r>
        <w:rPr>
          <w:rFonts w:hint="eastAsia" w:ascii="宋体" w:hAnsi="宋体" w:eastAsia="宋体" w:cs="宋体"/>
          <w:color w:val="auto"/>
          <w:spacing w:val="-9"/>
          <w:sz w:val="24"/>
          <w:szCs w:val="24"/>
          <w:highlight w:val="none"/>
        </w:rPr>
        <w:t>或拆除重建，直至达到合同要求的质量标准，由此增加的费用和(或)工期延误由承包</w:t>
      </w:r>
      <w:r>
        <w:rPr>
          <w:rFonts w:hint="eastAsia" w:ascii="宋体" w:hAnsi="宋体" w:eastAsia="宋体" w:cs="宋体"/>
          <w:color w:val="auto"/>
          <w:spacing w:val="-8"/>
          <w:sz w:val="24"/>
          <w:szCs w:val="24"/>
          <w:highlight w:val="none"/>
        </w:rPr>
        <w:t>人承担。</w:t>
      </w:r>
    </w:p>
    <w:p w14:paraId="3B29367C">
      <w:pPr>
        <w:spacing w:before="241" w:line="267" w:lineRule="auto"/>
        <w:ind w:left="21" w:firstLine="398"/>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(2</w:t>
      </w:r>
      <w:r>
        <w:rPr>
          <w:rFonts w:hint="eastAsia" w:ascii="宋体" w:hAnsi="宋体" w:eastAsia="宋体" w:cs="宋体"/>
          <w:color w:val="auto"/>
          <w:spacing w:val="-12"/>
          <w:sz w:val="24"/>
          <w:szCs w:val="24"/>
          <w:highlight w:val="none"/>
        </w:rPr>
        <w:t>)如果承包人未在规定时间内执行监理人的指示，发包人有权雇用他人执行，由</w:t>
      </w:r>
      <w:r>
        <w:rPr>
          <w:rFonts w:hint="eastAsia" w:ascii="宋体" w:hAnsi="宋体" w:eastAsia="宋体" w:cs="宋体"/>
          <w:color w:val="auto"/>
          <w:spacing w:val="-10"/>
          <w:sz w:val="24"/>
          <w:szCs w:val="24"/>
          <w:highlight w:val="none"/>
        </w:rPr>
        <w:t>此增加的费用和(或)工期延误由承包人承担</w:t>
      </w:r>
    </w:p>
    <w:p w14:paraId="68C44FE2">
      <w:pPr>
        <w:spacing w:before="194" w:line="222" w:lineRule="auto"/>
        <w:ind w:left="466"/>
        <w:outlineLvl w:val="2"/>
        <w:rPr>
          <w:rFonts w:hint="eastAsia" w:ascii="宋体" w:hAnsi="宋体" w:eastAsia="宋体" w:cs="宋体"/>
          <w:color w:val="auto"/>
          <w:sz w:val="28"/>
          <w:szCs w:val="28"/>
          <w:highlight w:val="none"/>
        </w:rPr>
      </w:pPr>
      <w:bookmarkStart w:id="646" w:name="_Toc10007"/>
      <w:bookmarkStart w:id="647" w:name="_Toc3244"/>
      <w:bookmarkStart w:id="648" w:name="_Toc18983"/>
      <w:bookmarkStart w:id="649" w:name="_Toc23351"/>
      <w:bookmarkStart w:id="650" w:name="_Toc9473"/>
      <w:r>
        <w:rPr>
          <w:rFonts w:hint="eastAsia" w:ascii="宋体" w:hAnsi="宋体" w:eastAsia="宋体" w:cs="宋体"/>
          <w:color w:val="auto"/>
          <w:spacing w:val="-6"/>
          <w:sz w:val="28"/>
          <w:szCs w:val="28"/>
          <w:highlight w:val="none"/>
        </w:rPr>
        <w:t>14.试验和检验</w:t>
      </w:r>
      <w:bookmarkEnd w:id="646"/>
      <w:bookmarkEnd w:id="647"/>
      <w:bookmarkEnd w:id="648"/>
      <w:bookmarkEnd w:id="649"/>
      <w:bookmarkEnd w:id="650"/>
    </w:p>
    <w:p w14:paraId="2AB0724E">
      <w:pPr>
        <w:spacing w:before="135" w:line="219" w:lineRule="auto"/>
        <w:ind w:left="37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本条补充第14.4款：</w:t>
      </w:r>
    </w:p>
    <w:p w14:paraId="6AEC7A24">
      <w:pPr>
        <w:pStyle w:val="4"/>
        <w:spacing w:line="381" w:lineRule="auto"/>
        <w:rPr>
          <w:rFonts w:hint="eastAsia" w:ascii="宋体" w:hAnsi="宋体" w:eastAsia="宋体" w:cs="宋体"/>
          <w:color w:val="auto"/>
          <w:highlight w:val="none"/>
        </w:rPr>
      </w:pPr>
    </w:p>
    <w:p w14:paraId="76B237D0">
      <w:pPr>
        <w:spacing w:before="78" w:line="221" w:lineRule="auto"/>
        <w:ind w:left="402"/>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14.4试验和检验费用</w:t>
      </w:r>
    </w:p>
    <w:p w14:paraId="3B96486B">
      <w:pPr>
        <w:pStyle w:val="4"/>
        <w:spacing w:line="359" w:lineRule="auto"/>
        <w:rPr>
          <w:rFonts w:hint="eastAsia" w:ascii="宋体" w:hAnsi="宋体" w:eastAsia="宋体" w:cs="宋体"/>
          <w:color w:val="auto"/>
          <w:highlight w:val="none"/>
        </w:rPr>
      </w:pPr>
    </w:p>
    <w:p w14:paraId="5D205421">
      <w:pPr>
        <w:spacing w:before="79" w:line="267" w:lineRule="auto"/>
        <w:ind w:left="34" w:right="2" w:firstLine="386"/>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(1)承包人应负责提供合同和技术规范规定的试验和检验所需的全部样品，并承</w:t>
      </w:r>
      <w:r>
        <w:rPr>
          <w:rFonts w:hint="eastAsia" w:ascii="宋体" w:hAnsi="宋体" w:eastAsia="宋体" w:cs="宋体"/>
          <w:color w:val="auto"/>
          <w:spacing w:val="-10"/>
          <w:sz w:val="24"/>
          <w:szCs w:val="24"/>
          <w:highlight w:val="none"/>
        </w:rPr>
        <w:t>担其</w:t>
      </w:r>
      <w:r>
        <w:rPr>
          <w:rFonts w:hint="eastAsia" w:ascii="宋体" w:hAnsi="宋体" w:eastAsia="宋体" w:cs="宋体"/>
          <w:color w:val="auto"/>
          <w:spacing w:val="-11"/>
          <w:sz w:val="24"/>
          <w:szCs w:val="24"/>
          <w:highlight w:val="none"/>
        </w:rPr>
        <w:t>费用。</w:t>
      </w:r>
    </w:p>
    <w:p w14:paraId="1FC4DDE5">
      <w:pPr>
        <w:spacing w:before="241" w:line="267" w:lineRule="auto"/>
        <w:ind w:left="20" w:right="2" w:firstLine="39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(2)在合同中明确规定的试验和检验，包括无须在工程量清单中单独列项和已在</w:t>
      </w:r>
      <w:r>
        <w:rPr>
          <w:rFonts w:hint="eastAsia" w:ascii="宋体" w:hAnsi="宋体" w:eastAsia="宋体" w:cs="宋体"/>
          <w:color w:val="auto"/>
          <w:spacing w:val="-10"/>
          <w:sz w:val="24"/>
          <w:szCs w:val="24"/>
          <w:highlight w:val="none"/>
        </w:rPr>
        <w:t>工程量清单中单独列项的试验和检验，其试验和检验的费用由承包人承担。</w:t>
      </w:r>
    </w:p>
    <w:p w14:paraId="1EA0C9DC">
      <w:pPr>
        <w:spacing w:before="243" w:line="283" w:lineRule="auto"/>
        <w:ind w:left="19" w:firstLine="40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(3)如果监理人所要求做的试验和检验为合同未规定的或是在该材料或工程设备的</w:t>
      </w:r>
      <w:r>
        <w:rPr>
          <w:rFonts w:hint="eastAsia" w:ascii="宋体" w:hAnsi="宋体" w:eastAsia="宋体" w:cs="宋体"/>
          <w:color w:val="auto"/>
          <w:spacing w:val="-8"/>
          <w:sz w:val="24"/>
          <w:szCs w:val="24"/>
          <w:highlight w:val="none"/>
        </w:rPr>
        <w:t>制造、加工、制配场地以外的场所进行的，则检验结束后，如表明操作工艺或材料、工</w:t>
      </w:r>
      <w:r>
        <w:rPr>
          <w:rFonts w:hint="eastAsia" w:ascii="宋体" w:hAnsi="宋体" w:eastAsia="宋体" w:cs="宋体"/>
          <w:color w:val="auto"/>
          <w:spacing w:val="-10"/>
          <w:sz w:val="24"/>
          <w:szCs w:val="24"/>
          <w:highlight w:val="none"/>
        </w:rPr>
        <w:t>程设备未能符合合同规定，其费用应由承包人承担，否则，其费用应由发包人承担。</w:t>
      </w:r>
    </w:p>
    <w:p w14:paraId="49FDC654">
      <w:pPr>
        <w:spacing w:before="193" w:line="222" w:lineRule="auto"/>
        <w:ind w:left="462"/>
        <w:outlineLvl w:val="2"/>
        <w:rPr>
          <w:rFonts w:hint="eastAsia" w:ascii="宋体" w:hAnsi="宋体" w:eastAsia="宋体" w:cs="宋体"/>
          <w:color w:val="auto"/>
          <w:sz w:val="28"/>
          <w:szCs w:val="28"/>
          <w:highlight w:val="none"/>
        </w:rPr>
      </w:pPr>
      <w:bookmarkStart w:id="651" w:name="_Toc28818"/>
      <w:bookmarkStart w:id="652" w:name="_Toc26791"/>
      <w:bookmarkStart w:id="653" w:name="_Toc14629"/>
      <w:bookmarkStart w:id="654" w:name="_Toc31891"/>
      <w:bookmarkStart w:id="655" w:name="_Toc30054"/>
      <w:r>
        <w:rPr>
          <w:rFonts w:hint="eastAsia" w:ascii="宋体" w:hAnsi="宋体" w:eastAsia="宋体" w:cs="宋体"/>
          <w:color w:val="auto"/>
          <w:spacing w:val="-12"/>
          <w:sz w:val="28"/>
          <w:szCs w:val="28"/>
          <w:highlight w:val="none"/>
        </w:rPr>
        <w:t>15.变更</w:t>
      </w:r>
      <w:bookmarkEnd w:id="651"/>
      <w:bookmarkEnd w:id="652"/>
      <w:bookmarkEnd w:id="653"/>
      <w:bookmarkEnd w:id="654"/>
      <w:bookmarkEnd w:id="655"/>
    </w:p>
    <w:p w14:paraId="4436B740">
      <w:pPr>
        <w:pStyle w:val="4"/>
        <w:spacing w:line="273" w:lineRule="auto"/>
        <w:rPr>
          <w:rFonts w:hint="eastAsia" w:ascii="宋体" w:hAnsi="宋体" w:eastAsia="宋体" w:cs="宋体"/>
          <w:color w:val="auto"/>
          <w:highlight w:val="none"/>
        </w:rPr>
      </w:pPr>
    </w:p>
    <w:p w14:paraId="2D76B07C">
      <w:pPr>
        <w:spacing w:before="78" w:line="222" w:lineRule="auto"/>
        <w:ind w:left="406"/>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15.1变更的范围和内容</w:t>
      </w:r>
    </w:p>
    <w:p w14:paraId="7EB446DA">
      <w:pPr>
        <w:pStyle w:val="4"/>
        <w:spacing w:line="356" w:lineRule="auto"/>
        <w:rPr>
          <w:rFonts w:hint="eastAsia" w:ascii="宋体" w:hAnsi="宋体" w:eastAsia="宋体" w:cs="宋体"/>
          <w:color w:val="auto"/>
          <w:highlight w:val="none"/>
        </w:rPr>
      </w:pPr>
    </w:p>
    <w:p w14:paraId="101357CD">
      <w:pPr>
        <w:spacing w:before="79" w:line="219" w:lineRule="auto"/>
        <w:ind w:left="37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本款第(1)项细化为：</w:t>
      </w:r>
    </w:p>
    <w:p w14:paraId="38A84CE5">
      <w:pPr>
        <w:spacing w:before="243" w:line="316" w:lineRule="auto"/>
        <w:ind w:left="20" w:right="2" w:firstLine="39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(1)取消合同中任何一项工作，但被取消的工作不能转由发包人或其他人实施，</w:t>
      </w:r>
      <w:r>
        <w:rPr>
          <w:rFonts w:hint="eastAsia" w:ascii="宋体" w:hAnsi="宋体" w:eastAsia="宋体" w:cs="宋体"/>
          <w:color w:val="auto"/>
          <w:spacing w:val="-10"/>
          <w:sz w:val="24"/>
          <w:szCs w:val="24"/>
          <w:highlight w:val="none"/>
        </w:rPr>
        <w:t>由于承包人违约造成的情况除外；</w:t>
      </w:r>
    </w:p>
    <w:p w14:paraId="21ADB73E">
      <w:pPr>
        <w:spacing w:before="169" w:line="222" w:lineRule="auto"/>
        <w:ind w:left="402"/>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15.3变更程序</w:t>
      </w:r>
    </w:p>
    <w:p w14:paraId="0902681A">
      <w:pPr>
        <w:pStyle w:val="4"/>
        <w:spacing w:line="351" w:lineRule="auto"/>
        <w:rPr>
          <w:rFonts w:hint="eastAsia" w:ascii="宋体" w:hAnsi="宋体" w:eastAsia="宋体" w:cs="宋体"/>
          <w:color w:val="auto"/>
          <w:highlight w:val="none"/>
        </w:rPr>
      </w:pPr>
    </w:p>
    <w:p w14:paraId="0D4F0287">
      <w:pPr>
        <w:spacing w:before="79" w:line="219" w:lineRule="auto"/>
        <w:ind w:left="37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本款补充第15.3.4项：</w:t>
      </w:r>
    </w:p>
    <w:p w14:paraId="29DC1564">
      <w:pPr>
        <w:spacing w:before="244" w:line="219" w:lineRule="auto"/>
        <w:ind w:left="396"/>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15.3.4设计变更程序应执行《公路工程设计变更管理办法》的相关规定。</w:t>
      </w:r>
    </w:p>
    <w:p w14:paraId="0BE74D7E">
      <w:pPr>
        <w:spacing w:before="151" w:line="274" w:lineRule="auto"/>
        <w:ind w:left="379" w:right="6103" w:firstLine="2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15.4变更的估价原则</w:t>
      </w:r>
      <w:r>
        <w:rPr>
          <w:rFonts w:hint="eastAsia" w:ascii="宋体" w:hAnsi="宋体" w:eastAsia="宋体" w:cs="宋体"/>
          <w:color w:val="auto"/>
          <w:spacing w:val="-9"/>
          <w:sz w:val="24"/>
          <w:szCs w:val="24"/>
          <w:highlight w:val="none"/>
        </w:rPr>
        <w:t>本款细化为：</w:t>
      </w:r>
    </w:p>
    <w:p w14:paraId="0E9875CF">
      <w:pPr>
        <w:spacing w:before="243" w:line="218" w:lineRule="auto"/>
        <w:ind w:left="392"/>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除项目专用合同条款另有约定外，因变更引起的价格调整按照本款约</w:t>
      </w:r>
      <w:r>
        <w:rPr>
          <w:rFonts w:hint="eastAsia" w:ascii="宋体" w:hAnsi="宋体" w:eastAsia="宋体" w:cs="宋体"/>
          <w:color w:val="auto"/>
          <w:spacing w:val="-11"/>
          <w:sz w:val="24"/>
          <w:szCs w:val="24"/>
          <w:highlight w:val="none"/>
        </w:rPr>
        <w:t>定处理。</w:t>
      </w:r>
    </w:p>
    <w:p w14:paraId="67F9CA75">
      <w:pPr>
        <w:spacing w:line="218" w:lineRule="auto"/>
        <w:rPr>
          <w:rFonts w:hint="eastAsia" w:ascii="宋体" w:hAnsi="宋体" w:eastAsia="宋体" w:cs="宋体"/>
          <w:color w:val="auto"/>
          <w:sz w:val="24"/>
          <w:szCs w:val="24"/>
          <w:highlight w:val="none"/>
        </w:rPr>
        <w:sectPr>
          <w:headerReference r:id="rId170" w:type="default"/>
          <w:footerReference r:id="rId171" w:type="default"/>
          <w:pgSz w:w="11907" w:h="16840"/>
          <w:pgMar w:top="1182" w:right="1279" w:bottom="1014" w:left="1786" w:header="849" w:footer="852" w:gutter="0"/>
          <w:pgNumType w:fmt="decimal"/>
          <w:cols w:space="720" w:num="1"/>
        </w:sectPr>
      </w:pPr>
    </w:p>
    <w:p w14:paraId="39BF7E5A">
      <w:pPr>
        <w:spacing w:before="292" w:line="218" w:lineRule="auto"/>
        <w:ind w:left="396"/>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15.4.1如果取消某项工作，则该项工作的总额价不予支付。</w:t>
      </w:r>
    </w:p>
    <w:p w14:paraId="44CB5148">
      <w:pPr>
        <w:spacing w:before="244" w:line="218" w:lineRule="auto"/>
        <w:ind w:left="396"/>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15.4.2已标价工程量清单中有适用</w:t>
      </w:r>
      <w:r>
        <w:rPr>
          <w:rFonts w:hint="eastAsia" w:ascii="宋体" w:hAnsi="宋体" w:eastAsia="宋体" w:cs="宋体"/>
          <w:color w:val="auto"/>
          <w:spacing w:val="-10"/>
          <w:sz w:val="24"/>
          <w:szCs w:val="24"/>
          <w:highlight w:val="none"/>
        </w:rPr>
        <w:t>于变更工作的子目的，采用该子目的单价。</w:t>
      </w:r>
    </w:p>
    <w:p w14:paraId="6AA14D3F">
      <w:pPr>
        <w:spacing w:before="246" w:line="266" w:lineRule="auto"/>
        <w:ind w:left="26" w:right="68" w:firstLine="369"/>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15.4.3已标价工程量清单中无适用于变更工作的子目，但有类似子目的，可在合理</w:t>
      </w:r>
      <w:r>
        <w:rPr>
          <w:rFonts w:hint="eastAsia" w:ascii="宋体" w:hAnsi="宋体" w:eastAsia="宋体" w:cs="宋体"/>
          <w:color w:val="auto"/>
          <w:spacing w:val="-10"/>
          <w:sz w:val="24"/>
          <w:szCs w:val="24"/>
          <w:highlight w:val="none"/>
        </w:rPr>
        <w:t>范围内参照类似子目的单价，由监理人按第3.5款商定或确定变更工作的单价。</w:t>
      </w:r>
    </w:p>
    <w:p w14:paraId="4B1D2ABE">
      <w:pPr>
        <w:spacing w:before="244" w:line="266" w:lineRule="auto"/>
        <w:ind w:left="32" w:right="65" w:firstLine="364"/>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15.4.4已标价工程量清单中无适用或类似子目的单价，可在综合考虑承包人在投标</w:t>
      </w:r>
      <w:r>
        <w:rPr>
          <w:rFonts w:hint="eastAsia" w:ascii="宋体" w:hAnsi="宋体" w:eastAsia="宋体" w:cs="宋体"/>
          <w:color w:val="auto"/>
          <w:spacing w:val="-10"/>
          <w:sz w:val="24"/>
          <w:szCs w:val="24"/>
          <w:highlight w:val="none"/>
        </w:rPr>
        <w:t>时所提供的单价分析表的基础上，由监理人按第3.5款商定或确定变更工作的单价。</w:t>
      </w:r>
    </w:p>
    <w:p w14:paraId="2F03C8F0">
      <w:pPr>
        <w:spacing w:before="246" w:line="267" w:lineRule="auto"/>
        <w:ind w:left="22" w:right="65" w:firstLine="373"/>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15.4.5如果本工程的变更指示是因承包人过错、承包人违反合同或承包人责任造</w:t>
      </w:r>
      <w:r>
        <w:rPr>
          <w:rFonts w:hint="eastAsia" w:ascii="宋体" w:hAnsi="宋体" w:eastAsia="宋体" w:cs="宋体"/>
          <w:color w:val="auto"/>
          <w:spacing w:val="-10"/>
          <w:sz w:val="24"/>
          <w:szCs w:val="24"/>
          <w:highlight w:val="none"/>
        </w:rPr>
        <w:t>成的，则这种违约引起的任何额外费用应由承包人承担。</w:t>
      </w:r>
    </w:p>
    <w:p w14:paraId="696AC53D">
      <w:pPr>
        <w:spacing w:before="151" w:line="222" w:lineRule="auto"/>
        <w:ind w:left="406"/>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15.5承包人的合理化建议</w:t>
      </w:r>
    </w:p>
    <w:p w14:paraId="03CA6FE7">
      <w:pPr>
        <w:pStyle w:val="4"/>
        <w:spacing w:line="359" w:lineRule="auto"/>
        <w:rPr>
          <w:rFonts w:hint="eastAsia" w:ascii="宋体" w:hAnsi="宋体" w:eastAsia="宋体" w:cs="宋体"/>
          <w:color w:val="auto"/>
          <w:highlight w:val="none"/>
        </w:rPr>
      </w:pPr>
    </w:p>
    <w:p w14:paraId="7B61B1D0">
      <w:pPr>
        <w:spacing w:before="78" w:line="219" w:lineRule="auto"/>
        <w:ind w:left="378"/>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第15.5.2项约定为：</w:t>
      </w:r>
    </w:p>
    <w:p w14:paraId="4914F96E">
      <w:pPr>
        <w:spacing w:before="243" w:line="309" w:lineRule="auto"/>
        <w:ind w:left="21" w:right="65" w:firstLine="356"/>
        <w:jc w:val="both"/>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承包人提出的合理化建议缩短了工期，发包人按</w:t>
      </w:r>
      <w:r>
        <w:rPr>
          <w:rFonts w:hint="eastAsia" w:ascii="宋体" w:hAnsi="宋体" w:eastAsia="宋体" w:cs="宋体"/>
          <w:color w:val="auto"/>
          <w:spacing w:val="-11"/>
          <w:sz w:val="24"/>
          <w:szCs w:val="24"/>
          <w:highlight w:val="none"/>
        </w:rPr>
        <w:t>第11.6款的规定给予奖励。承包人</w:t>
      </w:r>
      <w:r>
        <w:rPr>
          <w:rFonts w:hint="eastAsia" w:ascii="宋体" w:hAnsi="宋体" w:eastAsia="宋体" w:cs="宋体"/>
          <w:color w:val="auto"/>
          <w:spacing w:val="-10"/>
          <w:sz w:val="24"/>
          <w:szCs w:val="24"/>
          <w:highlight w:val="none"/>
        </w:rPr>
        <w:t>提出的合理化建议降低了合同价格或者提高了工程经济效益的，发包</w:t>
      </w:r>
      <w:r>
        <w:rPr>
          <w:rFonts w:hint="eastAsia" w:ascii="宋体" w:hAnsi="宋体" w:eastAsia="宋体" w:cs="宋体"/>
          <w:color w:val="auto"/>
          <w:spacing w:val="-11"/>
          <w:sz w:val="24"/>
          <w:szCs w:val="24"/>
          <w:highlight w:val="none"/>
        </w:rPr>
        <w:t>人按项目专用合同</w:t>
      </w:r>
      <w:r>
        <w:rPr>
          <w:rFonts w:hint="eastAsia" w:ascii="宋体" w:hAnsi="宋体" w:eastAsia="宋体" w:cs="宋体"/>
          <w:color w:val="auto"/>
          <w:spacing w:val="-10"/>
          <w:sz w:val="24"/>
          <w:szCs w:val="24"/>
          <w:highlight w:val="none"/>
        </w:rPr>
        <w:t>条款数据表中规定的金额给予奖励。</w:t>
      </w:r>
    </w:p>
    <w:p w14:paraId="624D3339">
      <w:pPr>
        <w:spacing w:before="1" w:line="221" w:lineRule="auto"/>
        <w:ind w:left="402"/>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15.6暂列金额</w:t>
      </w:r>
    </w:p>
    <w:p w14:paraId="0E8D655B">
      <w:pPr>
        <w:pStyle w:val="4"/>
        <w:spacing w:line="356" w:lineRule="auto"/>
        <w:rPr>
          <w:rFonts w:hint="eastAsia" w:ascii="宋体" w:hAnsi="宋体" w:eastAsia="宋体" w:cs="宋体"/>
          <w:color w:val="auto"/>
          <w:highlight w:val="none"/>
        </w:rPr>
      </w:pPr>
    </w:p>
    <w:p w14:paraId="3DBE21D5">
      <w:pPr>
        <w:spacing w:before="78" w:line="219" w:lineRule="auto"/>
        <w:ind w:left="37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本款细化为：</w:t>
      </w:r>
    </w:p>
    <w:p w14:paraId="6710D445">
      <w:pPr>
        <w:spacing w:before="244" w:line="267" w:lineRule="auto"/>
        <w:ind w:left="22" w:right="65" w:firstLine="373"/>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15.6.1暂列金额应由监理人报发包人批准后指令全部或部分地使用，或者根本不予动</w:t>
      </w:r>
      <w:r>
        <w:rPr>
          <w:rFonts w:hint="eastAsia" w:ascii="宋体" w:hAnsi="宋体" w:eastAsia="宋体" w:cs="宋体"/>
          <w:color w:val="auto"/>
          <w:spacing w:val="-6"/>
          <w:sz w:val="24"/>
          <w:szCs w:val="24"/>
          <w:highlight w:val="none"/>
        </w:rPr>
        <w:t>用。</w:t>
      </w:r>
    </w:p>
    <w:p w14:paraId="56338026">
      <w:pPr>
        <w:spacing w:before="243" w:line="282" w:lineRule="auto"/>
        <w:ind w:left="21" w:right="65" w:firstLine="374"/>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15.6.2对于经发包人批准的每一笔暂列金额，监理人有权向承包人发出实施工程或</w:t>
      </w:r>
      <w:r>
        <w:rPr>
          <w:rFonts w:hint="eastAsia" w:ascii="宋体" w:hAnsi="宋体" w:eastAsia="宋体" w:cs="宋体"/>
          <w:color w:val="auto"/>
          <w:spacing w:val="-12"/>
          <w:sz w:val="24"/>
          <w:szCs w:val="24"/>
          <w:highlight w:val="none"/>
        </w:rPr>
        <w:t>提供材料、工程设备或服务的指令。这些指令应由承包人完成，监理人应根据第1</w:t>
      </w:r>
      <w:r>
        <w:rPr>
          <w:rFonts w:hint="eastAsia" w:ascii="宋体" w:hAnsi="宋体" w:eastAsia="宋体" w:cs="宋体"/>
          <w:color w:val="auto"/>
          <w:spacing w:val="-13"/>
          <w:sz w:val="24"/>
          <w:szCs w:val="24"/>
          <w:highlight w:val="none"/>
        </w:rPr>
        <w:t>5.4款</w:t>
      </w:r>
      <w:r>
        <w:rPr>
          <w:rFonts w:hint="eastAsia" w:ascii="宋体" w:hAnsi="宋体" w:eastAsia="宋体" w:cs="宋体"/>
          <w:color w:val="auto"/>
          <w:spacing w:val="-9"/>
          <w:sz w:val="24"/>
          <w:szCs w:val="24"/>
          <w:highlight w:val="none"/>
        </w:rPr>
        <w:t>约定的变更估价原则和第15.7款的规定，对合同价</w:t>
      </w:r>
      <w:r>
        <w:rPr>
          <w:rFonts w:hint="eastAsia" w:ascii="宋体" w:hAnsi="宋体" w:eastAsia="宋体" w:cs="宋体"/>
          <w:color w:val="auto"/>
          <w:spacing w:val="-10"/>
          <w:sz w:val="24"/>
          <w:szCs w:val="24"/>
          <w:highlight w:val="none"/>
        </w:rPr>
        <w:t>格进行相应调整。</w:t>
      </w:r>
    </w:p>
    <w:p w14:paraId="58A741EC">
      <w:pPr>
        <w:spacing w:before="244" w:line="282" w:lineRule="auto"/>
        <w:ind w:left="21" w:firstLine="374"/>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15.6.3当监理人提出要求时，承包人应提供有关暂列金额支出的所有报</w:t>
      </w:r>
      <w:r>
        <w:rPr>
          <w:rFonts w:hint="eastAsia" w:ascii="宋体" w:hAnsi="宋体" w:eastAsia="宋体" w:cs="宋体"/>
          <w:color w:val="auto"/>
          <w:spacing w:val="-12"/>
          <w:sz w:val="24"/>
          <w:szCs w:val="24"/>
          <w:highlight w:val="none"/>
        </w:rPr>
        <w:t>价单、发票、</w:t>
      </w:r>
      <w:r>
        <w:rPr>
          <w:rFonts w:hint="eastAsia" w:ascii="宋体" w:hAnsi="宋体" w:eastAsia="宋体" w:cs="宋体"/>
          <w:color w:val="auto"/>
          <w:spacing w:val="-8"/>
          <w:sz w:val="24"/>
          <w:szCs w:val="24"/>
          <w:highlight w:val="none"/>
        </w:rPr>
        <w:t>凭证和账单或收据，除非该工作是根据已标价工程量清单列明的单价或总额价进行的估</w:t>
      </w:r>
      <w:r>
        <w:rPr>
          <w:rFonts w:hint="eastAsia" w:ascii="宋体" w:hAnsi="宋体" w:eastAsia="宋体" w:cs="宋体"/>
          <w:color w:val="auto"/>
          <w:spacing w:val="-6"/>
          <w:sz w:val="24"/>
          <w:szCs w:val="24"/>
          <w:highlight w:val="none"/>
        </w:rPr>
        <w:t>价。</w:t>
      </w:r>
    </w:p>
    <w:p w14:paraId="714AB3B4">
      <w:pPr>
        <w:spacing w:before="198" w:line="222" w:lineRule="auto"/>
        <w:ind w:left="464"/>
        <w:outlineLvl w:val="2"/>
        <w:rPr>
          <w:rFonts w:hint="eastAsia" w:ascii="宋体" w:hAnsi="宋体" w:eastAsia="宋体" w:cs="宋体"/>
          <w:color w:val="auto"/>
          <w:sz w:val="28"/>
          <w:szCs w:val="28"/>
          <w:highlight w:val="none"/>
        </w:rPr>
      </w:pPr>
      <w:bookmarkStart w:id="656" w:name="_Toc25538"/>
      <w:bookmarkStart w:id="657" w:name="_Toc16822"/>
      <w:bookmarkStart w:id="658" w:name="_Toc12760"/>
      <w:bookmarkStart w:id="659" w:name="_Toc5651"/>
      <w:bookmarkStart w:id="660" w:name="_Toc12764"/>
      <w:r>
        <w:rPr>
          <w:rFonts w:hint="eastAsia" w:ascii="宋体" w:hAnsi="宋体" w:eastAsia="宋体" w:cs="宋体"/>
          <w:color w:val="auto"/>
          <w:spacing w:val="-7"/>
          <w:sz w:val="28"/>
          <w:szCs w:val="28"/>
          <w:highlight w:val="none"/>
        </w:rPr>
        <w:t>16.价格调整</w:t>
      </w:r>
      <w:bookmarkEnd w:id="656"/>
      <w:bookmarkEnd w:id="657"/>
      <w:bookmarkEnd w:id="658"/>
      <w:bookmarkEnd w:id="659"/>
      <w:bookmarkEnd w:id="660"/>
    </w:p>
    <w:p w14:paraId="353DEBB4">
      <w:pPr>
        <w:pStyle w:val="4"/>
        <w:spacing w:line="270" w:lineRule="auto"/>
        <w:rPr>
          <w:rFonts w:hint="eastAsia" w:ascii="宋体" w:hAnsi="宋体" w:eastAsia="宋体" w:cs="宋体"/>
          <w:color w:val="auto"/>
          <w:highlight w:val="none"/>
        </w:rPr>
      </w:pPr>
    </w:p>
    <w:p w14:paraId="3F2F627D">
      <w:pPr>
        <w:spacing w:before="79" w:line="222" w:lineRule="auto"/>
        <w:ind w:left="406"/>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16.1物价波动引起的价格调整</w:t>
      </w:r>
    </w:p>
    <w:p w14:paraId="0D6E2FD8">
      <w:pPr>
        <w:pStyle w:val="4"/>
        <w:spacing w:line="358" w:lineRule="auto"/>
        <w:rPr>
          <w:rFonts w:hint="eastAsia" w:ascii="宋体" w:hAnsi="宋体" w:eastAsia="宋体" w:cs="宋体"/>
          <w:color w:val="auto"/>
          <w:highlight w:val="none"/>
        </w:rPr>
      </w:pPr>
    </w:p>
    <w:p w14:paraId="77D98F76">
      <w:pPr>
        <w:spacing w:before="79" w:line="219" w:lineRule="auto"/>
        <w:ind w:left="37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本款约定为：</w:t>
      </w:r>
    </w:p>
    <w:p w14:paraId="11720C90">
      <w:pPr>
        <w:spacing w:before="243" w:line="316" w:lineRule="auto"/>
        <w:ind w:left="22" w:right="68" w:firstLine="397"/>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(1)除项目专用合同条款另有约定外，因物价波动引起的价格调整应按项目专用</w:t>
      </w:r>
      <w:r>
        <w:rPr>
          <w:rFonts w:hint="eastAsia" w:ascii="宋体" w:hAnsi="宋体" w:eastAsia="宋体" w:cs="宋体"/>
          <w:color w:val="auto"/>
          <w:spacing w:val="-10"/>
          <w:sz w:val="24"/>
          <w:szCs w:val="24"/>
          <w:highlight w:val="none"/>
        </w:rPr>
        <w:t>合同</w:t>
      </w:r>
      <w:r>
        <w:rPr>
          <w:rFonts w:hint="eastAsia" w:ascii="宋体" w:hAnsi="宋体" w:eastAsia="宋体" w:cs="宋体"/>
          <w:color w:val="auto"/>
          <w:spacing w:val="-8"/>
          <w:sz w:val="24"/>
          <w:szCs w:val="24"/>
          <w:highlight w:val="none"/>
        </w:rPr>
        <w:t>条款数据表的规定，按照第16.1.1项或第</w:t>
      </w:r>
      <w:r>
        <w:rPr>
          <w:rFonts w:hint="eastAsia" w:ascii="宋体" w:hAnsi="宋体" w:eastAsia="宋体" w:cs="宋体"/>
          <w:color w:val="auto"/>
          <w:spacing w:val="-9"/>
          <w:sz w:val="24"/>
          <w:szCs w:val="24"/>
          <w:highlight w:val="none"/>
        </w:rPr>
        <w:t>16.1.2项约定的原则处理；或者</w:t>
      </w:r>
    </w:p>
    <w:p w14:paraId="772B81A2">
      <w:pPr>
        <w:spacing w:line="316" w:lineRule="auto"/>
        <w:rPr>
          <w:rFonts w:hint="eastAsia" w:ascii="宋体" w:hAnsi="宋体" w:eastAsia="宋体" w:cs="宋体"/>
          <w:color w:val="auto"/>
          <w:sz w:val="24"/>
          <w:szCs w:val="24"/>
          <w:highlight w:val="none"/>
        </w:rPr>
        <w:sectPr>
          <w:headerReference r:id="rId172" w:type="default"/>
          <w:footerReference r:id="rId173" w:type="default"/>
          <w:pgSz w:w="11907" w:h="16840"/>
          <w:pgMar w:top="1182" w:right="1214" w:bottom="1014" w:left="1786" w:header="849" w:footer="852" w:gutter="0"/>
          <w:pgNumType w:fmt="decimal"/>
          <w:cols w:space="720" w:num="1"/>
        </w:sectPr>
      </w:pPr>
    </w:p>
    <w:p w14:paraId="482D471F">
      <w:pPr>
        <w:spacing w:before="293" w:line="306" w:lineRule="auto"/>
        <w:ind w:left="19" w:firstLine="40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(2)在合同执行期间(包括工期拖延期间)由于人工、材料和设备价格的上涨而引起工</w:t>
      </w:r>
      <w:r>
        <w:rPr>
          <w:rFonts w:hint="eastAsia" w:ascii="宋体" w:hAnsi="宋体" w:eastAsia="宋体" w:cs="宋体"/>
          <w:color w:val="auto"/>
          <w:spacing w:val="-10"/>
          <w:sz w:val="24"/>
          <w:szCs w:val="24"/>
          <w:highlight w:val="none"/>
        </w:rPr>
        <w:t>程施工成本增加的风险由承包人自行承担，合同价格不会因此而调整。</w:t>
      </w:r>
    </w:p>
    <w:p w14:paraId="1FA14948">
      <w:pPr>
        <w:spacing w:line="221" w:lineRule="auto"/>
        <w:ind w:left="406"/>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16.1.1采用价格指数调整价格差额</w:t>
      </w:r>
    </w:p>
    <w:p w14:paraId="1744E56D">
      <w:pPr>
        <w:spacing w:before="136" w:line="218" w:lineRule="auto"/>
        <w:ind w:left="396"/>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16.1.1.1价格调整公式</w:t>
      </w:r>
    </w:p>
    <w:p w14:paraId="5830B77F">
      <w:pPr>
        <w:spacing w:before="244" w:line="218" w:lineRule="auto"/>
        <w:ind w:left="379"/>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价格调整公式后增加备注如下：</w:t>
      </w:r>
    </w:p>
    <w:p w14:paraId="7176FAAF">
      <w:pPr>
        <w:spacing w:before="245" w:line="220" w:lineRule="auto"/>
        <w:ind w:left="38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式中，A=1－(B1＋B2＋B3+……+</w:t>
      </w:r>
      <w:r>
        <w:rPr>
          <w:rFonts w:hint="eastAsia" w:ascii="宋体" w:hAnsi="宋体" w:eastAsia="宋体" w:cs="宋体"/>
          <w:color w:val="auto"/>
          <w:sz w:val="24"/>
          <w:szCs w:val="24"/>
          <w:highlight w:val="none"/>
        </w:rPr>
        <w:t>Bn</w:t>
      </w:r>
      <w:r>
        <w:rPr>
          <w:rFonts w:hint="eastAsia" w:ascii="宋体" w:hAnsi="宋体" w:eastAsia="宋体" w:cs="宋体"/>
          <w:color w:val="auto"/>
          <w:spacing w:val="2"/>
          <w:sz w:val="24"/>
          <w:szCs w:val="24"/>
          <w:highlight w:val="none"/>
        </w:rPr>
        <w:t>)。</w:t>
      </w:r>
    </w:p>
    <w:p w14:paraId="62C2D9F6">
      <w:pPr>
        <w:spacing w:before="244" w:line="219" w:lineRule="auto"/>
        <w:ind w:left="379"/>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本目最后一段文字细化为：</w:t>
      </w:r>
    </w:p>
    <w:p w14:paraId="30C84808">
      <w:pPr>
        <w:spacing w:before="244" w:line="218" w:lineRule="auto"/>
        <w:ind w:left="377"/>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在采用价格调整公式进行调价时，还应遵守以下规定：</w:t>
      </w:r>
    </w:p>
    <w:p w14:paraId="659C6217">
      <w:pPr>
        <w:spacing w:before="244" w:line="290" w:lineRule="auto"/>
        <w:ind w:left="20" w:firstLine="399"/>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w:t>
      </w:r>
      <w:r>
        <w:rPr>
          <w:rFonts w:hint="eastAsia" w:ascii="宋体" w:hAnsi="宋体" w:eastAsia="宋体" w:cs="宋体"/>
          <w:color w:val="auto"/>
          <w:spacing w:val="-12"/>
          <w:sz w:val="24"/>
          <w:szCs w:val="24"/>
          <w:highlight w:val="none"/>
        </w:rPr>
        <w:t>1)以上价格调整公式中的各可调因子、定值权重，以及基本价格指数及其来源由</w:t>
      </w:r>
      <w:r>
        <w:rPr>
          <w:rFonts w:hint="eastAsia" w:ascii="宋体" w:hAnsi="宋体" w:eastAsia="宋体" w:cs="宋体"/>
          <w:color w:val="auto"/>
          <w:spacing w:val="-11"/>
          <w:sz w:val="24"/>
          <w:szCs w:val="24"/>
          <w:highlight w:val="none"/>
        </w:rPr>
        <w:t>发</w:t>
      </w:r>
      <w:r>
        <w:rPr>
          <w:rFonts w:hint="eastAsia" w:ascii="宋体" w:hAnsi="宋体" w:eastAsia="宋体" w:cs="宋体"/>
          <w:color w:val="auto"/>
          <w:spacing w:val="-12"/>
          <w:sz w:val="24"/>
          <w:szCs w:val="24"/>
          <w:highlight w:val="none"/>
        </w:rPr>
        <w:t>包人在投标函附录价格指数和权重表中约定。价格指数应首先采用国家或省、自治区、</w:t>
      </w:r>
      <w:r>
        <w:rPr>
          <w:rFonts w:hint="eastAsia" w:ascii="宋体" w:hAnsi="宋体" w:eastAsia="宋体" w:cs="宋体"/>
          <w:color w:val="auto"/>
          <w:spacing w:val="-8"/>
          <w:sz w:val="24"/>
          <w:szCs w:val="24"/>
          <w:highlight w:val="none"/>
        </w:rPr>
        <w:t>直辖市价格部门或统计部门提供的价格指数，缺乏上述价格指数时，可采用上述部门提</w:t>
      </w:r>
      <w:r>
        <w:rPr>
          <w:rFonts w:hint="eastAsia" w:ascii="宋体" w:hAnsi="宋体" w:eastAsia="宋体" w:cs="宋体"/>
          <w:color w:val="auto"/>
          <w:spacing w:val="-9"/>
          <w:sz w:val="24"/>
          <w:szCs w:val="24"/>
          <w:highlight w:val="none"/>
        </w:rPr>
        <w:t>供的价格代替。</w:t>
      </w:r>
    </w:p>
    <w:p w14:paraId="49C6FFAB">
      <w:pPr>
        <w:spacing w:before="247" w:line="218" w:lineRule="auto"/>
        <w:ind w:left="420"/>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(2)价格调整公式中的变值权重，由发包人根据项目实际情况测算确定范</w:t>
      </w:r>
    </w:p>
    <w:p w14:paraId="4FBE695C">
      <w:pPr>
        <w:spacing w:before="245" w:line="315" w:lineRule="auto"/>
        <w:ind w:left="27" w:firstLine="372"/>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围，并在投标函附录价格指数和权重表中约定范围；承包人在</w:t>
      </w:r>
      <w:r>
        <w:rPr>
          <w:rFonts w:hint="eastAsia" w:ascii="宋体" w:hAnsi="宋体" w:eastAsia="宋体" w:cs="宋体"/>
          <w:color w:val="auto"/>
          <w:spacing w:val="-12"/>
          <w:sz w:val="24"/>
          <w:szCs w:val="24"/>
          <w:highlight w:val="none"/>
        </w:rPr>
        <w:t>投标时在此范围内填</w:t>
      </w:r>
      <w:r>
        <w:rPr>
          <w:rFonts w:hint="eastAsia" w:ascii="宋体" w:hAnsi="宋体" w:eastAsia="宋体" w:cs="宋体"/>
          <w:color w:val="auto"/>
          <w:spacing w:val="-10"/>
          <w:sz w:val="24"/>
          <w:szCs w:val="24"/>
          <w:highlight w:val="none"/>
        </w:rPr>
        <w:t>写各可调因子的权重，合同实施期间将按此权重进行调价。</w:t>
      </w:r>
    </w:p>
    <w:p w14:paraId="5DAA570D">
      <w:pPr>
        <w:spacing w:before="94" w:line="224" w:lineRule="auto"/>
        <w:ind w:left="464"/>
        <w:outlineLvl w:val="2"/>
        <w:rPr>
          <w:rFonts w:hint="eastAsia" w:ascii="宋体" w:hAnsi="宋体" w:eastAsia="宋体" w:cs="宋体"/>
          <w:color w:val="auto"/>
          <w:sz w:val="28"/>
          <w:szCs w:val="28"/>
          <w:highlight w:val="none"/>
        </w:rPr>
      </w:pPr>
      <w:bookmarkStart w:id="661" w:name="_Toc9777"/>
      <w:bookmarkStart w:id="662" w:name="_Toc28412"/>
      <w:bookmarkStart w:id="663" w:name="_Toc11195"/>
      <w:bookmarkStart w:id="664" w:name="_Toc9071"/>
      <w:bookmarkStart w:id="665" w:name="_Toc32574"/>
      <w:r>
        <w:rPr>
          <w:rFonts w:hint="eastAsia" w:ascii="宋体" w:hAnsi="宋体" w:eastAsia="宋体" w:cs="宋体"/>
          <w:color w:val="auto"/>
          <w:spacing w:val="-7"/>
          <w:sz w:val="28"/>
          <w:szCs w:val="28"/>
          <w:highlight w:val="none"/>
        </w:rPr>
        <w:t>17.计量与支付</w:t>
      </w:r>
      <w:bookmarkEnd w:id="661"/>
      <w:bookmarkEnd w:id="662"/>
      <w:bookmarkEnd w:id="663"/>
      <w:bookmarkEnd w:id="664"/>
      <w:bookmarkEnd w:id="665"/>
    </w:p>
    <w:p w14:paraId="30228E64">
      <w:pPr>
        <w:spacing w:before="199" w:line="225" w:lineRule="auto"/>
        <w:ind w:left="40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17.1计量</w:t>
      </w:r>
    </w:p>
    <w:p w14:paraId="301F2B03">
      <w:pPr>
        <w:spacing w:before="225" w:line="221" w:lineRule="auto"/>
        <w:ind w:left="40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17.1.2计量方法</w:t>
      </w:r>
    </w:p>
    <w:p w14:paraId="58AA5B8B">
      <w:pPr>
        <w:pStyle w:val="4"/>
        <w:spacing w:line="268" w:lineRule="auto"/>
        <w:rPr>
          <w:rFonts w:hint="eastAsia" w:ascii="宋体" w:hAnsi="宋体" w:eastAsia="宋体" w:cs="宋体"/>
          <w:color w:val="auto"/>
          <w:highlight w:val="none"/>
        </w:rPr>
      </w:pPr>
    </w:p>
    <w:p w14:paraId="04288D3D">
      <w:pPr>
        <w:spacing w:before="79" w:line="219" w:lineRule="auto"/>
        <w:ind w:left="37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本项约定为：</w:t>
      </w:r>
    </w:p>
    <w:p w14:paraId="31D26E5C">
      <w:pPr>
        <w:spacing w:before="245" w:line="316" w:lineRule="auto"/>
        <w:ind w:left="40" w:right="2" w:firstLine="340"/>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工程的计量应以净值为准，除非项目专用合同</w:t>
      </w:r>
      <w:r>
        <w:rPr>
          <w:rFonts w:hint="eastAsia" w:ascii="宋体" w:hAnsi="宋体" w:eastAsia="宋体" w:cs="宋体"/>
          <w:color w:val="auto"/>
          <w:spacing w:val="-12"/>
          <w:sz w:val="24"/>
          <w:szCs w:val="24"/>
          <w:highlight w:val="none"/>
        </w:rPr>
        <w:t>条款另有约定。工程量清单中各个子目</w:t>
      </w:r>
      <w:r>
        <w:rPr>
          <w:rFonts w:hint="eastAsia" w:ascii="宋体" w:hAnsi="宋体" w:eastAsia="宋体" w:cs="宋体"/>
          <w:color w:val="auto"/>
          <w:spacing w:val="-11"/>
          <w:sz w:val="24"/>
          <w:szCs w:val="24"/>
          <w:highlight w:val="none"/>
        </w:rPr>
        <w:t>的具体计量方法按本合同文件工程量清单计量规则中的规定执行。</w:t>
      </w:r>
    </w:p>
    <w:p w14:paraId="200EA808">
      <w:pPr>
        <w:spacing w:before="116" w:line="218" w:lineRule="auto"/>
        <w:ind w:left="396"/>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17.1.4单价子目的计量本项补充：</w:t>
      </w:r>
    </w:p>
    <w:p w14:paraId="390ED2B7">
      <w:pPr>
        <w:spacing w:before="245" w:line="299" w:lineRule="auto"/>
        <w:ind w:left="20" w:right="2" w:firstLine="39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(7)承包人未在已标价工程量清单中填入单价或总额价的工程子目，将被认为其</w:t>
      </w:r>
      <w:r>
        <w:rPr>
          <w:rFonts w:hint="eastAsia" w:ascii="宋体" w:hAnsi="宋体" w:eastAsia="宋体" w:cs="宋体"/>
          <w:color w:val="auto"/>
          <w:spacing w:val="-10"/>
          <w:sz w:val="24"/>
          <w:szCs w:val="24"/>
          <w:highlight w:val="none"/>
        </w:rPr>
        <w:t>已包含在本合同的其他子目的单价和总额价中，发包人将不另行支付。</w:t>
      </w:r>
    </w:p>
    <w:p w14:paraId="5D7689D9">
      <w:pPr>
        <w:spacing w:line="326" w:lineRule="auto"/>
        <w:ind w:left="379" w:right="5865" w:firstLine="2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17.1.5总价子目的计量</w:t>
      </w:r>
      <w:r>
        <w:rPr>
          <w:rFonts w:hint="eastAsia" w:ascii="宋体" w:hAnsi="宋体" w:eastAsia="宋体" w:cs="宋体"/>
          <w:color w:val="auto"/>
          <w:spacing w:val="-9"/>
          <w:sz w:val="24"/>
          <w:szCs w:val="24"/>
          <w:highlight w:val="none"/>
        </w:rPr>
        <w:t>本项补充：</w:t>
      </w:r>
    </w:p>
    <w:p w14:paraId="5811CACD">
      <w:pPr>
        <w:spacing w:before="244" w:line="299" w:lineRule="auto"/>
        <w:ind w:left="21" w:firstLine="357"/>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本项目工程量清单中要求承包人以“总额”方式报价的子目，各子目的支</w:t>
      </w:r>
      <w:r>
        <w:rPr>
          <w:rFonts w:hint="eastAsia" w:ascii="宋体" w:hAnsi="宋体" w:eastAsia="宋体" w:cs="宋体"/>
          <w:color w:val="auto"/>
          <w:spacing w:val="-9"/>
          <w:sz w:val="24"/>
          <w:szCs w:val="24"/>
          <w:highlight w:val="none"/>
        </w:rPr>
        <w:t>付原则和</w:t>
      </w:r>
      <w:r>
        <w:rPr>
          <w:rFonts w:hint="eastAsia" w:ascii="宋体" w:hAnsi="宋体" w:eastAsia="宋体" w:cs="宋体"/>
          <w:color w:val="auto"/>
          <w:spacing w:val="-10"/>
          <w:sz w:val="24"/>
          <w:szCs w:val="24"/>
          <w:highlight w:val="none"/>
        </w:rPr>
        <w:t>支付进度按项目专用合同条款的规定执行。</w:t>
      </w:r>
    </w:p>
    <w:p w14:paraId="17775A1B">
      <w:pPr>
        <w:spacing w:before="1" w:line="221" w:lineRule="auto"/>
        <w:ind w:left="40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17.2预付款</w:t>
      </w:r>
    </w:p>
    <w:p w14:paraId="560035CB">
      <w:pPr>
        <w:spacing w:line="221" w:lineRule="auto"/>
        <w:rPr>
          <w:rFonts w:hint="eastAsia" w:ascii="宋体" w:hAnsi="宋体" w:eastAsia="宋体" w:cs="宋体"/>
          <w:color w:val="auto"/>
          <w:sz w:val="24"/>
          <w:szCs w:val="24"/>
          <w:highlight w:val="none"/>
        </w:rPr>
        <w:sectPr>
          <w:headerReference r:id="rId174" w:type="default"/>
          <w:footerReference r:id="rId175" w:type="default"/>
          <w:pgSz w:w="11907" w:h="16840"/>
          <w:pgMar w:top="1182" w:right="1279" w:bottom="1014" w:left="1786" w:header="849" w:footer="852" w:gutter="0"/>
          <w:pgNumType w:fmt="decimal"/>
          <w:cols w:space="720" w:num="1"/>
        </w:sectPr>
      </w:pPr>
    </w:p>
    <w:p w14:paraId="620EC527">
      <w:pPr>
        <w:spacing w:before="253" w:line="222" w:lineRule="auto"/>
        <w:ind w:left="40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17.2.1预付款本项约定为：</w:t>
      </w:r>
    </w:p>
    <w:p w14:paraId="66EE37E2">
      <w:pPr>
        <w:spacing w:before="273" w:line="219" w:lineRule="auto"/>
        <w:ind w:left="380"/>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预付款包括开工预付款和材料、设备预付款。具体额度和预付办法如下：</w:t>
      </w:r>
    </w:p>
    <w:p w14:paraId="69586E6B">
      <w:pPr>
        <w:spacing w:before="244" w:line="316" w:lineRule="auto"/>
        <w:ind w:left="22" w:firstLine="397"/>
        <w:jc w:val="both"/>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(1)开工预付款的金额在项目专用合同条款数据表中约定。在承包人签订了合同协议</w:t>
      </w:r>
      <w:r>
        <w:rPr>
          <w:rFonts w:hint="eastAsia" w:ascii="宋体" w:hAnsi="宋体" w:eastAsia="宋体" w:cs="宋体"/>
          <w:color w:val="auto"/>
          <w:spacing w:val="-8"/>
          <w:sz w:val="24"/>
          <w:szCs w:val="24"/>
          <w:highlight w:val="none"/>
        </w:rPr>
        <w:t>书且承包人承诺的主要设备进场后，监理人应在当期进度付款证书中向承包人支付开工预付款。</w:t>
      </w:r>
    </w:p>
    <w:p w14:paraId="76DCCA6C">
      <w:pPr>
        <w:spacing w:before="113" w:line="316" w:lineRule="auto"/>
        <w:ind w:left="19" w:firstLine="358"/>
        <w:jc w:val="both"/>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承包人不得将该预付款用于与本工程无关的支出，监理人</w:t>
      </w:r>
      <w:r>
        <w:rPr>
          <w:rFonts w:hint="eastAsia" w:ascii="宋体" w:hAnsi="宋体" w:eastAsia="宋体" w:cs="宋体"/>
          <w:color w:val="auto"/>
          <w:spacing w:val="-12"/>
          <w:sz w:val="24"/>
          <w:szCs w:val="24"/>
          <w:highlight w:val="none"/>
        </w:rPr>
        <w:t>有权监督承包人对该项费用</w:t>
      </w:r>
      <w:r>
        <w:rPr>
          <w:rFonts w:hint="eastAsia" w:ascii="宋体" w:hAnsi="宋体" w:eastAsia="宋体" w:cs="宋体"/>
          <w:color w:val="auto"/>
          <w:spacing w:val="-8"/>
          <w:sz w:val="24"/>
          <w:szCs w:val="24"/>
          <w:highlight w:val="none"/>
        </w:rPr>
        <w:t>的使用，如经查实承包人滥用开工预付款，发包人有权立即向银行索赔履约保证金，并解除合同。</w:t>
      </w:r>
    </w:p>
    <w:p w14:paraId="13FC8423">
      <w:pPr>
        <w:spacing w:before="114" w:line="315" w:lineRule="auto"/>
        <w:ind w:left="21" w:firstLine="398"/>
        <w:jc w:val="both"/>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(2</w:t>
      </w:r>
      <w:r>
        <w:rPr>
          <w:rFonts w:hint="eastAsia" w:ascii="宋体" w:hAnsi="宋体" w:eastAsia="宋体" w:cs="宋体"/>
          <w:color w:val="auto"/>
          <w:spacing w:val="-12"/>
          <w:sz w:val="24"/>
          <w:szCs w:val="24"/>
          <w:highlight w:val="none"/>
        </w:rPr>
        <w:t>)材料、设备预付款按项目专用合同条款数据表中所列主要材料、设备单据费用(</w:t>
      </w:r>
      <w:r>
        <w:rPr>
          <w:rFonts w:hint="eastAsia" w:ascii="宋体" w:hAnsi="宋体" w:eastAsia="宋体" w:cs="宋体"/>
          <w:color w:val="auto"/>
          <w:spacing w:val="-10"/>
          <w:sz w:val="24"/>
          <w:szCs w:val="24"/>
          <w:highlight w:val="none"/>
        </w:rPr>
        <w:t>进</w:t>
      </w:r>
      <w:r>
        <w:rPr>
          <w:rFonts w:hint="eastAsia" w:ascii="宋体" w:hAnsi="宋体" w:eastAsia="宋体" w:cs="宋体"/>
          <w:color w:val="auto"/>
          <w:spacing w:val="-11"/>
          <w:sz w:val="24"/>
          <w:szCs w:val="24"/>
          <w:highlight w:val="none"/>
        </w:rPr>
        <w:t>口的材料、设备为到岸价，国内采购的为出厂价或销售价，地方材料为堆场价)的百分比</w:t>
      </w:r>
      <w:r>
        <w:rPr>
          <w:rFonts w:hint="eastAsia" w:ascii="宋体" w:hAnsi="宋体" w:eastAsia="宋体" w:cs="宋体"/>
          <w:color w:val="auto"/>
          <w:spacing w:val="-9"/>
          <w:sz w:val="24"/>
          <w:szCs w:val="24"/>
          <w:highlight w:val="none"/>
        </w:rPr>
        <w:t>支付。其预付条件为：</w:t>
      </w:r>
    </w:p>
    <w:p w14:paraId="4CA400CA">
      <w:pPr>
        <w:spacing w:before="114" w:line="219" w:lineRule="auto"/>
        <w:ind w:left="379"/>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a.材料、设备符合规范要求并经监理人认可；</w:t>
      </w:r>
    </w:p>
    <w:p w14:paraId="2A01AAB5">
      <w:pPr>
        <w:spacing w:before="243" w:line="219" w:lineRule="auto"/>
        <w:ind w:left="374"/>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b.承包人已出具材料、设备费用凭证或支付单据；</w:t>
      </w:r>
    </w:p>
    <w:p w14:paraId="14A26627">
      <w:pPr>
        <w:spacing w:before="247" w:line="267" w:lineRule="auto"/>
        <w:ind w:left="22" w:right="2" w:firstLine="360"/>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c.材料、设备已在现场交货，且存储良好，监理人认为材料、设备</w:t>
      </w:r>
      <w:r>
        <w:rPr>
          <w:rFonts w:hint="eastAsia" w:ascii="宋体" w:hAnsi="宋体" w:eastAsia="宋体" w:cs="宋体"/>
          <w:color w:val="auto"/>
          <w:spacing w:val="-12"/>
          <w:sz w:val="24"/>
          <w:szCs w:val="24"/>
          <w:highlight w:val="none"/>
        </w:rPr>
        <w:t>的存储方法符合要</w:t>
      </w:r>
      <w:r>
        <w:rPr>
          <w:rFonts w:hint="eastAsia" w:ascii="宋体" w:hAnsi="宋体" w:eastAsia="宋体" w:cs="宋体"/>
          <w:color w:val="auto"/>
          <w:spacing w:val="-6"/>
          <w:sz w:val="24"/>
          <w:szCs w:val="24"/>
          <w:highlight w:val="none"/>
        </w:rPr>
        <w:t>求。</w:t>
      </w:r>
    </w:p>
    <w:p w14:paraId="54F63CD2">
      <w:pPr>
        <w:spacing w:before="242" w:line="299" w:lineRule="auto"/>
        <w:ind w:left="20" w:firstLine="362"/>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则监理人应将此项金额作为材料、设备预付款计入下一次的进度付</w:t>
      </w:r>
      <w:r>
        <w:rPr>
          <w:rFonts w:hint="eastAsia" w:ascii="宋体" w:hAnsi="宋体" w:eastAsia="宋体" w:cs="宋体"/>
          <w:color w:val="auto"/>
          <w:spacing w:val="-9"/>
          <w:sz w:val="24"/>
          <w:szCs w:val="24"/>
          <w:highlight w:val="none"/>
        </w:rPr>
        <w:t>款证书中。在预</w:t>
      </w:r>
      <w:r>
        <w:rPr>
          <w:rFonts w:hint="eastAsia" w:ascii="宋体" w:hAnsi="宋体" w:eastAsia="宋体" w:cs="宋体"/>
          <w:color w:val="auto"/>
          <w:spacing w:val="-10"/>
          <w:sz w:val="24"/>
          <w:szCs w:val="24"/>
          <w:highlight w:val="none"/>
        </w:rPr>
        <w:t>计交工前3个月，将不再支付材料、设备预付款。</w:t>
      </w:r>
    </w:p>
    <w:p w14:paraId="3CEE93AE">
      <w:pPr>
        <w:spacing w:line="221" w:lineRule="auto"/>
        <w:ind w:left="406"/>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17.2.2预付款保函</w:t>
      </w:r>
    </w:p>
    <w:p w14:paraId="274B4F93">
      <w:pPr>
        <w:spacing w:before="276" w:line="219" w:lineRule="auto"/>
        <w:ind w:left="37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本项细化为：</w:t>
      </w:r>
    </w:p>
    <w:p w14:paraId="48548E7B">
      <w:pPr>
        <w:spacing w:before="244" w:line="299" w:lineRule="auto"/>
        <w:ind w:left="20" w:firstLine="357"/>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承包人无须向发包人提交预付款保函。发包人向承包人支</w:t>
      </w:r>
      <w:r>
        <w:rPr>
          <w:rFonts w:hint="eastAsia" w:ascii="宋体" w:hAnsi="宋体" w:eastAsia="宋体" w:cs="宋体"/>
          <w:color w:val="auto"/>
          <w:spacing w:val="-12"/>
          <w:sz w:val="24"/>
          <w:szCs w:val="24"/>
          <w:highlight w:val="none"/>
        </w:rPr>
        <w:t>付的预付款，应按照本合同</w:t>
      </w:r>
      <w:r>
        <w:rPr>
          <w:rFonts w:hint="eastAsia" w:ascii="宋体" w:hAnsi="宋体" w:eastAsia="宋体" w:cs="宋体"/>
          <w:color w:val="auto"/>
          <w:spacing w:val="-10"/>
          <w:sz w:val="24"/>
          <w:szCs w:val="24"/>
          <w:highlight w:val="none"/>
        </w:rPr>
        <w:t>第17.2.1项规定使用，承包人提交的履约保证金对预付款的正常使用</w:t>
      </w:r>
      <w:r>
        <w:rPr>
          <w:rFonts w:hint="eastAsia" w:ascii="宋体" w:hAnsi="宋体" w:eastAsia="宋体" w:cs="宋体"/>
          <w:color w:val="auto"/>
          <w:spacing w:val="-11"/>
          <w:sz w:val="24"/>
          <w:szCs w:val="24"/>
          <w:highlight w:val="none"/>
        </w:rPr>
        <w:t>承担保证责任。</w:t>
      </w:r>
    </w:p>
    <w:p w14:paraId="58D3C078">
      <w:pPr>
        <w:spacing w:before="1" w:line="325" w:lineRule="auto"/>
        <w:ind w:left="379" w:right="5392" w:firstLine="2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17.2.3预付款的扣回与还清</w:t>
      </w:r>
      <w:r>
        <w:rPr>
          <w:rFonts w:hint="eastAsia" w:ascii="宋体" w:hAnsi="宋体" w:eastAsia="宋体" w:cs="宋体"/>
          <w:color w:val="auto"/>
          <w:spacing w:val="-9"/>
          <w:sz w:val="24"/>
          <w:szCs w:val="24"/>
          <w:highlight w:val="none"/>
        </w:rPr>
        <w:t>本项约定为：</w:t>
      </w:r>
    </w:p>
    <w:p w14:paraId="5C0F52CB">
      <w:pPr>
        <w:spacing w:before="245" w:line="290" w:lineRule="auto"/>
        <w:ind w:left="19" w:firstLine="40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(1)开工预付款在进度付款证书的累计金</w:t>
      </w:r>
      <w:r>
        <w:rPr>
          <w:rFonts w:hint="eastAsia" w:ascii="宋体" w:hAnsi="宋体" w:eastAsia="宋体" w:cs="宋体"/>
          <w:color w:val="auto"/>
          <w:spacing w:val="-9"/>
          <w:sz w:val="24"/>
          <w:szCs w:val="24"/>
          <w:highlight w:val="none"/>
        </w:rPr>
        <w:t>额未达到签约合同价的30%之前不予扣回，</w:t>
      </w:r>
      <w:r>
        <w:rPr>
          <w:rFonts w:hint="eastAsia" w:ascii="宋体" w:hAnsi="宋体" w:eastAsia="宋体" w:cs="宋体"/>
          <w:color w:val="auto"/>
          <w:spacing w:val="-7"/>
          <w:sz w:val="24"/>
          <w:szCs w:val="24"/>
          <w:highlight w:val="none"/>
        </w:rPr>
        <w:t>在达到签约合同价30%之后，开始按工程进度以固定比例(即每完成签约合同</w:t>
      </w:r>
      <w:r>
        <w:rPr>
          <w:rFonts w:hint="eastAsia" w:ascii="宋体" w:hAnsi="宋体" w:eastAsia="宋体" w:cs="宋体"/>
          <w:color w:val="auto"/>
          <w:spacing w:val="-8"/>
          <w:sz w:val="24"/>
          <w:szCs w:val="24"/>
          <w:highlight w:val="none"/>
        </w:rPr>
        <w:t>价的1%，</w:t>
      </w:r>
      <w:r>
        <w:rPr>
          <w:rFonts w:hint="eastAsia" w:ascii="宋体" w:hAnsi="宋体" w:eastAsia="宋体" w:cs="宋体"/>
          <w:color w:val="auto"/>
          <w:spacing w:val="-10"/>
          <w:sz w:val="24"/>
          <w:szCs w:val="24"/>
          <w:highlight w:val="none"/>
        </w:rPr>
        <w:t>扣回开工预付款的2%)分期从各月的进度付款证书中扣回，全部</w:t>
      </w:r>
      <w:r>
        <w:rPr>
          <w:rFonts w:hint="eastAsia" w:ascii="宋体" w:hAnsi="宋体" w:eastAsia="宋体" w:cs="宋体"/>
          <w:color w:val="auto"/>
          <w:spacing w:val="-11"/>
          <w:sz w:val="24"/>
          <w:szCs w:val="24"/>
          <w:highlight w:val="none"/>
        </w:rPr>
        <w:t>金额在进度付款证书的</w:t>
      </w:r>
      <w:r>
        <w:rPr>
          <w:rFonts w:hint="eastAsia" w:ascii="宋体" w:hAnsi="宋体" w:eastAsia="宋体" w:cs="宋体"/>
          <w:color w:val="auto"/>
          <w:spacing w:val="-9"/>
          <w:sz w:val="24"/>
          <w:szCs w:val="24"/>
          <w:highlight w:val="none"/>
        </w:rPr>
        <w:t>累计金额达到签约合同价的80%时扣完。</w:t>
      </w:r>
    </w:p>
    <w:p w14:paraId="030FAA1D">
      <w:pPr>
        <w:spacing w:before="245" w:line="283" w:lineRule="auto"/>
        <w:ind w:left="21" w:firstLine="398"/>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(2)当材料、设备已用于或安装在永久工程之中时，材料、设备预付款应从进度付</w:t>
      </w:r>
      <w:r>
        <w:rPr>
          <w:rFonts w:hint="eastAsia" w:ascii="宋体" w:hAnsi="宋体" w:eastAsia="宋体" w:cs="宋体"/>
          <w:color w:val="auto"/>
          <w:spacing w:val="-8"/>
          <w:sz w:val="24"/>
          <w:szCs w:val="24"/>
          <w:highlight w:val="none"/>
        </w:rPr>
        <w:t>款证书中扣回，扣回期不超过3个月。已经支付材料、设备预付款的材料、设备的所</w:t>
      </w:r>
      <w:r>
        <w:rPr>
          <w:rFonts w:hint="eastAsia" w:ascii="宋体" w:hAnsi="宋体" w:eastAsia="宋体" w:cs="宋体"/>
          <w:color w:val="auto"/>
          <w:spacing w:val="-9"/>
          <w:sz w:val="24"/>
          <w:szCs w:val="24"/>
          <w:highlight w:val="none"/>
        </w:rPr>
        <w:t>有权应属于发包人。</w:t>
      </w:r>
    </w:p>
    <w:p w14:paraId="0360CD0C">
      <w:pPr>
        <w:spacing w:line="283" w:lineRule="auto"/>
        <w:rPr>
          <w:rFonts w:hint="eastAsia" w:ascii="宋体" w:hAnsi="宋体" w:eastAsia="宋体" w:cs="宋体"/>
          <w:color w:val="auto"/>
          <w:sz w:val="24"/>
          <w:szCs w:val="24"/>
          <w:highlight w:val="none"/>
        </w:rPr>
        <w:sectPr>
          <w:headerReference r:id="rId176" w:type="default"/>
          <w:footerReference r:id="rId177" w:type="default"/>
          <w:pgSz w:w="11907" w:h="16840"/>
          <w:pgMar w:top="1182" w:right="1279" w:bottom="1014" w:left="1786" w:header="849" w:footer="852" w:gutter="0"/>
          <w:pgNumType w:fmt="decimal"/>
          <w:cols w:space="720" w:num="1"/>
        </w:sectPr>
      </w:pPr>
    </w:p>
    <w:p w14:paraId="2D9383EC">
      <w:pPr>
        <w:spacing w:before="253" w:line="222" w:lineRule="auto"/>
        <w:ind w:left="40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17.3工程进度付款</w:t>
      </w:r>
    </w:p>
    <w:p w14:paraId="72B6B2AF">
      <w:pPr>
        <w:spacing w:before="274" w:line="312" w:lineRule="auto"/>
        <w:ind w:left="379" w:right="5221" w:firstLine="27"/>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17.3.3进度付款证书和支付时间</w:t>
      </w:r>
      <w:r>
        <w:rPr>
          <w:rFonts w:hint="eastAsia" w:ascii="宋体" w:hAnsi="宋体" w:eastAsia="宋体" w:cs="宋体"/>
          <w:color w:val="auto"/>
          <w:spacing w:val="-8"/>
          <w:sz w:val="24"/>
          <w:szCs w:val="24"/>
          <w:highlight w:val="none"/>
        </w:rPr>
        <w:t>本项(1)目补充：</w:t>
      </w:r>
    </w:p>
    <w:p w14:paraId="2F047781">
      <w:pPr>
        <w:spacing w:before="244" w:line="315" w:lineRule="auto"/>
        <w:ind w:left="20" w:right="75" w:firstLine="361"/>
        <w:jc w:val="both"/>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如果该付款周期应结算的价款经扣留和扣回后的款额少于项目专用合同条款</w:t>
      </w:r>
      <w:r>
        <w:rPr>
          <w:rFonts w:hint="eastAsia" w:ascii="宋体" w:hAnsi="宋体" w:eastAsia="宋体" w:cs="宋体"/>
          <w:color w:val="auto"/>
          <w:spacing w:val="-6"/>
          <w:sz w:val="24"/>
          <w:szCs w:val="24"/>
          <w:highlight w:val="none"/>
        </w:rPr>
        <w:t>数据表</w:t>
      </w:r>
      <w:r>
        <w:rPr>
          <w:rFonts w:hint="eastAsia" w:ascii="宋体" w:hAnsi="宋体" w:eastAsia="宋体" w:cs="宋体"/>
          <w:color w:val="auto"/>
          <w:spacing w:val="-8"/>
          <w:sz w:val="24"/>
          <w:szCs w:val="24"/>
          <w:highlight w:val="none"/>
        </w:rPr>
        <w:t>中列明的进度付款证书的最低金额，则该付款周期监理人可不核证支付，上述款额将按付款周期结转，直至累计应支付的款额达到项目专用合同条款数据表中列明的进度付款</w:t>
      </w:r>
      <w:r>
        <w:rPr>
          <w:rFonts w:hint="eastAsia" w:ascii="宋体" w:hAnsi="宋体" w:eastAsia="宋体" w:cs="宋体"/>
          <w:color w:val="auto"/>
          <w:spacing w:val="-9"/>
          <w:sz w:val="24"/>
          <w:szCs w:val="24"/>
          <w:highlight w:val="none"/>
        </w:rPr>
        <w:t>证书的最低金额为止。</w:t>
      </w:r>
    </w:p>
    <w:p w14:paraId="29FB43C4">
      <w:pPr>
        <w:spacing w:before="117" w:line="219" w:lineRule="auto"/>
        <w:ind w:left="37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本项(2)目细化为：</w:t>
      </w:r>
    </w:p>
    <w:p w14:paraId="4BDB467F">
      <w:pPr>
        <w:spacing w:before="244" w:line="316" w:lineRule="auto"/>
        <w:ind w:left="23" w:right="75" w:firstLine="358"/>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发包人应在监理人收到进度付款申请单且承包人提交了合格的增值税</w:t>
      </w:r>
      <w:r>
        <w:rPr>
          <w:rFonts w:hint="eastAsia" w:ascii="宋体" w:hAnsi="宋体" w:eastAsia="宋体" w:cs="宋体"/>
          <w:color w:val="auto"/>
          <w:spacing w:val="-9"/>
          <w:sz w:val="24"/>
          <w:szCs w:val="24"/>
          <w:highlight w:val="none"/>
        </w:rPr>
        <w:t>专用发票后的</w:t>
      </w:r>
      <w:r>
        <w:rPr>
          <w:rFonts w:hint="eastAsia" w:ascii="宋体" w:hAnsi="宋体" w:eastAsia="宋体" w:cs="宋体"/>
          <w:color w:val="auto"/>
          <w:spacing w:val="-10"/>
          <w:sz w:val="24"/>
          <w:szCs w:val="24"/>
          <w:highlight w:val="none"/>
        </w:rPr>
        <w:t>28天内，将进度应付款支付给承包人。</w:t>
      </w:r>
    </w:p>
    <w:p w14:paraId="53D1E42A">
      <w:pPr>
        <w:spacing w:before="115" w:line="315" w:lineRule="auto"/>
        <w:ind w:left="20" w:right="75" w:firstLine="361"/>
        <w:jc w:val="both"/>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发包人不按期支付的，按项目专用合同条款数据表中约定的利率向承</w:t>
      </w:r>
      <w:r>
        <w:rPr>
          <w:rFonts w:hint="eastAsia" w:ascii="宋体" w:hAnsi="宋体" w:eastAsia="宋体" w:cs="宋体"/>
          <w:color w:val="auto"/>
          <w:spacing w:val="-9"/>
          <w:sz w:val="24"/>
          <w:szCs w:val="24"/>
          <w:highlight w:val="none"/>
        </w:rPr>
        <w:t>包人支付逾期</w:t>
      </w:r>
      <w:r>
        <w:rPr>
          <w:rFonts w:hint="eastAsia" w:ascii="宋体" w:hAnsi="宋体" w:eastAsia="宋体" w:cs="宋体"/>
          <w:color w:val="auto"/>
          <w:spacing w:val="-11"/>
          <w:sz w:val="24"/>
          <w:szCs w:val="24"/>
          <w:highlight w:val="none"/>
        </w:rPr>
        <w:t>付款违约金。违约金计算基数为发包人的全部未付款额，时间从应付而未付该款额之日</w:t>
      </w:r>
      <w:r>
        <w:rPr>
          <w:rFonts w:hint="eastAsia" w:ascii="宋体" w:hAnsi="宋体" w:eastAsia="宋体" w:cs="宋体"/>
          <w:color w:val="auto"/>
          <w:spacing w:val="-9"/>
          <w:sz w:val="24"/>
          <w:szCs w:val="24"/>
          <w:highlight w:val="none"/>
        </w:rPr>
        <w:t>算起(不计复利)。</w:t>
      </w:r>
    </w:p>
    <w:p w14:paraId="714D2621">
      <w:pPr>
        <w:spacing w:before="116" w:line="219" w:lineRule="auto"/>
        <w:ind w:left="37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本款补充第17.3.5项：</w:t>
      </w:r>
    </w:p>
    <w:p w14:paraId="1BCC31D9">
      <w:pPr>
        <w:spacing w:before="301" w:line="222" w:lineRule="auto"/>
        <w:ind w:left="40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17.3.5农民工工资保证金</w:t>
      </w:r>
    </w:p>
    <w:p w14:paraId="223D8CDE">
      <w:pPr>
        <w:spacing w:before="136" w:line="267" w:lineRule="auto"/>
        <w:ind w:left="22" w:right="77" w:firstLine="397"/>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(1)为确保施工过程中农民工工资实时、足额发放到位，承包人应按照项目专用</w:t>
      </w:r>
      <w:r>
        <w:rPr>
          <w:rFonts w:hint="eastAsia" w:ascii="宋体" w:hAnsi="宋体" w:eastAsia="宋体" w:cs="宋体"/>
          <w:color w:val="auto"/>
          <w:spacing w:val="-10"/>
          <w:sz w:val="24"/>
          <w:szCs w:val="24"/>
          <w:highlight w:val="none"/>
        </w:rPr>
        <w:t>合同条款约定的时间和金额缴存农民工工资保证金。</w:t>
      </w:r>
    </w:p>
    <w:p w14:paraId="39D918BF">
      <w:pPr>
        <w:spacing w:before="242" w:line="268" w:lineRule="auto"/>
        <w:ind w:left="36" w:firstLine="383"/>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(2)农民工工资保证金可采用银行保函或现金、支票形式。采用银行保函时，出</w:t>
      </w:r>
      <w:r>
        <w:rPr>
          <w:rFonts w:hint="eastAsia" w:ascii="宋体" w:hAnsi="宋体" w:eastAsia="宋体" w:cs="宋体"/>
          <w:color w:val="auto"/>
          <w:spacing w:val="-10"/>
          <w:sz w:val="24"/>
          <w:szCs w:val="24"/>
          <w:highlight w:val="none"/>
        </w:rPr>
        <w:t>具保</w:t>
      </w:r>
      <w:r>
        <w:rPr>
          <w:rFonts w:hint="eastAsia" w:ascii="宋体" w:hAnsi="宋体" w:eastAsia="宋体" w:cs="宋体"/>
          <w:color w:val="auto"/>
          <w:spacing w:val="-12"/>
          <w:sz w:val="24"/>
          <w:szCs w:val="24"/>
          <w:highlight w:val="none"/>
        </w:rPr>
        <w:t>函的银行须具有相应担保能力，且按照发包人批准的格式</w:t>
      </w:r>
      <w:r>
        <w:rPr>
          <w:rFonts w:hint="eastAsia" w:ascii="宋体" w:hAnsi="宋体" w:eastAsia="宋体" w:cs="宋体"/>
          <w:color w:val="auto"/>
          <w:spacing w:val="-13"/>
          <w:sz w:val="24"/>
          <w:szCs w:val="24"/>
          <w:highlight w:val="none"/>
        </w:rPr>
        <w:t>出具，所需费用由承包人承担。</w:t>
      </w:r>
    </w:p>
    <w:p w14:paraId="032133C4">
      <w:pPr>
        <w:spacing w:before="243" w:line="219" w:lineRule="auto"/>
        <w:ind w:left="420"/>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(3)农民工工资保证金的扣留条件、返还时</w:t>
      </w:r>
      <w:r>
        <w:rPr>
          <w:rFonts w:hint="eastAsia" w:ascii="宋体" w:hAnsi="宋体" w:eastAsia="宋体" w:cs="宋体"/>
          <w:color w:val="auto"/>
          <w:spacing w:val="-11"/>
          <w:sz w:val="24"/>
          <w:szCs w:val="24"/>
          <w:highlight w:val="none"/>
        </w:rPr>
        <w:t>间按照项目专用合同条款的约定执行。</w:t>
      </w:r>
    </w:p>
    <w:p w14:paraId="73E2628F">
      <w:pPr>
        <w:spacing w:before="270" w:line="222" w:lineRule="auto"/>
        <w:ind w:left="402"/>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17.4质量保证金</w:t>
      </w:r>
    </w:p>
    <w:p w14:paraId="3CD71A4F">
      <w:pPr>
        <w:pStyle w:val="4"/>
        <w:spacing w:line="353" w:lineRule="auto"/>
        <w:rPr>
          <w:rFonts w:hint="eastAsia" w:ascii="宋体" w:hAnsi="宋体" w:eastAsia="宋体" w:cs="宋体"/>
          <w:color w:val="auto"/>
          <w:highlight w:val="none"/>
        </w:rPr>
      </w:pPr>
    </w:p>
    <w:p w14:paraId="15E96C8F">
      <w:pPr>
        <w:spacing w:before="78" w:line="219" w:lineRule="auto"/>
        <w:ind w:left="378"/>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第17.4.1项、第17.4.2项细化为：</w:t>
      </w:r>
    </w:p>
    <w:p w14:paraId="6C246E39">
      <w:pPr>
        <w:spacing w:before="246" w:line="315" w:lineRule="auto"/>
        <w:ind w:left="19" w:right="18" w:firstLine="376"/>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17.4.1交工验收证书签发后14天内，承包人应向发包</w:t>
      </w:r>
      <w:r>
        <w:rPr>
          <w:rFonts w:hint="eastAsia" w:ascii="宋体" w:hAnsi="宋体" w:eastAsia="宋体" w:cs="宋体"/>
          <w:color w:val="auto"/>
          <w:spacing w:val="-11"/>
          <w:sz w:val="24"/>
          <w:szCs w:val="24"/>
          <w:highlight w:val="none"/>
        </w:rPr>
        <w:t>人缴纳质量保证金。质量保</w:t>
      </w:r>
      <w:r>
        <w:rPr>
          <w:rFonts w:hint="eastAsia" w:ascii="宋体" w:hAnsi="宋体" w:eastAsia="宋体" w:cs="宋体"/>
          <w:color w:val="auto"/>
          <w:spacing w:val="-7"/>
          <w:sz w:val="24"/>
          <w:szCs w:val="24"/>
          <w:highlight w:val="none"/>
        </w:rPr>
        <w:t>证金可采用银行保函或现金、支票形式，金额应符合项目专用合同条款数据表的规</w:t>
      </w:r>
      <w:r>
        <w:rPr>
          <w:rFonts w:hint="eastAsia" w:ascii="宋体" w:hAnsi="宋体" w:eastAsia="宋体" w:cs="宋体"/>
          <w:color w:val="auto"/>
          <w:spacing w:val="-8"/>
          <w:sz w:val="24"/>
          <w:szCs w:val="24"/>
          <w:highlight w:val="none"/>
        </w:rPr>
        <w:t>定。</w:t>
      </w:r>
      <w:r>
        <w:rPr>
          <w:rFonts w:hint="eastAsia" w:ascii="宋体" w:hAnsi="宋体" w:eastAsia="宋体" w:cs="宋体"/>
          <w:color w:val="auto"/>
          <w:spacing w:val="-12"/>
          <w:sz w:val="24"/>
          <w:szCs w:val="24"/>
          <w:highlight w:val="none"/>
        </w:rPr>
        <w:t>采用银行保函时，出具保函的银行须具有相应担保能</w:t>
      </w:r>
      <w:r>
        <w:rPr>
          <w:rFonts w:hint="eastAsia" w:ascii="宋体" w:hAnsi="宋体" w:eastAsia="宋体" w:cs="宋体"/>
          <w:color w:val="auto"/>
          <w:spacing w:val="-13"/>
          <w:sz w:val="24"/>
          <w:szCs w:val="24"/>
          <w:highlight w:val="none"/>
        </w:rPr>
        <w:t>力，且按照发包人批准的格式出具，</w:t>
      </w:r>
      <w:r>
        <w:rPr>
          <w:rFonts w:hint="eastAsia" w:ascii="宋体" w:hAnsi="宋体" w:eastAsia="宋体" w:cs="宋体"/>
          <w:color w:val="auto"/>
          <w:spacing w:val="-10"/>
          <w:sz w:val="24"/>
          <w:szCs w:val="24"/>
          <w:highlight w:val="none"/>
        </w:rPr>
        <w:t>所需费用由承包人承担。</w:t>
      </w:r>
    </w:p>
    <w:p w14:paraId="6E7511A4">
      <w:pPr>
        <w:spacing w:before="113" w:line="316" w:lineRule="auto"/>
        <w:ind w:left="20" w:right="75" w:firstLine="358"/>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质量保证金采用现金、支票形式提交的，发包人应在项目专用合同条款数</w:t>
      </w:r>
      <w:r>
        <w:rPr>
          <w:rFonts w:hint="eastAsia" w:ascii="宋体" w:hAnsi="宋体" w:eastAsia="宋体" w:cs="宋体"/>
          <w:color w:val="auto"/>
          <w:spacing w:val="-9"/>
          <w:sz w:val="24"/>
          <w:szCs w:val="24"/>
          <w:highlight w:val="none"/>
        </w:rPr>
        <w:t>据表中明</w:t>
      </w:r>
      <w:r>
        <w:rPr>
          <w:rFonts w:hint="eastAsia" w:ascii="宋体" w:hAnsi="宋体" w:eastAsia="宋体" w:cs="宋体"/>
          <w:color w:val="auto"/>
          <w:spacing w:val="-10"/>
          <w:sz w:val="24"/>
          <w:szCs w:val="24"/>
          <w:highlight w:val="none"/>
        </w:rPr>
        <w:t>确是否计付利息以及利息的计算方式。</w:t>
      </w:r>
    </w:p>
    <w:p w14:paraId="369A6FB9">
      <w:pPr>
        <w:spacing w:before="117" w:line="219" w:lineRule="auto"/>
        <w:ind w:left="396"/>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17.4.2在第1.1.4.5目约定的</w:t>
      </w:r>
      <w:r>
        <w:rPr>
          <w:rFonts w:hint="eastAsia" w:ascii="宋体" w:hAnsi="宋体" w:eastAsia="宋体" w:cs="宋体"/>
          <w:color w:val="auto"/>
          <w:spacing w:val="-11"/>
          <w:sz w:val="24"/>
          <w:szCs w:val="24"/>
          <w:highlight w:val="none"/>
        </w:rPr>
        <w:t>缺陷责任期满，且质量监督机构已按规定对工程质量</w:t>
      </w:r>
    </w:p>
    <w:p w14:paraId="01AC8776">
      <w:pPr>
        <w:spacing w:line="219" w:lineRule="auto"/>
        <w:rPr>
          <w:rFonts w:hint="eastAsia" w:ascii="宋体" w:hAnsi="宋体" w:eastAsia="宋体" w:cs="宋体"/>
          <w:color w:val="auto"/>
          <w:sz w:val="24"/>
          <w:szCs w:val="24"/>
          <w:highlight w:val="none"/>
        </w:rPr>
        <w:sectPr>
          <w:headerReference r:id="rId178" w:type="default"/>
          <w:footerReference r:id="rId179" w:type="default"/>
          <w:pgSz w:w="11907" w:h="16840"/>
          <w:pgMar w:top="1182" w:right="1204" w:bottom="1014" w:left="1786" w:header="849" w:footer="852" w:gutter="0"/>
          <w:pgNumType w:fmt="decimal"/>
          <w:cols w:space="720" w:num="1"/>
        </w:sectPr>
      </w:pPr>
    </w:p>
    <w:p w14:paraId="2ABB46F7">
      <w:pPr>
        <w:spacing w:before="293" w:line="316" w:lineRule="auto"/>
        <w:ind w:left="21" w:right="56" w:hanging="1"/>
        <w:jc w:val="both"/>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检测鉴定合格，承包人向发包人申请到期应返还承包人剩余的质量保证金金额，发包人应在14天内会同承包人按照合同约定的内容核实承包人是否完成缺陷责任。如无异</w:t>
      </w:r>
      <w:r>
        <w:rPr>
          <w:rFonts w:hint="eastAsia" w:ascii="宋体" w:hAnsi="宋体" w:eastAsia="宋体" w:cs="宋体"/>
          <w:color w:val="auto"/>
          <w:spacing w:val="-10"/>
          <w:sz w:val="24"/>
          <w:szCs w:val="24"/>
          <w:highlight w:val="none"/>
        </w:rPr>
        <w:t>议，发包人应当在核实后将剩余保证金返还承包人。</w:t>
      </w:r>
    </w:p>
    <w:p w14:paraId="6B5CE706">
      <w:pPr>
        <w:spacing w:before="170" w:line="222" w:lineRule="auto"/>
        <w:ind w:left="402"/>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17.5交工结算</w:t>
      </w:r>
    </w:p>
    <w:p w14:paraId="7E256CDA">
      <w:pPr>
        <w:pStyle w:val="4"/>
        <w:spacing w:line="362" w:lineRule="auto"/>
        <w:rPr>
          <w:rFonts w:hint="eastAsia" w:ascii="宋体" w:hAnsi="宋体" w:eastAsia="宋体" w:cs="宋体"/>
          <w:color w:val="auto"/>
          <w:highlight w:val="none"/>
        </w:rPr>
      </w:pPr>
    </w:p>
    <w:p w14:paraId="5BD847A7">
      <w:pPr>
        <w:spacing w:before="78" w:line="312" w:lineRule="auto"/>
        <w:ind w:left="379" w:right="5898" w:firstLine="23"/>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17.5.1交工付款申请单</w:t>
      </w:r>
      <w:r>
        <w:rPr>
          <w:rFonts w:hint="eastAsia" w:ascii="宋体" w:hAnsi="宋体" w:eastAsia="宋体" w:cs="宋体"/>
          <w:color w:val="auto"/>
          <w:spacing w:val="-8"/>
          <w:sz w:val="24"/>
          <w:szCs w:val="24"/>
          <w:highlight w:val="none"/>
        </w:rPr>
        <w:t>本项(1)目约定为：</w:t>
      </w:r>
    </w:p>
    <w:p w14:paraId="19A3150B">
      <w:pPr>
        <w:spacing w:before="245" w:line="316" w:lineRule="auto"/>
        <w:ind w:left="21" w:right="59" w:firstLine="356"/>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承包人向监理人提交交工付款申请单(包括相关证明材料)的份数在项目专用合同条</w:t>
      </w:r>
      <w:r>
        <w:rPr>
          <w:rFonts w:hint="eastAsia" w:ascii="宋体" w:hAnsi="宋体" w:eastAsia="宋体" w:cs="宋体"/>
          <w:color w:val="auto"/>
          <w:spacing w:val="-10"/>
          <w:sz w:val="24"/>
          <w:szCs w:val="24"/>
          <w:highlight w:val="none"/>
        </w:rPr>
        <w:t>款数据表中约定；期限：交工验收证书签发后42天内。</w:t>
      </w:r>
    </w:p>
    <w:p w14:paraId="5A09D9E4">
      <w:pPr>
        <w:spacing w:before="115" w:line="223" w:lineRule="auto"/>
        <w:ind w:left="402"/>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17.5.2交工付款证书及支付时间</w:t>
      </w:r>
    </w:p>
    <w:p w14:paraId="209D4658">
      <w:pPr>
        <w:spacing w:before="237" w:line="219" w:lineRule="auto"/>
        <w:ind w:left="37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本项(2)目细化为：</w:t>
      </w:r>
    </w:p>
    <w:p w14:paraId="4A30243E">
      <w:pPr>
        <w:spacing w:before="244" w:line="316" w:lineRule="auto"/>
        <w:ind w:left="18" w:firstLine="363"/>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发包人应在监理人出具交工付款证书且承包人提交了合格的增值税专用发票后的</w:t>
      </w:r>
      <w:r>
        <w:rPr>
          <w:rFonts w:hint="eastAsia" w:ascii="宋体" w:hAnsi="宋体" w:eastAsia="宋体" w:cs="宋体"/>
          <w:color w:val="auto"/>
          <w:spacing w:val="-10"/>
          <w:sz w:val="24"/>
          <w:szCs w:val="24"/>
          <w:highlight w:val="none"/>
        </w:rPr>
        <w:t>14天内，将应支付款支付给承包人。发包人不按</w:t>
      </w:r>
      <w:r>
        <w:rPr>
          <w:rFonts w:hint="eastAsia" w:ascii="宋体" w:hAnsi="宋体" w:eastAsia="宋体" w:cs="宋体"/>
          <w:color w:val="auto"/>
          <w:spacing w:val="-11"/>
          <w:sz w:val="24"/>
          <w:szCs w:val="24"/>
          <w:highlight w:val="none"/>
        </w:rPr>
        <w:t>期支付的，按第17.3.3(2)目的约定，</w:t>
      </w:r>
      <w:r>
        <w:rPr>
          <w:rFonts w:hint="eastAsia" w:ascii="宋体" w:hAnsi="宋体" w:eastAsia="宋体" w:cs="宋体"/>
          <w:color w:val="auto"/>
          <w:spacing w:val="-10"/>
          <w:sz w:val="24"/>
          <w:szCs w:val="24"/>
          <w:highlight w:val="none"/>
        </w:rPr>
        <w:t>将逾期付款违约金支付给承包人。</w:t>
      </w:r>
    </w:p>
    <w:p w14:paraId="7DB56BCE">
      <w:pPr>
        <w:spacing w:before="51" w:line="223" w:lineRule="auto"/>
        <w:ind w:left="402"/>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17.6最终结清</w:t>
      </w:r>
    </w:p>
    <w:p w14:paraId="0D23AF89">
      <w:pPr>
        <w:pStyle w:val="4"/>
        <w:spacing w:line="358" w:lineRule="auto"/>
        <w:rPr>
          <w:rFonts w:hint="eastAsia" w:ascii="宋体" w:hAnsi="宋体" w:eastAsia="宋体" w:cs="宋体"/>
          <w:color w:val="auto"/>
          <w:highlight w:val="none"/>
        </w:rPr>
      </w:pPr>
    </w:p>
    <w:p w14:paraId="7CB45744">
      <w:pPr>
        <w:spacing w:before="78" w:line="312" w:lineRule="auto"/>
        <w:ind w:left="379" w:right="6037" w:firstLine="27"/>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17.6.1最终结清申请单</w:t>
      </w:r>
      <w:r>
        <w:rPr>
          <w:rFonts w:hint="eastAsia" w:ascii="宋体" w:hAnsi="宋体" w:eastAsia="宋体" w:cs="宋体"/>
          <w:color w:val="auto"/>
          <w:spacing w:val="-8"/>
          <w:sz w:val="24"/>
          <w:szCs w:val="24"/>
          <w:highlight w:val="none"/>
        </w:rPr>
        <w:t>本项(1)目约定为：</w:t>
      </w:r>
    </w:p>
    <w:p w14:paraId="00BD55EB">
      <w:pPr>
        <w:spacing w:before="245" w:line="316" w:lineRule="auto"/>
        <w:ind w:left="21" w:right="59" w:firstLine="356"/>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承包人向监理人提交最终结清申请单(包括相关证明材料)的份数在项目专用合同条</w:t>
      </w:r>
      <w:r>
        <w:rPr>
          <w:rFonts w:hint="eastAsia" w:ascii="宋体" w:hAnsi="宋体" w:eastAsia="宋体" w:cs="宋体"/>
          <w:color w:val="auto"/>
          <w:spacing w:val="-8"/>
          <w:sz w:val="24"/>
          <w:szCs w:val="24"/>
          <w:highlight w:val="none"/>
        </w:rPr>
        <w:t>款数据表中约定；期限：缺陷责任期终止证书签发后28天内。</w:t>
      </w:r>
    </w:p>
    <w:p w14:paraId="3E99B3DF">
      <w:pPr>
        <w:spacing w:before="116" w:line="316" w:lineRule="auto"/>
        <w:ind w:left="40" w:right="56" w:firstLine="34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最终结清申请单中的总金额应认为是代表了根据合同规定应付给承包人</w:t>
      </w:r>
      <w:r>
        <w:rPr>
          <w:rFonts w:hint="eastAsia" w:ascii="宋体" w:hAnsi="宋体" w:eastAsia="宋体" w:cs="宋体"/>
          <w:color w:val="auto"/>
          <w:spacing w:val="-9"/>
          <w:sz w:val="24"/>
          <w:szCs w:val="24"/>
          <w:highlight w:val="none"/>
        </w:rPr>
        <w:t>的全部款项</w:t>
      </w:r>
      <w:r>
        <w:rPr>
          <w:rFonts w:hint="eastAsia" w:ascii="宋体" w:hAnsi="宋体" w:eastAsia="宋体" w:cs="宋体"/>
          <w:color w:val="auto"/>
          <w:spacing w:val="-12"/>
          <w:sz w:val="24"/>
          <w:szCs w:val="24"/>
          <w:highlight w:val="none"/>
        </w:rPr>
        <w:t>的最后结算。</w:t>
      </w:r>
    </w:p>
    <w:p w14:paraId="1D058883">
      <w:pPr>
        <w:spacing w:before="118" w:line="312" w:lineRule="auto"/>
        <w:ind w:left="379" w:right="5195" w:firstLine="27"/>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17.6.2最终结清证书和支付时间</w:t>
      </w:r>
      <w:r>
        <w:rPr>
          <w:rFonts w:hint="eastAsia" w:ascii="宋体" w:hAnsi="宋体" w:eastAsia="宋体" w:cs="宋体"/>
          <w:color w:val="auto"/>
          <w:spacing w:val="-8"/>
          <w:sz w:val="24"/>
          <w:szCs w:val="24"/>
          <w:highlight w:val="none"/>
        </w:rPr>
        <w:t>本项(2)目细化为：</w:t>
      </w:r>
    </w:p>
    <w:p w14:paraId="0A6B6165">
      <w:pPr>
        <w:spacing w:before="244" w:line="315" w:lineRule="auto"/>
        <w:ind w:left="18" w:firstLine="401"/>
        <w:jc w:val="both"/>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(2)发包人应在监理人出具最终结清证书且承包人提交了合格的增值税专用发票后</w:t>
      </w:r>
      <w:r>
        <w:rPr>
          <w:rFonts w:hint="eastAsia" w:ascii="宋体" w:hAnsi="宋体" w:eastAsia="宋体" w:cs="宋体"/>
          <w:color w:val="auto"/>
          <w:spacing w:val="-15"/>
          <w:sz w:val="24"/>
          <w:szCs w:val="24"/>
          <w:highlight w:val="none"/>
        </w:rPr>
        <w:t>的14天内，将应支付款支付给承包人。发包人不按期支付的，按第17.3.3(2)目的约定，</w:t>
      </w:r>
      <w:r>
        <w:rPr>
          <w:rFonts w:hint="eastAsia" w:ascii="宋体" w:hAnsi="宋体" w:eastAsia="宋体" w:cs="宋体"/>
          <w:color w:val="auto"/>
          <w:spacing w:val="-10"/>
          <w:sz w:val="24"/>
          <w:szCs w:val="24"/>
          <w:highlight w:val="none"/>
        </w:rPr>
        <w:t>将逾期付款违约金支付给承包人。</w:t>
      </w:r>
    </w:p>
    <w:p w14:paraId="7F821B91">
      <w:pPr>
        <w:spacing w:before="68" w:line="222" w:lineRule="auto"/>
        <w:ind w:left="471"/>
        <w:outlineLvl w:val="2"/>
        <w:rPr>
          <w:rFonts w:hint="eastAsia" w:ascii="宋体" w:hAnsi="宋体" w:eastAsia="宋体" w:cs="宋体"/>
          <w:color w:val="auto"/>
          <w:sz w:val="28"/>
          <w:szCs w:val="28"/>
          <w:highlight w:val="none"/>
        </w:rPr>
      </w:pPr>
      <w:bookmarkStart w:id="666" w:name="_Toc25589"/>
      <w:bookmarkStart w:id="667" w:name="_Toc6813"/>
      <w:bookmarkStart w:id="668" w:name="_Toc22204"/>
      <w:bookmarkStart w:id="669" w:name="_Toc9959"/>
      <w:bookmarkStart w:id="670" w:name="_Toc16934"/>
      <w:r>
        <w:rPr>
          <w:rFonts w:hint="eastAsia" w:ascii="宋体" w:hAnsi="宋体" w:eastAsia="宋体" w:cs="宋体"/>
          <w:color w:val="auto"/>
          <w:spacing w:val="-7"/>
          <w:sz w:val="28"/>
          <w:szCs w:val="28"/>
          <w:highlight w:val="none"/>
        </w:rPr>
        <w:t>18.交工验收</w:t>
      </w:r>
      <w:bookmarkEnd w:id="666"/>
      <w:bookmarkEnd w:id="667"/>
      <w:bookmarkEnd w:id="668"/>
      <w:bookmarkEnd w:id="669"/>
      <w:bookmarkEnd w:id="670"/>
    </w:p>
    <w:p w14:paraId="0088D1F1">
      <w:pPr>
        <w:pStyle w:val="4"/>
        <w:spacing w:line="268" w:lineRule="auto"/>
        <w:rPr>
          <w:rFonts w:hint="eastAsia" w:ascii="宋体" w:hAnsi="宋体" w:eastAsia="宋体" w:cs="宋体"/>
          <w:color w:val="auto"/>
          <w:highlight w:val="none"/>
        </w:rPr>
      </w:pPr>
    </w:p>
    <w:p w14:paraId="4AEC5904">
      <w:pPr>
        <w:spacing w:before="78" w:line="222" w:lineRule="auto"/>
        <w:ind w:left="406"/>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18.2交工验收申请报告</w:t>
      </w:r>
    </w:p>
    <w:p w14:paraId="5DAEAAC9">
      <w:pPr>
        <w:spacing w:before="137" w:line="219" w:lineRule="auto"/>
        <w:ind w:left="37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本款第(2)项约定为：</w:t>
      </w:r>
    </w:p>
    <w:p w14:paraId="3E3CCA97">
      <w:pPr>
        <w:spacing w:line="219" w:lineRule="auto"/>
        <w:rPr>
          <w:rFonts w:hint="eastAsia" w:ascii="宋体" w:hAnsi="宋体" w:eastAsia="宋体" w:cs="宋体"/>
          <w:color w:val="auto"/>
          <w:sz w:val="24"/>
          <w:szCs w:val="24"/>
          <w:highlight w:val="none"/>
        </w:rPr>
        <w:sectPr>
          <w:headerReference r:id="rId180" w:type="default"/>
          <w:footerReference r:id="rId181" w:type="default"/>
          <w:pgSz w:w="11907" w:h="16840"/>
          <w:pgMar w:top="1182" w:right="1223" w:bottom="1014" w:left="1786" w:header="849" w:footer="852" w:gutter="0"/>
          <w:pgNumType w:fmt="decimal"/>
          <w:cols w:space="720" w:num="1"/>
        </w:sectPr>
      </w:pPr>
    </w:p>
    <w:p w14:paraId="734197E1">
      <w:pPr>
        <w:spacing w:before="293" w:line="316" w:lineRule="auto"/>
        <w:ind w:left="31" w:firstLine="348"/>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竣工资料的内容：承包人应按照《公路工程竣(交)工验收办法》和相关规定编制</w:t>
      </w:r>
      <w:r>
        <w:rPr>
          <w:rFonts w:hint="eastAsia" w:ascii="宋体" w:hAnsi="宋体" w:eastAsia="宋体" w:cs="宋体"/>
          <w:color w:val="auto"/>
          <w:spacing w:val="-12"/>
          <w:sz w:val="24"/>
          <w:szCs w:val="24"/>
          <w:highlight w:val="none"/>
        </w:rPr>
        <w:t>竣工</w:t>
      </w:r>
      <w:r>
        <w:rPr>
          <w:rFonts w:hint="eastAsia" w:ascii="宋体" w:hAnsi="宋体" w:eastAsia="宋体" w:cs="宋体"/>
          <w:color w:val="auto"/>
          <w:spacing w:val="-10"/>
          <w:sz w:val="24"/>
          <w:szCs w:val="24"/>
          <w:highlight w:val="none"/>
        </w:rPr>
        <w:t>资料。</w:t>
      </w:r>
    </w:p>
    <w:p w14:paraId="46FA57D1">
      <w:pPr>
        <w:spacing w:before="116" w:line="219" w:lineRule="auto"/>
        <w:ind w:left="379"/>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竣工资料的份数在项目专用合同条款数据表中约定。</w:t>
      </w:r>
    </w:p>
    <w:p w14:paraId="56753D97">
      <w:pPr>
        <w:spacing w:before="100" w:line="222" w:lineRule="auto"/>
        <w:ind w:left="402"/>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18.3验收</w:t>
      </w:r>
    </w:p>
    <w:p w14:paraId="3699D51C">
      <w:pPr>
        <w:pStyle w:val="4"/>
        <w:spacing w:line="359" w:lineRule="auto"/>
        <w:rPr>
          <w:rFonts w:hint="eastAsia" w:ascii="宋体" w:hAnsi="宋体" w:eastAsia="宋体" w:cs="宋体"/>
          <w:color w:val="auto"/>
          <w:highlight w:val="none"/>
        </w:rPr>
      </w:pPr>
    </w:p>
    <w:p w14:paraId="35D1B280">
      <w:pPr>
        <w:spacing w:before="78" w:line="219" w:lineRule="auto"/>
        <w:ind w:left="37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第18.3.2项补充：</w:t>
      </w:r>
    </w:p>
    <w:p w14:paraId="67C1A8D7">
      <w:pPr>
        <w:spacing w:before="241" w:line="316" w:lineRule="auto"/>
        <w:ind w:left="18" w:firstLine="364"/>
        <w:jc w:val="both"/>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交工验收由发包人主持，由发包人、监理人、</w:t>
      </w:r>
      <w:r>
        <w:rPr>
          <w:rFonts w:hint="eastAsia" w:ascii="宋体" w:hAnsi="宋体" w:eastAsia="宋体" w:cs="宋体"/>
          <w:color w:val="auto"/>
          <w:spacing w:val="-12"/>
          <w:sz w:val="24"/>
          <w:szCs w:val="24"/>
          <w:highlight w:val="none"/>
        </w:rPr>
        <w:t>质监、设计、施工、运营、管理养护等</w:t>
      </w:r>
      <w:r>
        <w:rPr>
          <w:rFonts w:hint="eastAsia" w:ascii="宋体" w:hAnsi="宋体" w:eastAsia="宋体" w:cs="宋体"/>
          <w:color w:val="auto"/>
          <w:spacing w:val="-8"/>
          <w:sz w:val="24"/>
          <w:szCs w:val="24"/>
          <w:highlight w:val="none"/>
        </w:rPr>
        <w:t>有关部门代表组成交工验收小组，对本项目的工程质量进行评定，并写出交工验收报告报交通运输主管部门备案。承包人应按发包人的要求提交竣工资料，完成交工验收准备</w:t>
      </w:r>
      <w:r>
        <w:rPr>
          <w:rFonts w:hint="eastAsia" w:ascii="宋体" w:hAnsi="宋体" w:eastAsia="宋体" w:cs="宋体"/>
          <w:color w:val="auto"/>
          <w:spacing w:val="-6"/>
          <w:sz w:val="24"/>
          <w:szCs w:val="24"/>
          <w:highlight w:val="none"/>
        </w:rPr>
        <w:t>工作。</w:t>
      </w:r>
    </w:p>
    <w:p w14:paraId="4707275A">
      <w:pPr>
        <w:spacing w:before="113" w:line="219" w:lineRule="auto"/>
        <w:ind w:left="378"/>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第18.3.5项约定为：</w:t>
      </w:r>
    </w:p>
    <w:p w14:paraId="75F08341">
      <w:pPr>
        <w:spacing w:before="244" w:line="317" w:lineRule="auto"/>
        <w:ind w:left="19" w:right="2" w:firstLine="36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经验收合格工程的实际交工日期，以最终提交交工验收申请报告的日期为</w:t>
      </w:r>
      <w:r>
        <w:rPr>
          <w:rFonts w:hint="eastAsia" w:ascii="宋体" w:hAnsi="宋体" w:eastAsia="宋体" w:cs="宋体"/>
          <w:color w:val="auto"/>
          <w:spacing w:val="-9"/>
          <w:sz w:val="24"/>
          <w:szCs w:val="24"/>
          <w:highlight w:val="none"/>
        </w:rPr>
        <w:t>准，并</w:t>
      </w:r>
      <w:r>
        <w:rPr>
          <w:rFonts w:hint="eastAsia" w:ascii="宋体" w:hAnsi="宋体" w:eastAsia="宋体" w:cs="宋体"/>
          <w:color w:val="auto"/>
          <w:spacing w:val="-10"/>
          <w:sz w:val="24"/>
          <w:szCs w:val="24"/>
          <w:highlight w:val="none"/>
        </w:rPr>
        <w:t>在交工验收证书中写明。</w:t>
      </w:r>
    </w:p>
    <w:p w14:paraId="587B3A5A">
      <w:pPr>
        <w:spacing w:before="14" w:line="219" w:lineRule="auto"/>
        <w:ind w:left="386"/>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本款补充第18.3.7项：</w:t>
      </w:r>
    </w:p>
    <w:p w14:paraId="44425306">
      <w:pPr>
        <w:spacing w:before="142" w:line="306" w:lineRule="auto"/>
        <w:ind w:left="26" w:firstLine="354"/>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组织办理交工验收和签发交工验收证书的费用由发包人承担。但按照第18.</w:t>
      </w:r>
      <w:r>
        <w:rPr>
          <w:rFonts w:hint="eastAsia" w:ascii="宋体" w:hAnsi="宋体" w:eastAsia="宋体" w:cs="宋体"/>
          <w:color w:val="auto"/>
          <w:spacing w:val="-10"/>
          <w:sz w:val="24"/>
          <w:szCs w:val="24"/>
          <w:highlight w:val="none"/>
        </w:rPr>
        <w:t>3.4项规定达不到合格标准的交工验收费用由承包人承担。</w:t>
      </w:r>
    </w:p>
    <w:p w14:paraId="33116431">
      <w:pPr>
        <w:spacing w:before="1" w:line="221" w:lineRule="auto"/>
        <w:ind w:left="386"/>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本条补充第18.9款：</w:t>
      </w:r>
    </w:p>
    <w:p w14:paraId="7D91A387">
      <w:pPr>
        <w:pStyle w:val="4"/>
        <w:spacing w:line="272" w:lineRule="auto"/>
        <w:rPr>
          <w:rFonts w:hint="eastAsia" w:ascii="宋体" w:hAnsi="宋体" w:eastAsia="宋体" w:cs="宋体"/>
          <w:color w:val="auto"/>
          <w:highlight w:val="none"/>
        </w:rPr>
      </w:pPr>
    </w:p>
    <w:p w14:paraId="71990E2C">
      <w:pPr>
        <w:spacing w:before="79" w:line="221" w:lineRule="auto"/>
        <w:ind w:left="404"/>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18.9竣工文件</w:t>
      </w:r>
    </w:p>
    <w:p w14:paraId="6EF0ADF2">
      <w:pPr>
        <w:pStyle w:val="4"/>
        <w:spacing w:line="361" w:lineRule="auto"/>
        <w:rPr>
          <w:rFonts w:hint="eastAsia" w:ascii="宋体" w:hAnsi="宋体" w:eastAsia="宋体" w:cs="宋体"/>
          <w:color w:val="auto"/>
          <w:highlight w:val="none"/>
        </w:rPr>
      </w:pPr>
    </w:p>
    <w:p w14:paraId="59F90C11">
      <w:pPr>
        <w:spacing w:before="78" w:line="316" w:lineRule="auto"/>
        <w:ind w:left="29" w:firstLine="349"/>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承包人应按照《公路工程竣(交)工验收办法》的相关规定，在缺陷责任期内为竣工验</w:t>
      </w:r>
      <w:r>
        <w:rPr>
          <w:rFonts w:hint="eastAsia" w:ascii="宋体" w:hAnsi="宋体" w:eastAsia="宋体" w:cs="宋体"/>
          <w:color w:val="auto"/>
          <w:spacing w:val="-10"/>
          <w:sz w:val="24"/>
          <w:szCs w:val="24"/>
          <w:highlight w:val="none"/>
        </w:rPr>
        <w:t>收补充竣工资料，并在签发缺陷责任期终止证书之前提交。</w:t>
      </w:r>
    </w:p>
    <w:p w14:paraId="4B8B422B">
      <w:pPr>
        <w:pStyle w:val="4"/>
        <w:spacing w:line="296" w:lineRule="auto"/>
        <w:rPr>
          <w:rFonts w:hint="eastAsia" w:ascii="宋体" w:hAnsi="宋体" w:eastAsia="宋体" w:cs="宋体"/>
          <w:color w:val="auto"/>
          <w:highlight w:val="none"/>
        </w:rPr>
      </w:pPr>
    </w:p>
    <w:p w14:paraId="2EF088B6">
      <w:pPr>
        <w:spacing w:before="91" w:line="222" w:lineRule="auto"/>
        <w:ind w:left="464"/>
        <w:outlineLvl w:val="2"/>
        <w:rPr>
          <w:rFonts w:hint="eastAsia" w:ascii="宋体" w:hAnsi="宋体" w:eastAsia="宋体" w:cs="宋体"/>
          <w:color w:val="auto"/>
          <w:sz w:val="28"/>
          <w:szCs w:val="28"/>
          <w:highlight w:val="none"/>
        </w:rPr>
      </w:pPr>
      <w:bookmarkStart w:id="671" w:name="_Toc31933"/>
      <w:bookmarkStart w:id="672" w:name="_Toc22378"/>
      <w:bookmarkStart w:id="673" w:name="_Toc21624"/>
      <w:bookmarkStart w:id="674" w:name="_Toc25687"/>
      <w:bookmarkStart w:id="675" w:name="_Toc13544"/>
      <w:r>
        <w:rPr>
          <w:rFonts w:hint="eastAsia" w:ascii="宋体" w:hAnsi="宋体" w:eastAsia="宋体" w:cs="宋体"/>
          <w:color w:val="auto"/>
          <w:spacing w:val="-8"/>
          <w:sz w:val="28"/>
          <w:szCs w:val="28"/>
          <w:highlight w:val="none"/>
        </w:rPr>
        <w:t>19.缺陷责任与保修责任</w:t>
      </w:r>
      <w:bookmarkEnd w:id="671"/>
      <w:bookmarkEnd w:id="672"/>
      <w:bookmarkEnd w:id="673"/>
      <w:bookmarkEnd w:id="674"/>
      <w:bookmarkEnd w:id="675"/>
    </w:p>
    <w:p w14:paraId="45679F9D">
      <w:pPr>
        <w:pStyle w:val="4"/>
        <w:spacing w:line="272" w:lineRule="auto"/>
        <w:rPr>
          <w:rFonts w:hint="eastAsia" w:ascii="宋体" w:hAnsi="宋体" w:eastAsia="宋体" w:cs="宋体"/>
          <w:color w:val="auto"/>
          <w:highlight w:val="none"/>
        </w:rPr>
      </w:pPr>
    </w:p>
    <w:p w14:paraId="6CE2EEA9">
      <w:pPr>
        <w:spacing w:before="78" w:line="221" w:lineRule="auto"/>
        <w:ind w:left="404"/>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19.2缺陷责任</w:t>
      </w:r>
    </w:p>
    <w:p w14:paraId="320EFF52">
      <w:pPr>
        <w:pStyle w:val="4"/>
        <w:spacing w:line="365" w:lineRule="auto"/>
        <w:rPr>
          <w:rFonts w:hint="eastAsia" w:ascii="宋体" w:hAnsi="宋体" w:eastAsia="宋体" w:cs="宋体"/>
          <w:color w:val="auto"/>
          <w:highlight w:val="none"/>
        </w:rPr>
      </w:pPr>
    </w:p>
    <w:p w14:paraId="4126B9DD">
      <w:pPr>
        <w:spacing w:before="78" w:line="219" w:lineRule="auto"/>
        <w:ind w:left="37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第19.2.2项补充：</w:t>
      </w:r>
    </w:p>
    <w:p w14:paraId="41E527C9">
      <w:pPr>
        <w:spacing w:before="242" w:line="316" w:lineRule="auto"/>
        <w:ind w:left="19" w:firstLine="357"/>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在缺陷责任期内，承包人应尽快完成在交工验收证书中写明的未完成工作，并</w:t>
      </w:r>
      <w:r>
        <w:rPr>
          <w:rFonts w:hint="eastAsia" w:ascii="宋体" w:hAnsi="宋体" w:eastAsia="宋体" w:cs="宋体"/>
          <w:color w:val="auto"/>
          <w:spacing w:val="-9"/>
          <w:sz w:val="24"/>
          <w:szCs w:val="24"/>
          <w:highlight w:val="none"/>
        </w:rPr>
        <w:t>完成</w:t>
      </w:r>
      <w:r>
        <w:rPr>
          <w:rFonts w:hint="eastAsia" w:ascii="宋体" w:hAnsi="宋体" w:eastAsia="宋体" w:cs="宋体"/>
          <w:color w:val="auto"/>
          <w:spacing w:val="-10"/>
          <w:sz w:val="24"/>
          <w:szCs w:val="24"/>
          <w:highlight w:val="none"/>
        </w:rPr>
        <w:t>对本工程缺陷的修复或监理人指令的修补工作。</w:t>
      </w:r>
    </w:p>
    <w:p w14:paraId="3B28444E">
      <w:pPr>
        <w:spacing w:before="176" w:line="222" w:lineRule="auto"/>
        <w:ind w:left="402"/>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19.5承包人的进入权</w:t>
      </w:r>
    </w:p>
    <w:p w14:paraId="4436DF38">
      <w:pPr>
        <w:pStyle w:val="4"/>
        <w:spacing w:line="355" w:lineRule="auto"/>
        <w:rPr>
          <w:rFonts w:hint="eastAsia" w:ascii="宋体" w:hAnsi="宋体" w:eastAsia="宋体" w:cs="宋体"/>
          <w:color w:val="auto"/>
          <w:highlight w:val="none"/>
        </w:rPr>
      </w:pPr>
    </w:p>
    <w:p w14:paraId="7D2CB7A4">
      <w:pPr>
        <w:spacing w:before="78" w:line="219" w:lineRule="auto"/>
        <w:ind w:left="37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本款补充：</w:t>
      </w:r>
    </w:p>
    <w:p w14:paraId="0C4CDD57">
      <w:pPr>
        <w:spacing w:line="219" w:lineRule="auto"/>
        <w:rPr>
          <w:rFonts w:hint="eastAsia" w:ascii="宋体" w:hAnsi="宋体" w:eastAsia="宋体" w:cs="宋体"/>
          <w:color w:val="auto"/>
          <w:sz w:val="24"/>
          <w:szCs w:val="24"/>
          <w:highlight w:val="none"/>
        </w:rPr>
        <w:sectPr>
          <w:headerReference r:id="rId182" w:type="default"/>
          <w:footerReference r:id="rId183" w:type="default"/>
          <w:pgSz w:w="11907" w:h="16840"/>
          <w:pgMar w:top="1182" w:right="1279" w:bottom="1014" w:left="1786" w:header="849" w:footer="852" w:gutter="0"/>
          <w:pgNumType w:fmt="decimal"/>
          <w:cols w:space="720" w:num="1"/>
        </w:sectPr>
      </w:pPr>
    </w:p>
    <w:p w14:paraId="51496730">
      <w:pPr>
        <w:spacing w:before="291" w:line="316" w:lineRule="auto"/>
        <w:ind w:left="60" w:firstLine="318"/>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承包人在缺陷修复施工过程中，应服从管养单位的有关安全管理规定，由于</w:t>
      </w:r>
      <w:r>
        <w:rPr>
          <w:rFonts w:hint="eastAsia" w:ascii="宋体" w:hAnsi="宋体" w:eastAsia="宋体" w:cs="宋体"/>
          <w:color w:val="auto"/>
          <w:spacing w:val="-9"/>
          <w:sz w:val="24"/>
          <w:szCs w:val="24"/>
          <w:highlight w:val="none"/>
        </w:rPr>
        <w:t>承包人</w:t>
      </w:r>
      <w:r>
        <w:rPr>
          <w:rFonts w:hint="eastAsia" w:ascii="宋体" w:hAnsi="宋体" w:eastAsia="宋体" w:cs="宋体"/>
          <w:color w:val="auto"/>
          <w:spacing w:val="-12"/>
          <w:sz w:val="24"/>
          <w:szCs w:val="24"/>
          <w:highlight w:val="none"/>
        </w:rPr>
        <w:t>自身原因造成的人员伤亡、设备和材料的损毁及罚款等责任由承包人自负。</w:t>
      </w:r>
    </w:p>
    <w:p w14:paraId="52BED485">
      <w:pPr>
        <w:spacing w:before="165" w:line="221" w:lineRule="auto"/>
        <w:ind w:left="404"/>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19.7保修责任</w:t>
      </w:r>
    </w:p>
    <w:p w14:paraId="5BBEFE59">
      <w:pPr>
        <w:pStyle w:val="4"/>
        <w:spacing w:line="356" w:lineRule="auto"/>
        <w:rPr>
          <w:rFonts w:hint="eastAsia" w:ascii="宋体" w:hAnsi="宋体" w:eastAsia="宋体" w:cs="宋体"/>
          <w:color w:val="auto"/>
          <w:highlight w:val="none"/>
        </w:rPr>
      </w:pPr>
    </w:p>
    <w:p w14:paraId="0556E8C2">
      <w:pPr>
        <w:spacing w:before="78" w:line="219" w:lineRule="auto"/>
        <w:ind w:left="37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本款细化为：</w:t>
      </w:r>
    </w:p>
    <w:p w14:paraId="19C5CBEA">
      <w:pPr>
        <w:keepNext w:val="0"/>
        <w:keepLines w:val="0"/>
        <w:pageBreakBefore w:val="0"/>
        <w:widowControl/>
        <w:kinsoku w:val="0"/>
        <w:wordWrap/>
        <w:overflowPunct/>
        <w:topLinePunct w:val="0"/>
        <w:autoSpaceDE w:val="0"/>
        <w:autoSpaceDN w:val="0"/>
        <w:bidi w:val="0"/>
        <w:adjustRightInd w:val="0"/>
        <w:snapToGrid w:val="0"/>
        <w:spacing w:before="244" w:line="291" w:lineRule="auto"/>
        <w:ind w:firstLine="444"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(1)保修期自实际交工日期起计算，具体期限在项目专用合同条款数据表中约定。</w:t>
      </w:r>
      <w:r>
        <w:rPr>
          <w:rFonts w:hint="eastAsia" w:ascii="宋体" w:hAnsi="宋体" w:eastAsia="宋体" w:cs="宋体"/>
          <w:color w:val="auto"/>
          <w:spacing w:val="-11"/>
          <w:sz w:val="24"/>
          <w:szCs w:val="24"/>
          <w:highlight w:val="none"/>
        </w:rPr>
        <w:t>保修期与缺陷责任期重叠的期间内，承包人的保修责任同缺陷责任。在缺陷责任期满后</w:t>
      </w:r>
      <w:r>
        <w:rPr>
          <w:rFonts w:hint="eastAsia" w:ascii="宋体" w:hAnsi="宋体" w:eastAsia="宋体" w:cs="宋体"/>
          <w:color w:val="auto"/>
          <w:spacing w:val="-12"/>
          <w:sz w:val="24"/>
          <w:szCs w:val="24"/>
          <w:highlight w:val="none"/>
        </w:rPr>
        <w:t>的</w:t>
      </w:r>
      <w:r>
        <w:rPr>
          <w:rFonts w:hint="eastAsia" w:ascii="宋体" w:hAnsi="宋体" w:eastAsia="宋体" w:cs="宋体"/>
          <w:color w:val="auto"/>
          <w:spacing w:val="-11"/>
          <w:sz w:val="24"/>
          <w:szCs w:val="24"/>
          <w:highlight w:val="none"/>
        </w:rPr>
        <w:t>保修期内，承包人可不在工地留有办事人员和机械设备，但必须随时与发包人保持</w:t>
      </w:r>
      <w:r>
        <w:rPr>
          <w:rFonts w:hint="eastAsia" w:ascii="宋体" w:hAnsi="宋体" w:eastAsia="宋体" w:cs="宋体"/>
          <w:color w:val="auto"/>
          <w:spacing w:val="-10"/>
          <w:sz w:val="24"/>
          <w:szCs w:val="24"/>
          <w:highlight w:val="none"/>
        </w:rPr>
        <w:t>联系，在保修期内承包人应对由于施工质量原因造成的损坏自费进行修复。</w:t>
      </w:r>
    </w:p>
    <w:p w14:paraId="78E73DB4">
      <w:pPr>
        <w:spacing w:before="243" w:line="267" w:lineRule="auto"/>
        <w:ind w:left="20" w:right="2" w:firstLine="39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(2)在全部工程交工验收前，已经发包人提前验收的单位工程，其保修期的起算</w:t>
      </w:r>
      <w:r>
        <w:rPr>
          <w:rFonts w:hint="eastAsia" w:ascii="宋体" w:hAnsi="宋体" w:eastAsia="宋体" w:cs="宋体"/>
          <w:color w:val="auto"/>
          <w:spacing w:val="-10"/>
          <w:sz w:val="24"/>
          <w:szCs w:val="24"/>
          <w:highlight w:val="none"/>
        </w:rPr>
        <w:t>日期</w:t>
      </w:r>
      <w:r>
        <w:rPr>
          <w:rFonts w:hint="eastAsia" w:ascii="宋体" w:hAnsi="宋体" w:eastAsia="宋体" w:cs="宋体"/>
          <w:color w:val="auto"/>
          <w:spacing w:val="-9"/>
          <w:sz w:val="24"/>
          <w:szCs w:val="24"/>
          <w:highlight w:val="none"/>
        </w:rPr>
        <w:t>相应提前。</w:t>
      </w:r>
    </w:p>
    <w:p w14:paraId="34652591">
      <w:pPr>
        <w:spacing w:before="241" w:line="219" w:lineRule="auto"/>
        <w:ind w:left="420"/>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(3)工程保修期终止后28天内，监理人签发保</w:t>
      </w:r>
      <w:r>
        <w:rPr>
          <w:rFonts w:hint="eastAsia" w:ascii="宋体" w:hAnsi="宋体" w:eastAsia="宋体" w:cs="宋体"/>
          <w:color w:val="auto"/>
          <w:spacing w:val="-11"/>
          <w:sz w:val="24"/>
          <w:szCs w:val="24"/>
          <w:highlight w:val="none"/>
        </w:rPr>
        <w:t>修期终止证书。</w:t>
      </w:r>
    </w:p>
    <w:p w14:paraId="5BCB9A90">
      <w:pPr>
        <w:spacing w:before="243" w:line="267" w:lineRule="auto"/>
        <w:ind w:left="49" w:right="2" w:firstLine="37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(4)若承包人不履行保修义务和责任，则承包人应承担由于违约造成的法律后果</w:t>
      </w:r>
      <w:r>
        <w:rPr>
          <w:rFonts w:hint="eastAsia" w:ascii="宋体" w:hAnsi="宋体" w:eastAsia="宋体" w:cs="宋体"/>
          <w:color w:val="auto"/>
          <w:spacing w:val="-10"/>
          <w:sz w:val="24"/>
          <w:szCs w:val="24"/>
          <w:highlight w:val="none"/>
        </w:rPr>
        <w:t>，并</w:t>
      </w:r>
      <w:r>
        <w:rPr>
          <w:rFonts w:hint="eastAsia" w:ascii="宋体" w:hAnsi="宋体" w:eastAsia="宋体" w:cs="宋体"/>
          <w:color w:val="auto"/>
          <w:spacing w:val="-11"/>
          <w:sz w:val="24"/>
          <w:szCs w:val="24"/>
          <w:highlight w:val="none"/>
        </w:rPr>
        <w:t>由发包人将其违约行为上报省级交通运输主管部门，作为不良记录纳</w:t>
      </w:r>
    </w:p>
    <w:p w14:paraId="174AB269">
      <w:pPr>
        <w:spacing w:before="246" w:line="219" w:lineRule="auto"/>
        <w:ind w:left="377"/>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入公路建设市场信用信息管理系统。</w:t>
      </w:r>
    </w:p>
    <w:p w14:paraId="2B50A7F7">
      <w:pPr>
        <w:spacing w:before="193" w:line="223" w:lineRule="auto"/>
        <w:ind w:left="451"/>
        <w:outlineLvl w:val="2"/>
        <w:rPr>
          <w:rFonts w:hint="eastAsia" w:ascii="宋体" w:hAnsi="宋体" w:eastAsia="宋体" w:cs="宋体"/>
          <w:color w:val="auto"/>
          <w:sz w:val="28"/>
          <w:szCs w:val="28"/>
          <w:highlight w:val="none"/>
        </w:rPr>
      </w:pPr>
      <w:bookmarkStart w:id="676" w:name="_Toc21433"/>
      <w:bookmarkStart w:id="677" w:name="_Toc29255"/>
      <w:bookmarkStart w:id="678" w:name="_Toc14156"/>
      <w:bookmarkStart w:id="679" w:name="_Toc7291"/>
      <w:bookmarkStart w:id="680" w:name="_Toc128"/>
      <w:r>
        <w:rPr>
          <w:rFonts w:hint="eastAsia" w:ascii="宋体" w:hAnsi="宋体" w:eastAsia="宋体" w:cs="宋体"/>
          <w:color w:val="auto"/>
          <w:spacing w:val="-4"/>
          <w:sz w:val="28"/>
          <w:szCs w:val="28"/>
          <w:highlight w:val="none"/>
        </w:rPr>
        <w:t>20.保险</w:t>
      </w:r>
      <w:bookmarkEnd w:id="676"/>
      <w:bookmarkEnd w:id="677"/>
      <w:bookmarkEnd w:id="678"/>
      <w:bookmarkEnd w:id="679"/>
      <w:bookmarkEnd w:id="680"/>
    </w:p>
    <w:p w14:paraId="0315BCD6">
      <w:pPr>
        <w:pStyle w:val="4"/>
        <w:spacing w:line="269" w:lineRule="auto"/>
        <w:rPr>
          <w:rFonts w:hint="eastAsia" w:ascii="宋体" w:hAnsi="宋体" w:eastAsia="宋体" w:cs="宋体"/>
          <w:color w:val="auto"/>
          <w:highlight w:val="none"/>
        </w:rPr>
      </w:pPr>
    </w:p>
    <w:p w14:paraId="26FE343D">
      <w:pPr>
        <w:spacing w:before="79" w:line="222" w:lineRule="auto"/>
        <w:ind w:left="38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20.1工程保险</w:t>
      </w:r>
    </w:p>
    <w:p w14:paraId="1FFA10E0">
      <w:pPr>
        <w:pStyle w:val="4"/>
        <w:spacing w:line="358" w:lineRule="auto"/>
        <w:rPr>
          <w:rFonts w:hint="eastAsia" w:ascii="宋体" w:hAnsi="宋体" w:eastAsia="宋体" w:cs="宋体"/>
          <w:color w:val="auto"/>
          <w:highlight w:val="none"/>
        </w:rPr>
      </w:pPr>
    </w:p>
    <w:p w14:paraId="41D23D9D">
      <w:pPr>
        <w:spacing w:before="78" w:line="219" w:lineRule="auto"/>
        <w:ind w:left="37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本款约定为：</w:t>
      </w:r>
    </w:p>
    <w:p w14:paraId="346F3C91">
      <w:pPr>
        <w:spacing w:before="243" w:line="316" w:lineRule="auto"/>
        <w:ind w:left="19" w:firstLine="361"/>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建筑工程一切险的投保内容：为本合同工程的永久工程、临时工程和设</w:t>
      </w:r>
      <w:r>
        <w:rPr>
          <w:rFonts w:hint="eastAsia" w:ascii="宋体" w:hAnsi="宋体" w:eastAsia="宋体" w:cs="宋体"/>
          <w:color w:val="auto"/>
          <w:spacing w:val="-9"/>
          <w:sz w:val="24"/>
          <w:szCs w:val="24"/>
          <w:highlight w:val="none"/>
        </w:rPr>
        <w:t>备及已运至</w:t>
      </w:r>
      <w:r>
        <w:rPr>
          <w:rFonts w:hint="eastAsia" w:ascii="宋体" w:hAnsi="宋体" w:eastAsia="宋体" w:cs="宋体"/>
          <w:color w:val="auto"/>
          <w:spacing w:val="-10"/>
          <w:sz w:val="24"/>
          <w:szCs w:val="24"/>
          <w:highlight w:val="none"/>
        </w:rPr>
        <w:t>施工工地用于永久工程的材料和设备所投的保险。</w:t>
      </w:r>
    </w:p>
    <w:p w14:paraId="2EF49CBF">
      <w:pPr>
        <w:spacing w:before="114" w:line="316" w:lineRule="auto"/>
        <w:ind w:left="20" w:firstLine="35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保险金额：工程量清单第100章(不含</w:t>
      </w:r>
      <w:r>
        <w:rPr>
          <w:rFonts w:hint="eastAsia" w:ascii="宋体" w:hAnsi="宋体" w:eastAsia="宋体" w:cs="宋体"/>
          <w:color w:val="auto"/>
          <w:spacing w:val="-8"/>
          <w:sz w:val="24"/>
          <w:szCs w:val="24"/>
          <w:highlight w:val="none"/>
        </w:rPr>
        <w:t>建筑工程一切险及第三者责任险的保险费)至</w:t>
      </w:r>
      <w:r>
        <w:rPr>
          <w:rFonts w:hint="eastAsia" w:ascii="宋体" w:hAnsi="宋体" w:eastAsia="宋体" w:cs="宋体"/>
          <w:color w:val="auto"/>
          <w:spacing w:val="-9"/>
          <w:sz w:val="24"/>
          <w:szCs w:val="24"/>
          <w:highlight w:val="none"/>
        </w:rPr>
        <w:t>第700章的合计金额。</w:t>
      </w:r>
    </w:p>
    <w:p w14:paraId="167CDC5C">
      <w:pPr>
        <w:spacing w:before="119" w:line="219" w:lineRule="auto"/>
        <w:ind w:left="379"/>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保险费率：在项目专用合同条款数据表中约定。</w:t>
      </w:r>
    </w:p>
    <w:p w14:paraId="0E60BDB6">
      <w:pPr>
        <w:spacing w:before="242" w:line="316" w:lineRule="auto"/>
        <w:ind w:left="29" w:firstLine="35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保险期限：开工日起直至本合同工程签发缺陷责任期终止证书止(即合同工</w:t>
      </w:r>
      <w:r>
        <w:rPr>
          <w:rFonts w:hint="eastAsia" w:ascii="宋体" w:hAnsi="宋体" w:eastAsia="宋体" w:cs="宋体"/>
          <w:color w:val="auto"/>
          <w:spacing w:val="-9"/>
          <w:sz w:val="24"/>
          <w:szCs w:val="24"/>
          <w:highlight w:val="none"/>
        </w:rPr>
        <w:t>期＋缺陷</w:t>
      </w:r>
      <w:r>
        <w:rPr>
          <w:rFonts w:hint="eastAsia" w:ascii="宋体" w:hAnsi="宋体" w:eastAsia="宋体" w:cs="宋体"/>
          <w:color w:val="auto"/>
          <w:spacing w:val="-10"/>
          <w:sz w:val="24"/>
          <w:szCs w:val="24"/>
          <w:highlight w:val="none"/>
        </w:rPr>
        <w:t>责任期)。</w:t>
      </w:r>
    </w:p>
    <w:p w14:paraId="567458D0">
      <w:pPr>
        <w:spacing w:before="116" w:line="316" w:lineRule="auto"/>
        <w:ind w:left="34" w:firstLine="344"/>
        <w:jc w:val="both"/>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承包人应以发包人和承包人的共同名义投保建筑工程</w:t>
      </w:r>
      <w:r>
        <w:rPr>
          <w:rFonts w:hint="eastAsia" w:ascii="宋体" w:hAnsi="宋体" w:eastAsia="宋体" w:cs="宋体"/>
          <w:color w:val="auto"/>
          <w:spacing w:val="-12"/>
          <w:sz w:val="24"/>
          <w:szCs w:val="24"/>
          <w:highlight w:val="none"/>
        </w:rPr>
        <w:t>一切险。建筑工程一切险的保险</w:t>
      </w:r>
      <w:r>
        <w:rPr>
          <w:rFonts w:hint="eastAsia" w:ascii="宋体" w:hAnsi="宋体" w:eastAsia="宋体" w:cs="宋体"/>
          <w:color w:val="auto"/>
          <w:spacing w:val="-11"/>
          <w:sz w:val="24"/>
          <w:szCs w:val="24"/>
          <w:highlight w:val="none"/>
        </w:rPr>
        <w:t>费由承包人报价时列入工程量清单第100章内。发包人在接到保险单后，将按照保险单的费用直接向承包人支付。</w:t>
      </w:r>
    </w:p>
    <w:p w14:paraId="0B8BADFD">
      <w:pPr>
        <w:spacing w:before="166" w:line="221" w:lineRule="auto"/>
        <w:ind w:left="38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20.4第三者责任险</w:t>
      </w:r>
    </w:p>
    <w:p w14:paraId="779701CA">
      <w:pPr>
        <w:spacing w:line="221" w:lineRule="auto"/>
        <w:rPr>
          <w:rFonts w:hint="eastAsia" w:ascii="宋体" w:hAnsi="宋体" w:eastAsia="宋体" w:cs="宋体"/>
          <w:color w:val="auto"/>
          <w:sz w:val="24"/>
          <w:szCs w:val="24"/>
          <w:highlight w:val="none"/>
        </w:rPr>
        <w:sectPr>
          <w:headerReference r:id="rId184" w:type="default"/>
          <w:footerReference r:id="rId185" w:type="default"/>
          <w:pgSz w:w="11907" w:h="16840"/>
          <w:pgMar w:top="1182" w:right="1279" w:bottom="1014" w:left="1786" w:header="849" w:footer="852" w:gutter="0"/>
          <w:pgNumType w:fmt="decimal"/>
          <w:cols w:space="720" w:num="1"/>
        </w:sectPr>
      </w:pPr>
    </w:p>
    <w:p w14:paraId="3AEC7E50">
      <w:pPr>
        <w:pStyle w:val="4"/>
        <w:spacing w:line="318" w:lineRule="auto"/>
        <w:rPr>
          <w:rFonts w:hint="eastAsia" w:ascii="宋体" w:hAnsi="宋体" w:eastAsia="宋体" w:cs="宋体"/>
          <w:color w:val="auto"/>
          <w:highlight w:val="none"/>
        </w:rPr>
      </w:pPr>
    </w:p>
    <w:p w14:paraId="7DB38F73">
      <w:pPr>
        <w:pStyle w:val="4"/>
        <w:spacing w:line="318" w:lineRule="auto"/>
        <w:rPr>
          <w:rFonts w:hint="eastAsia" w:ascii="宋体" w:hAnsi="宋体" w:eastAsia="宋体" w:cs="宋体"/>
          <w:color w:val="auto"/>
          <w:highlight w:val="none"/>
        </w:rPr>
      </w:pPr>
    </w:p>
    <w:p w14:paraId="70C8829B">
      <w:pPr>
        <w:spacing w:before="78" w:line="219" w:lineRule="auto"/>
        <w:ind w:left="37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第20.4.2项补充：</w:t>
      </w:r>
    </w:p>
    <w:p w14:paraId="32387E9E">
      <w:pPr>
        <w:spacing w:before="242" w:line="316" w:lineRule="auto"/>
        <w:ind w:left="21" w:right="77" w:firstLine="356"/>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第三者责任险的保险费由承包人报价时列入</w:t>
      </w:r>
      <w:r>
        <w:rPr>
          <w:rFonts w:hint="eastAsia" w:ascii="宋体" w:hAnsi="宋体" w:eastAsia="宋体" w:cs="宋体"/>
          <w:color w:val="auto"/>
          <w:spacing w:val="-11"/>
          <w:sz w:val="24"/>
          <w:szCs w:val="24"/>
          <w:highlight w:val="none"/>
        </w:rPr>
        <w:t>工程量清单第100章内。发包人在接到</w:t>
      </w:r>
      <w:r>
        <w:rPr>
          <w:rFonts w:hint="eastAsia" w:ascii="宋体" w:hAnsi="宋体" w:eastAsia="宋体" w:cs="宋体"/>
          <w:color w:val="auto"/>
          <w:spacing w:val="-10"/>
          <w:sz w:val="24"/>
          <w:szCs w:val="24"/>
          <w:highlight w:val="none"/>
        </w:rPr>
        <w:t>保险单后，将按照保险单的费用直接向承包人支付。</w:t>
      </w:r>
    </w:p>
    <w:p w14:paraId="797142AE">
      <w:pPr>
        <w:spacing w:before="174" w:line="222" w:lineRule="auto"/>
        <w:ind w:left="386"/>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20.5其他保险</w:t>
      </w:r>
    </w:p>
    <w:p w14:paraId="1FA19512">
      <w:pPr>
        <w:spacing w:before="135" w:line="219" w:lineRule="auto"/>
        <w:ind w:left="37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本款约定为：</w:t>
      </w:r>
    </w:p>
    <w:p w14:paraId="4B29C438">
      <w:pPr>
        <w:spacing w:before="243" w:line="317" w:lineRule="auto"/>
        <w:ind w:left="24" w:firstLine="353"/>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承包人应为其施工设备等办理保险，其投保金额应足以现场重置。办理</w:t>
      </w:r>
      <w:r>
        <w:rPr>
          <w:rFonts w:hint="eastAsia" w:ascii="宋体" w:hAnsi="宋体" w:eastAsia="宋体" w:cs="宋体"/>
          <w:color w:val="auto"/>
          <w:spacing w:val="-9"/>
          <w:sz w:val="24"/>
          <w:szCs w:val="24"/>
          <w:highlight w:val="none"/>
        </w:rPr>
        <w:t>本款保险的</w:t>
      </w:r>
      <w:r>
        <w:rPr>
          <w:rFonts w:hint="eastAsia" w:ascii="宋体" w:hAnsi="宋体" w:eastAsia="宋体" w:cs="宋体"/>
          <w:color w:val="auto"/>
          <w:spacing w:val="-12"/>
          <w:sz w:val="24"/>
          <w:szCs w:val="24"/>
          <w:highlight w:val="none"/>
        </w:rPr>
        <w:t>一切费用均由承包人承担，并包括在工程量清单的单价及总额价中，发包人不单独支</w:t>
      </w:r>
      <w:r>
        <w:rPr>
          <w:rFonts w:hint="eastAsia" w:ascii="宋体" w:hAnsi="宋体" w:eastAsia="宋体" w:cs="宋体"/>
          <w:color w:val="auto"/>
          <w:spacing w:val="-13"/>
          <w:sz w:val="24"/>
          <w:szCs w:val="24"/>
          <w:highlight w:val="none"/>
        </w:rPr>
        <w:t>付。</w:t>
      </w:r>
    </w:p>
    <w:p w14:paraId="03B1315E">
      <w:pPr>
        <w:spacing w:before="169" w:line="221" w:lineRule="auto"/>
        <w:ind w:left="38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20.6对各项保险的一般要求</w:t>
      </w:r>
    </w:p>
    <w:p w14:paraId="3DD87B85">
      <w:pPr>
        <w:pStyle w:val="4"/>
        <w:spacing w:line="279" w:lineRule="auto"/>
        <w:rPr>
          <w:rFonts w:hint="eastAsia" w:ascii="宋体" w:hAnsi="宋体" w:eastAsia="宋体" w:cs="宋体"/>
          <w:color w:val="auto"/>
          <w:highlight w:val="none"/>
        </w:rPr>
      </w:pPr>
    </w:p>
    <w:p w14:paraId="55654B8B">
      <w:pPr>
        <w:spacing w:before="79" w:line="325" w:lineRule="auto"/>
        <w:ind w:left="379" w:right="6857" w:firstLine="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20.6.1保险凭证</w:t>
      </w:r>
      <w:r>
        <w:rPr>
          <w:rFonts w:hint="eastAsia" w:ascii="宋体" w:hAnsi="宋体" w:eastAsia="宋体" w:cs="宋体"/>
          <w:color w:val="auto"/>
          <w:spacing w:val="-9"/>
          <w:sz w:val="24"/>
          <w:szCs w:val="24"/>
          <w:highlight w:val="none"/>
        </w:rPr>
        <w:t>本项约定为：</w:t>
      </w:r>
    </w:p>
    <w:p w14:paraId="4076A562">
      <w:pPr>
        <w:spacing w:before="243" w:line="219" w:lineRule="auto"/>
        <w:ind w:left="378"/>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承包人向发包人提交各项保险生效的证据和</w:t>
      </w:r>
      <w:r>
        <w:rPr>
          <w:rFonts w:hint="eastAsia" w:ascii="宋体" w:hAnsi="宋体" w:eastAsia="宋体" w:cs="宋体"/>
          <w:color w:val="auto"/>
          <w:spacing w:val="-10"/>
          <w:sz w:val="24"/>
          <w:szCs w:val="24"/>
          <w:highlight w:val="none"/>
        </w:rPr>
        <w:t>保险单副本的期限：开工后56天内。</w:t>
      </w:r>
    </w:p>
    <w:p w14:paraId="6599E740">
      <w:pPr>
        <w:spacing w:before="247" w:line="222" w:lineRule="auto"/>
        <w:ind w:left="386"/>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20.6.3持续保险</w:t>
      </w:r>
    </w:p>
    <w:p w14:paraId="25B76922">
      <w:pPr>
        <w:spacing w:before="238" w:line="219" w:lineRule="auto"/>
        <w:ind w:left="37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本项补充：</w:t>
      </w:r>
    </w:p>
    <w:p w14:paraId="35A3C8DF">
      <w:pPr>
        <w:spacing w:before="245" w:line="219" w:lineRule="auto"/>
        <w:ind w:left="377"/>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在整个合同期内，承包人应按合同条款规定保证足够的保险额。</w:t>
      </w:r>
    </w:p>
    <w:p w14:paraId="7648EB5C">
      <w:pPr>
        <w:spacing w:before="243" w:line="222" w:lineRule="auto"/>
        <w:ind w:left="38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20.6.4保险金不足的补偿</w:t>
      </w:r>
    </w:p>
    <w:p w14:paraId="749852DD">
      <w:pPr>
        <w:spacing w:before="238" w:line="219" w:lineRule="auto"/>
        <w:ind w:left="37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本项细化为：</w:t>
      </w:r>
    </w:p>
    <w:p w14:paraId="5545F87D">
      <w:pPr>
        <w:spacing w:before="246" w:line="316" w:lineRule="auto"/>
        <w:ind w:left="24" w:right="80" w:firstLine="354"/>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保险金不足以补偿损失的(包括免赔额和超过赔偿限额的部分)，应由承包人和(或)</w:t>
      </w:r>
      <w:r>
        <w:rPr>
          <w:rFonts w:hint="eastAsia" w:ascii="宋体" w:hAnsi="宋体" w:eastAsia="宋体" w:cs="宋体"/>
          <w:color w:val="auto"/>
          <w:spacing w:val="-10"/>
          <w:sz w:val="24"/>
          <w:szCs w:val="24"/>
          <w:highlight w:val="none"/>
        </w:rPr>
        <w:t>发包人按合同约定负责补偿。</w:t>
      </w:r>
    </w:p>
    <w:p w14:paraId="6B7B2DDD">
      <w:pPr>
        <w:spacing w:before="116" w:line="312" w:lineRule="auto"/>
        <w:ind w:left="379" w:right="5722" w:firstLine="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20.6.5未按约定投保的补救</w:t>
      </w:r>
      <w:r>
        <w:rPr>
          <w:rFonts w:hint="eastAsia" w:ascii="宋体" w:hAnsi="宋体" w:eastAsia="宋体" w:cs="宋体"/>
          <w:color w:val="auto"/>
          <w:spacing w:val="-8"/>
          <w:sz w:val="24"/>
          <w:szCs w:val="24"/>
          <w:highlight w:val="none"/>
        </w:rPr>
        <w:t>本项(2)目细化为：</w:t>
      </w:r>
    </w:p>
    <w:p w14:paraId="6FAD999C">
      <w:pPr>
        <w:spacing w:before="246" w:line="315" w:lineRule="auto"/>
        <w:ind w:left="21" w:right="77" w:firstLine="398"/>
        <w:jc w:val="both"/>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(2)由于负有投保义务的一方当事人未按合同约定办理某项保险，或未按保险单</w:t>
      </w:r>
      <w:r>
        <w:rPr>
          <w:rFonts w:hint="eastAsia" w:ascii="宋体" w:hAnsi="宋体" w:eastAsia="宋体" w:cs="宋体"/>
          <w:color w:val="auto"/>
          <w:spacing w:val="-10"/>
          <w:sz w:val="24"/>
          <w:szCs w:val="24"/>
          <w:highlight w:val="none"/>
        </w:rPr>
        <w:t>规定</w:t>
      </w:r>
      <w:r>
        <w:rPr>
          <w:rFonts w:hint="eastAsia" w:ascii="宋体" w:hAnsi="宋体" w:eastAsia="宋体" w:cs="宋体"/>
          <w:color w:val="auto"/>
          <w:spacing w:val="-11"/>
          <w:sz w:val="24"/>
          <w:szCs w:val="24"/>
          <w:highlight w:val="none"/>
        </w:rPr>
        <w:t>的条件和期限及时向保险人报告事故情况，或未按要求的保险期限进行投保，或未按要</w:t>
      </w:r>
      <w:r>
        <w:rPr>
          <w:rFonts w:hint="eastAsia" w:ascii="宋体" w:hAnsi="宋体" w:eastAsia="宋体" w:cs="宋体"/>
          <w:color w:val="auto"/>
          <w:spacing w:val="-8"/>
          <w:sz w:val="24"/>
          <w:szCs w:val="24"/>
          <w:highlight w:val="none"/>
        </w:rPr>
        <w:t>求投保足够的保险金额，导致受益人未能或未能全部得到保险人的赔偿，原应从该项</w:t>
      </w:r>
      <w:r>
        <w:rPr>
          <w:rFonts w:hint="eastAsia" w:ascii="宋体" w:hAnsi="宋体" w:eastAsia="宋体" w:cs="宋体"/>
          <w:color w:val="auto"/>
          <w:spacing w:val="-10"/>
          <w:sz w:val="24"/>
          <w:szCs w:val="24"/>
          <w:highlight w:val="none"/>
        </w:rPr>
        <w:t>保险得到的保险金应由负有投保义务的一方当事人支付。</w:t>
      </w:r>
    </w:p>
    <w:p w14:paraId="28D9E35E">
      <w:pPr>
        <w:pStyle w:val="4"/>
        <w:spacing w:line="293" w:lineRule="auto"/>
        <w:rPr>
          <w:rFonts w:hint="eastAsia" w:ascii="宋体" w:hAnsi="宋体" w:eastAsia="宋体" w:cs="宋体"/>
          <w:color w:val="auto"/>
          <w:highlight w:val="none"/>
        </w:rPr>
      </w:pPr>
    </w:p>
    <w:p w14:paraId="2F70A317">
      <w:pPr>
        <w:spacing w:before="91" w:line="222" w:lineRule="auto"/>
        <w:ind w:left="451"/>
        <w:outlineLvl w:val="2"/>
        <w:rPr>
          <w:rFonts w:hint="eastAsia" w:ascii="宋体" w:hAnsi="宋体" w:eastAsia="宋体" w:cs="宋体"/>
          <w:color w:val="auto"/>
          <w:sz w:val="28"/>
          <w:szCs w:val="28"/>
          <w:highlight w:val="none"/>
        </w:rPr>
      </w:pPr>
      <w:bookmarkStart w:id="681" w:name="_Toc9956"/>
      <w:bookmarkStart w:id="682" w:name="_Toc21878"/>
      <w:bookmarkStart w:id="683" w:name="_Toc21356"/>
      <w:bookmarkStart w:id="684" w:name="_Toc11074"/>
      <w:bookmarkStart w:id="685" w:name="_Toc20964"/>
      <w:r>
        <w:rPr>
          <w:rFonts w:hint="eastAsia" w:ascii="宋体" w:hAnsi="宋体" w:eastAsia="宋体" w:cs="宋体"/>
          <w:color w:val="auto"/>
          <w:spacing w:val="-3"/>
          <w:sz w:val="28"/>
          <w:szCs w:val="28"/>
          <w:highlight w:val="none"/>
        </w:rPr>
        <w:t>21.不可抗力</w:t>
      </w:r>
      <w:bookmarkEnd w:id="681"/>
      <w:bookmarkEnd w:id="682"/>
      <w:bookmarkEnd w:id="683"/>
      <w:bookmarkEnd w:id="684"/>
      <w:bookmarkEnd w:id="685"/>
    </w:p>
    <w:p w14:paraId="58C634D9">
      <w:pPr>
        <w:pStyle w:val="4"/>
        <w:spacing w:line="272" w:lineRule="auto"/>
        <w:rPr>
          <w:rFonts w:hint="eastAsia" w:ascii="宋体" w:hAnsi="宋体" w:eastAsia="宋体" w:cs="宋体"/>
          <w:color w:val="auto"/>
          <w:highlight w:val="none"/>
        </w:rPr>
      </w:pPr>
    </w:p>
    <w:p w14:paraId="61716841">
      <w:pPr>
        <w:spacing w:before="78" w:line="221" w:lineRule="auto"/>
        <w:ind w:left="38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21.1不可抗力的确认</w:t>
      </w:r>
    </w:p>
    <w:p w14:paraId="2228B5D3">
      <w:pPr>
        <w:spacing w:line="221" w:lineRule="auto"/>
        <w:rPr>
          <w:rFonts w:hint="eastAsia" w:ascii="宋体" w:hAnsi="宋体" w:eastAsia="宋体" w:cs="宋体"/>
          <w:color w:val="auto"/>
          <w:sz w:val="24"/>
          <w:szCs w:val="24"/>
          <w:highlight w:val="none"/>
        </w:rPr>
        <w:sectPr>
          <w:headerReference r:id="rId186" w:type="default"/>
          <w:footerReference r:id="rId187" w:type="default"/>
          <w:pgSz w:w="11907" w:h="16840"/>
          <w:pgMar w:top="1182" w:right="1204" w:bottom="1014" w:left="1786" w:header="849" w:footer="852" w:gutter="0"/>
          <w:pgNumType w:fmt="decimal"/>
          <w:cols w:space="720" w:num="1"/>
        </w:sectPr>
      </w:pPr>
    </w:p>
    <w:p w14:paraId="0EE9EEA0">
      <w:pPr>
        <w:spacing w:before="293" w:line="219" w:lineRule="auto"/>
        <w:ind w:left="378"/>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第21.1.1项细化为：</w:t>
      </w:r>
    </w:p>
    <w:p w14:paraId="4CF43B74">
      <w:pPr>
        <w:spacing w:before="243" w:line="317" w:lineRule="auto"/>
        <w:ind w:left="24" w:firstLine="357"/>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不可抗力是指承包人和发包人在订立合同时不可预见，在工程施工过</w:t>
      </w:r>
      <w:r>
        <w:rPr>
          <w:rFonts w:hint="eastAsia" w:ascii="宋体" w:hAnsi="宋体" w:eastAsia="宋体" w:cs="宋体"/>
          <w:color w:val="auto"/>
          <w:spacing w:val="-9"/>
          <w:sz w:val="24"/>
          <w:szCs w:val="24"/>
          <w:highlight w:val="none"/>
        </w:rPr>
        <w:t>程中不可避免</w:t>
      </w:r>
      <w:r>
        <w:rPr>
          <w:rFonts w:hint="eastAsia" w:ascii="宋体" w:hAnsi="宋体" w:eastAsia="宋体" w:cs="宋体"/>
          <w:color w:val="auto"/>
          <w:spacing w:val="-10"/>
          <w:sz w:val="24"/>
          <w:szCs w:val="24"/>
          <w:highlight w:val="none"/>
        </w:rPr>
        <w:t>发生并不能克服的自然灾害和社会性突发事件。包括但不限于：</w:t>
      </w:r>
    </w:p>
    <w:p w14:paraId="788A44FC">
      <w:pPr>
        <w:spacing w:before="112" w:line="218" w:lineRule="auto"/>
        <w:ind w:left="420"/>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(1)地震、海啸、火山爆发、泥石流、暴雨(雪)、台风、龙卷风、水灾</w:t>
      </w:r>
      <w:r>
        <w:rPr>
          <w:rFonts w:hint="eastAsia" w:ascii="宋体" w:hAnsi="宋体" w:eastAsia="宋体" w:cs="宋体"/>
          <w:color w:val="auto"/>
          <w:spacing w:val="-11"/>
          <w:sz w:val="24"/>
          <w:szCs w:val="24"/>
          <w:highlight w:val="none"/>
        </w:rPr>
        <w:t>等自然灾害；</w:t>
      </w:r>
    </w:p>
    <w:p w14:paraId="6D3F4842">
      <w:pPr>
        <w:spacing w:before="243" w:line="267" w:lineRule="auto"/>
        <w:ind w:left="19" w:right="2" w:firstLine="40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(2)战争、骚乱、暴动，但纯属承包人或其分包人派遣与雇用的人员由于本合同</w:t>
      </w:r>
      <w:r>
        <w:rPr>
          <w:rFonts w:hint="eastAsia" w:ascii="宋体" w:hAnsi="宋体" w:eastAsia="宋体" w:cs="宋体"/>
          <w:color w:val="auto"/>
          <w:spacing w:val="-10"/>
          <w:sz w:val="24"/>
          <w:szCs w:val="24"/>
          <w:highlight w:val="none"/>
        </w:rPr>
        <w:t>工程</w:t>
      </w:r>
      <w:r>
        <w:rPr>
          <w:rFonts w:hint="eastAsia" w:ascii="宋体" w:hAnsi="宋体" w:eastAsia="宋体" w:cs="宋体"/>
          <w:color w:val="auto"/>
          <w:spacing w:val="-9"/>
          <w:sz w:val="24"/>
          <w:szCs w:val="24"/>
          <w:highlight w:val="none"/>
        </w:rPr>
        <w:t>施工原因引起者除外；</w:t>
      </w:r>
    </w:p>
    <w:p w14:paraId="2803DDF2">
      <w:pPr>
        <w:spacing w:before="246" w:line="219" w:lineRule="auto"/>
        <w:ind w:left="420"/>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(3)核反应、辐射或放射性污染；</w:t>
      </w:r>
    </w:p>
    <w:p w14:paraId="688FF23A">
      <w:pPr>
        <w:spacing w:before="243" w:line="218" w:lineRule="auto"/>
        <w:ind w:left="420"/>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(4)空中飞行物体坠落或非发包人或承包人责任造成的爆炸、火灾；</w:t>
      </w:r>
    </w:p>
    <w:p w14:paraId="6E705C28">
      <w:pPr>
        <w:spacing w:before="244" w:line="220" w:lineRule="auto"/>
        <w:ind w:left="420"/>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(5)瘟疫；</w:t>
      </w:r>
    </w:p>
    <w:p w14:paraId="693FF865">
      <w:pPr>
        <w:spacing w:before="243" w:line="219" w:lineRule="auto"/>
        <w:ind w:left="420"/>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(6)项目专用合同条款约定的其他情形。</w:t>
      </w:r>
    </w:p>
    <w:p w14:paraId="699177F9">
      <w:pPr>
        <w:spacing w:before="180" w:line="221" w:lineRule="auto"/>
        <w:ind w:left="38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21.3不可抗力后果及其处理</w:t>
      </w:r>
    </w:p>
    <w:p w14:paraId="0E493ED5">
      <w:pPr>
        <w:spacing w:before="136" w:line="313" w:lineRule="auto"/>
        <w:ind w:left="379" w:right="5647" w:firstLine="6"/>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21.3.4因不可抗力解除合同</w:t>
      </w:r>
      <w:r>
        <w:rPr>
          <w:rFonts w:hint="eastAsia" w:ascii="宋体" w:hAnsi="宋体" w:eastAsia="宋体" w:cs="宋体"/>
          <w:color w:val="auto"/>
          <w:spacing w:val="-9"/>
          <w:sz w:val="24"/>
          <w:szCs w:val="24"/>
          <w:highlight w:val="none"/>
        </w:rPr>
        <w:t>本项细化为：</w:t>
      </w:r>
    </w:p>
    <w:p w14:paraId="4DC092CB">
      <w:pPr>
        <w:spacing w:before="244" w:line="219" w:lineRule="auto"/>
        <w:ind w:left="379"/>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合同一方当事人因不可抗力不能履行合同的，应当及时通知对方解除合同。</w:t>
      </w:r>
    </w:p>
    <w:p w14:paraId="4438F2D8">
      <w:pPr>
        <w:spacing w:before="243" w:line="315" w:lineRule="auto"/>
        <w:ind w:left="20" w:firstLine="358"/>
        <w:jc w:val="both"/>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合同解除后，承包人应按照第22.2.5项约定撤离施工场地。</w:t>
      </w:r>
      <w:r>
        <w:rPr>
          <w:rFonts w:hint="eastAsia" w:ascii="宋体" w:hAnsi="宋体" w:eastAsia="宋体" w:cs="宋体"/>
          <w:color w:val="auto"/>
          <w:spacing w:val="-11"/>
          <w:sz w:val="24"/>
          <w:szCs w:val="24"/>
          <w:highlight w:val="none"/>
        </w:rPr>
        <w:t>已经订货的材料、设备由订货方负责退货或解除订货合同，不能退还的货款和因退货、解除订货合同发生的费</w:t>
      </w:r>
      <w:r>
        <w:rPr>
          <w:rFonts w:hint="eastAsia" w:ascii="宋体" w:hAnsi="宋体" w:eastAsia="宋体" w:cs="宋体"/>
          <w:color w:val="auto"/>
          <w:spacing w:val="-8"/>
          <w:sz w:val="24"/>
          <w:szCs w:val="24"/>
          <w:highlight w:val="none"/>
        </w:rPr>
        <w:t>用，由发包人承担，因未及时退货造成的损失由责任方承担。合同解除后的付款，参</w:t>
      </w:r>
      <w:r>
        <w:rPr>
          <w:rFonts w:hint="eastAsia" w:ascii="宋体" w:hAnsi="宋体" w:eastAsia="宋体" w:cs="宋体"/>
          <w:color w:val="auto"/>
          <w:spacing w:val="-7"/>
          <w:sz w:val="24"/>
          <w:szCs w:val="24"/>
          <w:highlight w:val="none"/>
        </w:rPr>
        <w:t>照第22.2.4项约定，由监理人按第3.5款商定或确定，但由于解除合同应赔偿的承</w:t>
      </w:r>
      <w:r>
        <w:rPr>
          <w:rFonts w:hint="eastAsia" w:ascii="宋体" w:hAnsi="宋体" w:eastAsia="宋体" w:cs="宋体"/>
          <w:color w:val="auto"/>
          <w:spacing w:val="-9"/>
          <w:sz w:val="24"/>
          <w:szCs w:val="24"/>
          <w:highlight w:val="none"/>
        </w:rPr>
        <w:t>包人损失不予考虑。</w:t>
      </w:r>
    </w:p>
    <w:p w14:paraId="304633DB">
      <w:pPr>
        <w:spacing w:before="70" w:line="224" w:lineRule="auto"/>
        <w:ind w:left="451"/>
        <w:outlineLvl w:val="2"/>
        <w:rPr>
          <w:rFonts w:hint="eastAsia" w:ascii="宋体" w:hAnsi="宋体" w:eastAsia="宋体" w:cs="宋体"/>
          <w:color w:val="auto"/>
          <w:sz w:val="28"/>
          <w:szCs w:val="28"/>
          <w:highlight w:val="none"/>
        </w:rPr>
      </w:pPr>
      <w:bookmarkStart w:id="686" w:name="_Toc18320"/>
      <w:bookmarkStart w:id="687" w:name="_Toc15395"/>
      <w:bookmarkStart w:id="688" w:name="_Toc15969"/>
      <w:bookmarkStart w:id="689" w:name="_Toc27516"/>
      <w:bookmarkStart w:id="690" w:name="_Toc11152"/>
      <w:r>
        <w:rPr>
          <w:rFonts w:hint="eastAsia" w:ascii="宋体" w:hAnsi="宋体" w:eastAsia="宋体" w:cs="宋体"/>
          <w:color w:val="auto"/>
          <w:spacing w:val="-4"/>
          <w:sz w:val="28"/>
          <w:szCs w:val="28"/>
          <w:highlight w:val="none"/>
        </w:rPr>
        <w:t>22.违约</w:t>
      </w:r>
      <w:bookmarkEnd w:id="686"/>
      <w:bookmarkEnd w:id="687"/>
      <w:bookmarkEnd w:id="688"/>
      <w:bookmarkEnd w:id="689"/>
      <w:bookmarkEnd w:id="690"/>
    </w:p>
    <w:p w14:paraId="507511DE">
      <w:pPr>
        <w:pStyle w:val="4"/>
        <w:spacing w:line="269" w:lineRule="auto"/>
        <w:rPr>
          <w:rFonts w:hint="eastAsia" w:ascii="宋体" w:hAnsi="宋体" w:eastAsia="宋体" w:cs="宋体"/>
          <w:color w:val="auto"/>
          <w:highlight w:val="none"/>
        </w:rPr>
      </w:pPr>
    </w:p>
    <w:p w14:paraId="5D08F29D">
      <w:pPr>
        <w:spacing w:before="78" w:line="222" w:lineRule="auto"/>
        <w:ind w:left="38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22.1承包人违约</w:t>
      </w:r>
    </w:p>
    <w:p w14:paraId="56EAE8B8">
      <w:pPr>
        <w:pStyle w:val="4"/>
        <w:spacing w:line="359" w:lineRule="auto"/>
        <w:rPr>
          <w:rFonts w:hint="eastAsia" w:ascii="宋体" w:hAnsi="宋体" w:eastAsia="宋体" w:cs="宋体"/>
          <w:color w:val="auto"/>
          <w:highlight w:val="none"/>
        </w:rPr>
      </w:pPr>
    </w:p>
    <w:p w14:paraId="0AF16DAC">
      <w:pPr>
        <w:spacing w:before="78" w:line="312" w:lineRule="auto"/>
        <w:ind w:left="379" w:right="5887" w:firstLine="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22.1.1承包人违约的情形</w:t>
      </w:r>
      <w:r>
        <w:rPr>
          <w:rFonts w:hint="eastAsia" w:ascii="宋体" w:hAnsi="宋体" w:eastAsia="宋体" w:cs="宋体"/>
          <w:color w:val="auto"/>
          <w:spacing w:val="-8"/>
          <w:sz w:val="24"/>
          <w:szCs w:val="24"/>
          <w:highlight w:val="none"/>
        </w:rPr>
        <w:t>本项(2)目细化为：</w:t>
      </w:r>
    </w:p>
    <w:p w14:paraId="6D3585F0">
      <w:pPr>
        <w:spacing w:before="245" w:line="317" w:lineRule="auto"/>
        <w:ind w:left="26" w:firstLine="394"/>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(2)承包人违反第5.3款或第6.4款的约定，未经监理人批准，私自将已按合同约</w:t>
      </w:r>
      <w:r>
        <w:rPr>
          <w:rFonts w:hint="eastAsia" w:ascii="宋体" w:hAnsi="宋体" w:eastAsia="宋体" w:cs="宋体"/>
          <w:color w:val="auto"/>
          <w:spacing w:val="-10"/>
          <w:sz w:val="24"/>
          <w:szCs w:val="24"/>
          <w:highlight w:val="none"/>
        </w:rPr>
        <w:t>定进入施工场地的施工设备、临时设施、材料或工程设备撤离施工场地；</w:t>
      </w:r>
    </w:p>
    <w:p w14:paraId="78B04661">
      <w:pPr>
        <w:spacing w:before="113" w:line="219" w:lineRule="auto"/>
        <w:ind w:left="37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本项(7)目细化为：</w:t>
      </w:r>
    </w:p>
    <w:p w14:paraId="55C43734">
      <w:pPr>
        <w:spacing w:before="244" w:line="219" w:lineRule="auto"/>
        <w:ind w:left="420"/>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(7)承包人未能按期开工；</w:t>
      </w:r>
    </w:p>
    <w:p w14:paraId="42B6FD01">
      <w:pPr>
        <w:spacing w:before="243" w:line="219"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(8)承包人违反第4.6款或第6.3款的规定，未按承诺或未按监理人的要求及时配</w:t>
      </w:r>
    </w:p>
    <w:p w14:paraId="432EC96C">
      <w:pPr>
        <w:spacing w:line="219" w:lineRule="auto"/>
        <w:rPr>
          <w:rFonts w:hint="eastAsia" w:ascii="宋体" w:hAnsi="宋体" w:eastAsia="宋体" w:cs="宋体"/>
          <w:color w:val="auto"/>
          <w:sz w:val="24"/>
          <w:szCs w:val="24"/>
          <w:highlight w:val="none"/>
        </w:rPr>
        <w:sectPr>
          <w:headerReference r:id="rId188" w:type="default"/>
          <w:footerReference r:id="rId189" w:type="default"/>
          <w:pgSz w:w="11907" w:h="16840"/>
          <w:pgMar w:top="1182" w:right="1279" w:bottom="1014" w:left="1786" w:header="849" w:footer="852" w:gutter="0"/>
          <w:pgNumType w:fmt="decimal"/>
          <w:cols w:space="720" w:num="1"/>
        </w:sectPr>
      </w:pPr>
    </w:p>
    <w:p w14:paraId="71C9AD5C">
      <w:pPr>
        <w:spacing w:before="292" w:line="219" w:lineRule="auto"/>
        <w:ind w:left="23"/>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备称职的主要管理人员、技术骨干或关键施工设备；</w:t>
      </w:r>
    </w:p>
    <w:p w14:paraId="2BD99907">
      <w:pPr>
        <w:spacing w:before="243" w:line="268" w:lineRule="auto"/>
        <w:ind w:left="22" w:right="112" w:firstLine="397"/>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(9)经监理人和发包人检查，发现承包人有安全问题或有违反安全管理规章制度</w:t>
      </w:r>
      <w:r>
        <w:rPr>
          <w:rFonts w:hint="eastAsia" w:ascii="宋体" w:hAnsi="宋体" w:eastAsia="宋体" w:cs="宋体"/>
          <w:color w:val="auto"/>
          <w:spacing w:val="-10"/>
          <w:sz w:val="24"/>
          <w:szCs w:val="24"/>
          <w:highlight w:val="none"/>
        </w:rPr>
        <w:t>的情</w:t>
      </w:r>
      <w:r>
        <w:rPr>
          <w:rFonts w:hint="eastAsia" w:ascii="宋体" w:hAnsi="宋体" w:eastAsia="宋体" w:cs="宋体"/>
          <w:color w:val="auto"/>
          <w:spacing w:val="-6"/>
          <w:sz w:val="24"/>
          <w:szCs w:val="24"/>
          <w:highlight w:val="none"/>
        </w:rPr>
        <w:t>况；</w:t>
      </w:r>
    </w:p>
    <w:p w14:paraId="42E6C047">
      <w:pPr>
        <w:spacing w:before="242" w:line="219" w:lineRule="auto"/>
        <w:ind w:left="420"/>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(10)承包人不按合同约定履行义务的其他情况。</w:t>
      </w:r>
    </w:p>
    <w:p w14:paraId="1A3031DA">
      <w:pPr>
        <w:spacing w:before="243" w:line="312" w:lineRule="auto"/>
        <w:ind w:left="379" w:right="5445" w:firstLine="1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22.1.2对承包人违约的处理</w:t>
      </w:r>
      <w:r>
        <w:rPr>
          <w:rFonts w:hint="eastAsia" w:ascii="宋体" w:hAnsi="宋体" w:eastAsia="宋体" w:cs="宋体"/>
          <w:color w:val="auto"/>
          <w:spacing w:val="-9"/>
          <w:sz w:val="24"/>
          <w:szCs w:val="24"/>
          <w:highlight w:val="none"/>
        </w:rPr>
        <w:t>本项补充：</w:t>
      </w:r>
    </w:p>
    <w:p w14:paraId="54221C08">
      <w:pPr>
        <w:spacing w:before="247" w:line="315" w:lineRule="auto"/>
        <w:ind w:left="21" w:right="110" w:firstLine="398"/>
        <w:jc w:val="both"/>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(4)承包人发生第22.1.1项约定的违约情况时，无论发包人是否解除合同，发包人均有权向承包人课以项目专用合同条款中规定的违约金，并由发包人将其违约行为上报</w:t>
      </w:r>
      <w:r>
        <w:rPr>
          <w:rFonts w:hint="eastAsia" w:ascii="宋体" w:hAnsi="宋体" w:eastAsia="宋体" w:cs="宋体"/>
          <w:color w:val="auto"/>
          <w:spacing w:val="-10"/>
          <w:sz w:val="24"/>
          <w:szCs w:val="24"/>
          <w:highlight w:val="none"/>
        </w:rPr>
        <w:t>省级交通运输主管部门，作为不良记录纳入公路建设市场信用信息管理系统。</w:t>
      </w:r>
    </w:p>
    <w:p w14:paraId="3A2A0EC6">
      <w:pPr>
        <w:spacing w:before="169" w:line="221" w:lineRule="auto"/>
        <w:ind w:left="38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22.2发包人违约</w:t>
      </w:r>
    </w:p>
    <w:p w14:paraId="0650D737">
      <w:pPr>
        <w:spacing w:before="139" w:line="312" w:lineRule="auto"/>
        <w:ind w:left="379" w:right="5997" w:firstLine="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22.2.1发包人违约的情形</w:t>
      </w:r>
      <w:r>
        <w:rPr>
          <w:rFonts w:hint="eastAsia" w:ascii="宋体" w:hAnsi="宋体" w:eastAsia="宋体" w:cs="宋体"/>
          <w:color w:val="auto"/>
          <w:spacing w:val="-8"/>
          <w:sz w:val="24"/>
          <w:szCs w:val="24"/>
          <w:highlight w:val="none"/>
        </w:rPr>
        <w:t>本项(5)目细化为：</w:t>
      </w:r>
    </w:p>
    <w:p w14:paraId="39E7EA80">
      <w:pPr>
        <w:spacing w:before="244" w:line="219" w:lineRule="auto"/>
        <w:ind w:left="420"/>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(5)发包人无正当理由不按时返还履约保</w:t>
      </w:r>
      <w:r>
        <w:rPr>
          <w:rFonts w:hint="eastAsia" w:ascii="宋体" w:hAnsi="宋体" w:eastAsia="宋体" w:cs="宋体"/>
          <w:color w:val="auto"/>
          <w:spacing w:val="-11"/>
          <w:sz w:val="24"/>
          <w:szCs w:val="24"/>
          <w:highlight w:val="none"/>
        </w:rPr>
        <w:t>证金、质量保证金或农民工工资保证金的；</w:t>
      </w:r>
    </w:p>
    <w:p w14:paraId="3EB3C058">
      <w:pPr>
        <w:spacing w:before="243" w:line="219" w:lineRule="auto"/>
        <w:ind w:left="521"/>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(6)发包人不履行合同约定其他义务的。</w:t>
      </w:r>
    </w:p>
    <w:p w14:paraId="3AE27E69">
      <w:pPr>
        <w:spacing w:before="244" w:line="222" w:lineRule="auto"/>
        <w:ind w:left="38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22.2.2承包人有权暂停施工</w:t>
      </w:r>
    </w:p>
    <w:p w14:paraId="199B2A0F">
      <w:pPr>
        <w:spacing w:before="238" w:line="219" w:lineRule="auto"/>
        <w:ind w:left="516"/>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本项细化为：</w:t>
      </w:r>
    </w:p>
    <w:p w14:paraId="391D1D4C">
      <w:pPr>
        <w:spacing w:before="244" w:line="316" w:lineRule="auto"/>
        <w:ind w:left="20" w:firstLine="361"/>
        <w:jc w:val="both"/>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发包人发生除第22.2.1(4)、(5)目以外的违约情况时，承包人可向发包人发出</w:t>
      </w:r>
      <w:r>
        <w:rPr>
          <w:rFonts w:hint="eastAsia" w:ascii="宋体" w:hAnsi="宋体" w:eastAsia="宋体" w:cs="宋体"/>
          <w:color w:val="auto"/>
          <w:spacing w:val="-11"/>
          <w:sz w:val="24"/>
          <w:szCs w:val="24"/>
          <w:highlight w:val="none"/>
        </w:rPr>
        <w:t>通知，要求发包人采取有效措施纠正违约行为。发包人收到承包人通知后的28天内仍不</w:t>
      </w:r>
      <w:r>
        <w:rPr>
          <w:rFonts w:hint="eastAsia" w:ascii="宋体" w:hAnsi="宋体" w:eastAsia="宋体" w:cs="宋体"/>
          <w:color w:val="auto"/>
          <w:spacing w:val="-16"/>
          <w:sz w:val="24"/>
          <w:szCs w:val="24"/>
          <w:highlight w:val="none"/>
        </w:rPr>
        <w:t>履行合同义务，承包人有权暂停施工，并通知监理人，发包</w:t>
      </w:r>
      <w:r>
        <w:rPr>
          <w:rFonts w:hint="eastAsia" w:ascii="宋体" w:hAnsi="宋体" w:eastAsia="宋体" w:cs="宋体"/>
          <w:color w:val="auto"/>
          <w:spacing w:val="-17"/>
          <w:sz w:val="24"/>
          <w:szCs w:val="24"/>
          <w:highlight w:val="none"/>
        </w:rPr>
        <w:t>人应承担由此增加的费用和(或)</w:t>
      </w:r>
      <w:r>
        <w:rPr>
          <w:rFonts w:hint="eastAsia" w:ascii="宋体" w:hAnsi="宋体" w:eastAsia="宋体" w:cs="宋体"/>
          <w:color w:val="auto"/>
          <w:spacing w:val="-10"/>
          <w:sz w:val="24"/>
          <w:szCs w:val="24"/>
          <w:highlight w:val="none"/>
        </w:rPr>
        <w:t>工期延误，并支付承包人合理利润。</w:t>
      </w:r>
    </w:p>
    <w:p w14:paraId="3E062C0F">
      <w:pPr>
        <w:spacing w:before="111" w:line="316" w:lineRule="auto"/>
        <w:ind w:left="21" w:right="110" w:firstLine="360"/>
        <w:jc w:val="both"/>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发包人发生第22.2.1(5)目的违约情况时，承包人可向发包人发出通知，要求发包</w:t>
      </w:r>
      <w:r>
        <w:rPr>
          <w:rFonts w:hint="eastAsia" w:ascii="宋体" w:hAnsi="宋体" w:eastAsia="宋体" w:cs="宋体"/>
          <w:color w:val="auto"/>
          <w:spacing w:val="-8"/>
          <w:sz w:val="24"/>
          <w:szCs w:val="24"/>
          <w:highlight w:val="none"/>
        </w:rPr>
        <w:t>人采取有效措施纠正违约行为。发包人收到承包人通知后的28天内仍不返还履约保证金、质量保证金或农民工工资保证金的，发包人应按项目专用合同条款的约定向承包人</w:t>
      </w:r>
      <w:r>
        <w:rPr>
          <w:rFonts w:hint="eastAsia" w:ascii="宋体" w:hAnsi="宋体" w:eastAsia="宋体" w:cs="宋体"/>
          <w:color w:val="auto"/>
          <w:spacing w:val="-10"/>
          <w:sz w:val="24"/>
          <w:szCs w:val="24"/>
          <w:highlight w:val="none"/>
        </w:rPr>
        <w:t>支付逾期返还保证金的违约金。</w:t>
      </w:r>
    </w:p>
    <w:p w14:paraId="78F26022">
      <w:pPr>
        <w:spacing w:before="115" w:line="312" w:lineRule="auto"/>
        <w:ind w:left="379" w:right="5865" w:firstLine="1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22.2.4解除合同后的付款</w:t>
      </w:r>
      <w:r>
        <w:rPr>
          <w:rFonts w:hint="eastAsia" w:ascii="宋体" w:hAnsi="宋体" w:eastAsia="宋体" w:cs="宋体"/>
          <w:color w:val="auto"/>
          <w:spacing w:val="-8"/>
          <w:sz w:val="24"/>
          <w:szCs w:val="24"/>
          <w:highlight w:val="none"/>
        </w:rPr>
        <w:t>本项(2)目细化为：</w:t>
      </w:r>
    </w:p>
    <w:p w14:paraId="28377C75">
      <w:pPr>
        <w:spacing w:before="242" w:line="316" w:lineRule="auto"/>
        <w:ind w:left="20" w:right="112" w:firstLine="39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(2)承包人为该工程施工订购并已付款的材料、工程设备和其他物品的金额。发</w:t>
      </w:r>
      <w:r>
        <w:rPr>
          <w:rFonts w:hint="eastAsia" w:ascii="宋体" w:hAnsi="宋体" w:eastAsia="宋体" w:cs="宋体"/>
          <w:color w:val="auto"/>
          <w:spacing w:val="-10"/>
          <w:sz w:val="24"/>
          <w:szCs w:val="24"/>
          <w:highlight w:val="none"/>
        </w:rPr>
        <w:t>包人付款后，该材料、工程设备和其他物品归发包人所有；</w:t>
      </w:r>
    </w:p>
    <w:p w14:paraId="541EA547">
      <w:pPr>
        <w:spacing w:before="69" w:line="222" w:lineRule="auto"/>
        <w:ind w:left="456"/>
        <w:outlineLvl w:val="2"/>
        <w:rPr>
          <w:rFonts w:hint="eastAsia" w:ascii="宋体" w:hAnsi="宋体" w:eastAsia="宋体" w:cs="宋体"/>
          <w:color w:val="auto"/>
          <w:sz w:val="28"/>
          <w:szCs w:val="28"/>
          <w:highlight w:val="none"/>
        </w:rPr>
      </w:pPr>
      <w:bookmarkStart w:id="691" w:name="_Toc19181"/>
      <w:bookmarkStart w:id="692" w:name="_Toc10783"/>
      <w:bookmarkStart w:id="693" w:name="_Toc10138"/>
      <w:bookmarkStart w:id="694" w:name="_Toc28962"/>
      <w:bookmarkStart w:id="695" w:name="_Toc213"/>
      <w:r>
        <w:rPr>
          <w:rFonts w:hint="eastAsia" w:ascii="宋体" w:hAnsi="宋体" w:eastAsia="宋体" w:cs="宋体"/>
          <w:color w:val="auto"/>
          <w:spacing w:val="-4"/>
          <w:sz w:val="28"/>
          <w:szCs w:val="28"/>
          <w:highlight w:val="none"/>
        </w:rPr>
        <w:t>23.索赔</w:t>
      </w:r>
      <w:bookmarkEnd w:id="691"/>
      <w:bookmarkEnd w:id="692"/>
      <w:bookmarkEnd w:id="693"/>
      <w:bookmarkEnd w:id="694"/>
      <w:bookmarkEnd w:id="695"/>
    </w:p>
    <w:p w14:paraId="07BB02D7">
      <w:pPr>
        <w:spacing w:line="222" w:lineRule="auto"/>
        <w:rPr>
          <w:rFonts w:hint="eastAsia" w:ascii="宋体" w:hAnsi="宋体" w:eastAsia="宋体" w:cs="宋体"/>
          <w:color w:val="auto"/>
          <w:sz w:val="28"/>
          <w:szCs w:val="28"/>
          <w:highlight w:val="none"/>
        </w:rPr>
        <w:sectPr>
          <w:headerReference r:id="rId190" w:type="default"/>
          <w:footerReference r:id="rId191" w:type="default"/>
          <w:pgSz w:w="11907" w:h="16840"/>
          <w:pgMar w:top="1182" w:right="1169" w:bottom="1014" w:left="1786" w:header="849" w:footer="852" w:gutter="0"/>
          <w:pgNumType w:fmt="decimal"/>
          <w:cols w:space="720" w:num="1"/>
        </w:sectPr>
      </w:pPr>
    </w:p>
    <w:p w14:paraId="7028367A">
      <w:pPr>
        <w:pStyle w:val="4"/>
        <w:spacing w:line="274" w:lineRule="auto"/>
        <w:rPr>
          <w:rFonts w:hint="eastAsia" w:ascii="宋体" w:hAnsi="宋体" w:eastAsia="宋体" w:cs="宋体"/>
          <w:color w:val="auto"/>
          <w:highlight w:val="none"/>
        </w:rPr>
      </w:pPr>
    </w:p>
    <w:p w14:paraId="39C538B2">
      <w:pPr>
        <w:pStyle w:val="4"/>
        <w:spacing w:line="275" w:lineRule="auto"/>
        <w:rPr>
          <w:rFonts w:hint="eastAsia" w:ascii="宋体" w:hAnsi="宋体" w:eastAsia="宋体" w:cs="宋体"/>
          <w:color w:val="auto"/>
          <w:highlight w:val="none"/>
        </w:rPr>
      </w:pPr>
    </w:p>
    <w:p w14:paraId="4A084F88">
      <w:pPr>
        <w:spacing w:before="78" w:line="222" w:lineRule="auto"/>
        <w:ind w:left="38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23.1承包人索赔的提出</w:t>
      </w:r>
    </w:p>
    <w:p w14:paraId="112ACCB5">
      <w:pPr>
        <w:pStyle w:val="4"/>
        <w:spacing w:line="358" w:lineRule="auto"/>
        <w:rPr>
          <w:rFonts w:hint="eastAsia" w:ascii="宋体" w:hAnsi="宋体" w:eastAsia="宋体" w:cs="宋体"/>
          <w:color w:val="auto"/>
          <w:highlight w:val="none"/>
        </w:rPr>
      </w:pPr>
    </w:p>
    <w:p w14:paraId="162784A5">
      <w:pPr>
        <w:spacing w:before="78" w:line="219" w:lineRule="auto"/>
        <w:ind w:left="37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本款第(4)项细化为：</w:t>
      </w:r>
    </w:p>
    <w:p w14:paraId="00169AA5">
      <w:pPr>
        <w:spacing w:before="244" w:line="317" w:lineRule="auto"/>
        <w:ind w:left="43" w:right="75" w:firstLine="377"/>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(4)在索赔事件影响结束后的28天内，承包人应向监理人递</w:t>
      </w:r>
      <w:r>
        <w:rPr>
          <w:rFonts w:hint="eastAsia" w:ascii="宋体" w:hAnsi="宋体" w:eastAsia="宋体" w:cs="宋体"/>
          <w:color w:val="auto"/>
          <w:spacing w:val="-12"/>
          <w:sz w:val="24"/>
          <w:szCs w:val="24"/>
          <w:highlight w:val="none"/>
        </w:rPr>
        <w:t>交最终索赔通知书，说</w:t>
      </w:r>
      <w:r>
        <w:rPr>
          <w:rFonts w:hint="eastAsia" w:ascii="宋体" w:hAnsi="宋体" w:eastAsia="宋体" w:cs="宋体"/>
          <w:color w:val="auto"/>
          <w:spacing w:val="-10"/>
          <w:sz w:val="24"/>
          <w:szCs w:val="24"/>
          <w:highlight w:val="none"/>
        </w:rPr>
        <w:t>明最终要求索赔的追加付款金额和(或)延长的工期，并附必要的记录和证</w:t>
      </w:r>
      <w:r>
        <w:rPr>
          <w:rFonts w:hint="eastAsia" w:ascii="宋体" w:hAnsi="宋体" w:eastAsia="宋体" w:cs="宋体"/>
          <w:color w:val="auto"/>
          <w:spacing w:val="-11"/>
          <w:sz w:val="24"/>
          <w:szCs w:val="24"/>
          <w:highlight w:val="none"/>
        </w:rPr>
        <w:t>明材料。</w:t>
      </w:r>
    </w:p>
    <w:p w14:paraId="1BE0559B">
      <w:pPr>
        <w:spacing w:before="167" w:line="222" w:lineRule="auto"/>
        <w:ind w:left="38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23.2承包人索赔处理程序</w:t>
      </w:r>
    </w:p>
    <w:p w14:paraId="765074B3">
      <w:pPr>
        <w:pStyle w:val="4"/>
        <w:spacing w:line="353" w:lineRule="auto"/>
        <w:rPr>
          <w:rFonts w:hint="eastAsia" w:ascii="宋体" w:hAnsi="宋体" w:eastAsia="宋体" w:cs="宋体"/>
          <w:color w:val="auto"/>
          <w:highlight w:val="none"/>
        </w:rPr>
      </w:pPr>
    </w:p>
    <w:p w14:paraId="2078E868">
      <w:pPr>
        <w:spacing w:before="78" w:line="219" w:lineRule="auto"/>
        <w:ind w:left="37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本款第(2)项细化为：</w:t>
      </w:r>
    </w:p>
    <w:p w14:paraId="3A774CB8">
      <w:pPr>
        <w:spacing w:before="246" w:line="314" w:lineRule="auto"/>
        <w:ind w:left="20" w:right="75" w:firstLine="399"/>
        <w:jc w:val="both"/>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(2)监理人应按第3.5款商定或确定追加的付款和(或)延长的工期，并在收到上述索</w:t>
      </w:r>
      <w:r>
        <w:rPr>
          <w:rFonts w:hint="eastAsia" w:ascii="宋体" w:hAnsi="宋体" w:eastAsia="宋体" w:cs="宋体"/>
          <w:color w:val="auto"/>
          <w:spacing w:val="-7"/>
          <w:sz w:val="24"/>
          <w:szCs w:val="24"/>
          <w:highlight w:val="none"/>
        </w:rPr>
        <w:t>赔通知书或有关索赔的进一步证明材料后的</w:t>
      </w:r>
      <w:r>
        <w:rPr>
          <w:rFonts w:hint="eastAsia" w:ascii="宋体" w:hAnsi="宋体" w:eastAsia="宋体" w:cs="宋体"/>
          <w:color w:val="auto"/>
          <w:spacing w:val="-8"/>
          <w:sz w:val="24"/>
          <w:szCs w:val="24"/>
          <w:highlight w:val="none"/>
        </w:rPr>
        <w:t>42天内，将索赔处理结果报发包人批准后</w:t>
      </w:r>
      <w:r>
        <w:rPr>
          <w:rFonts w:hint="eastAsia" w:ascii="宋体" w:hAnsi="宋体" w:eastAsia="宋体" w:cs="宋体"/>
          <w:color w:val="auto"/>
          <w:spacing w:val="-7"/>
          <w:sz w:val="24"/>
          <w:szCs w:val="24"/>
          <w:highlight w:val="none"/>
        </w:rPr>
        <w:t>答复承包人。如果承包人提出的索赔要求未能遵守第23.1(2)~(4)项的规</w:t>
      </w:r>
    </w:p>
    <w:p w14:paraId="23C8C261">
      <w:pPr>
        <w:spacing w:before="2" w:line="315" w:lineRule="auto"/>
        <w:ind w:left="25" w:right="77"/>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定，则承包人只限于索赔由监理人按当时记录予以核实的那部分款额和(或)工期延长天数。</w:t>
      </w:r>
    </w:p>
    <w:p w14:paraId="6E66A6EC">
      <w:pPr>
        <w:spacing w:before="80" w:line="222" w:lineRule="auto"/>
        <w:ind w:left="451"/>
        <w:outlineLvl w:val="2"/>
        <w:rPr>
          <w:rFonts w:hint="eastAsia" w:ascii="宋体" w:hAnsi="宋体" w:eastAsia="宋体" w:cs="宋体"/>
          <w:color w:val="auto"/>
          <w:sz w:val="28"/>
          <w:szCs w:val="28"/>
          <w:highlight w:val="none"/>
        </w:rPr>
      </w:pPr>
      <w:bookmarkStart w:id="696" w:name="_Toc29674"/>
      <w:bookmarkStart w:id="697" w:name="_Toc15338"/>
      <w:bookmarkStart w:id="698" w:name="_Toc20738"/>
      <w:bookmarkStart w:id="699" w:name="_Toc13989"/>
      <w:bookmarkStart w:id="700" w:name="_Toc8532"/>
      <w:r>
        <w:rPr>
          <w:rFonts w:hint="eastAsia" w:ascii="宋体" w:hAnsi="宋体" w:eastAsia="宋体" w:cs="宋体"/>
          <w:color w:val="auto"/>
          <w:spacing w:val="-4"/>
          <w:sz w:val="28"/>
          <w:szCs w:val="28"/>
          <w:highlight w:val="none"/>
        </w:rPr>
        <w:t>24.争议的解决</w:t>
      </w:r>
      <w:bookmarkEnd w:id="696"/>
      <w:bookmarkEnd w:id="697"/>
      <w:bookmarkEnd w:id="698"/>
      <w:bookmarkEnd w:id="699"/>
      <w:bookmarkEnd w:id="700"/>
    </w:p>
    <w:p w14:paraId="6CD115A8">
      <w:pPr>
        <w:pStyle w:val="4"/>
        <w:spacing w:line="256" w:lineRule="auto"/>
        <w:rPr>
          <w:rFonts w:hint="eastAsia" w:ascii="宋体" w:hAnsi="宋体" w:eastAsia="宋体" w:cs="宋体"/>
          <w:color w:val="auto"/>
          <w:highlight w:val="none"/>
        </w:rPr>
      </w:pPr>
    </w:p>
    <w:p w14:paraId="7BF52E71">
      <w:pPr>
        <w:spacing w:before="79" w:line="222" w:lineRule="auto"/>
        <w:ind w:left="386"/>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24.3争议评审</w:t>
      </w:r>
    </w:p>
    <w:p w14:paraId="06EC8443">
      <w:pPr>
        <w:pStyle w:val="4"/>
        <w:spacing w:line="354" w:lineRule="auto"/>
        <w:rPr>
          <w:rFonts w:hint="eastAsia" w:ascii="宋体" w:hAnsi="宋体" w:eastAsia="宋体" w:cs="宋体"/>
          <w:color w:val="auto"/>
          <w:highlight w:val="none"/>
        </w:rPr>
      </w:pPr>
    </w:p>
    <w:p w14:paraId="6C6C22C8">
      <w:pPr>
        <w:spacing w:before="78" w:line="219" w:lineRule="auto"/>
        <w:ind w:left="37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第24.3.1项补充：</w:t>
      </w:r>
    </w:p>
    <w:p w14:paraId="159AA391">
      <w:pPr>
        <w:spacing w:before="244" w:line="315" w:lineRule="auto"/>
        <w:ind w:left="23" w:firstLine="359"/>
        <w:jc w:val="both"/>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争议评审组由3人或5人组成，专家的聘请方法可由发包人和承包人共同协商确</w:t>
      </w:r>
      <w:r>
        <w:rPr>
          <w:rFonts w:hint="eastAsia" w:ascii="宋体" w:hAnsi="宋体" w:eastAsia="宋体" w:cs="宋体"/>
          <w:color w:val="auto"/>
          <w:spacing w:val="-8"/>
          <w:sz w:val="24"/>
          <w:szCs w:val="24"/>
          <w:highlight w:val="none"/>
        </w:rPr>
        <w:t>定，亦可请政府主管部门推荐或通过合同争议调解机构聘请，并经双方认同。争议评审</w:t>
      </w:r>
      <w:r>
        <w:rPr>
          <w:rFonts w:hint="eastAsia" w:ascii="宋体" w:hAnsi="宋体" w:eastAsia="宋体" w:cs="宋体"/>
          <w:color w:val="auto"/>
          <w:spacing w:val="-12"/>
          <w:sz w:val="24"/>
          <w:szCs w:val="24"/>
          <w:highlight w:val="none"/>
        </w:rPr>
        <w:t>组成员应与合同双方均无利害关系。争议评审组的各项费用由发包人和承包人平均分担。</w:t>
      </w:r>
    </w:p>
    <w:p w14:paraId="75A6DD5C">
      <w:pPr>
        <w:spacing w:before="114" w:line="219" w:lineRule="auto"/>
        <w:ind w:left="37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本条补充第24.4款、第24.5款(适用于采用仲裁方式最终解决争议的项目)：</w:t>
      </w:r>
    </w:p>
    <w:p w14:paraId="191C3B75">
      <w:pPr>
        <w:pStyle w:val="4"/>
        <w:spacing w:line="262" w:lineRule="auto"/>
        <w:rPr>
          <w:rFonts w:hint="eastAsia" w:ascii="宋体" w:hAnsi="宋体" w:eastAsia="宋体" w:cs="宋体"/>
          <w:color w:val="auto"/>
          <w:highlight w:val="none"/>
        </w:rPr>
      </w:pPr>
    </w:p>
    <w:p w14:paraId="1FF2698C">
      <w:pPr>
        <w:spacing w:before="78" w:line="221" w:lineRule="auto"/>
        <w:ind w:left="393"/>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24.4仲裁</w:t>
      </w:r>
    </w:p>
    <w:p w14:paraId="1FBD054E">
      <w:pPr>
        <w:pStyle w:val="4"/>
        <w:spacing w:line="381" w:lineRule="auto"/>
        <w:rPr>
          <w:rFonts w:hint="eastAsia" w:ascii="宋体" w:hAnsi="宋体" w:eastAsia="宋体" w:cs="宋体"/>
          <w:color w:val="auto"/>
          <w:highlight w:val="none"/>
        </w:rPr>
      </w:pPr>
    </w:p>
    <w:p w14:paraId="44BFCBAE">
      <w:pPr>
        <w:spacing w:before="79" w:line="266" w:lineRule="auto"/>
        <w:ind w:left="19" w:right="75" w:firstLine="400"/>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(1)对于未能友好解决或未能通过争议评审解决的争议，发包人或承包人任一方均有</w:t>
      </w:r>
      <w:r>
        <w:rPr>
          <w:rFonts w:hint="eastAsia" w:ascii="宋体" w:hAnsi="宋体" w:eastAsia="宋体" w:cs="宋体"/>
          <w:color w:val="auto"/>
          <w:spacing w:val="-9"/>
          <w:sz w:val="24"/>
          <w:szCs w:val="24"/>
          <w:highlight w:val="none"/>
        </w:rPr>
        <w:t>权提交给第24.1款约定的仲裁委员会仲裁。</w:t>
      </w:r>
    </w:p>
    <w:p w14:paraId="5B382BF5">
      <w:pPr>
        <w:spacing w:before="245" w:line="282" w:lineRule="auto"/>
        <w:ind w:left="19" w:right="75" w:firstLine="400"/>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(2)仲裁可在交工之前或之后进行，但发包人、监理人和承包人各自的义务不得因在</w:t>
      </w:r>
      <w:r>
        <w:rPr>
          <w:rFonts w:hint="eastAsia" w:ascii="宋体" w:hAnsi="宋体" w:eastAsia="宋体" w:cs="宋体"/>
          <w:color w:val="auto"/>
          <w:spacing w:val="-11"/>
          <w:sz w:val="24"/>
          <w:szCs w:val="24"/>
          <w:highlight w:val="none"/>
        </w:rPr>
        <w:t>工程实施期间进行仲裁而有所改变。如果仲裁是在终止合同的情况下进行，则对合同工</w:t>
      </w:r>
      <w:r>
        <w:rPr>
          <w:rFonts w:hint="eastAsia" w:ascii="宋体" w:hAnsi="宋体" w:eastAsia="宋体" w:cs="宋体"/>
          <w:color w:val="auto"/>
          <w:spacing w:val="-10"/>
          <w:sz w:val="24"/>
          <w:szCs w:val="24"/>
          <w:highlight w:val="none"/>
        </w:rPr>
        <w:t>程应采取保护措施，措施费由败诉方承担。</w:t>
      </w:r>
    </w:p>
    <w:p w14:paraId="33456BDE">
      <w:pPr>
        <w:spacing w:before="244" w:line="219" w:lineRule="auto"/>
        <w:ind w:left="420"/>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(3)仲裁裁决是终局性的并对发包人和承包人双方具有约束力。</w:t>
      </w:r>
    </w:p>
    <w:p w14:paraId="7AA9B38F">
      <w:pPr>
        <w:spacing w:before="245" w:line="219" w:lineRule="auto"/>
        <w:ind w:left="420"/>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(4)全部仲裁费用应由败诉方承担；或按仲裁委员会裁决的比例分担。</w:t>
      </w:r>
    </w:p>
    <w:p w14:paraId="571242E4">
      <w:pPr>
        <w:spacing w:line="219" w:lineRule="auto"/>
        <w:rPr>
          <w:rFonts w:hint="eastAsia" w:ascii="宋体" w:hAnsi="宋体" w:eastAsia="宋体" w:cs="宋体"/>
          <w:color w:val="auto"/>
          <w:sz w:val="24"/>
          <w:szCs w:val="24"/>
          <w:highlight w:val="none"/>
        </w:rPr>
        <w:sectPr>
          <w:headerReference r:id="rId192" w:type="default"/>
          <w:footerReference r:id="rId193" w:type="default"/>
          <w:pgSz w:w="11907" w:h="16840"/>
          <w:pgMar w:top="1182" w:right="1204" w:bottom="1014" w:left="1786" w:header="849" w:footer="852" w:gutter="0"/>
          <w:pgNumType w:fmt="decimal"/>
          <w:cols w:space="720" w:num="1"/>
        </w:sectPr>
      </w:pPr>
    </w:p>
    <w:p w14:paraId="2DE1BF1A">
      <w:pPr>
        <w:spacing w:before="293" w:line="219" w:lineRule="auto"/>
        <w:ind w:left="38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24.5仲裁的执行</w:t>
      </w:r>
    </w:p>
    <w:p w14:paraId="77693F82">
      <w:pPr>
        <w:pStyle w:val="4"/>
        <w:spacing w:line="380" w:lineRule="auto"/>
        <w:rPr>
          <w:rFonts w:hint="eastAsia" w:ascii="宋体" w:hAnsi="宋体" w:eastAsia="宋体" w:cs="宋体"/>
          <w:color w:val="auto"/>
          <w:highlight w:val="none"/>
        </w:rPr>
      </w:pPr>
    </w:p>
    <w:p w14:paraId="7290CD36">
      <w:pPr>
        <w:spacing w:before="78"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(1)任何一方不履行仲裁机构的裁决的，对方可以向有管辖权的人民法院申请执行。</w:t>
      </w:r>
    </w:p>
    <w:p w14:paraId="555D7E6F">
      <w:pPr>
        <w:spacing w:before="246" w:line="290" w:lineRule="auto"/>
        <w:ind w:left="21" w:firstLine="641" w:firstLineChars="28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(2)任何一方提出证据证明裁决有《中华人民共和国仲裁法》第五十八条规定情形</w:t>
      </w:r>
      <w:r>
        <w:rPr>
          <w:rFonts w:hint="eastAsia" w:ascii="宋体" w:hAnsi="宋体" w:eastAsia="宋体" w:cs="宋体"/>
          <w:color w:val="auto"/>
          <w:spacing w:val="-11"/>
          <w:sz w:val="24"/>
          <w:szCs w:val="24"/>
          <w:highlight w:val="none"/>
        </w:rPr>
        <w:t>之一的，可以向仲裁委员会所在地的中级人民法院申请撤销裁决。人民法院认定执行该裁决违背社会公共利益的，裁定不予执行。仲裁裁决被人民法院裁定不予执行的，当事</w:t>
      </w:r>
      <w:r>
        <w:rPr>
          <w:rFonts w:hint="eastAsia" w:ascii="宋体" w:hAnsi="宋体" w:eastAsia="宋体" w:cs="宋体"/>
          <w:color w:val="auto"/>
          <w:spacing w:val="-12"/>
          <w:sz w:val="24"/>
          <w:szCs w:val="24"/>
          <w:highlight w:val="none"/>
        </w:rPr>
        <w:t>人可以根据双方达成的书面仲裁协议重新申请仲裁，也可以向项目所在地人民法院起诉。</w:t>
      </w:r>
    </w:p>
    <w:p w14:paraId="61D6D42E">
      <w:pPr>
        <w:spacing w:line="290" w:lineRule="auto"/>
        <w:rPr>
          <w:rFonts w:hint="eastAsia" w:ascii="宋体" w:hAnsi="宋体" w:eastAsia="宋体" w:cs="宋体"/>
          <w:color w:val="auto"/>
          <w:sz w:val="24"/>
          <w:szCs w:val="24"/>
          <w:highlight w:val="none"/>
        </w:rPr>
        <w:sectPr>
          <w:footerReference r:id="rId194" w:type="default"/>
          <w:pgSz w:w="11907" w:h="16840"/>
          <w:pgMar w:top="1182" w:right="1204" w:bottom="1014" w:left="1786" w:header="849" w:footer="852" w:gutter="0"/>
          <w:pgNumType w:fmt="decimal"/>
          <w:cols w:space="720" w:num="1"/>
        </w:sectPr>
      </w:pPr>
    </w:p>
    <w:p w14:paraId="00B18B5B">
      <w:pPr>
        <w:pStyle w:val="4"/>
        <w:spacing w:line="308" w:lineRule="auto"/>
        <w:rPr>
          <w:rFonts w:hint="eastAsia" w:ascii="宋体" w:hAnsi="宋体" w:eastAsia="宋体" w:cs="宋体"/>
          <w:color w:val="auto"/>
          <w:highlight w:val="none"/>
        </w:rPr>
      </w:pPr>
    </w:p>
    <w:p w14:paraId="6A69674B">
      <w:pPr>
        <w:pStyle w:val="4"/>
        <w:spacing w:line="309" w:lineRule="auto"/>
        <w:rPr>
          <w:rFonts w:hint="eastAsia" w:ascii="宋体" w:hAnsi="宋体" w:eastAsia="宋体" w:cs="宋体"/>
          <w:color w:val="auto"/>
          <w:highlight w:val="none"/>
        </w:rPr>
      </w:pPr>
    </w:p>
    <w:p w14:paraId="616F61ED">
      <w:pPr>
        <w:spacing w:before="100" w:line="227" w:lineRule="auto"/>
        <w:ind w:left="2914"/>
        <w:outlineLvl w:val="2"/>
        <w:rPr>
          <w:rFonts w:hint="eastAsia" w:ascii="宋体" w:hAnsi="宋体" w:eastAsia="宋体" w:cs="宋体"/>
          <w:color w:val="auto"/>
          <w:sz w:val="31"/>
          <w:szCs w:val="31"/>
          <w:highlight w:val="none"/>
        </w:rPr>
      </w:pPr>
      <w:bookmarkStart w:id="701" w:name="_Toc3478"/>
      <w:bookmarkStart w:id="702" w:name="_Toc14568"/>
      <w:bookmarkStart w:id="703" w:name="_Toc22005"/>
      <w:bookmarkStart w:id="704" w:name="_Toc18166"/>
      <w:bookmarkStart w:id="705" w:name="_Toc3018"/>
      <w:r>
        <w:rPr>
          <w:rFonts w:hint="eastAsia" w:ascii="宋体" w:hAnsi="宋体" w:eastAsia="宋体" w:cs="宋体"/>
          <w:color w:val="auto"/>
          <w:spacing w:val="7"/>
          <w:sz w:val="31"/>
          <w:szCs w:val="31"/>
          <w:highlight w:val="none"/>
        </w:rPr>
        <w:t>B.项目专用合同条款</w:t>
      </w:r>
      <w:bookmarkEnd w:id="701"/>
      <w:bookmarkEnd w:id="702"/>
      <w:bookmarkEnd w:id="703"/>
      <w:bookmarkEnd w:id="704"/>
      <w:bookmarkEnd w:id="705"/>
    </w:p>
    <w:p w14:paraId="405353B1">
      <w:pPr>
        <w:spacing w:before="140" w:line="219" w:lineRule="auto"/>
        <w:ind w:left="381"/>
        <w:rPr>
          <w:rFonts w:hint="eastAsia" w:ascii="宋体" w:hAnsi="宋体" w:eastAsia="宋体" w:cs="宋体"/>
          <w:color w:val="auto"/>
          <w:sz w:val="24"/>
          <w:szCs w:val="24"/>
          <w:highlight w:val="none"/>
        </w:rPr>
      </w:pPr>
      <w:r>
        <w:rPr>
          <w:rFonts w:hint="eastAsia" w:ascii="宋体" w:hAnsi="宋体" w:eastAsia="宋体" w:cs="宋体"/>
          <w:color w:val="auto"/>
          <w:spacing w:val="-15"/>
          <w:sz w:val="24"/>
          <w:szCs w:val="24"/>
          <w:highlight w:val="none"/>
        </w:rPr>
        <w:t>说明：</w:t>
      </w:r>
    </w:p>
    <w:p w14:paraId="7EB7D745">
      <w:pPr>
        <w:spacing w:before="244" w:line="314" w:lineRule="auto"/>
        <w:ind w:left="21" w:right="75" w:firstLine="16"/>
        <w:jc w:val="both"/>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1.招标人在根据《公路工程标准施工招标</w:t>
      </w:r>
      <w:r>
        <w:rPr>
          <w:rFonts w:hint="eastAsia" w:ascii="宋体" w:hAnsi="宋体" w:eastAsia="宋体" w:cs="宋体"/>
          <w:color w:val="auto"/>
          <w:spacing w:val="-11"/>
          <w:sz w:val="24"/>
          <w:szCs w:val="24"/>
          <w:highlight w:val="none"/>
        </w:rPr>
        <w:t>文件》编制项目招标文件中的“项目专用合同条款”时，可根据招标项目的具体特点和实际需要，对“通用合同条款”及“公路工程专用合同条款”进行补充和细化，除“通用合同条款”明确“专用合同条款”可作出不同约定以及“公路工程专用合同条款”明确“</w:t>
      </w:r>
      <w:r>
        <w:rPr>
          <w:rFonts w:hint="eastAsia" w:ascii="宋体" w:hAnsi="宋体" w:eastAsia="宋体" w:cs="宋体"/>
          <w:color w:val="auto"/>
          <w:spacing w:val="-12"/>
          <w:sz w:val="24"/>
          <w:szCs w:val="24"/>
          <w:highlight w:val="none"/>
        </w:rPr>
        <w:t>项目专用合同条款”可作出不同约定外，</w:t>
      </w:r>
    </w:p>
    <w:p w14:paraId="734C31D1">
      <w:pPr>
        <w:spacing w:before="1" w:line="361" w:lineRule="auto"/>
        <w:ind w:left="19"/>
        <w:jc w:val="both"/>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补充和细化的内容不得与“通用合同条款”及“公路工程专用合同条款”强制性规定相</w:t>
      </w:r>
      <w:r>
        <w:rPr>
          <w:rFonts w:hint="eastAsia" w:ascii="宋体" w:hAnsi="宋体" w:eastAsia="宋体" w:cs="宋体"/>
          <w:color w:val="auto"/>
          <w:spacing w:val="-15"/>
          <w:sz w:val="24"/>
          <w:szCs w:val="24"/>
          <w:highlight w:val="none"/>
        </w:rPr>
        <w:t>抵触。同时，补充、细化或约定的内容，不得违反法律、行政法规的强制性规定和平等、</w:t>
      </w:r>
      <w:r>
        <w:rPr>
          <w:rFonts w:hint="eastAsia" w:ascii="宋体" w:hAnsi="宋体" w:eastAsia="宋体" w:cs="宋体"/>
          <w:color w:val="auto"/>
          <w:spacing w:val="-10"/>
          <w:sz w:val="24"/>
          <w:szCs w:val="24"/>
          <w:highlight w:val="none"/>
        </w:rPr>
        <w:t>自愿、公平和诚实信用原则。</w:t>
      </w:r>
    </w:p>
    <w:p w14:paraId="49D7A612">
      <w:pPr>
        <w:spacing w:before="57" w:line="316" w:lineRule="auto"/>
        <w:ind w:left="66" w:right="75" w:firstLine="314"/>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2.项目专用合同条款的编号应与通用合同条款和公路工程专用合同条款一致。3.项</w:t>
      </w:r>
      <w:r>
        <w:rPr>
          <w:rFonts w:hint="eastAsia" w:ascii="宋体" w:hAnsi="宋体" w:eastAsia="宋体" w:cs="宋体"/>
          <w:color w:val="auto"/>
          <w:spacing w:val="-12"/>
          <w:sz w:val="24"/>
          <w:szCs w:val="24"/>
          <w:highlight w:val="none"/>
        </w:rPr>
        <w:t>目专用合同条款可对下列内容进行补充和细化：</w:t>
      </w:r>
    </w:p>
    <w:p w14:paraId="489CBF77">
      <w:pPr>
        <w:spacing w:before="113" w:line="291" w:lineRule="auto"/>
        <w:ind w:right="75" w:firstLine="222" w:firstLineChars="10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(1)“通用合同条款”中明确指出“专用合同条款”可对“通用合同条款”进行修</w:t>
      </w:r>
      <w:r>
        <w:rPr>
          <w:rFonts w:hint="eastAsia" w:ascii="宋体" w:hAnsi="宋体" w:eastAsia="宋体" w:cs="宋体"/>
          <w:color w:val="auto"/>
          <w:spacing w:val="-8"/>
          <w:sz w:val="24"/>
          <w:szCs w:val="24"/>
          <w:highlight w:val="none"/>
        </w:rPr>
        <w:t>改的内容(在“通用合同条款”中用“应按合同约定”“应按专用合同条款约定”“除</w:t>
      </w:r>
      <w:r>
        <w:rPr>
          <w:rFonts w:hint="eastAsia" w:ascii="宋体" w:hAnsi="宋体" w:eastAsia="宋体" w:cs="宋体"/>
          <w:color w:val="auto"/>
          <w:spacing w:val="-10"/>
          <w:sz w:val="24"/>
          <w:szCs w:val="24"/>
          <w:highlight w:val="none"/>
        </w:rPr>
        <w:t>合同另有约定外”“除专用合同条款另有约定外”“在专用合同条款中约定”等多种文</w:t>
      </w:r>
      <w:r>
        <w:rPr>
          <w:rFonts w:hint="eastAsia" w:ascii="宋体" w:hAnsi="宋体" w:eastAsia="宋体" w:cs="宋体"/>
          <w:color w:val="auto"/>
          <w:spacing w:val="-9"/>
          <w:sz w:val="24"/>
          <w:szCs w:val="24"/>
          <w:highlight w:val="none"/>
        </w:rPr>
        <w:t>字形式表达)；</w:t>
      </w:r>
    </w:p>
    <w:p w14:paraId="056E83F7">
      <w:pPr>
        <w:keepNext w:val="0"/>
        <w:keepLines w:val="0"/>
        <w:pageBreakBefore w:val="0"/>
        <w:widowControl/>
        <w:kinsoku w:val="0"/>
        <w:wordWrap/>
        <w:overflowPunct/>
        <w:topLinePunct w:val="0"/>
        <w:autoSpaceDE w:val="0"/>
        <w:autoSpaceDN w:val="0"/>
        <w:bidi w:val="0"/>
        <w:adjustRightInd w:val="0"/>
        <w:snapToGrid w:val="0"/>
        <w:spacing w:before="241" w:line="291" w:lineRule="auto"/>
        <w:ind w:right="0" w:firstLine="222" w:firstLineChars="1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(2)“公路工程专用合同条款”中明确指出“项目专用合同条款”可对“公路工程</w:t>
      </w:r>
      <w:r>
        <w:rPr>
          <w:rFonts w:hint="eastAsia" w:ascii="宋体" w:hAnsi="宋体" w:eastAsia="宋体" w:cs="宋体"/>
          <w:color w:val="auto"/>
          <w:spacing w:val="-8"/>
          <w:sz w:val="24"/>
          <w:szCs w:val="24"/>
          <w:highlight w:val="none"/>
        </w:rPr>
        <w:t>专用合同条款”进行修改的内容(在“公路工程专用合同条款”中用“除项目专用合同</w:t>
      </w:r>
      <w:r>
        <w:rPr>
          <w:rFonts w:hint="eastAsia" w:ascii="宋体" w:hAnsi="宋体" w:eastAsia="宋体" w:cs="宋体"/>
          <w:color w:val="auto"/>
          <w:spacing w:val="-11"/>
          <w:sz w:val="24"/>
          <w:szCs w:val="24"/>
          <w:highlight w:val="none"/>
        </w:rPr>
        <w:t>条款另有约定外”“项目专用合同条款可能约定的”“项目专用合同条款约定的其他情</w:t>
      </w:r>
      <w:r>
        <w:rPr>
          <w:rFonts w:hint="eastAsia" w:ascii="宋体" w:hAnsi="宋体" w:eastAsia="宋体" w:cs="宋体"/>
          <w:color w:val="auto"/>
          <w:spacing w:val="-10"/>
          <w:sz w:val="24"/>
          <w:szCs w:val="24"/>
          <w:highlight w:val="none"/>
        </w:rPr>
        <w:t>形”等多种文字形式表达)。</w:t>
      </w:r>
    </w:p>
    <w:p w14:paraId="1B8091CB">
      <w:pPr>
        <w:spacing w:before="243" w:line="219" w:lineRule="auto"/>
        <w:ind w:left="420"/>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(3)其他需要补充、细化的内容。</w:t>
      </w:r>
    </w:p>
    <w:p w14:paraId="400BF380">
      <w:pPr>
        <w:spacing w:line="219" w:lineRule="auto"/>
        <w:rPr>
          <w:rFonts w:hint="eastAsia" w:ascii="宋体" w:hAnsi="宋体" w:eastAsia="宋体" w:cs="宋体"/>
          <w:color w:val="auto"/>
          <w:sz w:val="24"/>
          <w:szCs w:val="24"/>
          <w:highlight w:val="none"/>
        </w:rPr>
        <w:sectPr>
          <w:footerReference r:id="rId195" w:type="default"/>
          <w:pgSz w:w="11907" w:h="16840"/>
          <w:pgMar w:top="1182" w:right="1204" w:bottom="1014" w:left="1786" w:header="849" w:footer="852" w:gutter="0"/>
          <w:pgNumType w:fmt="decimal"/>
          <w:cols w:space="720" w:num="1"/>
        </w:sectPr>
      </w:pPr>
    </w:p>
    <w:p w14:paraId="6122B61A">
      <w:pPr>
        <w:spacing w:before="306" w:line="227" w:lineRule="auto"/>
        <w:ind w:left="2815"/>
        <w:outlineLvl w:val="2"/>
        <w:rPr>
          <w:rFonts w:hint="eastAsia" w:ascii="宋体" w:hAnsi="宋体" w:eastAsia="宋体" w:cs="宋体"/>
          <w:color w:val="auto"/>
          <w:sz w:val="31"/>
          <w:szCs w:val="31"/>
          <w:highlight w:val="none"/>
        </w:rPr>
      </w:pPr>
      <w:bookmarkStart w:id="706" w:name="_Toc16387"/>
      <w:bookmarkStart w:id="707" w:name="_Toc10521"/>
      <w:bookmarkStart w:id="708" w:name="_Toc11726"/>
      <w:bookmarkStart w:id="709" w:name="_Toc8787"/>
      <w:bookmarkStart w:id="710" w:name="_Toc13589"/>
      <w:r>
        <w:rPr>
          <w:rFonts w:hint="eastAsia" w:ascii="宋体" w:hAnsi="宋体" w:eastAsia="宋体" w:cs="宋体"/>
          <w:color w:val="auto"/>
          <w:spacing w:val="8"/>
          <w:sz w:val="31"/>
          <w:szCs w:val="31"/>
          <w:highlight w:val="none"/>
        </w:rPr>
        <w:t>项目专用合同条款数据表</w:t>
      </w:r>
      <w:bookmarkEnd w:id="706"/>
      <w:bookmarkEnd w:id="707"/>
      <w:bookmarkEnd w:id="708"/>
      <w:bookmarkEnd w:id="709"/>
      <w:bookmarkEnd w:id="710"/>
    </w:p>
    <w:p w14:paraId="51342C13">
      <w:pPr>
        <w:pStyle w:val="4"/>
        <w:spacing w:line="338" w:lineRule="auto"/>
        <w:rPr>
          <w:rFonts w:hint="eastAsia" w:ascii="宋体" w:hAnsi="宋体" w:eastAsia="宋体" w:cs="宋体"/>
          <w:color w:val="auto"/>
          <w:highlight w:val="none"/>
        </w:rPr>
      </w:pPr>
    </w:p>
    <w:p w14:paraId="6339D2B6">
      <w:pPr>
        <w:spacing w:before="72" w:line="303" w:lineRule="auto"/>
        <w:ind w:left="163" w:right="554" w:firstLine="1134"/>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说明：本数据表是项目专用合同条款中适用于本项</w:t>
      </w:r>
      <w:r>
        <w:rPr>
          <w:rFonts w:hint="eastAsia" w:ascii="宋体" w:hAnsi="宋体" w:eastAsia="宋体" w:cs="宋体"/>
          <w:color w:val="auto"/>
          <w:spacing w:val="-1"/>
          <w:sz w:val="22"/>
          <w:szCs w:val="22"/>
          <w:highlight w:val="none"/>
        </w:rPr>
        <w:t>目的信息和数据的归纳与提示，是项目专用合同条款的组成部分。第九章“投标文件格式”的投标函附录中的数据</w:t>
      </w:r>
      <w:r>
        <w:rPr>
          <w:rFonts w:hint="eastAsia" w:ascii="宋体" w:hAnsi="宋体" w:eastAsia="宋体" w:cs="宋体"/>
          <w:color w:val="auto"/>
          <w:spacing w:val="-2"/>
          <w:sz w:val="22"/>
          <w:szCs w:val="22"/>
          <w:highlight w:val="none"/>
        </w:rPr>
        <w:t>（供</w:t>
      </w:r>
      <w:r>
        <w:rPr>
          <w:rFonts w:hint="eastAsia" w:ascii="宋体" w:hAnsi="宋体" w:eastAsia="宋体" w:cs="宋体"/>
          <w:color w:val="auto"/>
          <w:sz w:val="22"/>
          <w:szCs w:val="22"/>
          <w:highlight w:val="none"/>
        </w:rPr>
        <w:t>投标人确认）与本表所列有重复。编写招标文件的单位应仔细校核，</w:t>
      </w:r>
      <w:r>
        <w:rPr>
          <w:rFonts w:hint="eastAsia" w:ascii="宋体" w:hAnsi="宋体" w:eastAsia="宋体" w:cs="宋体"/>
          <w:color w:val="auto"/>
          <w:spacing w:val="-1"/>
          <w:sz w:val="22"/>
          <w:szCs w:val="22"/>
          <w:highlight w:val="none"/>
        </w:rPr>
        <w:t>不使数据出现差错或不</w:t>
      </w:r>
      <w:r>
        <w:rPr>
          <w:rFonts w:hint="eastAsia" w:ascii="宋体" w:hAnsi="宋体" w:eastAsia="宋体" w:cs="宋体"/>
          <w:color w:val="auto"/>
          <w:spacing w:val="-3"/>
          <w:sz w:val="22"/>
          <w:szCs w:val="22"/>
          <w:highlight w:val="none"/>
        </w:rPr>
        <w:t>一致。</w:t>
      </w:r>
    </w:p>
    <w:p w14:paraId="7E7687C6">
      <w:pPr>
        <w:spacing w:line="37" w:lineRule="auto"/>
        <w:rPr>
          <w:rFonts w:hint="eastAsia" w:ascii="宋体" w:hAnsi="宋体" w:eastAsia="宋体" w:cs="宋体"/>
          <w:color w:val="auto"/>
          <w:sz w:val="2"/>
          <w:highlight w:val="none"/>
        </w:rPr>
      </w:pPr>
    </w:p>
    <w:tbl>
      <w:tblPr>
        <w:tblStyle w:val="24"/>
        <w:tblW w:w="9049" w:type="dxa"/>
        <w:tblInd w:w="45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3"/>
        <w:gridCol w:w="1110"/>
        <w:gridCol w:w="7306"/>
      </w:tblGrid>
      <w:tr w14:paraId="071018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9" w:hRule="atLeast"/>
        </w:trPr>
        <w:tc>
          <w:tcPr>
            <w:tcW w:w="633" w:type="dxa"/>
            <w:vAlign w:val="top"/>
          </w:tcPr>
          <w:p w14:paraId="07B87FC9">
            <w:pPr>
              <w:pStyle w:val="25"/>
              <w:spacing w:before="105" w:line="222" w:lineRule="auto"/>
              <w:ind w:left="105"/>
              <w:rPr>
                <w:rFonts w:hint="eastAsia" w:ascii="宋体" w:hAnsi="宋体" w:eastAsia="宋体" w:cs="宋体"/>
                <w:color w:val="auto"/>
                <w:sz w:val="22"/>
                <w:szCs w:val="22"/>
                <w:highlight w:val="none"/>
              </w:rPr>
            </w:pPr>
            <w:r>
              <w:rPr>
                <w:rFonts w:hint="eastAsia" w:ascii="宋体" w:hAnsi="宋体" w:eastAsia="宋体" w:cs="宋体"/>
                <w:b/>
                <w:bCs/>
                <w:color w:val="auto"/>
                <w:spacing w:val="-6"/>
                <w:sz w:val="22"/>
                <w:szCs w:val="22"/>
                <w:highlight w:val="none"/>
              </w:rPr>
              <w:t>序号</w:t>
            </w:r>
          </w:p>
        </w:tc>
        <w:tc>
          <w:tcPr>
            <w:tcW w:w="1110" w:type="dxa"/>
            <w:vAlign w:val="top"/>
          </w:tcPr>
          <w:p w14:paraId="16FFEB34">
            <w:pPr>
              <w:pStyle w:val="25"/>
              <w:spacing w:before="105" w:line="220" w:lineRule="auto"/>
              <w:ind w:left="233"/>
              <w:rPr>
                <w:rFonts w:hint="eastAsia" w:ascii="宋体" w:hAnsi="宋体" w:eastAsia="宋体" w:cs="宋体"/>
                <w:color w:val="auto"/>
                <w:sz w:val="22"/>
                <w:szCs w:val="22"/>
                <w:highlight w:val="none"/>
              </w:rPr>
            </w:pPr>
            <w:r>
              <w:rPr>
                <w:rFonts w:hint="eastAsia" w:ascii="宋体" w:hAnsi="宋体" w:eastAsia="宋体" w:cs="宋体"/>
                <w:b/>
                <w:bCs/>
                <w:color w:val="auto"/>
                <w:spacing w:val="-5"/>
                <w:sz w:val="22"/>
                <w:szCs w:val="22"/>
                <w:highlight w:val="none"/>
              </w:rPr>
              <w:t>条目号</w:t>
            </w:r>
          </w:p>
        </w:tc>
        <w:tc>
          <w:tcPr>
            <w:tcW w:w="7306" w:type="dxa"/>
            <w:vAlign w:val="top"/>
          </w:tcPr>
          <w:p w14:paraId="33529BE8">
            <w:pPr>
              <w:pStyle w:val="25"/>
              <w:spacing w:before="106" w:line="209" w:lineRule="auto"/>
              <w:ind w:left="3223"/>
              <w:rPr>
                <w:rFonts w:hint="eastAsia" w:ascii="宋体" w:hAnsi="宋体" w:eastAsia="宋体" w:cs="宋体"/>
                <w:color w:val="auto"/>
                <w:sz w:val="22"/>
                <w:szCs w:val="22"/>
                <w:highlight w:val="none"/>
              </w:rPr>
            </w:pPr>
            <w:r>
              <w:rPr>
                <w:rFonts w:hint="eastAsia" w:ascii="宋体" w:hAnsi="宋体" w:eastAsia="宋体" w:cs="宋体"/>
                <w:b/>
                <w:bCs/>
                <w:color w:val="auto"/>
                <w:spacing w:val="-4"/>
                <w:sz w:val="22"/>
                <w:szCs w:val="22"/>
                <w:highlight w:val="none"/>
              </w:rPr>
              <w:t>信息或数</w:t>
            </w:r>
          </w:p>
          <w:p w14:paraId="04FD3AFD">
            <w:pPr>
              <w:pStyle w:val="25"/>
              <w:spacing w:line="196" w:lineRule="auto"/>
              <w:ind w:left="3553"/>
              <w:rPr>
                <w:rFonts w:hint="eastAsia" w:ascii="宋体" w:hAnsi="宋体" w:eastAsia="宋体" w:cs="宋体"/>
                <w:color w:val="auto"/>
                <w:sz w:val="22"/>
                <w:szCs w:val="22"/>
                <w:highlight w:val="none"/>
              </w:rPr>
            </w:pPr>
            <w:r>
              <w:rPr>
                <w:rFonts w:hint="eastAsia" w:ascii="宋体" w:hAnsi="宋体" w:eastAsia="宋体" w:cs="宋体"/>
                <w:b/>
                <w:bCs/>
                <w:color w:val="auto"/>
                <w:spacing w:val="-3"/>
                <w:sz w:val="22"/>
                <w:szCs w:val="22"/>
                <w:highlight w:val="none"/>
              </w:rPr>
              <w:t>据</w:t>
            </w:r>
          </w:p>
        </w:tc>
      </w:tr>
      <w:tr w14:paraId="5A1114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633" w:type="dxa"/>
            <w:vAlign w:val="top"/>
          </w:tcPr>
          <w:p w14:paraId="5B8A141C">
            <w:pPr>
              <w:spacing w:line="286" w:lineRule="auto"/>
              <w:rPr>
                <w:rFonts w:hint="eastAsia" w:ascii="宋体" w:hAnsi="宋体" w:eastAsia="宋体" w:cs="宋体"/>
                <w:color w:val="auto"/>
                <w:sz w:val="21"/>
                <w:highlight w:val="none"/>
              </w:rPr>
            </w:pPr>
          </w:p>
          <w:p w14:paraId="7C2C3846">
            <w:pPr>
              <w:spacing w:before="63" w:line="189" w:lineRule="auto"/>
              <w:ind w:left="28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1110" w:type="dxa"/>
            <w:vAlign w:val="top"/>
          </w:tcPr>
          <w:p w14:paraId="1DFA3290">
            <w:pPr>
              <w:spacing w:line="286" w:lineRule="auto"/>
              <w:rPr>
                <w:rFonts w:hint="eastAsia" w:ascii="宋体" w:hAnsi="宋体" w:eastAsia="宋体" w:cs="宋体"/>
                <w:color w:val="auto"/>
                <w:sz w:val="21"/>
                <w:highlight w:val="none"/>
              </w:rPr>
            </w:pPr>
          </w:p>
          <w:p w14:paraId="549439D1">
            <w:pPr>
              <w:spacing w:before="63" w:line="189" w:lineRule="auto"/>
              <w:ind w:left="280"/>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1.1.2.2</w:t>
            </w:r>
          </w:p>
        </w:tc>
        <w:tc>
          <w:tcPr>
            <w:tcW w:w="7306" w:type="dxa"/>
            <w:vAlign w:val="top"/>
          </w:tcPr>
          <w:p w14:paraId="08D58698">
            <w:pPr>
              <w:pStyle w:val="25"/>
              <w:spacing w:before="121" w:line="220" w:lineRule="auto"/>
              <w:ind w:left="361"/>
              <w:rPr>
                <w:rFonts w:hint="eastAsia" w:ascii="宋体" w:hAnsi="宋体" w:eastAsia="宋体" w:cs="宋体"/>
                <w:color w:val="auto"/>
                <w:sz w:val="22"/>
                <w:szCs w:val="22"/>
                <w:highlight w:val="none"/>
                <w:lang w:eastAsia="zh-CN"/>
              </w:rPr>
            </w:pPr>
            <w:r>
              <w:rPr>
                <w:rFonts w:hint="eastAsia" w:ascii="宋体" w:hAnsi="宋体" w:eastAsia="宋体" w:cs="宋体"/>
                <w:color w:val="auto"/>
                <w:spacing w:val="-2"/>
                <w:sz w:val="22"/>
                <w:szCs w:val="22"/>
                <w:highlight w:val="none"/>
              </w:rPr>
              <w:t>发包人：</w:t>
            </w:r>
            <w:r>
              <w:rPr>
                <w:rFonts w:hint="eastAsia" w:ascii="宋体" w:hAnsi="宋体" w:eastAsia="宋体" w:cs="宋体"/>
                <w:color w:val="auto"/>
                <w:spacing w:val="-2"/>
                <w:sz w:val="22"/>
                <w:szCs w:val="22"/>
                <w:highlight w:val="none"/>
                <w:u w:val="single" w:color="auto"/>
              </w:rPr>
              <w:t>兴业县公路建设养护中心</w:t>
            </w:r>
          </w:p>
          <w:p w14:paraId="66060AAE">
            <w:pPr>
              <w:pStyle w:val="25"/>
              <w:spacing w:before="92" w:line="200" w:lineRule="auto"/>
              <w:ind w:left="357"/>
              <w:rPr>
                <w:rFonts w:hint="eastAsia" w:ascii="宋体" w:hAnsi="宋体" w:eastAsia="宋体" w:cs="宋体"/>
                <w:color w:val="auto"/>
                <w:sz w:val="22"/>
                <w:szCs w:val="22"/>
                <w:highlight w:val="none"/>
                <w:lang w:eastAsia="zh-CN"/>
              </w:rPr>
            </w:pPr>
            <w:r>
              <w:rPr>
                <w:rFonts w:hint="eastAsia" w:ascii="宋体" w:hAnsi="宋体" w:eastAsia="宋体" w:cs="宋体"/>
                <w:color w:val="auto"/>
                <w:spacing w:val="-2"/>
                <w:sz w:val="22"/>
                <w:szCs w:val="22"/>
                <w:highlight w:val="none"/>
              </w:rPr>
              <w:t>地址：</w:t>
            </w:r>
            <w:r>
              <w:rPr>
                <w:rFonts w:hint="eastAsia" w:ascii="宋体" w:hAnsi="宋体" w:eastAsia="宋体" w:cs="宋体"/>
                <w:color w:val="auto"/>
                <w:spacing w:val="-2"/>
                <w:sz w:val="22"/>
                <w:szCs w:val="22"/>
                <w:highlight w:val="none"/>
                <w:u w:val="single" w:color="auto"/>
              </w:rPr>
              <w:t>兴业县兴业大道169号</w:t>
            </w:r>
            <w:r>
              <w:rPr>
                <w:rFonts w:hint="eastAsia" w:ascii="宋体" w:hAnsi="宋体" w:eastAsia="宋体" w:cs="宋体"/>
                <w:color w:val="auto"/>
                <w:spacing w:val="-2"/>
                <w:sz w:val="22"/>
                <w:szCs w:val="22"/>
                <w:highlight w:val="none"/>
              </w:rPr>
              <w:t>邮政编码</w:t>
            </w:r>
            <w:r>
              <w:rPr>
                <w:rFonts w:hint="eastAsia" w:ascii="宋体" w:hAnsi="宋体" w:eastAsia="宋体" w:cs="宋体"/>
                <w:color w:val="auto"/>
                <w:spacing w:val="-3"/>
                <w:sz w:val="22"/>
                <w:szCs w:val="22"/>
                <w:highlight w:val="none"/>
              </w:rPr>
              <w:t>：</w:t>
            </w:r>
          </w:p>
        </w:tc>
      </w:tr>
      <w:tr w14:paraId="43E686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633" w:type="dxa"/>
            <w:vAlign w:val="top"/>
          </w:tcPr>
          <w:p w14:paraId="52298DB6">
            <w:pPr>
              <w:spacing w:line="289" w:lineRule="auto"/>
              <w:rPr>
                <w:rFonts w:hint="eastAsia" w:ascii="宋体" w:hAnsi="宋体" w:eastAsia="宋体" w:cs="宋体"/>
                <w:color w:val="auto"/>
                <w:sz w:val="21"/>
                <w:highlight w:val="none"/>
              </w:rPr>
            </w:pPr>
          </w:p>
          <w:p w14:paraId="1828CDC6">
            <w:pPr>
              <w:spacing w:before="63" w:line="189" w:lineRule="auto"/>
              <w:ind w:left="26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w:t>
            </w:r>
          </w:p>
        </w:tc>
        <w:tc>
          <w:tcPr>
            <w:tcW w:w="1110" w:type="dxa"/>
            <w:vAlign w:val="top"/>
          </w:tcPr>
          <w:p w14:paraId="155C2C2D">
            <w:pPr>
              <w:spacing w:line="289" w:lineRule="auto"/>
              <w:rPr>
                <w:rFonts w:hint="eastAsia" w:ascii="宋体" w:hAnsi="宋体" w:eastAsia="宋体" w:cs="宋体"/>
                <w:color w:val="auto"/>
                <w:sz w:val="21"/>
                <w:highlight w:val="none"/>
              </w:rPr>
            </w:pPr>
          </w:p>
          <w:p w14:paraId="5364A644">
            <w:pPr>
              <w:spacing w:before="63" w:line="189" w:lineRule="auto"/>
              <w:ind w:left="280"/>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1.1.2.6</w:t>
            </w:r>
          </w:p>
        </w:tc>
        <w:tc>
          <w:tcPr>
            <w:tcW w:w="7306" w:type="dxa"/>
            <w:vAlign w:val="top"/>
          </w:tcPr>
          <w:p w14:paraId="4BCAB02E">
            <w:pPr>
              <w:pStyle w:val="25"/>
              <w:spacing w:before="124" w:line="223" w:lineRule="auto"/>
              <w:ind w:left="358"/>
              <w:rPr>
                <w:rFonts w:hint="eastAsia" w:ascii="宋体" w:hAnsi="宋体" w:eastAsia="宋体" w:cs="宋体"/>
                <w:color w:val="auto"/>
                <w:sz w:val="22"/>
                <w:szCs w:val="22"/>
                <w:highlight w:val="none"/>
                <w:lang w:eastAsia="zh-CN"/>
              </w:rPr>
            </w:pPr>
            <w:r>
              <w:rPr>
                <w:rFonts w:hint="eastAsia" w:ascii="宋体" w:hAnsi="宋体" w:eastAsia="宋体" w:cs="宋体"/>
                <w:color w:val="auto"/>
                <w:spacing w:val="-8"/>
                <w:sz w:val="22"/>
                <w:szCs w:val="22"/>
                <w:highlight w:val="none"/>
              </w:rPr>
              <w:t>监理人：</w:t>
            </w:r>
          </w:p>
          <w:p w14:paraId="423FA068">
            <w:pPr>
              <w:pStyle w:val="25"/>
              <w:spacing w:before="88" w:line="190" w:lineRule="auto"/>
              <w:ind w:left="357"/>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地址：邮政编码：</w:t>
            </w:r>
          </w:p>
        </w:tc>
      </w:tr>
      <w:tr w14:paraId="79D1B3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5" w:hRule="atLeast"/>
        </w:trPr>
        <w:tc>
          <w:tcPr>
            <w:tcW w:w="633" w:type="dxa"/>
            <w:vAlign w:val="top"/>
          </w:tcPr>
          <w:p w14:paraId="17FAD061">
            <w:pPr>
              <w:spacing w:before="154" w:line="189" w:lineRule="auto"/>
              <w:ind w:left="272"/>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w:t>
            </w:r>
          </w:p>
        </w:tc>
        <w:tc>
          <w:tcPr>
            <w:tcW w:w="1110" w:type="dxa"/>
            <w:vAlign w:val="top"/>
          </w:tcPr>
          <w:p w14:paraId="6A1143F8">
            <w:pPr>
              <w:spacing w:before="154" w:line="189" w:lineRule="auto"/>
              <w:ind w:left="280"/>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1.1.4.5</w:t>
            </w:r>
          </w:p>
        </w:tc>
        <w:tc>
          <w:tcPr>
            <w:tcW w:w="7306" w:type="dxa"/>
            <w:vAlign w:val="top"/>
          </w:tcPr>
          <w:p w14:paraId="49329AC8">
            <w:pPr>
              <w:pStyle w:val="25"/>
              <w:spacing w:before="108" w:line="215" w:lineRule="auto"/>
              <w:ind w:left="357"/>
              <w:rPr>
                <w:rFonts w:hint="eastAsia" w:ascii="宋体" w:hAnsi="宋体" w:eastAsia="宋体" w:cs="宋体"/>
                <w:color w:val="auto"/>
                <w:sz w:val="10"/>
                <w:szCs w:val="10"/>
                <w:highlight w:val="none"/>
              </w:rPr>
            </w:pPr>
            <w:r>
              <w:rPr>
                <w:rFonts w:hint="eastAsia" w:ascii="宋体" w:hAnsi="宋体" w:eastAsia="宋体" w:cs="宋体"/>
                <w:color w:val="auto"/>
                <w:spacing w:val="-6"/>
                <w:sz w:val="22"/>
                <w:szCs w:val="22"/>
                <w:highlight w:val="none"/>
              </w:rPr>
              <w:t>缺陷责任期：自实际交工日期起计算</w:t>
            </w:r>
            <w:r>
              <w:rPr>
                <w:rFonts w:hint="eastAsia" w:ascii="宋体" w:hAnsi="宋体" w:eastAsia="宋体" w:cs="宋体"/>
                <w:color w:val="auto"/>
                <w:spacing w:val="-6"/>
                <w:sz w:val="22"/>
                <w:szCs w:val="22"/>
                <w:highlight w:val="none"/>
                <w:u w:val="single" w:color="auto"/>
                <w:lang w:val="en-US" w:eastAsia="zh-CN"/>
              </w:rPr>
              <w:t>1</w:t>
            </w:r>
            <w:r>
              <w:rPr>
                <w:rFonts w:hint="eastAsia" w:ascii="宋体" w:hAnsi="宋体" w:eastAsia="宋体" w:cs="宋体"/>
                <w:color w:val="auto"/>
                <w:spacing w:val="-6"/>
                <w:sz w:val="22"/>
                <w:szCs w:val="22"/>
                <w:highlight w:val="none"/>
              </w:rPr>
              <w:t>年</w:t>
            </w:r>
            <w:r>
              <w:rPr>
                <w:rFonts w:hint="eastAsia" w:ascii="宋体" w:hAnsi="宋体" w:eastAsia="宋体" w:cs="宋体"/>
                <w:color w:val="auto"/>
                <w:spacing w:val="-6"/>
                <w:position w:val="9"/>
                <w:sz w:val="10"/>
                <w:szCs w:val="10"/>
                <w:highlight w:val="none"/>
              </w:rPr>
              <w:t>①</w:t>
            </w:r>
          </w:p>
        </w:tc>
      </w:tr>
      <w:tr w14:paraId="6CCF5F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0" w:hRule="atLeast"/>
        </w:trPr>
        <w:tc>
          <w:tcPr>
            <w:tcW w:w="633" w:type="dxa"/>
            <w:vAlign w:val="top"/>
          </w:tcPr>
          <w:p w14:paraId="05203C2E">
            <w:pPr>
              <w:spacing w:line="285" w:lineRule="auto"/>
              <w:rPr>
                <w:rFonts w:hint="eastAsia" w:ascii="宋体" w:hAnsi="宋体" w:eastAsia="宋体" w:cs="宋体"/>
                <w:color w:val="auto"/>
                <w:sz w:val="21"/>
                <w:highlight w:val="none"/>
              </w:rPr>
            </w:pPr>
          </w:p>
          <w:p w14:paraId="01C166C6">
            <w:pPr>
              <w:spacing w:before="64" w:line="189" w:lineRule="auto"/>
              <w:ind w:left="266"/>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w:t>
            </w:r>
          </w:p>
        </w:tc>
        <w:tc>
          <w:tcPr>
            <w:tcW w:w="1110" w:type="dxa"/>
            <w:vAlign w:val="top"/>
          </w:tcPr>
          <w:p w14:paraId="134485AE">
            <w:pPr>
              <w:spacing w:line="285" w:lineRule="auto"/>
              <w:rPr>
                <w:rFonts w:hint="eastAsia" w:ascii="宋体" w:hAnsi="宋体" w:eastAsia="宋体" w:cs="宋体"/>
                <w:color w:val="auto"/>
                <w:sz w:val="21"/>
                <w:highlight w:val="none"/>
              </w:rPr>
            </w:pPr>
          </w:p>
          <w:p w14:paraId="02E5C197">
            <w:pPr>
              <w:spacing w:before="64" w:line="189" w:lineRule="auto"/>
              <w:ind w:left="361"/>
              <w:rPr>
                <w:rFonts w:hint="eastAsia" w:ascii="宋体" w:hAnsi="宋体" w:eastAsia="宋体" w:cs="宋体"/>
                <w:color w:val="auto"/>
                <w:sz w:val="22"/>
                <w:szCs w:val="22"/>
                <w:highlight w:val="none"/>
              </w:rPr>
            </w:pPr>
            <w:r>
              <w:rPr>
                <w:rFonts w:hint="eastAsia" w:ascii="宋体" w:hAnsi="宋体" w:eastAsia="宋体" w:cs="宋体"/>
                <w:color w:val="auto"/>
                <w:spacing w:val="-5"/>
                <w:sz w:val="22"/>
                <w:szCs w:val="22"/>
                <w:highlight w:val="none"/>
              </w:rPr>
              <w:t>1.6.3</w:t>
            </w:r>
          </w:p>
        </w:tc>
        <w:tc>
          <w:tcPr>
            <w:tcW w:w="7306" w:type="dxa"/>
            <w:vAlign w:val="top"/>
          </w:tcPr>
          <w:p w14:paraId="50D5EE40">
            <w:pPr>
              <w:pStyle w:val="25"/>
              <w:spacing w:before="114" w:line="250" w:lineRule="auto"/>
              <w:ind w:left="117" w:right="159" w:firstLine="261"/>
              <w:rPr>
                <w:rFonts w:hint="eastAsia" w:ascii="宋体" w:hAnsi="宋体" w:eastAsia="宋体" w:cs="宋体"/>
                <w:color w:val="auto"/>
                <w:sz w:val="22"/>
                <w:szCs w:val="22"/>
                <w:highlight w:val="none"/>
              </w:rPr>
            </w:pPr>
            <w:r>
              <w:rPr>
                <w:rFonts w:hint="eastAsia" w:ascii="宋体" w:hAnsi="宋体" w:eastAsia="宋体" w:cs="宋体"/>
                <w:color w:val="auto"/>
                <w:spacing w:val="-9"/>
                <w:sz w:val="22"/>
                <w:szCs w:val="22"/>
                <w:highlight w:val="none"/>
              </w:rPr>
              <w:t>图纸需要修改和补充的，应由监理人取得发包人同意后，在该工程或工程</w:t>
            </w:r>
            <w:r>
              <w:rPr>
                <w:rFonts w:hint="eastAsia" w:ascii="宋体" w:hAnsi="宋体" w:eastAsia="宋体" w:cs="宋体"/>
                <w:color w:val="auto"/>
                <w:spacing w:val="-2"/>
                <w:sz w:val="22"/>
                <w:szCs w:val="22"/>
                <w:highlight w:val="none"/>
              </w:rPr>
              <w:t>相应部位施工前14天签发图纸修改图给承包人</w:t>
            </w:r>
          </w:p>
        </w:tc>
      </w:tr>
      <w:tr w14:paraId="116555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0" w:hRule="atLeast"/>
        </w:trPr>
        <w:tc>
          <w:tcPr>
            <w:tcW w:w="633" w:type="dxa"/>
            <w:vAlign w:val="top"/>
          </w:tcPr>
          <w:p w14:paraId="6454E941">
            <w:pPr>
              <w:spacing w:line="472" w:lineRule="auto"/>
              <w:rPr>
                <w:rFonts w:hint="eastAsia" w:ascii="宋体" w:hAnsi="宋体" w:eastAsia="宋体" w:cs="宋体"/>
                <w:color w:val="auto"/>
                <w:sz w:val="21"/>
                <w:highlight w:val="none"/>
              </w:rPr>
            </w:pPr>
          </w:p>
          <w:p w14:paraId="708592AE">
            <w:pPr>
              <w:spacing w:before="63" w:line="186" w:lineRule="auto"/>
              <w:ind w:left="273"/>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w:t>
            </w:r>
          </w:p>
        </w:tc>
        <w:tc>
          <w:tcPr>
            <w:tcW w:w="1110" w:type="dxa"/>
            <w:vAlign w:val="top"/>
          </w:tcPr>
          <w:p w14:paraId="7D110265">
            <w:pPr>
              <w:spacing w:line="469" w:lineRule="auto"/>
              <w:rPr>
                <w:rFonts w:hint="eastAsia" w:ascii="宋体" w:hAnsi="宋体" w:eastAsia="宋体" w:cs="宋体"/>
                <w:color w:val="auto"/>
                <w:sz w:val="21"/>
                <w:highlight w:val="none"/>
              </w:rPr>
            </w:pPr>
          </w:p>
          <w:p w14:paraId="4D99A664">
            <w:pPr>
              <w:spacing w:before="63" w:line="189" w:lineRule="auto"/>
              <w:ind w:left="344"/>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3.1.1</w:t>
            </w:r>
          </w:p>
        </w:tc>
        <w:tc>
          <w:tcPr>
            <w:tcW w:w="7306" w:type="dxa"/>
            <w:vAlign w:val="top"/>
          </w:tcPr>
          <w:p w14:paraId="3AC3929F">
            <w:pPr>
              <w:pStyle w:val="25"/>
              <w:spacing w:before="127" w:line="220" w:lineRule="auto"/>
              <w:ind w:left="358"/>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监理人在行使下列权力前需要经发包人事先批准：</w:t>
            </w:r>
          </w:p>
          <w:p w14:paraId="56DCC01E">
            <w:pPr>
              <w:pStyle w:val="25"/>
              <w:spacing w:before="101" w:line="247" w:lineRule="auto"/>
              <w:ind w:left="121" w:right="87" w:firstLine="228"/>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（6）根据第15.3款发出的变更指示，</w:t>
            </w:r>
            <w:r>
              <w:rPr>
                <w:rFonts w:hint="eastAsia" w:ascii="宋体" w:hAnsi="宋体" w:eastAsia="宋体" w:cs="宋体"/>
                <w:color w:val="auto"/>
                <w:spacing w:val="-4"/>
                <w:sz w:val="22"/>
                <w:szCs w:val="22"/>
                <w:highlight w:val="none"/>
              </w:rPr>
              <w:t>其单项工程变更涉及的金额超过了</w:t>
            </w:r>
            <w:r>
              <w:rPr>
                <w:rFonts w:hint="eastAsia" w:ascii="宋体" w:hAnsi="宋体" w:eastAsia="宋体" w:cs="宋体"/>
                <w:color w:val="auto"/>
                <w:sz w:val="22"/>
                <w:szCs w:val="22"/>
                <w:highlight w:val="none"/>
              </w:rPr>
              <w:t>该单项工程签约时合同价的5%或累计变更超过了签约</w:t>
            </w:r>
            <w:r>
              <w:rPr>
                <w:rFonts w:hint="eastAsia" w:ascii="宋体" w:hAnsi="宋体" w:eastAsia="宋体" w:cs="宋体"/>
                <w:color w:val="auto"/>
                <w:spacing w:val="-1"/>
                <w:sz w:val="22"/>
                <w:szCs w:val="22"/>
                <w:highlight w:val="none"/>
              </w:rPr>
              <w:t>合同价的5%</w:t>
            </w:r>
          </w:p>
        </w:tc>
      </w:tr>
      <w:tr w14:paraId="211C06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8" w:hRule="atLeast"/>
        </w:trPr>
        <w:tc>
          <w:tcPr>
            <w:tcW w:w="633" w:type="dxa"/>
            <w:vAlign w:val="top"/>
          </w:tcPr>
          <w:p w14:paraId="32F61ED4">
            <w:pPr>
              <w:spacing w:line="301" w:lineRule="auto"/>
              <w:rPr>
                <w:rFonts w:hint="eastAsia" w:ascii="宋体" w:hAnsi="宋体" w:eastAsia="宋体" w:cs="宋体"/>
                <w:color w:val="auto"/>
                <w:sz w:val="21"/>
                <w:highlight w:val="none"/>
              </w:rPr>
            </w:pPr>
          </w:p>
          <w:p w14:paraId="4CA27DB3">
            <w:pPr>
              <w:spacing w:before="63" w:line="189" w:lineRule="auto"/>
              <w:ind w:left="272"/>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w:t>
            </w:r>
          </w:p>
        </w:tc>
        <w:tc>
          <w:tcPr>
            <w:tcW w:w="1110" w:type="dxa"/>
            <w:vAlign w:val="top"/>
          </w:tcPr>
          <w:p w14:paraId="746459AF">
            <w:pPr>
              <w:spacing w:line="301" w:lineRule="auto"/>
              <w:rPr>
                <w:rFonts w:hint="eastAsia" w:ascii="宋体" w:hAnsi="宋体" w:eastAsia="宋体" w:cs="宋体"/>
                <w:color w:val="auto"/>
                <w:sz w:val="21"/>
                <w:highlight w:val="none"/>
              </w:rPr>
            </w:pPr>
          </w:p>
          <w:p w14:paraId="7EEFD54F">
            <w:pPr>
              <w:spacing w:before="63" w:line="189" w:lineRule="auto"/>
              <w:ind w:left="346"/>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5.2.1</w:t>
            </w:r>
          </w:p>
        </w:tc>
        <w:tc>
          <w:tcPr>
            <w:tcW w:w="7306" w:type="dxa"/>
            <w:vAlign w:val="top"/>
          </w:tcPr>
          <w:p w14:paraId="0FC6DD88">
            <w:pPr>
              <w:pStyle w:val="25"/>
              <w:spacing w:before="139" w:line="219" w:lineRule="auto"/>
              <w:ind w:left="361"/>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发包人是否提供材料或工程设备：</w:t>
            </w:r>
            <w:r>
              <w:rPr>
                <w:rFonts w:hint="eastAsia" w:ascii="宋体" w:hAnsi="宋体" w:eastAsia="宋体" w:cs="宋体"/>
                <w:color w:val="auto"/>
                <w:spacing w:val="-2"/>
                <w:sz w:val="22"/>
                <w:szCs w:val="22"/>
                <w:highlight w:val="none"/>
                <w:u w:val="single" w:color="auto"/>
              </w:rPr>
              <w:t>否</w:t>
            </w:r>
            <w:r>
              <w:rPr>
                <w:rFonts w:hint="eastAsia" w:ascii="宋体" w:hAnsi="宋体" w:eastAsia="宋体" w:cs="宋体"/>
                <w:color w:val="auto"/>
                <w:spacing w:val="-2"/>
                <w:sz w:val="22"/>
                <w:szCs w:val="22"/>
                <w:highlight w:val="none"/>
              </w:rPr>
              <w:t>（是或否）</w:t>
            </w:r>
          </w:p>
          <w:p w14:paraId="4E3FDE45">
            <w:pPr>
              <w:pStyle w:val="25"/>
              <w:spacing w:before="91" w:line="198" w:lineRule="auto"/>
              <w:ind w:left="361"/>
              <w:rPr>
                <w:rFonts w:hint="eastAsia" w:ascii="宋体" w:hAnsi="宋体" w:eastAsia="宋体" w:cs="宋体"/>
                <w:color w:val="auto"/>
                <w:sz w:val="22"/>
                <w:szCs w:val="22"/>
                <w:highlight w:val="none"/>
                <w:lang w:eastAsia="zh-CN"/>
              </w:rPr>
            </w:pPr>
            <w:r>
              <w:rPr>
                <w:rFonts w:hint="eastAsia" w:ascii="宋体" w:hAnsi="宋体" w:eastAsia="宋体" w:cs="宋体"/>
                <w:color w:val="auto"/>
                <w:spacing w:val="-4"/>
                <w:sz w:val="22"/>
                <w:szCs w:val="22"/>
                <w:highlight w:val="none"/>
              </w:rPr>
              <w:t>如发包人负责提供部分材料或工程设备，相关规定如下：</w:t>
            </w:r>
          </w:p>
        </w:tc>
      </w:tr>
      <w:tr w14:paraId="77C79F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3" w:hRule="atLeast"/>
        </w:trPr>
        <w:tc>
          <w:tcPr>
            <w:tcW w:w="633" w:type="dxa"/>
            <w:vAlign w:val="top"/>
          </w:tcPr>
          <w:p w14:paraId="72DCCE87">
            <w:pPr>
              <w:spacing w:line="289" w:lineRule="auto"/>
              <w:rPr>
                <w:rFonts w:hint="eastAsia" w:ascii="宋体" w:hAnsi="宋体" w:eastAsia="宋体" w:cs="宋体"/>
                <w:color w:val="auto"/>
                <w:sz w:val="21"/>
                <w:highlight w:val="none"/>
              </w:rPr>
            </w:pPr>
          </w:p>
          <w:p w14:paraId="16EFC582">
            <w:pPr>
              <w:spacing w:before="63" w:line="186" w:lineRule="auto"/>
              <w:ind w:left="271"/>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w:t>
            </w:r>
          </w:p>
        </w:tc>
        <w:tc>
          <w:tcPr>
            <w:tcW w:w="1110" w:type="dxa"/>
            <w:vAlign w:val="top"/>
          </w:tcPr>
          <w:p w14:paraId="188C7CC0">
            <w:pPr>
              <w:spacing w:line="286" w:lineRule="auto"/>
              <w:rPr>
                <w:rFonts w:hint="eastAsia" w:ascii="宋体" w:hAnsi="宋体" w:eastAsia="宋体" w:cs="宋体"/>
                <w:color w:val="auto"/>
                <w:sz w:val="21"/>
                <w:highlight w:val="none"/>
              </w:rPr>
            </w:pPr>
          </w:p>
          <w:p w14:paraId="249E8BB7">
            <w:pPr>
              <w:spacing w:before="63" w:line="189" w:lineRule="auto"/>
              <w:ind w:left="429"/>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6.2</w:t>
            </w:r>
          </w:p>
        </w:tc>
        <w:tc>
          <w:tcPr>
            <w:tcW w:w="7306" w:type="dxa"/>
            <w:vAlign w:val="top"/>
          </w:tcPr>
          <w:p w14:paraId="1FD9FB76">
            <w:pPr>
              <w:pStyle w:val="25"/>
              <w:spacing w:before="123" w:line="219" w:lineRule="auto"/>
              <w:ind w:left="361"/>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发包人是否提供施工设备和临时设施：</w:t>
            </w:r>
            <w:r>
              <w:rPr>
                <w:rFonts w:hint="eastAsia" w:ascii="宋体" w:hAnsi="宋体" w:eastAsia="宋体" w:cs="宋体"/>
                <w:color w:val="auto"/>
                <w:spacing w:val="-2"/>
                <w:sz w:val="22"/>
                <w:szCs w:val="22"/>
                <w:highlight w:val="none"/>
                <w:u w:val="single" w:color="auto"/>
              </w:rPr>
              <w:t>否</w:t>
            </w:r>
            <w:r>
              <w:rPr>
                <w:rFonts w:hint="eastAsia" w:ascii="宋体" w:hAnsi="宋体" w:eastAsia="宋体" w:cs="宋体"/>
                <w:color w:val="auto"/>
                <w:spacing w:val="-2"/>
                <w:sz w:val="22"/>
                <w:szCs w:val="22"/>
                <w:highlight w:val="none"/>
              </w:rPr>
              <w:t>（是或否）</w:t>
            </w:r>
          </w:p>
          <w:p w14:paraId="017C8792">
            <w:pPr>
              <w:pStyle w:val="25"/>
              <w:spacing w:before="94" w:line="188" w:lineRule="auto"/>
              <w:ind w:left="361"/>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如发包人负责提供部分施工设备和临时设施，相关规定</w:t>
            </w:r>
            <w:r>
              <w:rPr>
                <w:rFonts w:hint="eastAsia" w:ascii="宋体" w:hAnsi="宋体" w:eastAsia="宋体" w:cs="宋体"/>
                <w:color w:val="auto"/>
                <w:spacing w:val="-4"/>
                <w:sz w:val="22"/>
                <w:szCs w:val="22"/>
                <w:highlight w:val="none"/>
              </w:rPr>
              <w:t>如下：</w:t>
            </w:r>
          </w:p>
        </w:tc>
      </w:tr>
      <w:tr w14:paraId="0EEAD8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6" w:hRule="atLeast"/>
        </w:trPr>
        <w:tc>
          <w:tcPr>
            <w:tcW w:w="633" w:type="dxa"/>
            <w:vAlign w:val="top"/>
          </w:tcPr>
          <w:p w14:paraId="2416780E">
            <w:pPr>
              <w:spacing w:line="299" w:lineRule="auto"/>
              <w:rPr>
                <w:rFonts w:hint="eastAsia" w:ascii="宋体" w:hAnsi="宋体" w:eastAsia="宋体" w:cs="宋体"/>
                <w:color w:val="auto"/>
                <w:sz w:val="21"/>
                <w:highlight w:val="none"/>
              </w:rPr>
            </w:pPr>
          </w:p>
          <w:p w14:paraId="78F5E97C">
            <w:pPr>
              <w:spacing w:before="64" w:line="189" w:lineRule="auto"/>
              <w:ind w:left="276"/>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8</w:t>
            </w:r>
          </w:p>
        </w:tc>
        <w:tc>
          <w:tcPr>
            <w:tcW w:w="1110" w:type="dxa"/>
            <w:vAlign w:val="top"/>
          </w:tcPr>
          <w:p w14:paraId="4EA3FD62">
            <w:pPr>
              <w:spacing w:line="299" w:lineRule="auto"/>
              <w:rPr>
                <w:rFonts w:hint="eastAsia" w:ascii="宋体" w:hAnsi="宋体" w:eastAsia="宋体" w:cs="宋体"/>
                <w:color w:val="auto"/>
                <w:sz w:val="21"/>
                <w:highlight w:val="none"/>
              </w:rPr>
            </w:pPr>
          </w:p>
          <w:p w14:paraId="47A4B24D">
            <w:pPr>
              <w:spacing w:before="64" w:line="189" w:lineRule="auto"/>
              <w:ind w:left="349"/>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8.1.1</w:t>
            </w:r>
          </w:p>
        </w:tc>
        <w:tc>
          <w:tcPr>
            <w:tcW w:w="7306" w:type="dxa"/>
            <w:vAlign w:val="top"/>
          </w:tcPr>
          <w:p w14:paraId="60FA061C">
            <w:pPr>
              <w:pStyle w:val="25"/>
              <w:spacing w:before="124" w:line="269" w:lineRule="auto"/>
              <w:ind w:left="362" w:right="51" w:hanging="1"/>
              <w:rPr>
                <w:rFonts w:hint="eastAsia" w:ascii="宋体" w:hAnsi="宋体" w:eastAsia="宋体" w:cs="宋体"/>
                <w:color w:val="auto"/>
                <w:highlight w:val="none"/>
              </w:rPr>
            </w:pPr>
            <w:r>
              <w:rPr>
                <w:rFonts w:hint="eastAsia" w:ascii="宋体" w:hAnsi="宋体" w:eastAsia="宋体" w:cs="宋体"/>
                <w:color w:val="auto"/>
                <w:spacing w:val="-2"/>
                <w:sz w:val="22"/>
                <w:szCs w:val="22"/>
                <w:highlight w:val="none"/>
              </w:rPr>
              <w:t>发包人提供测量基准点、基准线和水准点及其书面资</w:t>
            </w:r>
            <w:r>
              <w:rPr>
                <w:rFonts w:hint="eastAsia" w:ascii="宋体" w:hAnsi="宋体" w:eastAsia="宋体" w:cs="宋体"/>
                <w:color w:val="auto"/>
                <w:spacing w:val="-3"/>
                <w:sz w:val="22"/>
                <w:szCs w:val="22"/>
                <w:highlight w:val="none"/>
              </w:rPr>
              <w:t>料的期限：</w:t>
            </w:r>
            <w:r>
              <w:rPr>
                <w:rFonts w:hint="eastAsia" w:ascii="宋体" w:hAnsi="宋体" w:eastAsia="宋体" w:cs="宋体"/>
                <w:color w:val="auto"/>
                <w:spacing w:val="-3"/>
                <w:highlight w:val="none"/>
                <w:u w:val="single" w:color="auto"/>
              </w:rPr>
              <w:t>承包人接</w:t>
            </w:r>
            <w:r>
              <w:rPr>
                <w:rFonts w:hint="eastAsia" w:ascii="宋体" w:hAnsi="宋体" w:eastAsia="宋体" w:cs="宋体"/>
                <w:color w:val="auto"/>
                <w:highlight w:val="none"/>
                <w:u w:val="single" w:color="auto"/>
              </w:rPr>
              <w:t>到开工通知后14天内</w:t>
            </w:r>
            <w:r>
              <w:rPr>
                <w:rFonts w:hint="eastAsia" w:ascii="宋体" w:hAnsi="宋体" w:eastAsia="宋体" w:cs="宋体"/>
                <w:color w:val="auto"/>
                <w:sz w:val="22"/>
                <w:szCs w:val="22"/>
                <w:highlight w:val="none"/>
              </w:rPr>
              <w:t>承包人将施工控制网资料报送监理人审批</w:t>
            </w:r>
            <w:r>
              <w:rPr>
                <w:rFonts w:hint="eastAsia" w:ascii="宋体" w:hAnsi="宋体" w:eastAsia="宋体" w:cs="宋体"/>
                <w:color w:val="auto"/>
                <w:spacing w:val="4"/>
                <w:sz w:val="22"/>
                <w:szCs w:val="22"/>
                <w:highlight w:val="none"/>
              </w:rPr>
              <w:t>的期限：</w:t>
            </w:r>
            <w:r>
              <w:rPr>
                <w:rFonts w:hint="eastAsia" w:ascii="宋体" w:hAnsi="宋体" w:eastAsia="宋体" w:cs="宋体"/>
                <w:color w:val="auto"/>
                <w:spacing w:val="4"/>
                <w:highlight w:val="none"/>
                <w:u w:val="single" w:color="auto"/>
              </w:rPr>
              <w:t>工程(单项工程)开工7天前</w:t>
            </w:r>
          </w:p>
        </w:tc>
      </w:tr>
      <w:tr w14:paraId="584604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633" w:type="dxa"/>
            <w:vAlign w:val="top"/>
          </w:tcPr>
          <w:p w14:paraId="259BC083">
            <w:pPr>
              <w:spacing w:before="147" w:line="189" w:lineRule="auto"/>
              <w:ind w:left="272"/>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9</w:t>
            </w:r>
          </w:p>
        </w:tc>
        <w:tc>
          <w:tcPr>
            <w:tcW w:w="1110" w:type="dxa"/>
            <w:vAlign w:val="top"/>
          </w:tcPr>
          <w:p w14:paraId="18CF672B">
            <w:pPr>
              <w:pStyle w:val="25"/>
              <w:spacing w:before="104" w:line="210" w:lineRule="auto"/>
              <w:ind w:left="114"/>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11.5（3）</w:t>
            </w:r>
          </w:p>
        </w:tc>
        <w:tc>
          <w:tcPr>
            <w:tcW w:w="7306" w:type="dxa"/>
            <w:vAlign w:val="top"/>
          </w:tcPr>
          <w:p w14:paraId="313B77AF">
            <w:pPr>
              <w:pStyle w:val="25"/>
              <w:spacing w:before="104" w:line="210" w:lineRule="auto"/>
              <w:ind w:left="355"/>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逾期交工违约金：</w:t>
            </w:r>
            <w:r>
              <w:rPr>
                <w:rFonts w:hint="eastAsia" w:ascii="宋体" w:hAnsi="宋体" w:eastAsia="宋体" w:cs="宋体"/>
                <w:color w:val="auto"/>
                <w:spacing w:val="-2"/>
                <w:sz w:val="22"/>
                <w:szCs w:val="22"/>
                <w:highlight w:val="none"/>
                <w:u w:val="single" w:color="auto"/>
              </w:rPr>
              <w:t>500</w:t>
            </w:r>
            <w:r>
              <w:rPr>
                <w:rFonts w:hint="eastAsia" w:ascii="宋体" w:hAnsi="宋体" w:eastAsia="宋体" w:cs="宋体"/>
                <w:color w:val="auto"/>
                <w:spacing w:val="-2"/>
                <w:sz w:val="22"/>
                <w:szCs w:val="22"/>
                <w:highlight w:val="none"/>
              </w:rPr>
              <w:t>元/天</w:t>
            </w:r>
          </w:p>
        </w:tc>
      </w:tr>
      <w:tr w14:paraId="5237DD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33" w:type="dxa"/>
            <w:vAlign w:val="top"/>
          </w:tcPr>
          <w:p w14:paraId="1D94694A">
            <w:pPr>
              <w:spacing w:before="144" w:line="189" w:lineRule="auto"/>
              <w:ind w:left="233"/>
              <w:rPr>
                <w:rFonts w:hint="eastAsia" w:ascii="宋体" w:hAnsi="宋体" w:eastAsia="宋体" w:cs="宋体"/>
                <w:color w:val="auto"/>
                <w:sz w:val="22"/>
                <w:szCs w:val="22"/>
                <w:highlight w:val="none"/>
              </w:rPr>
            </w:pPr>
            <w:r>
              <w:rPr>
                <w:rFonts w:hint="eastAsia" w:ascii="宋体" w:hAnsi="宋体" w:eastAsia="宋体" w:cs="宋体"/>
                <w:color w:val="auto"/>
                <w:spacing w:val="-13"/>
                <w:sz w:val="22"/>
                <w:szCs w:val="22"/>
                <w:highlight w:val="none"/>
              </w:rPr>
              <w:t>10</w:t>
            </w:r>
          </w:p>
        </w:tc>
        <w:tc>
          <w:tcPr>
            <w:tcW w:w="1110" w:type="dxa"/>
            <w:vAlign w:val="top"/>
          </w:tcPr>
          <w:p w14:paraId="0569F5EF">
            <w:pPr>
              <w:pStyle w:val="25"/>
              <w:spacing w:before="103" w:line="210" w:lineRule="auto"/>
              <w:ind w:left="114"/>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11.5（3）</w:t>
            </w:r>
          </w:p>
        </w:tc>
        <w:tc>
          <w:tcPr>
            <w:tcW w:w="7306" w:type="dxa"/>
            <w:vAlign w:val="top"/>
          </w:tcPr>
          <w:p w14:paraId="3176331A">
            <w:pPr>
              <w:pStyle w:val="25"/>
              <w:spacing w:before="98" w:line="214" w:lineRule="auto"/>
              <w:ind w:left="355"/>
              <w:rPr>
                <w:rFonts w:hint="eastAsia" w:ascii="宋体" w:hAnsi="宋体" w:eastAsia="宋体" w:cs="宋体"/>
                <w:color w:val="auto"/>
                <w:sz w:val="10"/>
                <w:szCs w:val="10"/>
                <w:highlight w:val="none"/>
              </w:rPr>
            </w:pPr>
            <w:r>
              <w:rPr>
                <w:rFonts w:hint="eastAsia" w:ascii="宋体" w:hAnsi="宋体" w:eastAsia="宋体" w:cs="宋体"/>
                <w:color w:val="auto"/>
                <w:spacing w:val="-2"/>
                <w:sz w:val="22"/>
                <w:szCs w:val="22"/>
                <w:highlight w:val="none"/>
              </w:rPr>
              <w:t>逾期交工违约金限额：</w:t>
            </w:r>
            <w:r>
              <w:rPr>
                <w:rFonts w:hint="eastAsia" w:ascii="宋体" w:hAnsi="宋体" w:eastAsia="宋体" w:cs="宋体"/>
                <w:color w:val="auto"/>
                <w:spacing w:val="-2"/>
                <w:sz w:val="22"/>
                <w:szCs w:val="22"/>
                <w:highlight w:val="none"/>
                <w:u w:val="single" w:color="auto"/>
              </w:rPr>
              <w:t>1%</w:t>
            </w:r>
            <w:r>
              <w:rPr>
                <w:rFonts w:hint="eastAsia" w:ascii="宋体" w:hAnsi="宋体" w:eastAsia="宋体" w:cs="宋体"/>
                <w:color w:val="auto"/>
                <w:spacing w:val="-2"/>
                <w:sz w:val="22"/>
                <w:szCs w:val="22"/>
                <w:highlight w:val="none"/>
              </w:rPr>
              <w:t>签约合同价</w:t>
            </w:r>
            <w:r>
              <w:rPr>
                <w:rFonts w:hint="eastAsia" w:ascii="宋体" w:hAnsi="宋体" w:eastAsia="宋体" w:cs="宋体"/>
                <w:color w:val="auto"/>
                <w:spacing w:val="-2"/>
                <w:position w:val="9"/>
                <w:sz w:val="10"/>
                <w:szCs w:val="10"/>
                <w:highlight w:val="none"/>
              </w:rPr>
              <w:t>②</w:t>
            </w:r>
          </w:p>
        </w:tc>
      </w:tr>
      <w:tr w14:paraId="4C754B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7" w:hRule="atLeast"/>
        </w:trPr>
        <w:tc>
          <w:tcPr>
            <w:tcW w:w="633" w:type="dxa"/>
            <w:vAlign w:val="top"/>
          </w:tcPr>
          <w:p w14:paraId="37083C87">
            <w:pPr>
              <w:spacing w:before="145" w:line="182" w:lineRule="auto"/>
              <w:ind w:left="231"/>
              <w:rPr>
                <w:rFonts w:hint="eastAsia" w:ascii="宋体" w:hAnsi="宋体" w:eastAsia="宋体" w:cs="宋体"/>
                <w:color w:val="auto"/>
                <w:sz w:val="22"/>
                <w:szCs w:val="22"/>
                <w:highlight w:val="none"/>
              </w:rPr>
            </w:pPr>
            <w:r>
              <w:rPr>
                <w:rFonts w:hint="eastAsia" w:ascii="宋体" w:hAnsi="宋体" w:eastAsia="宋体" w:cs="宋体"/>
                <w:color w:val="auto"/>
                <w:spacing w:val="-13"/>
                <w:sz w:val="22"/>
                <w:szCs w:val="22"/>
                <w:highlight w:val="none"/>
              </w:rPr>
              <w:t>11</w:t>
            </w:r>
          </w:p>
        </w:tc>
        <w:tc>
          <w:tcPr>
            <w:tcW w:w="1110" w:type="dxa"/>
            <w:vAlign w:val="top"/>
          </w:tcPr>
          <w:p w14:paraId="56A7E712">
            <w:pPr>
              <w:spacing w:before="145" w:line="182" w:lineRule="auto"/>
              <w:ind w:left="388"/>
              <w:rPr>
                <w:rFonts w:hint="eastAsia" w:ascii="宋体" w:hAnsi="宋体" w:eastAsia="宋体" w:cs="宋体"/>
                <w:color w:val="auto"/>
                <w:sz w:val="22"/>
                <w:szCs w:val="22"/>
                <w:highlight w:val="none"/>
              </w:rPr>
            </w:pPr>
            <w:r>
              <w:rPr>
                <w:rFonts w:hint="eastAsia" w:ascii="宋体" w:hAnsi="宋体" w:eastAsia="宋体" w:cs="宋体"/>
                <w:color w:val="auto"/>
                <w:spacing w:val="-7"/>
                <w:sz w:val="22"/>
                <w:szCs w:val="22"/>
                <w:highlight w:val="none"/>
              </w:rPr>
              <w:t>11.6</w:t>
            </w:r>
          </w:p>
        </w:tc>
        <w:tc>
          <w:tcPr>
            <w:tcW w:w="7306" w:type="dxa"/>
            <w:vAlign w:val="top"/>
          </w:tcPr>
          <w:p w14:paraId="371CBACD">
            <w:pPr>
              <w:pStyle w:val="25"/>
              <w:spacing w:before="104" w:line="195" w:lineRule="auto"/>
              <w:ind w:left="358"/>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提前交工的奖金：/元/天</w:t>
            </w:r>
          </w:p>
        </w:tc>
      </w:tr>
      <w:tr w14:paraId="4E6FD2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0" w:hRule="atLeast"/>
        </w:trPr>
        <w:tc>
          <w:tcPr>
            <w:tcW w:w="633" w:type="dxa"/>
            <w:vAlign w:val="top"/>
          </w:tcPr>
          <w:p w14:paraId="6665F783">
            <w:pPr>
              <w:spacing w:before="162" w:line="189" w:lineRule="auto"/>
              <w:ind w:left="233"/>
              <w:rPr>
                <w:rFonts w:hint="eastAsia" w:ascii="宋体" w:hAnsi="宋体" w:eastAsia="宋体" w:cs="宋体"/>
                <w:color w:val="auto"/>
                <w:sz w:val="22"/>
                <w:szCs w:val="22"/>
                <w:highlight w:val="none"/>
              </w:rPr>
            </w:pPr>
            <w:r>
              <w:rPr>
                <w:rFonts w:hint="eastAsia" w:ascii="宋体" w:hAnsi="宋体" w:eastAsia="宋体" w:cs="宋体"/>
                <w:color w:val="auto"/>
                <w:spacing w:val="-13"/>
                <w:sz w:val="22"/>
                <w:szCs w:val="22"/>
                <w:highlight w:val="none"/>
              </w:rPr>
              <w:t>12</w:t>
            </w:r>
          </w:p>
        </w:tc>
        <w:tc>
          <w:tcPr>
            <w:tcW w:w="1110" w:type="dxa"/>
            <w:vAlign w:val="top"/>
          </w:tcPr>
          <w:p w14:paraId="5ABF3130">
            <w:pPr>
              <w:spacing w:before="162" w:line="189" w:lineRule="auto"/>
              <w:ind w:left="388"/>
              <w:rPr>
                <w:rFonts w:hint="eastAsia" w:ascii="宋体" w:hAnsi="宋体" w:eastAsia="宋体" w:cs="宋体"/>
                <w:color w:val="auto"/>
                <w:sz w:val="22"/>
                <w:szCs w:val="22"/>
                <w:highlight w:val="none"/>
              </w:rPr>
            </w:pPr>
            <w:r>
              <w:rPr>
                <w:rFonts w:hint="eastAsia" w:ascii="宋体" w:hAnsi="宋体" w:eastAsia="宋体" w:cs="宋体"/>
                <w:color w:val="auto"/>
                <w:spacing w:val="-7"/>
                <w:sz w:val="22"/>
                <w:szCs w:val="22"/>
                <w:highlight w:val="none"/>
              </w:rPr>
              <w:t>11.6</w:t>
            </w:r>
          </w:p>
        </w:tc>
        <w:tc>
          <w:tcPr>
            <w:tcW w:w="7306" w:type="dxa"/>
            <w:vAlign w:val="top"/>
          </w:tcPr>
          <w:p w14:paraId="1EB73A12">
            <w:pPr>
              <w:pStyle w:val="25"/>
              <w:spacing w:before="122" w:line="208" w:lineRule="auto"/>
              <w:ind w:left="358"/>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提前交工的奖金限额：</w:t>
            </w:r>
            <w:r>
              <w:rPr>
                <w:rFonts w:hint="eastAsia" w:ascii="宋体" w:hAnsi="宋体" w:eastAsia="宋体" w:cs="宋体"/>
                <w:color w:val="auto"/>
                <w:spacing w:val="-3"/>
                <w:sz w:val="22"/>
                <w:szCs w:val="22"/>
                <w:highlight w:val="none"/>
                <w:u w:val="single" w:color="auto"/>
              </w:rPr>
              <w:t>/</w:t>
            </w:r>
            <w:r>
              <w:rPr>
                <w:rFonts w:hint="eastAsia" w:ascii="宋体" w:hAnsi="宋体" w:eastAsia="宋体" w:cs="宋体"/>
                <w:color w:val="auto"/>
                <w:spacing w:val="-3"/>
                <w:sz w:val="22"/>
                <w:szCs w:val="22"/>
                <w:highlight w:val="none"/>
              </w:rPr>
              <w:t>%签约合同价</w:t>
            </w:r>
          </w:p>
        </w:tc>
      </w:tr>
      <w:tr w14:paraId="46A02A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trPr>
        <w:tc>
          <w:tcPr>
            <w:tcW w:w="633" w:type="dxa"/>
            <w:vAlign w:val="top"/>
          </w:tcPr>
          <w:p w14:paraId="26779628">
            <w:pPr>
              <w:spacing w:line="288" w:lineRule="auto"/>
              <w:rPr>
                <w:rFonts w:hint="eastAsia" w:ascii="宋体" w:hAnsi="宋体" w:eastAsia="宋体" w:cs="宋体"/>
                <w:color w:val="auto"/>
                <w:sz w:val="21"/>
                <w:highlight w:val="none"/>
              </w:rPr>
            </w:pPr>
          </w:p>
          <w:p w14:paraId="445E2F9B">
            <w:pPr>
              <w:spacing w:before="63" w:line="189" w:lineRule="auto"/>
              <w:ind w:left="233"/>
              <w:rPr>
                <w:rFonts w:hint="eastAsia" w:ascii="宋体" w:hAnsi="宋体" w:eastAsia="宋体" w:cs="宋体"/>
                <w:color w:val="auto"/>
                <w:sz w:val="22"/>
                <w:szCs w:val="22"/>
                <w:highlight w:val="none"/>
              </w:rPr>
            </w:pPr>
            <w:r>
              <w:rPr>
                <w:rFonts w:hint="eastAsia" w:ascii="宋体" w:hAnsi="宋体" w:eastAsia="宋体" w:cs="宋体"/>
                <w:color w:val="auto"/>
                <w:spacing w:val="-13"/>
                <w:sz w:val="22"/>
                <w:szCs w:val="22"/>
                <w:highlight w:val="none"/>
              </w:rPr>
              <w:t>13</w:t>
            </w:r>
          </w:p>
        </w:tc>
        <w:tc>
          <w:tcPr>
            <w:tcW w:w="1110" w:type="dxa"/>
            <w:vAlign w:val="top"/>
          </w:tcPr>
          <w:p w14:paraId="7715F8AC">
            <w:pPr>
              <w:spacing w:line="288" w:lineRule="auto"/>
              <w:rPr>
                <w:rFonts w:hint="eastAsia" w:ascii="宋体" w:hAnsi="宋体" w:eastAsia="宋体" w:cs="宋体"/>
                <w:color w:val="auto"/>
                <w:sz w:val="21"/>
                <w:highlight w:val="none"/>
              </w:rPr>
            </w:pPr>
          </w:p>
          <w:p w14:paraId="208D3B34">
            <w:pPr>
              <w:spacing w:before="63" w:line="189" w:lineRule="auto"/>
              <w:ind w:left="306"/>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15.5.2</w:t>
            </w:r>
          </w:p>
        </w:tc>
        <w:tc>
          <w:tcPr>
            <w:tcW w:w="7306" w:type="dxa"/>
            <w:vAlign w:val="top"/>
          </w:tcPr>
          <w:p w14:paraId="175858C4">
            <w:pPr>
              <w:pStyle w:val="25"/>
              <w:spacing w:before="113" w:line="257" w:lineRule="auto"/>
              <w:ind w:left="117" w:right="152" w:firstLine="240"/>
              <w:rPr>
                <w:rFonts w:hint="eastAsia" w:ascii="宋体" w:hAnsi="宋体" w:eastAsia="宋体" w:cs="宋体"/>
                <w:color w:val="auto"/>
                <w:sz w:val="22"/>
                <w:szCs w:val="22"/>
                <w:highlight w:val="none"/>
              </w:rPr>
            </w:pPr>
            <w:r>
              <w:rPr>
                <w:rFonts w:hint="eastAsia" w:ascii="宋体" w:hAnsi="宋体" w:eastAsia="宋体" w:cs="宋体"/>
                <w:color w:val="auto"/>
                <w:spacing w:val="-8"/>
                <w:sz w:val="22"/>
                <w:szCs w:val="22"/>
                <w:highlight w:val="none"/>
              </w:rPr>
              <w:t>承包人提出的合理化建议降低了合同价格或者提高了工程经济效益的，发</w:t>
            </w:r>
            <w:r>
              <w:rPr>
                <w:rFonts w:hint="eastAsia" w:ascii="宋体" w:hAnsi="宋体" w:eastAsia="宋体" w:cs="宋体"/>
                <w:color w:val="auto"/>
                <w:spacing w:val="-2"/>
                <w:sz w:val="22"/>
                <w:szCs w:val="22"/>
                <w:highlight w:val="none"/>
              </w:rPr>
              <w:t>包人按所节约成本的</w:t>
            </w:r>
            <w:r>
              <w:rPr>
                <w:rFonts w:hint="eastAsia" w:ascii="宋体" w:hAnsi="宋体" w:eastAsia="宋体" w:cs="宋体"/>
                <w:color w:val="auto"/>
                <w:spacing w:val="-2"/>
                <w:sz w:val="22"/>
                <w:szCs w:val="22"/>
                <w:highlight w:val="none"/>
                <w:u w:val="single" w:color="auto"/>
              </w:rPr>
              <w:t>/</w:t>
            </w:r>
            <w:r>
              <w:rPr>
                <w:rFonts w:hint="eastAsia" w:ascii="宋体" w:hAnsi="宋体" w:eastAsia="宋体" w:cs="宋体"/>
                <w:color w:val="auto"/>
                <w:spacing w:val="-2"/>
                <w:sz w:val="22"/>
                <w:szCs w:val="22"/>
                <w:highlight w:val="none"/>
              </w:rPr>
              <w:t>%或增加收益的</w:t>
            </w:r>
            <w:r>
              <w:rPr>
                <w:rFonts w:hint="eastAsia" w:ascii="宋体" w:hAnsi="宋体" w:eastAsia="宋体" w:cs="宋体"/>
                <w:color w:val="auto"/>
                <w:spacing w:val="-2"/>
                <w:sz w:val="22"/>
                <w:szCs w:val="22"/>
                <w:highlight w:val="none"/>
                <w:u w:val="single" w:color="auto"/>
              </w:rPr>
              <w:t>/</w:t>
            </w:r>
            <w:r>
              <w:rPr>
                <w:rFonts w:hint="eastAsia" w:ascii="宋体" w:hAnsi="宋体" w:eastAsia="宋体" w:cs="宋体"/>
                <w:color w:val="auto"/>
                <w:spacing w:val="-2"/>
                <w:sz w:val="22"/>
                <w:szCs w:val="22"/>
                <w:highlight w:val="none"/>
              </w:rPr>
              <w:t>%给予奖励</w:t>
            </w:r>
          </w:p>
        </w:tc>
      </w:tr>
      <w:tr w14:paraId="52B839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7" w:hRule="atLeast"/>
        </w:trPr>
        <w:tc>
          <w:tcPr>
            <w:tcW w:w="633" w:type="dxa"/>
            <w:vAlign w:val="top"/>
          </w:tcPr>
          <w:p w14:paraId="3C393738">
            <w:pPr>
              <w:spacing w:line="322" w:lineRule="auto"/>
              <w:rPr>
                <w:rFonts w:hint="eastAsia" w:ascii="宋体" w:hAnsi="宋体" w:eastAsia="宋体" w:cs="宋体"/>
                <w:color w:val="auto"/>
                <w:sz w:val="21"/>
                <w:highlight w:val="none"/>
              </w:rPr>
            </w:pPr>
          </w:p>
          <w:p w14:paraId="1CFA86AE">
            <w:pPr>
              <w:spacing w:line="322" w:lineRule="auto"/>
              <w:rPr>
                <w:rFonts w:hint="eastAsia" w:ascii="宋体" w:hAnsi="宋体" w:eastAsia="宋体" w:cs="宋体"/>
                <w:color w:val="auto"/>
                <w:sz w:val="21"/>
                <w:highlight w:val="none"/>
              </w:rPr>
            </w:pPr>
          </w:p>
          <w:p w14:paraId="4FC0A4DD">
            <w:pPr>
              <w:spacing w:before="63" w:line="189" w:lineRule="auto"/>
              <w:ind w:left="233"/>
              <w:rPr>
                <w:rFonts w:hint="eastAsia" w:ascii="宋体" w:hAnsi="宋体" w:eastAsia="宋体" w:cs="宋体"/>
                <w:color w:val="auto"/>
                <w:sz w:val="22"/>
                <w:szCs w:val="22"/>
                <w:highlight w:val="none"/>
              </w:rPr>
            </w:pPr>
            <w:r>
              <w:rPr>
                <w:rFonts w:hint="eastAsia" w:ascii="宋体" w:hAnsi="宋体" w:eastAsia="宋体" w:cs="宋体"/>
                <w:color w:val="auto"/>
                <w:spacing w:val="-13"/>
                <w:sz w:val="22"/>
                <w:szCs w:val="22"/>
                <w:highlight w:val="none"/>
              </w:rPr>
              <w:t>14</w:t>
            </w:r>
          </w:p>
        </w:tc>
        <w:tc>
          <w:tcPr>
            <w:tcW w:w="1110" w:type="dxa"/>
            <w:vAlign w:val="top"/>
          </w:tcPr>
          <w:p w14:paraId="08F0B86F">
            <w:pPr>
              <w:spacing w:line="322" w:lineRule="auto"/>
              <w:rPr>
                <w:rFonts w:hint="eastAsia" w:ascii="宋体" w:hAnsi="宋体" w:eastAsia="宋体" w:cs="宋体"/>
                <w:color w:val="auto"/>
                <w:sz w:val="21"/>
                <w:highlight w:val="none"/>
              </w:rPr>
            </w:pPr>
          </w:p>
          <w:p w14:paraId="1CCF808F">
            <w:pPr>
              <w:spacing w:line="322" w:lineRule="auto"/>
              <w:rPr>
                <w:rFonts w:hint="eastAsia" w:ascii="宋体" w:hAnsi="宋体" w:eastAsia="宋体" w:cs="宋体"/>
                <w:color w:val="auto"/>
                <w:sz w:val="21"/>
                <w:highlight w:val="none"/>
              </w:rPr>
            </w:pPr>
          </w:p>
          <w:p w14:paraId="3811BF1D">
            <w:pPr>
              <w:spacing w:before="63" w:line="189" w:lineRule="auto"/>
              <w:ind w:left="390"/>
              <w:rPr>
                <w:rFonts w:hint="eastAsia" w:ascii="宋体" w:hAnsi="宋体" w:eastAsia="宋体" w:cs="宋体"/>
                <w:color w:val="auto"/>
                <w:sz w:val="22"/>
                <w:szCs w:val="22"/>
                <w:highlight w:val="none"/>
              </w:rPr>
            </w:pPr>
            <w:r>
              <w:rPr>
                <w:rFonts w:hint="eastAsia" w:ascii="宋体" w:hAnsi="宋体" w:eastAsia="宋体" w:cs="宋体"/>
                <w:color w:val="auto"/>
                <w:spacing w:val="-7"/>
                <w:sz w:val="22"/>
                <w:szCs w:val="22"/>
                <w:highlight w:val="none"/>
              </w:rPr>
              <w:t>16.1</w:t>
            </w:r>
          </w:p>
        </w:tc>
        <w:tc>
          <w:tcPr>
            <w:tcW w:w="7306" w:type="dxa"/>
            <w:vAlign w:val="top"/>
          </w:tcPr>
          <w:p w14:paraId="707F01D7">
            <w:pPr>
              <w:pStyle w:val="25"/>
              <w:spacing w:before="95" w:line="264" w:lineRule="auto"/>
              <w:ind w:left="89" w:right="4" w:firstLine="404"/>
              <w:rPr>
                <w:rFonts w:hint="eastAsia" w:ascii="宋体" w:hAnsi="宋体" w:eastAsia="宋体" w:cs="宋体"/>
                <w:color w:val="auto"/>
                <w:sz w:val="22"/>
                <w:szCs w:val="22"/>
                <w:highlight w:val="none"/>
              </w:rPr>
            </w:pPr>
            <w:r>
              <w:rPr>
                <w:rFonts w:hint="eastAsia" w:ascii="宋体" w:hAnsi="宋体" w:eastAsia="宋体" w:cs="宋体"/>
                <w:color w:val="auto"/>
                <w:spacing w:val="-3"/>
                <w:sz w:val="31"/>
                <w:szCs w:val="31"/>
                <w:highlight w:val="none"/>
              </w:rPr>
              <w:t>□</w:t>
            </w:r>
            <w:r>
              <w:rPr>
                <w:rFonts w:hint="eastAsia" w:ascii="宋体" w:hAnsi="宋体" w:eastAsia="宋体" w:cs="宋体"/>
                <w:color w:val="auto"/>
                <w:spacing w:val="-3"/>
                <w:sz w:val="22"/>
                <w:szCs w:val="22"/>
                <w:highlight w:val="none"/>
              </w:rPr>
              <w:t>因物价波动引起的价格调整按照</w:t>
            </w:r>
            <w:r>
              <w:rPr>
                <w:rFonts w:hint="eastAsia" w:ascii="宋体" w:hAnsi="宋体" w:eastAsia="宋体" w:cs="宋体"/>
                <w:color w:val="auto"/>
                <w:spacing w:val="-3"/>
                <w:sz w:val="31"/>
                <w:szCs w:val="31"/>
                <w:highlight w:val="none"/>
              </w:rPr>
              <w:t>□</w:t>
            </w:r>
            <w:r>
              <w:rPr>
                <w:rFonts w:hint="eastAsia" w:ascii="宋体" w:hAnsi="宋体" w:eastAsia="宋体" w:cs="宋体"/>
                <w:color w:val="auto"/>
                <w:spacing w:val="-3"/>
                <w:sz w:val="22"/>
                <w:szCs w:val="22"/>
                <w:highlight w:val="none"/>
                <w:u w:val="single" w:color="auto"/>
              </w:rPr>
              <w:t>第16.1.1项</w:t>
            </w:r>
            <w:r>
              <w:rPr>
                <w:rFonts w:hint="eastAsia" w:ascii="宋体" w:hAnsi="宋体" w:eastAsia="宋体" w:cs="宋体"/>
                <w:color w:val="auto"/>
                <w:spacing w:val="-3"/>
                <w:sz w:val="22"/>
                <w:szCs w:val="22"/>
                <w:highlight w:val="none"/>
              </w:rPr>
              <w:t>或</w:t>
            </w:r>
            <w:r>
              <w:rPr>
                <w:rFonts w:hint="eastAsia" w:ascii="宋体" w:hAnsi="宋体" w:eastAsia="宋体" w:cs="宋体"/>
                <w:color w:val="auto"/>
                <w:spacing w:val="-3"/>
                <w:sz w:val="31"/>
                <w:szCs w:val="31"/>
                <w:highlight w:val="none"/>
              </w:rPr>
              <w:t>□</w:t>
            </w:r>
            <w:r>
              <w:rPr>
                <w:rFonts w:hint="eastAsia" w:ascii="宋体" w:hAnsi="宋体" w:eastAsia="宋体" w:cs="宋体"/>
                <w:color w:val="auto"/>
                <w:spacing w:val="-4"/>
                <w:sz w:val="22"/>
                <w:szCs w:val="22"/>
                <w:highlight w:val="none"/>
                <w:u w:val="single" w:color="auto"/>
              </w:rPr>
              <w:t>第16.1.2</w:t>
            </w:r>
            <w:r>
              <w:rPr>
                <w:rFonts w:hint="eastAsia" w:ascii="宋体" w:hAnsi="宋体" w:eastAsia="宋体" w:cs="宋体"/>
                <w:color w:val="auto"/>
                <w:spacing w:val="-2"/>
                <w:sz w:val="22"/>
                <w:szCs w:val="22"/>
                <w:highlight w:val="none"/>
                <w:u w:val="single" w:color="auto"/>
              </w:rPr>
              <w:t>项）</w:t>
            </w:r>
            <w:r>
              <w:rPr>
                <w:rFonts w:hint="eastAsia" w:ascii="宋体" w:hAnsi="宋体" w:eastAsia="宋体" w:cs="宋体"/>
                <w:color w:val="auto"/>
                <w:spacing w:val="-2"/>
                <w:sz w:val="22"/>
                <w:szCs w:val="22"/>
                <w:highlight w:val="none"/>
              </w:rPr>
              <w:t>约定的原则处理</w:t>
            </w:r>
          </w:p>
          <w:p w14:paraId="3A957AA8">
            <w:pPr>
              <w:pStyle w:val="25"/>
              <w:spacing w:before="16" w:line="231" w:lineRule="auto"/>
              <w:ind w:left="119" w:right="255" w:firstLine="239"/>
              <w:rPr>
                <w:rFonts w:hint="eastAsia" w:ascii="宋体" w:hAnsi="宋体" w:eastAsia="宋体" w:cs="宋体"/>
                <w:color w:val="auto"/>
                <w:sz w:val="22"/>
                <w:szCs w:val="22"/>
                <w:highlight w:val="none"/>
              </w:rPr>
            </w:pPr>
            <w:r>
              <w:rPr>
                <w:rFonts w:hint="eastAsia" w:ascii="宋体" w:hAnsi="宋体" w:eastAsia="宋体" w:cs="宋体"/>
                <w:color w:val="auto"/>
                <w:spacing w:val="-10"/>
                <w:sz w:val="22"/>
                <w:szCs w:val="22"/>
                <w:highlight w:val="none"/>
              </w:rPr>
              <w:t>若按第16.1.1项的约定采用价格调整公式进行调价，每</w:t>
            </w:r>
            <w:r>
              <w:rPr>
                <w:rFonts w:hint="eastAsia" w:ascii="宋体" w:hAnsi="宋体" w:eastAsia="宋体" w:cs="宋体"/>
                <w:color w:val="auto"/>
                <w:spacing w:val="-11"/>
                <w:sz w:val="31"/>
                <w:szCs w:val="31"/>
                <w:highlight w:val="none"/>
              </w:rPr>
              <w:t>□</w:t>
            </w:r>
            <w:r>
              <w:rPr>
                <w:rFonts w:hint="eastAsia" w:ascii="宋体" w:hAnsi="宋体" w:eastAsia="宋体" w:cs="宋体"/>
                <w:color w:val="auto"/>
                <w:spacing w:val="-11"/>
                <w:sz w:val="22"/>
                <w:szCs w:val="22"/>
                <w:highlight w:val="none"/>
                <w:u w:val="single" w:color="auto"/>
              </w:rPr>
              <w:t>半年</w:t>
            </w:r>
            <w:r>
              <w:rPr>
                <w:rFonts w:hint="eastAsia" w:ascii="宋体" w:hAnsi="宋体" w:eastAsia="宋体" w:cs="宋体"/>
                <w:color w:val="auto"/>
                <w:spacing w:val="-11"/>
                <w:sz w:val="22"/>
                <w:szCs w:val="22"/>
                <w:highlight w:val="none"/>
              </w:rPr>
              <w:t>或</w:t>
            </w:r>
            <w:r>
              <w:rPr>
                <w:rFonts w:hint="eastAsia" w:ascii="宋体" w:hAnsi="宋体" w:eastAsia="宋体" w:cs="宋体"/>
                <w:color w:val="auto"/>
                <w:spacing w:val="-11"/>
                <w:sz w:val="31"/>
                <w:szCs w:val="31"/>
                <w:highlight w:val="none"/>
              </w:rPr>
              <w:t>□</w:t>
            </w:r>
            <w:r>
              <w:rPr>
                <w:rFonts w:hint="eastAsia" w:ascii="宋体" w:hAnsi="宋体" w:eastAsia="宋体" w:cs="宋体"/>
                <w:color w:val="auto"/>
                <w:spacing w:val="-11"/>
                <w:sz w:val="22"/>
                <w:szCs w:val="22"/>
                <w:highlight w:val="none"/>
                <w:u w:val="single" w:color="auto"/>
              </w:rPr>
              <w:t>一年</w:t>
            </w:r>
            <w:r>
              <w:rPr>
                <w:rFonts w:hint="eastAsia" w:ascii="宋体" w:hAnsi="宋体" w:eastAsia="宋体" w:cs="宋体"/>
                <w:color w:val="auto"/>
                <w:spacing w:val="-6"/>
                <w:sz w:val="22"/>
                <w:szCs w:val="22"/>
                <w:highlight w:val="none"/>
              </w:rPr>
              <w:t>按价格调整公式进行一次调整</w:t>
            </w:r>
          </w:p>
        </w:tc>
      </w:tr>
    </w:tbl>
    <w:p w14:paraId="4535E74F">
      <w:pPr>
        <w:pStyle w:val="4"/>
        <w:spacing w:line="449" w:lineRule="auto"/>
        <w:rPr>
          <w:rFonts w:hint="eastAsia" w:ascii="宋体" w:hAnsi="宋体" w:eastAsia="宋体" w:cs="宋体"/>
          <w:color w:val="auto"/>
          <w:highlight w:val="none"/>
        </w:rPr>
      </w:pPr>
      <w:r>
        <w:rPr>
          <w:rFonts w:hint="eastAsia" w:ascii="宋体" w:hAnsi="宋体" w:eastAsia="宋体" w:cs="宋体"/>
          <w:color w:val="auto"/>
          <w:highlight w:val="none"/>
        </w:rPr>
        <w:drawing>
          <wp:anchor distT="0" distB="0" distL="0" distR="0" simplePos="0" relativeHeight="251698176" behindDoc="0" locked="0" layoutInCell="1" allowOverlap="1">
            <wp:simplePos x="0" y="0"/>
            <wp:positionH relativeFrom="column">
              <wp:posOffset>0</wp:posOffset>
            </wp:positionH>
            <wp:positionV relativeFrom="paragraph">
              <wp:posOffset>217170</wp:posOffset>
            </wp:positionV>
            <wp:extent cx="1829435" cy="7620"/>
            <wp:effectExtent l="0" t="0" r="0" b="0"/>
            <wp:wrapNone/>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314"/>
                    <a:stretch>
                      <a:fillRect/>
                    </a:stretch>
                  </pic:blipFill>
                  <pic:spPr>
                    <a:xfrm>
                      <a:off x="0" y="0"/>
                      <a:ext cx="1829435" cy="7619"/>
                    </a:xfrm>
                    <a:prstGeom prst="rect">
                      <a:avLst/>
                    </a:prstGeom>
                  </pic:spPr>
                </pic:pic>
              </a:graphicData>
            </a:graphic>
          </wp:anchor>
        </w:drawing>
      </w:r>
    </w:p>
    <w:p w14:paraId="0E17C944">
      <w:pPr>
        <w:spacing w:before="58" w:line="223" w:lineRule="auto"/>
        <w:ind w:left="579"/>
        <w:rPr>
          <w:rFonts w:hint="eastAsia" w:ascii="宋体" w:hAnsi="宋体" w:eastAsia="宋体" w:cs="宋体"/>
          <w:color w:val="auto"/>
          <w:sz w:val="18"/>
          <w:szCs w:val="18"/>
          <w:highlight w:val="none"/>
        </w:rPr>
      </w:pPr>
      <w:r>
        <w:rPr>
          <w:rFonts w:hint="eastAsia" w:ascii="宋体" w:hAnsi="宋体" w:eastAsia="宋体" w:cs="宋体"/>
          <w:color w:val="auto"/>
          <w:position w:val="8"/>
          <w:sz w:val="8"/>
          <w:szCs w:val="8"/>
          <w:highlight w:val="none"/>
        </w:rPr>
        <w:t>①</w:t>
      </w:r>
      <w:r>
        <w:rPr>
          <w:rFonts w:hint="eastAsia" w:ascii="宋体" w:hAnsi="宋体" w:eastAsia="宋体" w:cs="宋体"/>
          <w:color w:val="auto"/>
          <w:sz w:val="18"/>
          <w:szCs w:val="18"/>
          <w:highlight w:val="none"/>
        </w:rPr>
        <w:t>缺陷责任期一般为自实际交工日期起计算1年，最长不超过2</w:t>
      </w:r>
      <w:r>
        <w:rPr>
          <w:rFonts w:hint="eastAsia" w:ascii="宋体" w:hAnsi="宋体" w:eastAsia="宋体" w:cs="宋体"/>
          <w:color w:val="auto"/>
          <w:spacing w:val="-1"/>
          <w:sz w:val="18"/>
          <w:szCs w:val="18"/>
          <w:highlight w:val="none"/>
        </w:rPr>
        <w:t>年。</w:t>
      </w:r>
    </w:p>
    <w:p w14:paraId="412C02B8">
      <w:pPr>
        <w:spacing w:before="85" w:line="221" w:lineRule="auto"/>
        <w:ind w:left="578"/>
        <w:rPr>
          <w:rFonts w:hint="eastAsia" w:ascii="宋体" w:hAnsi="宋体" w:eastAsia="宋体" w:cs="宋体"/>
          <w:color w:val="auto"/>
          <w:sz w:val="18"/>
          <w:szCs w:val="18"/>
          <w:highlight w:val="none"/>
        </w:rPr>
      </w:pPr>
      <w:r>
        <w:rPr>
          <w:rFonts w:hint="eastAsia" w:ascii="宋体" w:hAnsi="宋体" w:eastAsia="宋体" w:cs="宋体"/>
          <w:color w:val="auto"/>
          <w:position w:val="8"/>
          <w:sz w:val="8"/>
          <w:szCs w:val="8"/>
          <w:highlight w:val="none"/>
        </w:rPr>
        <w:t>②</w:t>
      </w:r>
      <w:r>
        <w:rPr>
          <w:rFonts w:hint="eastAsia" w:ascii="宋体" w:hAnsi="宋体" w:eastAsia="宋体" w:cs="宋体"/>
          <w:color w:val="auto"/>
          <w:sz w:val="18"/>
          <w:szCs w:val="18"/>
          <w:highlight w:val="none"/>
        </w:rPr>
        <w:t>逾期交工违约金限额一般应为10%签约合</w:t>
      </w:r>
      <w:r>
        <w:rPr>
          <w:rFonts w:hint="eastAsia" w:ascii="宋体" w:hAnsi="宋体" w:eastAsia="宋体" w:cs="宋体"/>
          <w:color w:val="auto"/>
          <w:spacing w:val="-1"/>
          <w:sz w:val="18"/>
          <w:szCs w:val="18"/>
          <w:highlight w:val="none"/>
        </w:rPr>
        <w:t>同价。</w:t>
      </w:r>
    </w:p>
    <w:p w14:paraId="5E311ABF">
      <w:pPr>
        <w:spacing w:line="221" w:lineRule="auto"/>
        <w:rPr>
          <w:rFonts w:hint="eastAsia" w:ascii="宋体" w:hAnsi="宋体" w:eastAsia="宋体" w:cs="宋体"/>
          <w:color w:val="auto"/>
          <w:sz w:val="18"/>
          <w:szCs w:val="18"/>
          <w:highlight w:val="none"/>
        </w:rPr>
        <w:sectPr>
          <w:headerReference r:id="rId196" w:type="default"/>
          <w:footerReference r:id="rId197" w:type="default"/>
          <w:pgSz w:w="11907" w:h="16840"/>
          <w:pgMar w:top="1182" w:right="754" w:bottom="1014" w:left="1643" w:header="849" w:footer="852" w:gutter="0"/>
          <w:pgNumType w:fmt="decimal"/>
          <w:cols w:space="720" w:num="1"/>
        </w:sectPr>
      </w:pPr>
    </w:p>
    <w:p w14:paraId="52154CC0">
      <w:pPr>
        <w:spacing w:before="16"/>
        <w:rPr>
          <w:rFonts w:hint="eastAsia" w:ascii="宋体" w:hAnsi="宋体" w:eastAsia="宋体" w:cs="宋体"/>
          <w:color w:val="auto"/>
          <w:highlight w:val="none"/>
        </w:rPr>
      </w:pPr>
    </w:p>
    <w:tbl>
      <w:tblPr>
        <w:tblStyle w:val="24"/>
        <w:tblW w:w="9049" w:type="dxa"/>
        <w:tblInd w:w="45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3"/>
        <w:gridCol w:w="1110"/>
        <w:gridCol w:w="7306"/>
      </w:tblGrid>
      <w:tr w14:paraId="3223E8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 w:hRule="atLeast"/>
        </w:trPr>
        <w:tc>
          <w:tcPr>
            <w:tcW w:w="633" w:type="dxa"/>
            <w:vAlign w:val="top"/>
          </w:tcPr>
          <w:p w14:paraId="21A835C7">
            <w:pPr>
              <w:pStyle w:val="25"/>
              <w:spacing w:before="106" w:line="211" w:lineRule="auto"/>
              <w:ind w:left="105"/>
              <w:rPr>
                <w:rFonts w:hint="eastAsia" w:ascii="宋体" w:hAnsi="宋体" w:eastAsia="宋体" w:cs="宋体"/>
                <w:color w:val="auto"/>
                <w:sz w:val="22"/>
                <w:szCs w:val="22"/>
                <w:highlight w:val="none"/>
              </w:rPr>
            </w:pPr>
            <w:r>
              <w:rPr>
                <w:rFonts w:hint="eastAsia" w:ascii="宋体" w:hAnsi="宋体" w:eastAsia="宋体" w:cs="宋体"/>
                <w:b/>
                <w:bCs/>
                <w:color w:val="auto"/>
                <w:spacing w:val="-6"/>
                <w:sz w:val="22"/>
                <w:szCs w:val="22"/>
                <w:highlight w:val="none"/>
              </w:rPr>
              <w:t>序号</w:t>
            </w:r>
          </w:p>
        </w:tc>
        <w:tc>
          <w:tcPr>
            <w:tcW w:w="1110" w:type="dxa"/>
            <w:vAlign w:val="top"/>
          </w:tcPr>
          <w:p w14:paraId="031DC962">
            <w:pPr>
              <w:pStyle w:val="25"/>
              <w:spacing w:before="106" w:line="211" w:lineRule="auto"/>
              <w:ind w:left="247"/>
              <w:rPr>
                <w:rFonts w:hint="eastAsia" w:ascii="宋体" w:hAnsi="宋体" w:eastAsia="宋体" w:cs="宋体"/>
                <w:color w:val="auto"/>
                <w:sz w:val="22"/>
                <w:szCs w:val="22"/>
                <w:highlight w:val="none"/>
              </w:rPr>
            </w:pPr>
            <w:r>
              <w:rPr>
                <w:rFonts w:hint="eastAsia" w:ascii="宋体" w:hAnsi="宋体" w:eastAsia="宋体" w:cs="宋体"/>
                <w:b/>
                <w:bCs/>
                <w:color w:val="auto"/>
                <w:spacing w:val="-5"/>
                <w:sz w:val="22"/>
                <w:szCs w:val="22"/>
                <w:highlight w:val="none"/>
              </w:rPr>
              <w:t>条目号</w:t>
            </w:r>
          </w:p>
        </w:tc>
        <w:tc>
          <w:tcPr>
            <w:tcW w:w="7306" w:type="dxa"/>
            <w:vAlign w:val="top"/>
          </w:tcPr>
          <w:p w14:paraId="49B47952">
            <w:pPr>
              <w:pStyle w:val="25"/>
              <w:spacing w:before="106" w:line="211" w:lineRule="auto"/>
              <w:ind w:left="1557"/>
              <w:rPr>
                <w:rFonts w:hint="eastAsia" w:ascii="宋体" w:hAnsi="宋体" w:eastAsia="宋体" w:cs="宋体"/>
                <w:color w:val="auto"/>
                <w:sz w:val="22"/>
                <w:szCs w:val="22"/>
                <w:highlight w:val="none"/>
              </w:rPr>
            </w:pPr>
            <w:r>
              <w:rPr>
                <w:rFonts w:hint="eastAsia" w:ascii="宋体" w:hAnsi="宋体" w:eastAsia="宋体" w:cs="宋体"/>
                <w:b/>
                <w:bCs/>
                <w:color w:val="auto"/>
                <w:spacing w:val="-4"/>
                <w:sz w:val="22"/>
                <w:szCs w:val="22"/>
                <w:highlight w:val="none"/>
              </w:rPr>
              <w:t>信息或数据</w:t>
            </w:r>
          </w:p>
        </w:tc>
      </w:tr>
      <w:tr w14:paraId="791474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1" w:hRule="atLeast"/>
        </w:trPr>
        <w:tc>
          <w:tcPr>
            <w:tcW w:w="633" w:type="dxa"/>
            <w:vAlign w:val="top"/>
          </w:tcPr>
          <w:p w14:paraId="02E2B5A2">
            <w:pPr>
              <w:rPr>
                <w:rFonts w:hint="eastAsia" w:ascii="宋体" w:hAnsi="宋体" w:eastAsia="宋体" w:cs="宋体"/>
                <w:color w:val="auto"/>
                <w:sz w:val="21"/>
                <w:highlight w:val="none"/>
              </w:rPr>
            </w:pPr>
          </w:p>
        </w:tc>
        <w:tc>
          <w:tcPr>
            <w:tcW w:w="1110" w:type="dxa"/>
            <w:vAlign w:val="top"/>
          </w:tcPr>
          <w:p w14:paraId="0CDD44E5">
            <w:pPr>
              <w:rPr>
                <w:rFonts w:hint="eastAsia" w:ascii="宋体" w:hAnsi="宋体" w:eastAsia="宋体" w:cs="宋体"/>
                <w:color w:val="auto"/>
                <w:sz w:val="21"/>
                <w:highlight w:val="none"/>
              </w:rPr>
            </w:pPr>
          </w:p>
        </w:tc>
        <w:tc>
          <w:tcPr>
            <w:tcW w:w="7306" w:type="dxa"/>
            <w:vAlign w:val="top"/>
          </w:tcPr>
          <w:p w14:paraId="10DD023C">
            <w:pPr>
              <w:pStyle w:val="25"/>
              <w:spacing w:before="3" w:line="213" w:lineRule="auto"/>
              <w:ind w:left="498"/>
              <w:rPr>
                <w:rFonts w:hint="eastAsia" w:ascii="宋体" w:hAnsi="宋体" w:eastAsia="宋体" w:cs="宋体"/>
                <w:color w:val="auto"/>
                <w:sz w:val="10"/>
                <w:szCs w:val="10"/>
                <w:highlight w:val="none"/>
              </w:rPr>
            </w:pPr>
            <w:r>
              <w:rPr>
                <w:rFonts w:hint="eastAsia" w:ascii="宋体" w:hAnsi="宋体" w:eastAsia="宋体" w:cs="宋体"/>
                <w:color w:val="auto"/>
                <w:spacing w:val="-2"/>
                <w:sz w:val="31"/>
                <w:szCs w:val="31"/>
                <w:highlight w:val="none"/>
              </w:rPr>
              <w:t>☑</w:t>
            </w:r>
            <w:r>
              <w:rPr>
                <w:rFonts w:hint="eastAsia" w:ascii="宋体" w:hAnsi="宋体" w:eastAsia="宋体" w:cs="宋体"/>
                <w:color w:val="auto"/>
                <w:spacing w:val="-2"/>
                <w:sz w:val="22"/>
                <w:szCs w:val="22"/>
                <w:highlight w:val="none"/>
              </w:rPr>
              <w:t>合同期内不调价</w:t>
            </w:r>
            <w:r>
              <w:rPr>
                <w:rFonts w:hint="eastAsia" w:ascii="宋体" w:hAnsi="宋体" w:eastAsia="宋体" w:cs="宋体"/>
                <w:color w:val="auto"/>
                <w:spacing w:val="-2"/>
                <w:position w:val="9"/>
                <w:sz w:val="10"/>
                <w:szCs w:val="10"/>
                <w:highlight w:val="none"/>
              </w:rPr>
              <w:t>①</w:t>
            </w:r>
          </w:p>
        </w:tc>
      </w:tr>
      <w:tr w14:paraId="1EA017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33" w:type="dxa"/>
            <w:vAlign w:val="top"/>
          </w:tcPr>
          <w:p w14:paraId="30C3E7FF">
            <w:pPr>
              <w:spacing w:before="141" w:line="189" w:lineRule="auto"/>
              <w:ind w:left="233"/>
              <w:rPr>
                <w:rFonts w:hint="eastAsia" w:ascii="宋体" w:hAnsi="宋体" w:eastAsia="宋体" w:cs="宋体"/>
                <w:color w:val="auto"/>
                <w:sz w:val="22"/>
                <w:szCs w:val="22"/>
                <w:highlight w:val="none"/>
              </w:rPr>
            </w:pPr>
            <w:r>
              <w:rPr>
                <w:rFonts w:hint="eastAsia" w:ascii="宋体" w:hAnsi="宋体" w:eastAsia="宋体" w:cs="宋体"/>
                <w:color w:val="auto"/>
                <w:spacing w:val="-13"/>
                <w:sz w:val="22"/>
                <w:szCs w:val="22"/>
                <w:highlight w:val="none"/>
              </w:rPr>
              <w:t>15</w:t>
            </w:r>
          </w:p>
        </w:tc>
        <w:tc>
          <w:tcPr>
            <w:tcW w:w="1110" w:type="dxa"/>
            <w:vAlign w:val="top"/>
          </w:tcPr>
          <w:p w14:paraId="65A9089D">
            <w:pPr>
              <w:pStyle w:val="25"/>
              <w:spacing w:before="101" w:line="212" w:lineRule="auto"/>
              <w:jc w:val="right"/>
              <w:rPr>
                <w:rFonts w:hint="eastAsia" w:ascii="宋体" w:hAnsi="宋体" w:eastAsia="宋体" w:cs="宋体"/>
                <w:color w:val="auto"/>
                <w:sz w:val="22"/>
                <w:szCs w:val="22"/>
                <w:highlight w:val="none"/>
              </w:rPr>
            </w:pPr>
            <w:r>
              <w:rPr>
                <w:rFonts w:hint="eastAsia" w:ascii="宋体" w:hAnsi="宋体" w:eastAsia="宋体" w:cs="宋体"/>
                <w:color w:val="auto"/>
                <w:spacing w:val="-15"/>
                <w:sz w:val="22"/>
                <w:szCs w:val="22"/>
                <w:highlight w:val="none"/>
              </w:rPr>
              <w:t>17.2.1（1）</w:t>
            </w:r>
          </w:p>
        </w:tc>
        <w:tc>
          <w:tcPr>
            <w:tcW w:w="7306" w:type="dxa"/>
            <w:vAlign w:val="top"/>
          </w:tcPr>
          <w:p w14:paraId="007852CB">
            <w:pPr>
              <w:pStyle w:val="25"/>
              <w:spacing w:before="95" w:line="217" w:lineRule="auto"/>
              <w:ind w:left="358"/>
              <w:rPr>
                <w:rFonts w:hint="eastAsia" w:ascii="宋体" w:hAnsi="宋体" w:eastAsia="宋体" w:cs="宋体"/>
                <w:color w:val="auto"/>
                <w:sz w:val="10"/>
                <w:szCs w:val="10"/>
                <w:highlight w:val="none"/>
              </w:rPr>
            </w:pPr>
            <w:r>
              <w:rPr>
                <w:rFonts w:hint="eastAsia" w:ascii="宋体" w:hAnsi="宋体" w:eastAsia="宋体" w:cs="宋体"/>
                <w:color w:val="auto"/>
                <w:spacing w:val="-5"/>
                <w:sz w:val="22"/>
                <w:szCs w:val="22"/>
                <w:highlight w:val="none"/>
              </w:rPr>
              <w:t>开工预付款金额：</w:t>
            </w:r>
            <w:r>
              <w:rPr>
                <w:rFonts w:hint="eastAsia" w:ascii="宋体" w:hAnsi="宋体" w:eastAsia="宋体" w:cs="宋体"/>
                <w:color w:val="auto"/>
                <w:spacing w:val="-5"/>
                <w:sz w:val="22"/>
                <w:szCs w:val="22"/>
                <w:highlight w:val="none"/>
                <w:u w:val="single" w:color="auto"/>
              </w:rPr>
              <w:t>10</w:t>
            </w:r>
            <w:r>
              <w:rPr>
                <w:rFonts w:hint="eastAsia" w:ascii="宋体" w:hAnsi="宋体" w:eastAsia="宋体" w:cs="宋体"/>
                <w:color w:val="auto"/>
                <w:spacing w:val="-5"/>
                <w:sz w:val="22"/>
                <w:szCs w:val="22"/>
                <w:highlight w:val="none"/>
              </w:rPr>
              <w:t>%签约合同价</w:t>
            </w:r>
            <w:r>
              <w:rPr>
                <w:rFonts w:hint="eastAsia" w:ascii="宋体" w:hAnsi="宋体" w:eastAsia="宋体" w:cs="宋体"/>
                <w:color w:val="auto"/>
                <w:spacing w:val="-5"/>
                <w:position w:val="9"/>
                <w:sz w:val="10"/>
                <w:szCs w:val="10"/>
                <w:highlight w:val="none"/>
              </w:rPr>
              <w:t>②</w:t>
            </w:r>
          </w:p>
        </w:tc>
      </w:tr>
      <w:tr w14:paraId="0F06D0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7" w:hRule="atLeast"/>
        </w:trPr>
        <w:tc>
          <w:tcPr>
            <w:tcW w:w="633" w:type="dxa"/>
            <w:vAlign w:val="top"/>
          </w:tcPr>
          <w:p w14:paraId="5880D9F1">
            <w:pPr>
              <w:spacing w:before="144" w:line="189" w:lineRule="auto"/>
              <w:ind w:left="233"/>
              <w:rPr>
                <w:rFonts w:hint="eastAsia" w:ascii="宋体" w:hAnsi="宋体" w:eastAsia="宋体" w:cs="宋体"/>
                <w:color w:val="auto"/>
                <w:sz w:val="22"/>
                <w:szCs w:val="22"/>
                <w:highlight w:val="none"/>
              </w:rPr>
            </w:pPr>
            <w:r>
              <w:rPr>
                <w:rFonts w:hint="eastAsia" w:ascii="宋体" w:hAnsi="宋体" w:eastAsia="宋体" w:cs="宋体"/>
                <w:color w:val="auto"/>
                <w:spacing w:val="-13"/>
                <w:sz w:val="22"/>
                <w:szCs w:val="22"/>
                <w:highlight w:val="none"/>
              </w:rPr>
              <w:t>16</w:t>
            </w:r>
          </w:p>
        </w:tc>
        <w:tc>
          <w:tcPr>
            <w:tcW w:w="1110" w:type="dxa"/>
            <w:vAlign w:val="top"/>
          </w:tcPr>
          <w:p w14:paraId="511BB2D5">
            <w:pPr>
              <w:pStyle w:val="25"/>
              <w:spacing w:before="104" w:line="232" w:lineRule="auto"/>
              <w:jc w:val="right"/>
              <w:rPr>
                <w:rFonts w:hint="eastAsia" w:ascii="宋体" w:hAnsi="宋体" w:eastAsia="宋体" w:cs="宋体"/>
                <w:color w:val="auto"/>
                <w:sz w:val="22"/>
                <w:szCs w:val="22"/>
                <w:highlight w:val="none"/>
              </w:rPr>
            </w:pPr>
            <w:r>
              <w:rPr>
                <w:rFonts w:hint="eastAsia" w:ascii="宋体" w:hAnsi="宋体" w:eastAsia="宋体" w:cs="宋体"/>
                <w:color w:val="auto"/>
                <w:spacing w:val="-15"/>
                <w:sz w:val="22"/>
                <w:szCs w:val="22"/>
                <w:highlight w:val="none"/>
              </w:rPr>
              <w:t>17.2.1（2）</w:t>
            </w:r>
          </w:p>
        </w:tc>
        <w:tc>
          <w:tcPr>
            <w:tcW w:w="7306" w:type="dxa"/>
            <w:vAlign w:val="top"/>
          </w:tcPr>
          <w:p w14:paraId="11C7B363">
            <w:pPr>
              <w:pStyle w:val="25"/>
              <w:spacing w:before="105" w:line="198" w:lineRule="auto"/>
              <w:ind w:left="375" w:right="3" w:hanging="18"/>
              <w:rPr>
                <w:rFonts w:hint="eastAsia" w:ascii="宋体" w:hAnsi="宋体" w:eastAsia="宋体" w:cs="宋体"/>
                <w:color w:val="auto"/>
                <w:sz w:val="10"/>
                <w:szCs w:val="10"/>
                <w:highlight w:val="none"/>
              </w:rPr>
            </w:pPr>
            <w:r>
              <w:rPr>
                <w:rFonts w:hint="eastAsia" w:ascii="宋体" w:hAnsi="宋体" w:eastAsia="宋体" w:cs="宋体"/>
                <w:color w:val="auto"/>
                <w:spacing w:val="-6"/>
                <w:sz w:val="22"/>
                <w:szCs w:val="22"/>
                <w:highlight w:val="none"/>
              </w:rPr>
              <w:t>材料、设备预付款比例：</w:t>
            </w:r>
            <w:r>
              <w:rPr>
                <w:rFonts w:hint="eastAsia" w:ascii="宋体" w:hAnsi="宋体" w:eastAsia="宋体" w:cs="宋体"/>
                <w:color w:val="auto"/>
                <w:spacing w:val="-6"/>
                <w:sz w:val="22"/>
                <w:szCs w:val="22"/>
                <w:highlight w:val="none"/>
                <w:u w:val="single" w:color="auto"/>
              </w:rPr>
              <w:t>砂、碎石、水泥</w:t>
            </w:r>
            <w:r>
              <w:rPr>
                <w:rFonts w:hint="eastAsia" w:ascii="宋体" w:hAnsi="宋体" w:eastAsia="宋体" w:cs="宋体"/>
                <w:color w:val="auto"/>
                <w:spacing w:val="-7"/>
                <w:sz w:val="22"/>
                <w:szCs w:val="22"/>
                <w:highlight w:val="none"/>
              </w:rPr>
              <w:t>等主要材料、设备单据所列费用</w:t>
            </w:r>
            <w:r>
              <w:rPr>
                <w:rFonts w:hint="eastAsia" w:ascii="宋体" w:hAnsi="宋体" w:eastAsia="宋体" w:cs="宋体"/>
                <w:color w:val="auto"/>
                <w:spacing w:val="-12"/>
                <w:sz w:val="22"/>
                <w:szCs w:val="22"/>
                <w:highlight w:val="none"/>
              </w:rPr>
              <w:t>的</w:t>
            </w:r>
            <w:r>
              <w:rPr>
                <w:rFonts w:hint="eastAsia" w:ascii="宋体" w:hAnsi="宋体" w:eastAsia="宋体" w:cs="宋体"/>
                <w:color w:val="auto"/>
                <w:spacing w:val="-12"/>
                <w:sz w:val="22"/>
                <w:szCs w:val="22"/>
                <w:highlight w:val="none"/>
                <w:u w:val="single"/>
              </w:rPr>
              <w:t>70%</w:t>
            </w:r>
            <w:r>
              <w:rPr>
                <w:rFonts w:hint="eastAsia" w:ascii="宋体" w:hAnsi="宋体" w:eastAsia="宋体" w:cs="宋体"/>
                <w:color w:val="auto"/>
                <w:spacing w:val="7"/>
                <w:position w:val="9"/>
                <w:sz w:val="10"/>
                <w:szCs w:val="10"/>
                <w:highlight w:val="none"/>
              </w:rPr>
              <w:t>③</w:t>
            </w:r>
          </w:p>
        </w:tc>
      </w:tr>
      <w:tr w14:paraId="373383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3" w:hRule="atLeast"/>
        </w:trPr>
        <w:tc>
          <w:tcPr>
            <w:tcW w:w="633" w:type="dxa"/>
            <w:vAlign w:val="top"/>
          </w:tcPr>
          <w:p w14:paraId="3CB3B96A">
            <w:pPr>
              <w:spacing w:before="152" w:line="189" w:lineRule="auto"/>
              <w:ind w:left="233"/>
              <w:rPr>
                <w:rFonts w:hint="eastAsia" w:ascii="宋体" w:hAnsi="宋体" w:eastAsia="宋体" w:cs="宋体"/>
                <w:color w:val="auto"/>
                <w:sz w:val="22"/>
                <w:szCs w:val="22"/>
                <w:highlight w:val="none"/>
              </w:rPr>
            </w:pPr>
            <w:r>
              <w:rPr>
                <w:rFonts w:hint="eastAsia" w:ascii="宋体" w:hAnsi="宋体" w:eastAsia="宋体" w:cs="宋体"/>
                <w:color w:val="auto"/>
                <w:spacing w:val="-13"/>
                <w:sz w:val="22"/>
                <w:szCs w:val="22"/>
                <w:highlight w:val="none"/>
              </w:rPr>
              <w:t>17</w:t>
            </w:r>
          </w:p>
        </w:tc>
        <w:tc>
          <w:tcPr>
            <w:tcW w:w="1110" w:type="dxa"/>
            <w:vAlign w:val="top"/>
          </w:tcPr>
          <w:p w14:paraId="519FC902">
            <w:pPr>
              <w:spacing w:before="152" w:line="189" w:lineRule="auto"/>
              <w:ind w:left="318"/>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17.3.2</w:t>
            </w:r>
          </w:p>
        </w:tc>
        <w:tc>
          <w:tcPr>
            <w:tcW w:w="7306" w:type="dxa"/>
            <w:vAlign w:val="top"/>
          </w:tcPr>
          <w:p w14:paraId="52E47C27">
            <w:pPr>
              <w:pStyle w:val="25"/>
              <w:spacing w:before="112" w:line="210" w:lineRule="auto"/>
              <w:ind w:left="352"/>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承包人在每个付款周期末向监理人提交进度付款申请单的份数：</w:t>
            </w:r>
            <w:r>
              <w:rPr>
                <w:rFonts w:hint="eastAsia" w:ascii="宋体" w:hAnsi="宋体" w:eastAsia="宋体" w:cs="宋体"/>
                <w:color w:val="auto"/>
                <w:sz w:val="22"/>
                <w:szCs w:val="22"/>
                <w:highlight w:val="none"/>
                <w:u w:val="single" w:color="auto"/>
              </w:rPr>
              <w:t>5</w:t>
            </w:r>
            <w:r>
              <w:rPr>
                <w:rFonts w:hint="eastAsia" w:ascii="宋体" w:hAnsi="宋体" w:eastAsia="宋体" w:cs="宋体"/>
                <w:color w:val="auto"/>
                <w:spacing w:val="-1"/>
                <w:sz w:val="22"/>
                <w:szCs w:val="22"/>
                <w:highlight w:val="none"/>
              </w:rPr>
              <w:t>份</w:t>
            </w:r>
          </w:p>
        </w:tc>
      </w:tr>
      <w:tr w14:paraId="54F3D2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33" w:type="dxa"/>
            <w:vAlign w:val="top"/>
          </w:tcPr>
          <w:p w14:paraId="1E2B37C0">
            <w:pPr>
              <w:spacing w:before="144" w:line="189" w:lineRule="auto"/>
              <w:ind w:left="233"/>
              <w:rPr>
                <w:rFonts w:hint="eastAsia" w:ascii="宋体" w:hAnsi="宋体" w:eastAsia="宋体" w:cs="宋体"/>
                <w:color w:val="auto"/>
                <w:sz w:val="22"/>
                <w:szCs w:val="22"/>
                <w:highlight w:val="none"/>
              </w:rPr>
            </w:pPr>
            <w:r>
              <w:rPr>
                <w:rFonts w:hint="eastAsia" w:ascii="宋体" w:hAnsi="宋体" w:eastAsia="宋体" w:cs="宋体"/>
                <w:color w:val="auto"/>
                <w:spacing w:val="-13"/>
                <w:sz w:val="22"/>
                <w:szCs w:val="22"/>
                <w:highlight w:val="none"/>
              </w:rPr>
              <w:t>18</w:t>
            </w:r>
          </w:p>
        </w:tc>
        <w:tc>
          <w:tcPr>
            <w:tcW w:w="1110" w:type="dxa"/>
            <w:vAlign w:val="top"/>
          </w:tcPr>
          <w:p w14:paraId="30E96332">
            <w:pPr>
              <w:pStyle w:val="25"/>
              <w:spacing w:before="103" w:line="210" w:lineRule="auto"/>
              <w:jc w:val="right"/>
              <w:rPr>
                <w:rFonts w:hint="eastAsia" w:ascii="宋体" w:hAnsi="宋体" w:eastAsia="宋体" w:cs="宋体"/>
                <w:color w:val="auto"/>
                <w:sz w:val="22"/>
                <w:szCs w:val="22"/>
                <w:highlight w:val="none"/>
              </w:rPr>
            </w:pPr>
            <w:r>
              <w:rPr>
                <w:rFonts w:hint="eastAsia" w:ascii="宋体" w:hAnsi="宋体" w:eastAsia="宋体" w:cs="宋体"/>
                <w:color w:val="auto"/>
                <w:spacing w:val="-15"/>
                <w:sz w:val="22"/>
                <w:szCs w:val="22"/>
                <w:highlight w:val="none"/>
              </w:rPr>
              <w:t>17.3.3（1）</w:t>
            </w:r>
          </w:p>
        </w:tc>
        <w:tc>
          <w:tcPr>
            <w:tcW w:w="7306" w:type="dxa"/>
            <w:vAlign w:val="top"/>
          </w:tcPr>
          <w:p w14:paraId="50347740">
            <w:pPr>
              <w:pStyle w:val="25"/>
              <w:spacing w:before="97" w:line="215" w:lineRule="auto"/>
              <w:ind w:left="355"/>
              <w:rPr>
                <w:rFonts w:hint="eastAsia" w:ascii="宋体" w:hAnsi="宋体" w:eastAsia="宋体" w:cs="宋体"/>
                <w:color w:val="auto"/>
                <w:sz w:val="10"/>
                <w:szCs w:val="10"/>
                <w:highlight w:val="none"/>
              </w:rPr>
            </w:pPr>
            <w:r>
              <w:rPr>
                <w:rFonts w:hint="eastAsia" w:ascii="宋体" w:hAnsi="宋体" w:eastAsia="宋体" w:cs="宋体"/>
                <w:color w:val="auto"/>
                <w:spacing w:val="-3"/>
                <w:sz w:val="22"/>
                <w:szCs w:val="22"/>
                <w:highlight w:val="none"/>
              </w:rPr>
              <w:t>进度付款证书最低限额：</w:t>
            </w:r>
            <w:r>
              <w:rPr>
                <w:rFonts w:hint="eastAsia" w:ascii="宋体" w:hAnsi="宋体" w:eastAsia="宋体" w:cs="宋体"/>
                <w:color w:val="auto"/>
                <w:spacing w:val="-3"/>
                <w:sz w:val="22"/>
                <w:szCs w:val="22"/>
                <w:highlight w:val="none"/>
                <w:u w:val="single" w:color="auto"/>
              </w:rPr>
              <w:t>10</w:t>
            </w:r>
            <w:r>
              <w:rPr>
                <w:rFonts w:hint="eastAsia" w:ascii="宋体" w:hAnsi="宋体" w:eastAsia="宋体" w:cs="宋体"/>
                <w:color w:val="auto"/>
                <w:spacing w:val="-3"/>
                <w:sz w:val="22"/>
                <w:szCs w:val="22"/>
                <w:highlight w:val="none"/>
              </w:rPr>
              <w:t>%签约合同价或</w:t>
            </w:r>
            <w:r>
              <w:rPr>
                <w:rFonts w:hint="eastAsia" w:ascii="宋体" w:hAnsi="宋体" w:eastAsia="宋体" w:cs="宋体"/>
                <w:color w:val="auto"/>
                <w:spacing w:val="-3"/>
                <w:sz w:val="22"/>
                <w:szCs w:val="22"/>
                <w:highlight w:val="none"/>
                <w:u w:val="single" w:color="auto"/>
              </w:rPr>
              <w:t>/</w:t>
            </w:r>
            <w:r>
              <w:rPr>
                <w:rFonts w:hint="eastAsia" w:ascii="宋体" w:hAnsi="宋体" w:eastAsia="宋体" w:cs="宋体"/>
                <w:color w:val="auto"/>
                <w:spacing w:val="-3"/>
                <w:sz w:val="22"/>
                <w:szCs w:val="22"/>
                <w:highlight w:val="none"/>
              </w:rPr>
              <w:t>万元</w:t>
            </w:r>
            <w:r>
              <w:rPr>
                <w:rFonts w:hint="eastAsia" w:ascii="宋体" w:hAnsi="宋体" w:eastAsia="宋体" w:cs="宋体"/>
                <w:color w:val="auto"/>
                <w:spacing w:val="-3"/>
                <w:position w:val="9"/>
                <w:sz w:val="10"/>
                <w:szCs w:val="10"/>
                <w:highlight w:val="none"/>
              </w:rPr>
              <w:t>④</w:t>
            </w:r>
          </w:p>
        </w:tc>
      </w:tr>
      <w:tr w14:paraId="68C6E2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33" w:type="dxa"/>
            <w:vAlign w:val="top"/>
          </w:tcPr>
          <w:p w14:paraId="3914833D">
            <w:pPr>
              <w:spacing w:before="142" w:line="189" w:lineRule="auto"/>
              <w:ind w:left="233"/>
              <w:rPr>
                <w:rFonts w:hint="eastAsia" w:ascii="宋体" w:hAnsi="宋体" w:eastAsia="宋体" w:cs="宋体"/>
                <w:color w:val="auto"/>
                <w:sz w:val="22"/>
                <w:szCs w:val="22"/>
                <w:highlight w:val="none"/>
              </w:rPr>
            </w:pPr>
            <w:r>
              <w:rPr>
                <w:rFonts w:hint="eastAsia" w:ascii="宋体" w:hAnsi="宋体" w:eastAsia="宋体" w:cs="宋体"/>
                <w:color w:val="auto"/>
                <w:spacing w:val="-13"/>
                <w:sz w:val="22"/>
                <w:szCs w:val="22"/>
                <w:highlight w:val="none"/>
              </w:rPr>
              <w:t>19</w:t>
            </w:r>
          </w:p>
        </w:tc>
        <w:tc>
          <w:tcPr>
            <w:tcW w:w="1110" w:type="dxa"/>
            <w:vAlign w:val="top"/>
          </w:tcPr>
          <w:p w14:paraId="0B5DEF4E">
            <w:pPr>
              <w:pStyle w:val="25"/>
              <w:spacing w:before="101" w:line="212" w:lineRule="auto"/>
              <w:jc w:val="right"/>
              <w:rPr>
                <w:rFonts w:hint="eastAsia" w:ascii="宋体" w:hAnsi="宋体" w:eastAsia="宋体" w:cs="宋体"/>
                <w:color w:val="auto"/>
                <w:sz w:val="22"/>
                <w:szCs w:val="22"/>
                <w:highlight w:val="none"/>
              </w:rPr>
            </w:pPr>
            <w:r>
              <w:rPr>
                <w:rFonts w:hint="eastAsia" w:ascii="宋体" w:hAnsi="宋体" w:eastAsia="宋体" w:cs="宋体"/>
                <w:color w:val="auto"/>
                <w:spacing w:val="-15"/>
                <w:sz w:val="22"/>
                <w:szCs w:val="22"/>
                <w:highlight w:val="none"/>
              </w:rPr>
              <w:t>17.3.3（2）</w:t>
            </w:r>
          </w:p>
        </w:tc>
        <w:tc>
          <w:tcPr>
            <w:tcW w:w="7306" w:type="dxa"/>
            <w:vAlign w:val="top"/>
          </w:tcPr>
          <w:p w14:paraId="753D9651">
            <w:pPr>
              <w:pStyle w:val="25"/>
              <w:spacing w:before="98" w:line="214" w:lineRule="auto"/>
              <w:ind w:left="355"/>
              <w:rPr>
                <w:rFonts w:hint="eastAsia" w:ascii="宋体" w:hAnsi="宋体" w:eastAsia="宋体" w:cs="宋体"/>
                <w:color w:val="auto"/>
                <w:sz w:val="10"/>
                <w:szCs w:val="10"/>
                <w:highlight w:val="none"/>
              </w:rPr>
            </w:pPr>
            <w:r>
              <w:rPr>
                <w:rFonts w:hint="eastAsia" w:ascii="宋体" w:hAnsi="宋体" w:eastAsia="宋体" w:cs="宋体"/>
                <w:color w:val="auto"/>
                <w:spacing w:val="-3"/>
                <w:sz w:val="22"/>
                <w:szCs w:val="22"/>
                <w:highlight w:val="none"/>
              </w:rPr>
              <w:t>逾期付款违约金的利率：</w:t>
            </w:r>
            <w:r>
              <w:rPr>
                <w:rFonts w:hint="eastAsia" w:ascii="宋体" w:hAnsi="宋体" w:eastAsia="宋体" w:cs="宋体"/>
                <w:color w:val="auto"/>
                <w:spacing w:val="-3"/>
                <w:sz w:val="22"/>
                <w:szCs w:val="22"/>
                <w:highlight w:val="none"/>
                <w:u w:val="single" w:color="auto"/>
              </w:rPr>
              <w:t>0.1</w:t>
            </w:r>
            <w:r>
              <w:rPr>
                <w:rFonts w:hint="eastAsia" w:ascii="宋体" w:hAnsi="宋体" w:eastAsia="宋体" w:cs="宋体"/>
                <w:color w:val="auto"/>
                <w:spacing w:val="-3"/>
                <w:sz w:val="22"/>
                <w:szCs w:val="22"/>
                <w:highlight w:val="none"/>
              </w:rPr>
              <w:t>‰/天</w:t>
            </w:r>
            <w:r>
              <w:rPr>
                <w:rFonts w:hint="eastAsia" w:ascii="宋体" w:hAnsi="宋体" w:eastAsia="宋体" w:cs="宋体"/>
                <w:color w:val="auto"/>
                <w:spacing w:val="-3"/>
                <w:position w:val="9"/>
                <w:sz w:val="10"/>
                <w:szCs w:val="10"/>
                <w:highlight w:val="none"/>
              </w:rPr>
              <w:t>⑤</w:t>
            </w:r>
          </w:p>
        </w:tc>
      </w:tr>
      <w:tr w14:paraId="1CA831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3" w:hRule="atLeast"/>
        </w:trPr>
        <w:tc>
          <w:tcPr>
            <w:tcW w:w="633" w:type="dxa"/>
            <w:vAlign w:val="top"/>
          </w:tcPr>
          <w:p w14:paraId="5B03354D">
            <w:pPr>
              <w:spacing w:line="254" w:lineRule="auto"/>
              <w:rPr>
                <w:rFonts w:hint="eastAsia" w:ascii="宋体" w:hAnsi="宋体" w:eastAsia="宋体" w:cs="宋体"/>
                <w:color w:val="auto"/>
                <w:sz w:val="21"/>
                <w:highlight w:val="none"/>
              </w:rPr>
            </w:pPr>
          </w:p>
          <w:p w14:paraId="35E12648">
            <w:pPr>
              <w:spacing w:line="255" w:lineRule="auto"/>
              <w:rPr>
                <w:rFonts w:hint="eastAsia" w:ascii="宋体" w:hAnsi="宋体" w:eastAsia="宋体" w:cs="宋体"/>
                <w:color w:val="auto"/>
                <w:sz w:val="21"/>
                <w:highlight w:val="none"/>
              </w:rPr>
            </w:pPr>
          </w:p>
          <w:p w14:paraId="1725E08F">
            <w:pPr>
              <w:spacing w:line="255" w:lineRule="auto"/>
              <w:rPr>
                <w:rFonts w:hint="eastAsia" w:ascii="宋体" w:hAnsi="宋体" w:eastAsia="宋体" w:cs="宋体"/>
                <w:color w:val="auto"/>
                <w:sz w:val="21"/>
                <w:highlight w:val="none"/>
              </w:rPr>
            </w:pPr>
          </w:p>
          <w:p w14:paraId="2BEF278A">
            <w:pPr>
              <w:spacing w:line="255" w:lineRule="auto"/>
              <w:rPr>
                <w:rFonts w:hint="eastAsia" w:ascii="宋体" w:hAnsi="宋体" w:eastAsia="宋体" w:cs="宋体"/>
                <w:color w:val="auto"/>
                <w:sz w:val="21"/>
                <w:highlight w:val="none"/>
              </w:rPr>
            </w:pPr>
          </w:p>
          <w:p w14:paraId="25D52917">
            <w:pPr>
              <w:spacing w:before="63" w:line="189" w:lineRule="auto"/>
              <w:ind w:left="212"/>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20</w:t>
            </w:r>
          </w:p>
        </w:tc>
        <w:tc>
          <w:tcPr>
            <w:tcW w:w="1110" w:type="dxa"/>
            <w:vAlign w:val="top"/>
          </w:tcPr>
          <w:p w14:paraId="50ABC514">
            <w:pPr>
              <w:spacing w:line="254" w:lineRule="auto"/>
              <w:rPr>
                <w:rFonts w:hint="eastAsia" w:ascii="宋体" w:hAnsi="宋体" w:eastAsia="宋体" w:cs="宋体"/>
                <w:color w:val="auto"/>
                <w:sz w:val="21"/>
                <w:highlight w:val="none"/>
              </w:rPr>
            </w:pPr>
          </w:p>
          <w:p w14:paraId="7A7DD1FB">
            <w:pPr>
              <w:spacing w:line="255" w:lineRule="auto"/>
              <w:rPr>
                <w:rFonts w:hint="eastAsia" w:ascii="宋体" w:hAnsi="宋体" w:eastAsia="宋体" w:cs="宋体"/>
                <w:color w:val="auto"/>
                <w:sz w:val="21"/>
                <w:highlight w:val="none"/>
              </w:rPr>
            </w:pPr>
          </w:p>
          <w:p w14:paraId="5866C645">
            <w:pPr>
              <w:spacing w:line="255" w:lineRule="auto"/>
              <w:rPr>
                <w:rFonts w:hint="eastAsia" w:ascii="宋体" w:hAnsi="宋体" w:eastAsia="宋体" w:cs="宋体"/>
                <w:color w:val="auto"/>
                <w:sz w:val="21"/>
                <w:highlight w:val="none"/>
              </w:rPr>
            </w:pPr>
          </w:p>
          <w:p w14:paraId="552C0504">
            <w:pPr>
              <w:spacing w:line="255" w:lineRule="auto"/>
              <w:rPr>
                <w:rFonts w:hint="eastAsia" w:ascii="宋体" w:hAnsi="宋体" w:eastAsia="宋体" w:cs="宋体"/>
                <w:color w:val="auto"/>
                <w:sz w:val="21"/>
                <w:highlight w:val="none"/>
              </w:rPr>
            </w:pPr>
          </w:p>
          <w:p w14:paraId="5136F1C9">
            <w:pPr>
              <w:spacing w:before="63" w:line="189" w:lineRule="auto"/>
              <w:ind w:left="318"/>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17.4.1</w:t>
            </w:r>
          </w:p>
        </w:tc>
        <w:tc>
          <w:tcPr>
            <w:tcW w:w="7306" w:type="dxa"/>
            <w:vAlign w:val="top"/>
          </w:tcPr>
          <w:p w14:paraId="70CE8B44">
            <w:pPr>
              <w:pStyle w:val="25"/>
              <w:spacing w:before="148" w:line="313" w:lineRule="auto"/>
              <w:ind w:left="126" w:right="90" w:firstLine="241"/>
              <w:rPr>
                <w:rFonts w:hint="eastAsia" w:ascii="宋体" w:hAnsi="宋体" w:eastAsia="宋体" w:cs="宋体"/>
                <w:color w:val="auto"/>
                <w:sz w:val="22"/>
                <w:szCs w:val="22"/>
                <w:highlight w:val="none"/>
              </w:rPr>
            </w:pPr>
            <w:r>
              <w:rPr>
                <w:rFonts w:hint="eastAsia" w:ascii="宋体" w:hAnsi="宋体" w:eastAsia="宋体" w:cs="宋体"/>
                <w:color w:val="auto"/>
                <w:spacing w:val="-11"/>
                <w:sz w:val="22"/>
                <w:szCs w:val="22"/>
                <w:highlight w:val="none"/>
              </w:rPr>
              <w:t>质量保证金金额：</w:t>
            </w:r>
            <w:r>
              <w:rPr>
                <w:rFonts w:hint="eastAsia" w:ascii="宋体" w:hAnsi="宋体" w:eastAsia="宋体" w:cs="宋体"/>
                <w:color w:val="auto"/>
                <w:spacing w:val="-11"/>
                <w:sz w:val="22"/>
                <w:szCs w:val="22"/>
                <w:highlight w:val="none"/>
                <w:u w:val="single" w:color="auto"/>
              </w:rPr>
              <w:t>3</w:t>
            </w:r>
            <w:r>
              <w:rPr>
                <w:rFonts w:hint="eastAsia" w:ascii="宋体" w:hAnsi="宋体" w:eastAsia="宋体" w:cs="宋体"/>
                <w:color w:val="auto"/>
                <w:spacing w:val="-11"/>
                <w:sz w:val="22"/>
                <w:szCs w:val="22"/>
                <w:highlight w:val="none"/>
              </w:rPr>
              <w:t>%合同价格</w:t>
            </w:r>
            <w:r>
              <w:rPr>
                <w:rFonts w:hint="eastAsia" w:ascii="宋体" w:hAnsi="宋体" w:eastAsia="宋体" w:cs="宋体"/>
                <w:color w:val="auto"/>
                <w:spacing w:val="12"/>
                <w:position w:val="8"/>
                <w:sz w:val="10"/>
                <w:szCs w:val="10"/>
                <w:highlight w:val="none"/>
              </w:rPr>
              <w:t>⑥</w:t>
            </w:r>
            <w:r>
              <w:rPr>
                <w:rFonts w:hint="eastAsia" w:ascii="宋体" w:hAnsi="宋体" w:eastAsia="宋体" w:cs="宋体"/>
                <w:color w:val="auto"/>
                <w:spacing w:val="-13"/>
                <w:sz w:val="22"/>
                <w:szCs w:val="22"/>
                <w:highlight w:val="none"/>
              </w:rPr>
              <w:t>,若交工验收时承包人具备被广西壮</w:t>
            </w:r>
            <w:r>
              <w:rPr>
                <w:rFonts w:hint="eastAsia" w:ascii="宋体" w:hAnsi="宋体" w:eastAsia="宋体" w:cs="宋体"/>
                <w:color w:val="auto"/>
                <w:spacing w:val="-2"/>
                <w:sz w:val="22"/>
                <w:szCs w:val="22"/>
                <w:highlight w:val="none"/>
              </w:rPr>
              <w:t>族自治区交通运输厅评定为最高信用等级，发包人给予</w:t>
            </w:r>
            <w:r>
              <w:rPr>
                <w:rFonts w:hint="eastAsia" w:ascii="宋体" w:hAnsi="宋体" w:eastAsia="宋体" w:cs="宋体"/>
                <w:color w:val="auto"/>
                <w:spacing w:val="-2"/>
                <w:sz w:val="22"/>
                <w:szCs w:val="22"/>
                <w:highlight w:val="none"/>
                <w:u w:val="single" w:color="auto"/>
              </w:rPr>
              <w:t>/</w:t>
            </w:r>
            <w:r>
              <w:rPr>
                <w:rFonts w:hint="eastAsia" w:ascii="宋体" w:hAnsi="宋体" w:eastAsia="宋体" w:cs="宋体"/>
                <w:color w:val="auto"/>
                <w:spacing w:val="-2"/>
                <w:sz w:val="22"/>
                <w:szCs w:val="22"/>
                <w:highlight w:val="none"/>
              </w:rPr>
              <w:t>%合同价格质</w:t>
            </w:r>
          </w:p>
          <w:p w14:paraId="50CF1992">
            <w:pPr>
              <w:pStyle w:val="25"/>
              <w:spacing w:line="220" w:lineRule="auto"/>
              <w:ind w:left="127"/>
              <w:rPr>
                <w:rFonts w:hint="eastAsia" w:ascii="宋体" w:hAnsi="宋体" w:eastAsia="宋体" w:cs="宋体"/>
                <w:color w:val="auto"/>
                <w:sz w:val="10"/>
                <w:szCs w:val="10"/>
                <w:highlight w:val="none"/>
              </w:rPr>
            </w:pPr>
            <w:r>
              <w:rPr>
                <w:rFonts w:hint="eastAsia" w:ascii="宋体" w:hAnsi="宋体" w:eastAsia="宋体" w:cs="宋体"/>
                <w:color w:val="auto"/>
                <w:spacing w:val="-6"/>
                <w:sz w:val="22"/>
                <w:szCs w:val="22"/>
                <w:highlight w:val="none"/>
              </w:rPr>
              <w:t>量保证金的优惠。</w:t>
            </w:r>
            <w:r>
              <w:rPr>
                <w:rFonts w:hint="eastAsia" w:ascii="宋体" w:hAnsi="宋体" w:eastAsia="宋体" w:cs="宋体"/>
                <w:color w:val="auto"/>
                <w:spacing w:val="-6"/>
                <w:position w:val="8"/>
                <w:sz w:val="10"/>
                <w:szCs w:val="10"/>
                <w:highlight w:val="none"/>
              </w:rPr>
              <w:t>⑦</w:t>
            </w:r>
          </w:p>
          <w:p w14:paraId="3945D1FE">
            <w:pPr>
              <w:pStyle w:val="25"/>
              <w:spacing w:before="107" w:line="220" w:lineRule="auto"/>
              <w:ind w:left="368"/>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质量保证金是否计付利息：</w:t>
            </w:r>
          </w:p>
          <w:p w14:paraId="102B663F">
            <w:pPr>
              <w:pStyle w:val="25"/>
              <w:spacing w:before="131" w:line="183" w:lineRule="auto"/>
              <w:ind w:left="519"/>
              <w:rPr>
                <w:rFonts w:hint="eastAsia" w:ascii="宋体" w:hAnsi="宋体" w:eastAsia="宋体" w:cs="宋体"/>
                <w:color w:val="auto"/>
                <w:sz w:val="22"/>
                <w:szCs w:val="22"/>
                <w:highlight w:val="none"/>
              </w:rPr>
            </w:pPr>
            <w:r>
              <w:rPr>
                <w:rFonts w:hint="eastAsia" w:ascii="宋体" w:hAnsi="宋体" w:eastAsia="宋体" w:cs="宋体"/>
                <w:color w:val="auto"/>
                <w:spacing w:val="-3"/>
                <w:sz w:val="30"/>
                <w:szCs w:val="30"/>
                <w:highlight w:val="none"/>
              </w:rPr>
              <w:t>□</w:t>
            </w:r>
            <w:r>
              <w:rPr>
                <w:rFonts w:hint="eastAsia" w:ascii="宋体" w:hAnsi="宋体" w:eastAsia="宋体" w:cs="宋体"/>
                <w:color w:val="auto"/>
                <w:spacing w:val="-3"/>
                <w:sz w:val="22"/>
                <w:szCs w:val="22"/>
                <w:highlight w:val="none"/>
              </w:rPr>
              <w:t>是，利息的计算方式：</w:t>
            </w:r>
          </w:p>
          <w:p w14:paraId="22EED0BB">
            <w:pPr>
              <w:pStyle w:val="25"/>
              <w:spacing w:before="57" w:line="171" w:lineRule="auto"/>
              <w:ind w:left="498"/>
              <w:rPr>
                <w:rFonts w:hint="eastAsia" w:ascii="宋体" w:hAnsi="宋体" w:eastAsia="宋体" w:cs="宋体"/>
                <w:color w:val="auto"/>
                <w:sz w:val="22"/>
                <w:szCs w:val="22"/>
                <w:highlight w:val="none"/>
              </w:rPr>
            </w:pPr>
            <w:r>
              <w:rPr>
                <w:rFonts w:hint="eastAsia" w:ascii="宋体" w:hAnsi="宋体" w:eastAsia="宋体" w:cs="宋体"/>
                <w:color w:val="auto"/>
                <w:spacing w:val="-9"/>
                <w:sz w:val="30"/>
                <w:szCs w:val="30"/>
                <w:highlight w:val="none"/>
              </w:rPr>
              <w:t>☑</w:t>
            </w:r>
            <w:r>
              <w:rPr>
                <w:rFonts w:hint="eastAsia" w:ascii="宋体" w:hAnsi="宋体" w:eastAsia="宋体" w:cs="宋体"/>
                <w:color w:val="auto"/>
                <w:spacing w:val="-9"/>
                <w:sz w:val="22"/>
                <w:szCs w:val="22"/>
                <w:highlight w:val="none"/>
              </w:rPr>
              <w:t>否</w:t>
            </w:r>
          </w:p>
        </w:tc>
      </w:tr>
      <w:tr w14:paraId="32EFEA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633" w:type="dxa"/>
            <w:vAlign w:val="top"/>
          </w:tcPr>
          <w:p w14:paraId="1A2F3415">
            <w:pPr>
              <w:spacing w:before="178" w:line="189" w:lineRule="auto"/>
              <w:ind w:left="171"/>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21</w:t>
            </w:r>
          </w:p>
        </w:tc>
        <w:tc>
          <w:tcPr>
            <w:tcW w:w="1110" w:type="dxa"/>
            <w:vAlign w:val="top"/>
          </w:tcPr>
          <w:p w14:paraId="5274B981">
            <w:pPr>
              <w:pStyle w:val="25"/>
              <w:spacing w:before="141" w:line="232" w:lineRule="auto"/>
              <w:ind w:left="66"/>
              <w:rPr>
                <w:rFonts w:hint="eastAsia" w:ascii="宋体" w:hAnsi="宋体" w:eastAsia="宋体" w:cs="宋体"/>
                <w:color w:val="auto"/>
                <w:sz w:val="22"/>
                <w:szCs w:val="22"/>
                <w:highlight w:val="none"/>
              </w:rPr>
            </w:pPr>
            <w:r>
              <w:rPr>
                <w:rFonts w:hint="eastAsia" w:ascii="宋体" w:hAnsi="宋体" w:eastAsia="宋体" w:cs="宋体"/>
                <w:color w:val="auto"/>
                <w:spacing w:val="-9"/>
                <w:sz w:val="22"/>
                <w:szCs w:val="22"/>
                <w:highlight w:val="none"/>
              </w:rPr>
              <w:t>17.5.1（1）</w:t>
            </w:r>
          </w:p>
        </w:tc>
        <w:tc>
          <w:tcPr>
            <w:tcW w:w="7306" w:type="dxa"/>
            <w:vAlign w:val="top"/>
          </w:tcPr>
          <w:p w14:paraId="3224B1A5">
            <w:pPr>
              <w:pStyle w:val="25"/>
              <w:spacing w:before="186" w:line="219" w:lineRule="auto"/>
              <w:ind w:left="136"/>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承包人向监理人提交交工付款申请单（包括相关证明材料）</w:t>
            </w:r>
            <w:r>
              <w:rPr>
                <w:rFonts w:hint="eastAsia" w:ascii="宋体" w:hAnsi="宋体" w:eastAsia="宋体" w:cs="宋体"/>
                <w:color w:val="auto"/>
                <w:spacing w:val="-1"/>
                <w:sz w:val="22"/>
                <w:szCs w:val="22"/>
                <w:highlight w:val="none"/>
              </w:rPr>
              <w:t>的份数：</w:t>
            </w:r>
            <w:r>
              <w:rPr>
                <w:rFonts w:hint="eastAsia" w:ascii="宋体" w:hAnsi="宋体" w:eastAsia="宋体" w:cs="宋体"/>
                <w:color w:val="auto"/>
                <w:spacing w:val="-1"/>
                <w:sz w:val="22"/>
                <w:szCs w:val="22"/>
                <w:highlight w:val="none"/>
                <w:u w:val="single" w:color="auto"/>
              </w:rPr>
              <w:t>6</w:t>
            </w:r>
            <w:r>
              <w:rPr>
                <w:rFonts w:hint="eastAsia" w:ascii="宋体" w:hAnsi="宋体" w:eastAsia="宋体" w:cs="宋体"/>
                <w:color w:val="auto"/>
                <w:spacing w:val="-1"/>
                <w:sz w:val="22"/>
                <w:szCs w:val="22"/>
                <w:highlight w:val="none"/>
              </w:rPr>
              <w:t>份</w:t>
            </w:r>
          </w:p>
        </w:tc>
      </w:tr>
      <w:tr w14:paraId="777F31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0" w:hRule="atLeast"/>
        </w:trPr>
        <w:tc>
          <w:tcPr>
            <w:tcW w:w="633" w:type="dxa"/>
            <w:vAlign w:val="top"/>
          </w:tcPr>
          <w:p w14:paraId="028BF005">
            <w:pPr>
              <w:spacing w:before="216" w:line="189" w:lineRule="auto"/>
              <w:ind w:left="171"/>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22</w:t>
            </w:r>
          </w:p>
        </w:tc>
        <w:tc>
          <w:tcPr>
            <w:tcW w:w="1110" w:type="dxa"/>
            <w:vAlign w:val="top"/>
          </w:tcPr>
          <w:p w14:paraId="258C4EFF">
            <w:pPr>
              <w:pStyle w:val="25"/>
              <w:spacing w:before="179" w:line="232" w:lineRule="auto"/>
              <w:ind w:left="66"/>
              <w:rPr>
                <w:rFonts w:hint="eastAsia" w:ascii="宋体" w:hAnsi="宋体" w:eastAsia="宋体" w:cs="宋体"/>
                <w:color w:val="auto"/>
                <w:sz w:val="22"/>
                <w:szCs w:val="22"/>
                <w:highlight w:val="none"/>
              </w:rPr>
            </w:pPr>
            <w:r>
              <w:rPr>
                <w:rFonts w:hint="eastAsia" w:ascii="宋体" w:hAnsi="宋体" w:eastAsia="宋体" w:cs="宋体"/>
                <w:color w:val="auto"/>
                <w:spacing w:val="-9"/>
                <w:sz w:val="22"/>
                <w:szCs w:val="22"/>
                <w:highlight w:val="none"/>
              </w:rPr>
              <w:t>17.6.1（1）</w:t>
            </w:r>
          </w:p>
        </w:tc>
        <w:tc>
          <w:tcPr>
            <w:tcW w:w="7306" w:type="dxa"/>
            <w:vAlign w:val="top"/>
          </w:tcPr>
          <w:p w14:paraId="7B10A583">
            <w:pPr>
              <w:pStyle w:val="25"/>
              <w:spacing w:before="222" w:line="219" w:lineRule="auto"/>
              <w:ind w:left="136"/>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承包人向监理人提交最终结清申请单（包括相关证明材料）</w:t>
            </w:r>
            <w:r>
              <w:rPr>
                <w:rFonts w:hint="eastAsia" w:ascii="宋体" w:hAnsi="宋体" w:eastAsia="宋体" w:cs="宋体"/>
                <w:color w:val="auto"/>
                <w:spacing w:val="-1"/>
                <w:sz w:val="22"/>
                <w:szCs w:val="22"/>
                <w:highlight w:val="none"/>
              </w:rPr>
              <w:t>的份数：</w:t>
            </w:r>
            <w:r>
              <w:rPr>
                <w:rFonts w:hint="eastAsia" w:ascii="宋体" w:hAnsi="宋体" w:eastAsia="宋体" w:cs="宋体"/>
                <w:color w:val="auto"/>
                <w:spacing w:val="-1"/>
                <w:sz w:val="22"/>
                <w:szCs w:val="22"/>
                <w:highlight w:val="none"/>
                <w:u w:val="single" w:color="auto"/>
              </w:rPr>
              <w:t>6</w:t>
            </w:r>
            <w:r>
              <w:rPr>
                <w:rFonts w:hint="eastAsia" w:ascii="宋体" w:hAnsi="宋体" w:eastAsia="宋体" w:cs="宋体"/>
                <w:color w:val="auto"/>
                <w:spacing w:val="-1"/>
                <w:sz w:val="22"/>
                <w:szCs w:val="22"/>
                <w:highlight w:val="none"/>
              </w:rPr>
              <w:t>份</w:t>
            </w:r>
          </w:p>
        </w:tc>
      </w:tr>
      <w:tr w14:paraId="6712DA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33" w:type="dxa"/>
            <w:vAlign w:val="top"/>
          </w:tcPr>
          <w:p w14:paraId="41A181BF">
            <w:pPr>
              <w:spacing w:before="143" w:line="189" w:lineRule="auto"/>
              <w:ind w:left="212"/>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23</w:t>
            </w:r>
          </w:p>
        </w:tc>
        <w:tc>
          <w:tcPr>
            <w:tcW w:w="1110" w:type="dxa"/>
            <w:vAlign w:val="top"/>
          </w:tcPr>
          <w:p w14:paraId="1CCE4A67">
            <w:pPr>
              <w:pStyle w:val="25"/>
              <w:spacing w:before="102" w:line="211" w:lineRule="auto"/>
              <w:ind w:left="133"/>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18.2（2）</w:t>
            </w:r>
          </w:p>
        </w:tc>
        <w:tc>
          <w:tcPr>
            <w:tcW w:w="7306" w:type="dxa"/>
            <w:vAlign w:val="top"/>
          </w:tcPr>
          <w:p w14:paraId="374FF56D">
            <w:pPr>
              <w:pStyle w:val="25"/>
              <w:spacing w:before="102" w:line="211" w:lineRule="auto"/>
              <w:ind w:left="358"/>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竣工资料的份数：</w:t>
            </w:r>
            <w:r>
              <w:rPr>
                <w:rFonts w:hint="eastAsia" w:ascii="宋体" w:hAnsi="宋体" w:eastAsia="宋体" w:cs="宋体"/>
                <w:color w:val="auto"/>
                <w:spacing w:val="-3"/>
                <w:sz w:val="22"/>
                <w:szCs w:val="22"/>
                <w:highlight w:val="none"/>
                <w:u w:val="single" w:color="auto"/>
              </w:rPr>
              <w:t>6</w:t>
            </w:r>
            <w:r>
              <w:rPr>
                <w:rFonts w:hint="eastAsia" w:ascii="宋体" w:hAnsi="宋体" w:eastAsia="宋体" w:cs="宋体"/>
                <w:color w:val="auto"/>
                <w:spacing w:val="-3"/>
                <w:sz w:val="22"/>
                <w:szCs w:val="22"/>
                <w:highlight w:val="none"/>
              </w:rPr>
              <w:t>份</w:t>
            </w:r>
          </w:p>
        </w:tc>
      </w:tr>
      <w:tr w14:paraId="06F9F6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5" w:hRule="atLeast"/>
        </w:trPr>
        <w:tc>
          <w:tcPr>
            <w:tcW w:w="633" w:type="dxa"/>
            <w:vAlign w:val="top"/>
          </w:tcPr>
          <w:p w14:paraId="4DD0C26A">
            <w:pPr>
              <w:spacing w:line="468" w:lineRule="auto"/>
              <w:rPr>
                <w:rFonts w:hint="eastAsia" w:ascii="宋体" w:hAnsi="宋体" w:eastAsia="宋体" w:cs="宋体"/>
                <w:color w:val="auto"/>
                <w:sz w:val="21"/>
                <w:highlight w:val="none"/>
              </w:rPr>
            </w:pPr>
          </w:p>
          <w:p w14:paraId="102EAF72">
            <w:pPr>
              <w:spacing w:before="64" w:line="189" w:lineRule="auto"/>
              <w:ind w:left="212"/>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24</w:t>
            </w:r>
          </w:p>
        </w:tc>
        <w:tc>
          <w:tcPr>
            <w:tcW w:w="1110" w:type="dxa"/>
            <w:vAlign w:val="top"/>
          </w:tcPr>
          <w:p w14:paraId="6F79AF0C">
            <w:pPr>
              <w:spacing w:line="468" w:lineRule="auto"/>
              <w:rPr>
                <w:rFonts w:hint="eastAsia" w:ascii="宋体" w:hAnsi="宋体" w:eastAsia="宋体" w:cs="宋体"/>
                <w:color w:val="auto"/>
                <w:sz w:val="21"/>
                <w:highlight w:val="none"/>
              </w:rPr>
            </w:pPr>
          </w:p>
          <w:p w14:paraId="5419F53F">
            <w:pPr>
              <w:spacing w:before="63" w:line="189" w:lineRule="auto"/>
              <w:ind w:left="318"/>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18.5.1</w:t>
            </w:r>
          </w:p>
        </w:tc>
        <w:tc>
          <w:tcPr>
            <w:tcW w:w="7306" w:type="dxa"/>
            <w:vAlign w:val="top"/>
          </w:tcPr>
          <w:p w14:paraId="2017F989">
            <w:pPr>
              <w:pStyle w:val="25"/>
              <w:spacing w:before="148" w:line="221" w:lineRule="auto"/>
              <w:ind w:left="368"/>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单位工程或工程设备是否需投入施工期运行：</w:t>
            </w:r>
            <w:r>
              <w:rPr>
                <w:rFonts w:hint="eastAsia" w:ascii="宋体" w:hAnsi="宋体" w:eastAsia="宋体" w:cs="宋体"/>
                <w:color w:val="auto"/>
                <w:spacing w:val="-1"/>
                <w:sz w:val="22"/>
                <w:szCs w:val="22"/>
                <w:highlight w:val="none"/>
                <w:u w:val="single" w:color="auto"/>
              </w:rPr>
              <w:t>否</w:t>
            </w:r>
            <w:r>
              <w:rPr>
                <w:rFonts w:hint="eastAsia" w:ascii="宋体" w:hAnsi="宋体" w:eastAsia="宋体" w:cs="宋体"/>
                <w:color w:val="auto"/>
                <w:spacing w:val="-1"/>
                <w:sz w:val="22"/>
                <w:szCs w:val="22"/>
                <w:highlight w:val="none"/>
              </w:rPr>
              <w:t>(是或否)</w:t>
            </w:r>
          </w:p>
          <w:p w14:paraId="5E065C20">
            <w:pPr>
              <w:pStyle w:val="25"/>
              <w:spacing w:before="91" w:line="248" w:lineRule="auto"/>
              <w:ind w:left="120" w:right="176" w:firstLine="240"/>
              <w:rPr>
                <w:rFonts w:hint="eastAsia" w:ascii="宋体" w:hAnsi="宋体" w:eastAsia="宋体" w:cs="宋体"/>
                <w:color w:val="auto"/>
                <w:sz w:val="22"/>
                <w:szCs w:val="22"/>
                <w:highlight w:val="none"/>
              </w:rPr>
            </w:pPr>
            <w:r>
              <w:rPr>
                <w:rFonts w:hint="eastAsia" w:ascii="宋体" w:hAnsi="宋体" w:eastAsia="宋体" w:cs="宋体"/>
                <w:color w:val="auto"/>
                <w:spacing w:val="-9"/>
                <w:sz w:val="22"/>
                <w:szCs w:val="22"/>
                <w:highlight w:val="none"/>
              </w:rPr>
              <w:t>如单位工程或工程设备需要进行施工期运行，需要施工期运行的单位工程</w:t>
            </w:r>
            <w:r>
              <w:rPr>
                <w:rFonts w:hint="eastAsia" w:ascii="宋体" w:hAnsi="宋体" w:eastAsia="宋体" w:cs="宋体"/>
                <w:color w:val="auto"/>
                <w:spacing w:val="-12"/>
                <w:sz w:val="22"/>
                <w:szCs w:val="22"/>
                <w:highlight w:val="none"/>
              </w:rPr>
              <w:t>或工程设备规定如下：/</w:t>
            </w:r>
          </w:p>
        </w:tc>
      </w:tr>
      <w:tr w14:paraId="57C454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8" w:hRule="atLeast"/>
        </w:trPr>
        <w:tc>
          <w:tcPr>
            <w:tcW w:w="633" w:type="dxa"/>
            <w:vAlign w:val="top"/>
          </w:tcPr>
          <w:p w14:paraId="74DB3DC7">
            <w:pPr>
              <w:spacing w:line="300" w:lineRule="auto"/>
              <w:rPr>
                <w:rFonts w:hint="eastAsia" w:ascii="宋体" w:hAnsi="宋体" w:eastAsia="宋体" w:cs="宋体"/>
                <w:color w:val="auto"/>
                <w:sz w:val="21"/>
                <w:highlight w:val="none"/>
              </w:rPr>
            </w:pPr>
          </w:p>
          <w:p w14:paraId="5544F032">
            <w:pPr>
              <w:spacing w:before="63" w:line="189" w:lineRule="auto"/>
              <w:ind w:left="212"/>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25</w:t>
            </w:r>
          </w:p>
        </w:tc>
        <w:tc>
          <w:tcPr>
            <w:tcW w:w="1110" w:type="dxa"/>
            <w:vAlign w:val="top"/>
          </w:tcPr>
          <w:p w14:paraId="1B21A112">
            <w:pPr>
              <w:spacing w:line="300" w:lineRule="auto"/>
              <w:rPr>
                <w:rFonts w:hint="eastAsia" w:ascii="宋体" w:hAnsi="宋体" w:eastAsia="宋体" w:cs="宋体"/>
                <w:color w:val="auto"/>
                <w:sz w:val="21"/>
                <w:highlight w:val="none"/>
              </w:rPr>
            </w:pPr>
          </w:p>
          <w:p w14:paraId="78B109F4">
            <w:pPr>
              <w:spacing w:before="63" w:line="189" w:lineRule="auto"/>
              <w:ind w:left="318"/>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18.6.1</w:t>
            </w:r>
          </w:p>
        </w:tc>
        <w:tc>
          <w:tcPr>
            <w:tcW w:w="7306" w:type="dxa"/>
            <w:vAlign w:val="top"/>
          </w:tcPr>
          <w:p w14:paraId="59339527">
            <w:pPr>
              <w:pStyle w:val="25"/>
              <w:spacing w:before="157" w:line="219" w:lineRule="auto"/>
              <w:ind w:left="368"/>
              <w:rPr>
                <w:rFonts w:hint="eastAsia" w:ascii="宋体" w:hAnsi="宋体" w:eastAsia="宋体" w:cs="宋体"/>
                <w:color w:val="auto"/>
                <w:sz w:val="22"/>
                <w:szCs w:val="22"/>
                <w:highlight w:val="none"/>
              </w:rPr>
            </w:pPr>
            <w:r>
              <w:rPr>
                <w:rFonts w:hint="eastAsia" w:ascii="宋体" w:hAnsi="宋体" w:eastAsia="宋体" w:cs="宋体"/>
                <w:color w:val="auto"/>
                <w:spacing w:val="5"/>
                <w:sz w:val="22"/>
                <w:szCs w:val="22"/>
                <w:highlight w:val="none"/>
              </w:rPr>
              <w:t>本工程及工程设备是否进行试运行：</w:t>
            </w:r>
            <w:r>
              <w:rPr>
                <w:rFonts w:hint="eastAsia" w:ascii="宋体" w:hAnsi="宋体" w:eastAsia="宋体" w:cs="宋体"/>
                <w:color w:val="auto"/>
                <w:spacing w:val="5"/>
                <w:sz w:val="22"/>
                <w:szCs w:val="22"/>
                <w:highlight w:val="none"/>
                <w:u w:val="single" w:color="auto"/>
              </w:rPr>
              <w:t>否</w:t>
            </w:r>
            <w:r>
              <w:rPr>
                <w:rFonts w:hint="eastAsia" w:ascii="宋体" w:hAnsi="宋体" w:eastAsia="宋体" w:cs="宋体"/>
                <w:color w:val="auto"/>
                <w:spacing w:val="5"/>
                <w:sz w:val="22"/>
                <w:szCs w:val="22"/>
                <w:highlight w:val="none"/>
              </w:rPr>
              <w:t>(是或否)</w:t>
            </w:r>
          </w:p>
          <w:p w14:paraId="43B0945F">
            <w:pPr>
              <w:pStyle w:val="25"/>
              <w:spacing w:before="86" w:line="187" w:lineRule="auto"/>
              <w:ind w:left="361"/>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如本工程及工程设备需要进行试运行，试运行的具体规定如下：/</w:t>
            </w:r>
          </w:p>
        </w:tc>
      </w:tr>
      <w:tr w14:paraId="00D8DA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7" w:hRule="atLeast"/>
        </w:trPr>
        <w:tc>
          <w:tcPr>
            <w:tcW w:w="633" w:type="dxa"/>
            <w:vAlign w:val="top"/>
          </w:tcPr>
          <w:p w14:paraId="187C1121">
            <w:pPr>
              <w:spacing w:before="153" w:line="184" w:lineRule="auto"/>
              <w:ind w:left="212"/>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26</w:t>
            </w:r>
          </w:p>
        </w:tc>
        <w:tc>
          <w:tcPr>
            <w:tcW w:w="1110" w:type="dxa"/>
            <w:vAlign w:val="top"/>
          </w:tcPr>
          <w:p w14:paraId="029C4E1C">
            <w:pPr>
              <w:pStyle w:val="25"/>
              <w:spacing w:before="112" w:line="197" w:lineRule="auto"/>
              <w:ind w:left="133"/>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19.7（1）</w:t>
            </w:r>
          </w:p>
        </w:tc>
        <w:tc>
          <w:tcPr>
            <w:tcW w:w="7306" w:type="dxa"/>
            <w:vAlign w:val="top"/>
          </w:tcPr>
          <w:p w14:paraId="1400F236">
            <w:pPr>
              <w:pStyle w:val="25"/>
              <w:spacing w:before="109" w:line="199" w:lineRule="auto"/>
              <w:ind w:left="358"/>
              <w:rPr>
                <w:rFonts w:hint="eastAsia" w:ascii="宋体" w:hAnsi="宋体" w:eastAsia="宋体" w:cs="宋体"/>
                <w:color w:val="auto"/>
                <w:sz w:val="10"/>
                <w:szCs w:val="10"/>
                <w:highlight w:val="none"/>
              </w:rPr>
            </w:pPr>
            <w:r>
              <w:rPr>
                <w:rFonts w:hint="eastAsia" w:ascii="宋体" w:hAnsi="宋体" w:eastAsia="宋体" w:cs="宋体"/>
                <w:color w:val="auto"/>
                <w:spacing w:val="-5"/>
                <w:sz w:val="22"/>
                <w:szCs w:val="22"/>
                <w:highlight w:val="none"/>
              </w:rPr>
              <w:t>保修期：自实际交工日期起计算2年</w:t>
            </w:r>
            <w:r>
              <w:rPr>
                <w:rFonts w:hint="eastAsia" w:ascii="宋体" w:hAnsi="宋体" w:eastAsia="宋体" w:cs="宋体"/>
                <w:color w:val="auto"/>
                <w:spacing w:val="-5"/>
                <w:position w:val="9"/>
                <w:sz w:val="10"/>
                <w:szCs w:val="10"/>
                <w:highlight w:val="none"/>
              </w:rPr>
              <w:t>⑧</w:t>
            </w:r>
          </w:p>
        </w:tc>
      </w:tr>
      <w:tr w14:paraId="103427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1" w:hRule="atLeast"/>
        </w:trPr>
        <w:tc>
          <w:tcPr>
            <w:tcW w:w="633" w:type="dxa"/>
            <w:vAlign w:val="top"/>
          </w:tcPr>
          <w:p w14:paraId="7626AA25">
            <w:pPr>
              <w:spacing w:before="160" w:line="189" w:lineRule="auto"/>
              <w:ind w:left="212"/>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27</w:t>
            </w:r>
          </w:p>
        </w:tc>
        <w:tc>
          <w:tcPr>
            <w:tcW w:w="1110" w:type="dxa"/>
            <w:vAlign w:val="top"/>
          </w:tcPr>
          <w:p w14:paraId="5B9EE4BE">
            <w:pPr>
              <w:spacing w:before="160" w:line="189" w:lineRule="auto"/>
              <w:ind w:left="376"/>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20.1</w:t>
            </w:r>
          </w:p>
        </w:tc>
        <w:tc>
          <w:tcPr>
            <w:tcW w:w="7306" w:type="dxa"/>
            <w:vAlign w:val="top"/>
          </w:tcPr>
          <w:p w14:paraId="0E8BEC70">
            <w:pPr>
              <w:pStyle w:val="25"/>
              <w:spacing w:before="120" w:line="210" w:lineRule="auto"/>
              <w:ind w:left="360"/>
              <w:rPr>
                <w:rFonts w:hint="eastAsia" w:ascii="宋体" w:hAnsi="宋体" w:eastAsia="宋体" w:cs="宋体"/>
                <w:color w:val="auto"/>
                <w:sz w:val="22"/>
                <w:szCs w:val="22"/>
                <w:highlight w:val="none"/>
              </w:rPr>
            </w:pPr>
            <w:r>
              <w:rPr>
                <w:rFonts w:hint="eastAsia" w:ascii="宋体" w:hAnsi="宋体" w:eastAsia="宋体" w:cs="宋体"/>
                <w:color w:val="auto"/>
                <w:spacing w:val="-10"/>
                <w:sz w:val="22"/>
                <w:szCs w:val="22"/>
                <w:highlight w:val="none"/>
              </w:rPr>
              <w:t>建筑工程一切险的保险费率：</w:t>
            </w:r>
            <w:r>
              <w:rPr>
                <w:rFonts w:hint="eastAsia" w:ascii="宋体" w:hAnsi="宋体" w:eastAsia="宋体" w:cs="宋体"/>
                <w:color w:val="auto"/>
                <w:spacing w:val="-10"/>
                <w:sz w:val="22"/>
                <w:szCs w:val="22"/>
                <w:highlight w:val="none"/>
                <w:u w:val="single" w:color="auto"/>
              </w:rPr>
              <w:t>由投标人按工程建设地相关规定自行购买</w:t>
            </w:r>
          </w:p>
        </w:tc>
      </w:tr>
      <w:tr w14:paraId="390943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0" w:hRule="atLeast"/>
        </w:trPr>
        <w:tc>
          <w:tcPr>
            <w:tcW w:w="633" w:type="dxa"/>
            <w:vAlign w:val="top"/>
          </w:tcPr>
          <w:p w14:paraId="51AA42E1">
            <w:pPr>
              <w:spacing w:before="122" w:line="189" w:lineRule="auto"/>
              <w:ind w:left="171"/>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28</w:t>
            </w:r>
          </w:p>
        </w:tc>
        <w:tc>
          <w:tcPr>
            <w:tcW w:w="1110" w:type="dxa"/>
            <w:vAlign w:val="top"/>
          </w:tcPr>
          <w:p w14:paraId="71BD1617">
            <w:pPr>
              <w:spacing w:before="122" w:line="189" w:lineRule="auto"/>
              <w:ind w:left="280"/>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20.4.2</w:t>
            </w:r>
          </w:p>
        </w:tc>
        <w:tc>
          <w:tcPr>
            <w:tcW w:w="7306" w:type="dxa"/>
            <w:vAlign w:val="top"/>
          </w:tcPr>
          <w:p w14:paraId="043A2AF5">
            <w:pPr>
              <w:pStyle w:val="25"/>
              <w:spacing w:before="113" w:line="220" w:lineRule="auto"/>
              <w:ind w:right="29"/>
              <w:jc w:val="right"/>
              <w:rPr>
                <w:rFonts w:hint="eastAsia" w:ascii="宋体" w:hAnsi="宋体" w:eastAsia="宋体" w:cs="宋体"/>
                <w:color w:val="auto"/>
                <w:highlight w:val="none"/>
              </w:rPr>
            </w:pPr>
            <w:r>
              <w:rPr>
                <w:rFonts w:hint="eastAsia" w:ascii="宋体" w:hAnsi="宋体" w:eastAsia="宋体" w:cs="宋体"/>
                <w:color w:val="auto"/>
                <w:spacing w:val="-1"/>
                <w:sz w:val="22"/>
                <w:szCs w:val="22"/>
                <w:highlight w:val="none"/>
              </w:rPr>
              <w:t>第三者责任险的最低投保金额：</w:t>
            </w:r>
            <w:r>
              <w:rPr>
                <w:rFonts w:hint="eastAsia" w:ascii="宋体" w:hAnsi="宋体" w:eastAsia="宋体" w:cs="宋体"/>
                <w:color w:val="auto"/>
                <w:spacing w:val="-1"/>
                <w:highlight w:val="none"/>
                <w:u w:val="single" w:color="auto"/>
              </w:rPr>
              <w:t>由投标人按工程建设地相关规定自行购买。</w:t>
            </w:r>
          </w:p>
        </w:tc>
      </w:tr>
      <w:tr w14:paraId="55DA27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3" w:hRule="atLeast"/>
        </w:trPr>
        <w:tc>
          <w:tcPr>
            <w:tcW w:w="633" w:type="dxa"/>
            <w:vAlign w:val="top"/>
          </w:tcPr>
          <w:p w14:paraId="3C77030E">
            <w:pPr>
              <w:spacing w:line="289" w:lineRule="auto"/>
              <w:rPr>
                <w:rFonts w:hint="eastAsia" w:ascii="宋体" w:hAnsi="宋体" w:eastAsia="宋体" w:cs="宋体"/>
                <w:color w:val="auto"/>
                <w:sz w:val="21"/>
                <w:highlight w:val="none"/>
              </w:rPr>
            </w:pPr>
          </w:p>
          <w:p w14:paraId="41BD2ECE">
            <w:pPr>
              <w:spacing w:before="63" w:line="189" w:lineRule="auto"/>
              <w:ind w:left="212"/>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29</w:t>
            </w:r>
          </w:p>
        </w:tc>
        <w:tc>
          <w:tcPr>
            <w:tcW w:w="1110" w:type="dxa"/>
            <w:vAlign w:val="top"/>
          </w:tcPr>
          <w:p w14:paraId="580EBD55">
            <w:pPr>
              <w:spacing w:line="289" w:lineRule="auto"/>
              <w:rPr>
                <w:rFonts w:hint="eastAsia" w:ascii="宋体" w:hAnsi="宋体" w:eastAsia="宋体" w:cs="宋体"/>
                <w:color w:val="auto"/>
                <w:sz w:val="21"/>
                <w:highlight w:val="none"/>
              </w:rPr>
            </w:pPr>
          </w:p>
          <w:p w14:paraId="3CB6FF2C">
            <w:pPr>
              <w:spacing w:before="63" w:line="189" w:lineRule="auto"/>
              <w:ind w:left="376"/>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24.1</w:t>
            </w:r>
          </w:p>
        </w:tc>
        <w:tc>
          <w:tcPr>
            <w:tcW w:w="7306" w:type="dxa"/>
            <w:vAlign w:val="top"/>
          </w:tcPr>
          <w:p w14:paraId="2FAD89D9">
            <w:pPr>
              <w:pStyle w:val="25"/>
              <w:spacing w:before="112" w:line="220" w:lineRule="auto"/>
              <w:ind w:left="342"/>
              <w:rPr>
                <w:rFonts w:hint="eastAsia" w:ascii="宋体" w:hAnsi="宋体" w:eastAsia="宋体" w:cs="宋体"/>
                <w:color w:val="auto"/>
                <w:sz w:val="22"/>
                <w:szCs w:val="22"/>
                <w:highlight w:val="none"/>
                <w:lang w:eastAsia="zh-CN"/>
              </w:rPr>
            </w:pPr>
            <w:r>
              <w:rPr>
                <w:rFonts w:hint="eastAsia" w:ascii="宋体" w:hAnsi="宋体" w:eastAsia="宋体" w:cs="宋体"/>
                <w:color w:val="auto"/>
                <w:spacing w:val="-4"/>
                <w:sz w:val="22"/>
                <w:szCs w:val="22"/>
                <w:highlight w:val="none"/>
              </w:rPr>
              <w:t>争议的最终解决方式：</w:t>
            </w:r>
            <w:r>
              <w:rPr>
                <w:rFonts w:hint="eastAsia" w:ascii="宋体" w:hAnsi="宋体" w:eastAsia="宋体" w:cs="宋体"/>
                <w:color w:val="auto"/>
                <w:spacing w:val="-4"/>
                <w:sz w:val="22"/>
                <w:szCs w:val="22"/>
                <w:highlight w:val="none"/>
                <w:u w:val="single" w:color="auto"/>
              </w:rPr>
              <w:t>仲裁或诉讼</w:t>
            </w:r>
          </w:p>
          <w:p w14:paraId="187B183B">
            <w:pPr>
              <w:pStyle w:val="25"/>
              <w:spacing w:before="95" w:line="196" w:lineRule="auto"/>
              <w:ind w:left="358"/>
              <w:rPr>
                <w:rFonts w:hint="eastAsia" w:ascii="宋体" w:hAnsi="宋体" w:eastAsia="宋体" w:cs="宋体"/>
                <w:color w:val="auto"/>
                <w:sz w:val="22"/>
                <w:szCs w:val="22"/>
                <w:highlight w:val="none"/>
              </w:rPr>
            </w:pPr>
            <w:r>
              <w:rPr>
                <w:rFonts w:hint="eastAsia" w:ascii="宋体" w:hAnsi="宋体" w:eastAsia="宋体" w:cs="宋体"/>
                <w:color w:val="auto"/>
                <w:spacing w:val="-6"/>
                <w:sz w:val="22"/>
                <w:szCs w:val="22"/>
                <w:highlight w:val="none"/>
              </w:rPr>
              <w:t>如采用仲裁，仲裁委员会名称：</w:t>
            </w:r>
            <w:r>
              <w:rPr>
                <w:rFonts w:hint="eastAsia" w:ascii="宋体" w:hAnsi="宋体" w:eastAsia="宋体" w:cs="宋体"/>
                <w:color w:val="auto"/>
                <w:spacing w:val="-6"/>
                <w:sz w:val="22"/>
                <w:szCs w:val="22"/>
                <w:highlight w:val="none"/>
                <w:u w:val="single" w:color="auto"/>
              </w:rPr>
              <w:t>兴业县人民法院</w:t>
            </w:r>
          </w:p>
        </w:tc>
      </w:tr>
      <w:tr w14:paraId="504175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633" w:type="dxa"/>
            <w:vAlign w:val="top"/>
          </w:tcPr>
          <w:p w14:paraId="6C0C7423">
            <w:pPr>
              <w:spacing w:before="56" w:line="189" w:lineRule="auto"/>
              <w:ind w:left="217"/>
              <w:rPr>
                <w:rFonts w:hint="eastAsia" w:ascii="宋体" w:hAnsi="宋体" w:eastAsia="宋体" w:cs="宋体"/>
                <w:color w:val="auto"/>
                <w:sz w:val="22"/>
                <w:szCs w:val="22"/>
                <w:highlight w:val="none"/>
              </w:rPr>
            </w:pPr>
            <w:r>
              <w:rPr>
                <w:rFonts w:hint="eastAsia" w:ascii="宋体" w:hAnsi="宋体" w:eastAsia="宋体" w:cs="宋体"/>
                <w:color w:val="auto"/>
                <w:spacing w:val="-5"/>
                <w:sz w:val="22"/>
                <w:szCs w:val="22"/>
                <w:highlight w:val="none"/>
              </w:rPr>
              <w:t>30</w:t>
            </w:r>
          </w:p>
        </w:tc>
        <w:tc>
          <w:tcPr>
            <w:tcW w:w="1110" w:type="dxa"/>
            <w:vAlign w:val="top"/>
          </w:tcPr>
          <w:p w14:paraId="2822A6C6">
            <w:pPr>
              <w:rPr>
                <w:rFonts w:hint="eastAsia" w:ascii="宋体" w:hAnsi="宋体" w:eastAsia="宋体" w:cs="宋体"/>
                <w:color w:val="auto"/>
                <w:sz w:val="21"/>
                <w:highlight w:val="none"/>
              </w:rPr>
            </w:pPr>
          </w:p>
        </w:tc>
        <w:tc>
          <w:tcPr>
            <w:tcW w:w="7306" w:type="dxa"/>
            <w:vAlign w:val="top"/>
          </w:tcPr>
          <w:p w14:paraId="6D15DE15">
            <w:pPr>
              <w:pStyle w:val="25"/>
              <w:spacing w:before="106" w:line="219" w:lineRule="auto"/>
              <w:ind w:left="355"/>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农民工工资保证金：按签约合同价的1%缴存</w:t>
            </w:r>
          </w:p>
        </w:tc>
      </w:tr>
    </w:tbl>
    <w:p w14:paraId="55B34C57">
      <w:pPr>
        <w:pStyle w:val="4"/>
        <w:spacing w:line="317" w:lineRule="auto"/>
        <w:rPr>
          <w:rFonts w:hint="eastAsia" w:ascii="宋体" w:hAnsi="宋体" w:eastAsia="宋体" w:cs="宋体"/>
          <w:color w:val="auto"/>
          <w:highlight w:val="none"/>
        </w:rPr>
      </w:pPr>
      <w:r>
        <w:rPr>
          <w:rFonts w:hint="eastAsia" w:ascii="宋体" w:hAnsi="宋体" w:eastAsia="宋体" w:cs="宋体"/>
          <w:color w:val="auto"/>
          <w:highlight w:val="none"/>
        </w:rPr>
        <w:drawing>
          <wp:anchor distT="0" distB="0" distL="0" distR="0" simplePos="0" relativeHeight="251699200" behindDoc="0" locked="0" layoutInCell="1" allowOverlap="1">
            <wp:simplePos x="0" y="0"/>
            <wp:positionH relativeFrom="column">
              <wp:posOffset>0</wp:posOffset>
            </wp:positionH>
            <wp:positionV relativeFrom="paragraph">
              <wp:posOffset>146685</wp:posOffset>
            </wp:positionV>
            <wp:extent cx="1829435" cy="7620"/>
            <wp:effectExtent l="0" t="0" r="0" b="0"/>
            <wp:wrapNone/>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316"/>
                    <a:stretch>
                      <a:fillRect/>
                    </a:stretch>
                  </pic:blipFill>
                  <pic:spPr>
                    <a:xfrm>
                      <a:off x="0" y="0"/>
                      <a:ext cx="1829435" cy="7619"/>
                    </a:xfrm>
                    <a:prstGeom prst="rect">
                      <a:avLst/>
                    </a:prstGeom>
                  </pic:spPr>
                </pic:pic>
              </a:graphicData>
            </a:graphic>
          </wp:anchor>
        </w:drawing>
      </w:r>
    </w:p>
    <w:p w14:paraId="6D4E541B">
      <w:pPr>
        <w:spacing w:before="59" w:line="221" w:lineRule="auto"/>
        <w:ind w:left="579"/>
        <w:rPr>
          <w:rFonts w:hint="eastAsia" w:ascii="宋体" w:hAnsi="宋体" w:eastAsia="宋体" w:cs="宋体"/>
          <w:color w:val="auto"/>
          <w:sz w:val="18"/>
          <w:szCs w:val="18"/>
          <w:highlight w:val="none"/>
        </w:rPr>
      </w:pPr>
      <w:r>
        <w:rPr>
          <w:rFonts w:hint="eastAsia" w:ascii="宋体" w:hAnsi="宋体" w:eastAsia="宋体" w:cs="宋体"/>
          <w:color w:val="auto"/>
          <w:position w:val="8"/>
          <w:sz w:val="8"/>
          <w:szCs w:val="8"/>
          <w:highlight w:val="none"/>
        </w:rPr>
        <w:t>①</w:t>
      </w:r>
      <w:r>
        <w:rPr>
          <w:rFonts w:hint="eastAsia" w:ascii="宋体" w:hAnsi="宋体" w:eastAsia="宋体" w:cs="宋体"/>
          <w:color w:val="auto"/>
          <w:sz w:val="18"/>
          <w:szCs w:val="18"/>
          <w:highlight w:val="none"/>
        </w:rPr>
        <w:t>对于工程规模不大、工期较短的工程（例如工期不超过12个</w:t>
      </w:r>
      <w:r>
        <w:rPr>
          <w:rFonts w:hint="eastAsia" w:ascii="宋体" w:hAnsi="宋体" w:eastAsia="宋体" w:cs="宋体"/>
          <w:color w:val="auto"/>
          <w:spacing w:val="-1"/>
          <w:sz w:val="18"/>
          <w:szCs w:val="18"/>
          <w:highlight w:val="none"/>
        </w:rPr>
        <w:t>月的</w:t>
      </w:r>
      <w:r>
        <w:rPr>
          <w:rFonts w:hint="eastAsia" w:ascii="宋体" w:hAnsi="宋体" w:eastAsia="宋体" w:cs="宋体"/>
          <w:color w:val="auto"/>
          <w:spacing w:val="4"/>
          <w:sz w:val="18"/>
          <w:szCs w:val="18"/>
          <w:highlight w:val="none"/>
        </w:rPr>
        <w:t>），</w:t>
      </w:r>
      <w:r>
        <w:rPr>
          <w:rFonts w:hint="eastAsia" w:ascii="宋体" w:hAnsi="宋体" w:eastAsia="宋体" w:cs="宋体"/>
          <w:color w:val="auto"/>
          <w:spacing w:val="-1"/>
          <w:sz w:val="18"/>
          <w:szCs w:val="18"/>
          <w:highlight w:val="none"/>
        </w:rPr>
        <w:t>可以不进行调价。</w:t>
      </w:r>
    </w:p>
    <w:p w14:paraId="3487C8CA">
      <w:pPr>
        <w:spacing w:before="67" w:line="221" w:lineRule="auto"/>
        <w:ind w:left="578"/>
        <w:rPr>
          <w:rFonts w:hint="eastAsia" w:ascii="宋体" w:hAnsi="宋体" w:eastAsia="宋体" w:cs="宋体"/>
          <w:color w:val="auto"/>
          <w:sz w:val="18"/>
          <w:szCs w:val="18"/>
          <w:highlight w:val="none"/>
        </w:rPr>
      </w:pPr>
      <w:r>
        <w:rPr>
          <w:rFonts w:hint="eastAsia" w:ascii="宋体" w:hAnsi="宋体" w:eastAsia="宋体" w:cs="宋体"/>
          <w:color w:val="auto"/>
          <w:spacing w:val="-1"/>
          <w:position w:val="8"/>
          <w:sz w:val="8"/>
          <w:szCs w:val="8"/>
          <w:highlight w:val="none"/>
        </w:rPr>
        <w:t>②</w:t>
      </w:r>
      <w:r>
        <w:rPr>
          <w:rFonts w:hint="eastAsia" w:ascii="宋体" w:hAnsi="宋体" w:eastAsia="宋体" w:cs="宋体"/>
          <w:color w:val="auto"/>
          <w:spacing w:val="-1"/>
          <w:sz w:val="18"/>
          <w:szCs w:val="18"/>
          <w:highlight w:val="none"/>
        </w:rPr>
        <w:t>开工预付款金额一般应为10％签约合同价。</w:t>
      </w:r>
    </w:p>
    <w:p w14:paraId="76EDA5D8">
      <w:pPr>
        <w:spacing w:before="65" w:line="222" w:lineRule="auto"/>
        <w:ind w:left="578"/>
        <w:rPr>
          <w:rFonts w:hint="eastAsia" w:ascii="宋体" w:hAnsi="宋体" w:eastAsia="宋体" w:cs="宋体"/>
          <w:color w:val="auto"/>
          <w:sz w:val="18"/>
          <w:szCs w:val="18"/>
          <w:highlight w:val="none"/>
        </w:rPr>
      </w:pPr>
      <w:r>
        <w:rPr>
          <w:rFonts w:hint="eastAsia" w:ascii="宋体" w:hAnsi="宋体" w:eastAsia="宋体" w:cs="宋体"/>
          <w:color w:val="auto"/>
          <w:spacing w:val="-1"/>
          <w:position w:val="7"/>
          <w:sz w:val="8"/>
          <w:szCs w:val="8"/>
          <w:highlight w:val="none"/>
        </w:rPr>
        <w:t>③</w:t>
      </w:r>
      <w:r>
        <w:rPr>
          <w:rFonts w:hint="eastAsia" w:ascii="宋体" w:hAnsi="宋体" w:eastAsia="宋体" w:cs="宋体"/>
          <w:color w:val="auto"/>
          <w:spacing w:val="-1"/>
          <w:sz w:val="18"/>
          <w:szCs w:val="18"/>
          <w:highlight w:val="none"/>
        </w:rPr>
        <w:t>指主要材料，一般应为70%～75%，最低不少于60%。</w:t>
      </w:r>
    </w:p>
    <w:p w14:paraId="5769D1F7">
      <w:pPr>
        <w:pStyle w:val="4"/>
        <w:spacing w:before="66" w:line="223" w:lineRule="auto"/>
        <w:ind w:left="578"/>
        <w:rPr>
          <w:rFonts w:hint="eastAsia" w:ascii="宋体" w:hAnsi="宋体" w:eastAsia="宋体" w:cs="宋体"/>
          <w:color w:val="auto"/>
          <w:sz w:val="18"/>
          <w:szCs w:val="18"/>
          <w:highlight w:val="none"/>
        </w:rPr>
      </w:pPr>
      <w:r>
        <w:rPr>
          <w:rFonts w:hint="eastAsia" w:ascii="宋体" w:hAnsi="宋体" w:eastAsia="宋体" w:cs="宋体"/>
          <w:color w:val="auto"/>
          <w:position w:val="8"/>
          <w:sz w:val="8"/>
          <w:szCs w:val="8"/>
          <w:highlight w:val="none"/>
        </w:rPr>
        <w:t>④</w:t>
      </w:r>
      <w:r>
        <w:rPr>
          <w:rFonts w:hint="eastAsia" w:ascii="宋体" w:hAnsi="宋体" w:eastAsia="宋体" w:cs="宋体"/>
          <w:color w:val="auto"/>
          <w:sz w:val="18"/>
          <w:szCs w:val="18"/>
          <w:highlight w:val="none"/>
        </w:rPr>
        <w:t>国际上一般按月平均支付额的0.3~0.5</w:t>
      </w:r>
      <w:r>
        <w:rPr>
          <w:rFonts w:hint="eastAsia" w:ascii="宋体" w:hAnsi="宋体" w:eastAsia="宋体" w:cs="宋体"/>
          <w:color w:val="auto"/>
          <w:spacing w:val="-1"/>
          <w:sz w:val="18"/>
          <w:szCs w:val="18"/>
          <w:highlight w:val="none"/>
        </w:rPr>
        <w:t>倍计算，我国可按0.2~0.3倍计，以利承包人资金周转。</w:t>
      </w:r>
    </w:p>
    <w:p w14:paraId="3F349716">
      <w:pPr>
        <w:spacing w:before="66" w:line="222" w:lineRule="auto"/>
        <w:ind w:left="578"/>
        <w:rPr>
          <w:rFonts w:hint="eastAsia" w:ascii="宋体" w:hAnsi="宋体" w:eastAsia="宋体" w:cs="宋体"/>
          <w:color w:val="auto"/>
          <w:sz w:val="18"/>
          <w:szCs w:val="18"/>
          <w:highlight w:val="none"/>
        </w:rPr>
      </w:pPr>
      <w:r>
        <w:rPr>
          <w:rFonts w:hint="eastAsia" w:ascii="宋体" w:hAnsi="宋体" w:eastAsia="宋体" w:cs="宋体"/>
          <w:color w:val="auto"/>
          <w:position w:val="8"/>
          <w:sz w:val="8"/>
          <w:szCs w:val="8"/>
          <w:highlight w:val="none"/>
        </w:rPr>
        <w:t>⑤</w:t>
      </w:r>
      <w:r>
        <w:rPr>
          <w:rFonts w:hint="eastAsia" w:ascii="宋体" w:hAnsi="宋体" w:eastAsia="宋体" w:cs="宋体"/>
          <w:color w:val="auto"/>
          <w:sz w:val="18"/>
          <w:szCs w:val="18"/>
          <w:highlight w:val="none"/>
        </w:rPr>
        <w:t>相当于中国人民银行短期贷款利率加手续费。招标人不能自行取消本项内容或降低利</w:t>
      </w:r>
      <w:r>
        <w:rPr>
          <w:rFonts w:hint="eastAsia" w:ascii="宋体" w:hAnsi="宋体" w:eastAsia="宋体" w:cs="宋体"/>
          <w:color w:val="auto"/>
          <w:spacing w:val="-1"/>
          <w:sz w:val="18"/>
          <w:szCs w:val="18"/>
          <w:highlight w:val="none"/>
        </w:rPr>
        <w:t>率。</w:t>
      </w:r>
    </w:p>
    <w:p w14:paraId="59FCBDA3">
      <w:pPr>
        <w:spacing w:before="66" w:line="219" w:lineRule="auto"/>
        <w:ind w:left="578"/>
        <w:rPr>
          <w:rFonts w:hint="eastAsia" w:ascii="宋体" w:hAnsi="宋体" w:eastAsia="宋体" w:cs="宋体"/>
          <w:color w:val="auto"/>
          <w:sz w:val="18"/>
          <w:szCs w:val="18"/>
          <w:highlight w:val="none"/>
        </w:rPr>
      </w:pPr>
      <w:r>
        <w:rPr>
          <w:rFonts w:hint="eastAsia" w:ascii="宋体" w:hAnsi="宋体" w:eastAsia="宋体" w:cs="宋体"/>
          <w:color w:val="auto"/>
          <w:spacing w:val="-1"/>
          <w:position w:val="7"/>
          <w:sz w:val="8"/>
          <w:szCs w:val="8"/>
          <w:highlight w:val="none"/>
        </w:rPr>
        <w:t>⑥</w:t>
      </w:r>
      <w:r>
        <w:rPr>
          <w:rFonts w:hint="eastAsia" w:ascii="宋体" w:hAnsi="宋体" w:eastAsia="宋体" w:cs="宋体"/>
          <w:color w:val="auto"/>
          <w:spacing w:val="-1"/>
          <w:sz w:val="18"/>
          <w:szCs w:val="18"/>
          <w:highlight w:val="none"/>
        </w:rPr>
        <w:t>质量保证金最高不超过合同价格的3%。</w:t>
      </w:r>
    </w:p>
    <w:p w14:paraId="2E7FA60E">
      <w:pPr>
        <w:spacing w:before="69" w:line="266" w:lineRule="auto"/>
        <w:ind w:left="762" w:right="1027" w:hanging="184"/>
        <w:rPr>
          <w:rFonts w:hint="eastAsia" w:ascii="宋体" w:hAnsi="宋体" w:eastAsia="宋体" w:cs="宋体"/>
          <w:color w:val="auto"/>
          <w:sz w:val="18"/>
          <w:szCs w:val="18"/>
          <w:highlight w:val="none"/>
        </w:rPr>
      </w:pPr>
      <w:r>
        <w:rPr>
          <w:rFonts w:hint="eastAsia" w:ascii="宋体" w:hAnsi="宋体" w:eastAsia="宋体" w:cs="宋体"/>
          <w:color w:val="auto"/>
          <w:spacing w:val="-3"/>
          <w:position w:val="7"/>
          <w:sz w:val="8"/>
          <w:szCs w:val="8"/>
          <w:highlight w:val="none"/>
        </w:rPr>
        <w:t>⑦</w:t>
      </w:r>
      <w:r>
        <w:rPr>
          <w:rFonts w:hint="eastAsia" w:ascii="宋体" w:hAnsi="宋体" w:eastAsia="宋体" w:cs="宋体"/>
          <w:color w:val="auto"/>
          <w:spacing w:val="-3"/>
          <w:sz w:val="18"/>
          <w:szCs w:val="18"/>
          <w:highlight w:val="none"/>
        </w:rPr>
        <w:t>若交工验收时承包人具备被招标项目所在地省级交通运输</w:t>
      </w:r>
      <w:r>
        <w:rPr>
          <w:rFonts w:hint="eastAsia" w:ascii="宋体" w:hAnsi="宋体" w:eastAsia="宋体" w:cs="宋体"/>
          <w:color w:val="auto"/>
          <w:spacing w:val="-4"/>
          <w:sz w:val="18"/>
          <w:szCs w:val="18"/>
          <w:highlight w:val="none"/>
        </w:rPr>
        <w:t>主管部门评定的最高信用等级，发包人可在质量保证金方面给予一定的优惠奖励，例如发包人可给予承包人2%合同价格质量保证金的优惠，具</w:t>
      </w:r>
      <w:r>
        <w:rPr>
          <w:rFonts w:hint="eastAsia" w:ascii="宋体" w:hAnsi="宋体" w:eastAsia="宋体" w:cs="宋体"/>
          <w:color w:val="auto"/>
          <w:spacing w:val="-1"/>
          <w:sz w:val="18"/>
          <w:szCs w:val="18"/>
          <w:highlight w:val="none"/>
        </w:rPr>
        <w:t>体优惠幅度由发包人自行确定。</w:t>
      </w:r>
    </w:p>
    <w:p w14:paraId="6105B793">
      <w:pPr>
        <w:spacing w:before="70" w:line="223" w:lineRule="auto"/>
        <w:ind w:left="578"/>
        <w:rPr>
          <w:rFonts w:hint="eastAsia" w:ascii="宋体" w:hAnsi="宋体" w:eastAsia="宋体" w:cs="宋体"/>
          <w:color w:val="auto"/>
          <w:sz w:val="18"/>
          <w:szCs w:val="18"/>
          <w:highlight w:val="none"/>
        </w:rPr>
      </w:pPr>
      <w:r>
        <w:rPr>
          <w:rFonts w:hint="eastAsia" w:ascii="宋体" w:hAnsi="宋体" w:eastAsia="宋体" w:cs="宋体"/>
          <w:color w:val="auto"/>
          <w:position w:val="8"/>
          <w:sz w:val="8"/>
          <w:szCs w:val="8"/>
          <w:highlight w:val="none"/>
        </w:rPr>
        <w:t>⑧</w:t>
      </w:r>
      <w:r>
        <w:rPr>
          <w:rFonts w:hint="eastAsia" w:ascii="宋体" w:hAnsi="宋体" w:eastAsia="宋体" w:cs="宋体"/>
          <w:color w:val="auto"/>
          <w:sz w:val="18"/>
          <w:szCs w:val="18"/>
          <w:highlight w:val="none"/>
        </w:rPr>
        <w:t>保修期一般应为自实际交工日期起计算5</w:t>
      </w:r>
      <w:r>
        <w:rPr>
          <w:rFonts w:hint="eastAsia" w:ascii="宋体" w:hAnsi="宋体" w:eastAsia="宋体" w:cs="宋体"/>
          <w:color w:val="auto"/>
          <w:spacing w:val="-1"/>
          <w:sz w:val="18"/>
          <w:szCs w:val="18"/>
          <w:highlight w:val="none"/>
        </w:rPr>
        <w:t>年。</w:t>
      </w:r>
    </w:p>
    <w:p w14:paraId="399EAE80">
      <w:pPr>
        <w:spacing w:line="223" w:lineRule="auto"/>
        <w:rPr>
          <w:rFonts w:hint="eastAsia" w:ascii="宋体" w:hAnsi="宋体" w:eastAsia="宋体" w:cs="宋体"/>
          <w:color w:val="auto"/>
          <w:sz w:val="18"/>
          <w:szCs w:val="18"/>
          <w:highlight w:val="none"/>
        </w:rPr>
        <w:sectPr>
          <w:footerReference r:id="rId198" w:type="default"/>
          <w:pgSz w:w="11907" w:h="16840"/>
          <w:pgMar w:top="1182" w:right="754" w:bottom="1014" w:left="1643" w:header="849" w:footer="852" w:gutter="0"/>
          <w:pgNumType w:fmt="decimal"/>
          <w:cols w:space="720" w:num="1"/>
        </w:sectPr>
      </w:pPr>
    </w:p>
    <w:p w14:paraId="4F573F82">
      <w:pPr>
        <w:pStyle w:val="4"/>
        <w:spacing w:line="257" w:lineRule="auto"/>
        <w:rPr>
          <w:rFonts w:hint="eastAsia" w:ascii="宋体" w:hAnsi="宋体" w:eastAsia="宋体" w:cs="宋体"/>
          <w:color w:val="auto"/>
          <w:highlight w:val="none"/>
        </w:rPr>
      </w:pPr>
    </w:p>
    <w:p w14:paraId="538F41E5">
      <w:pPr>
        <w:pStyle w:val="4"/>
        <w:spacing w:line="257" w:lineRule="auto"/>
        <w:rPr>
          <w:rFonts w:hint="eastAsia" w:ascii="宋体" w:hAnsi="宋体" w:eastAsia="宋体" w:cs="宋体"/>
          <w:color w:val="auto"/>
          <w:highlight w:val="none"/>
        </w:rPr>
      </w:pPr>
    </w:p>
    <w:p w14:paraId="3D7AAE3D">
      <w:pPr>
        <w:pStyle w:val="4"/>
        <w:spacing w:line="257" w:lineRule="auto"/>
        <w:rPr>
          <w:rFonts w:hint="eastAsia" w:ascii="宋体" w:hAnsi="宋体" w:eastAsia="宋体" w:cs="宋体"/>
          <w:color w:val="auto"/>
          <w:highlight w:val="none"/>
        </w:rPr>
      </w:pPr>
    </w:p>
    <w:p w14:paraId="080154E9">
      <w:pPr>
        <w:pStyle w:val="4"/>
        <w:spacing w:line="258" w:lineRule="auto"/>
        <w:rPr>
          <w:rFonts w:hint="eastAsia" w:ascii="宋体" w:hAnsi="宋体" w:eastAsia="宋体" w:cs="宋体"/>
          <w:color w:val="auto"/>
          <w:highlight w:val="none"/>
        </w:rPr>
      </w:pPr>
    </w:p>
    <w:p w14:paraId="2942B559">
      <w:pPr>
        <w:spacing w:before="101" w:line="227" w:lineRule="auto"/>
        <w:ind w:left="3153"/>
        <w:outlineLvl w:val="2"/>
        <w:rPr>
          <w:rFonts w:hint="eastAsia" w:ascii="宋体" w:hAnsi="宋体" w:eastAsia="宋体" w:cs="宋体"/>
          <w:color w:val="auto"/>
          <w:sz w:val="31"/>
          <w:szCs w:val="31"/>
          <w:highlight w:val="none"/>
        </w:rPr>
      </w:pPr>
      <w:bookmarkStart w:id="711" w:name="_Toc28606"/>
      <w:bookmarkStart w:id="712" w:name="_Toc29676"/>
      <w:bookmarkStart w:id="713" w:name="_Toc7097"/>
      <w:bookmarkStart w:id="714" w:name="_Toc17111"/>
      <w:bookmarkStart w:id="715" w:name="_Toc17475"/>
      <w:r>
        <w:rPr>
          <w:rFonts w:hint="eastAsia" w:ascii="宋体" w:hAnsi="宋体" w:eastAsia="宋体" w:cs="宋体"/>
          <w:color w:val="auto"/>
          <w:spacing w:val="8"/>
          <w:sz w:val="31"/>
          <w:szCs w:val="31"/>
          <w:highlight w:val="none"/>
        </w:rPr>
        <w:t>项目专用合同条款</w:t>
      </w:r>
      <w:bookmarkEnd w:id="711"/>
      <w:bookmarkEnd w:id="712"/>
      <w:bookmarkEnd w:id="713"/>
      <w:bookmarkEnd w:id="714"/>
      <w:bookmarkEnd w:id="715"/>
    </w:p>
    <w:p w14:paraId="5B082CA4">
      <w:pPr>
        <w:pStyle w:val="4"/>
        <w:spacing w:line="294" w:lineRule="auto"/>
        <w:rPr>
          <w:rFonts w:hint="eastAsia" w:ascii="宋体" w:hAnsi="宋体" w:eastAsia="宋体" w:cs="宋体"/>
          <w:color w:val="auto"/>
          <w:highlight w:val="none"/>
        </w:rPr>
      </w:pPr>
    </w:p>
    <w:p w14:paraId="62626E1E">
      <w:pPr>
        <w:pStyle w:val="4"/>
        <w:spacing w:line="294" w:lineRule="auto"/>
        <w:rPr>
          <w:rFonts w:hint="eastAsia" w:ascii="宋体" w:hAnsi="宋体" w:eastAsia="宋体" w:cs="宋体"/>
          <w:color w:val="auto"/>
          <w:highlight w:val="none"/>
        </w:rPr>
      </w:pPr>
    </w:p>
    <w:p w14:paraId="7109A617">
      <w:pPr>
        <w:spacing w:before="78" w:line="308" w:lineRule="auto"/>
        <w:ind w:left="681" w:right="49" w:hanging="657"/>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说明：本部分所列的项目专用合同条款是对“公路工程专用合同</w:t>
      </w:r>
      <w:r>
        <w:rPr>
          <w:rFonts w:hint="eastAsia" w:ascii="宋体" w:hAnsi="宋体" w:eastAsia="宋体" w:cs="宋体"/>
          <w:color w:val="auto"/>
          <w:spacing w:val="-2"/>
          <w:sz w:val="24"/>
          <w:szCs w:val="24"/>
          <w:highlight w:val="none"/>
        </w:rPr>
        <w:t>条款”中规定必须在项</w:t>
      </w:r>
      <w:r>
        <w:rPr>
          <w:rFonts w:hint="eastAsia" w:ascii="宋体" w:hAnsi="宋体" w:eastAsia="宋体" w:cs="宋体"/>
          <w:color w:val="auto"/>
          <w:sz w:val="24"/>
          <w:szCs w:val="24"/>
          <w:highlight w:val="none"/>
        </w:rPr>
        <w:t>目专用合同条款中明确的内容的集中，招标人编制的“项目专用合同条款”不限</w:t>
      </w:r>
      <w:r>
        <w:rPr>
          <w:rFonts w:hint="eastAsia" w:ascii="宋体" w:hAnsi="宋体" w:eastAsia="宋体" w:cs="宋体"/>
          <w:color w:val="auto"/>
          <w:spacing w:val="-2"/>
          <w:sz w:val="24"/>
          <w:szCs w:val="24"/>
          <w:highlight w:val="none"/>
        </w:rPr>
        <w:t>于本部分所列内容。</w:t>
      </w:r>
    </w:p>
    <w:p w14:paraId="3C3758A1">
      <w:pPr>
        <w:pStyle w:val="4"/>
        <w:spacing w:line="259" w:lineRule="auto"/>
        <w:rPr>
          <w:rFonts w:hint="eastAsia" w:ascii="宋体" w:hAnsi="宋体" w:eastAsia="宋体" w:cs="宋体"/>
          <w:color w:val="auto"/>
          <w:highlight w:val="none"/>
        </w:rPr>
      </w:pPr>
    </w:p>
    <w:p w14:paraId="58F82259">
      <w:pPr>
        <w:spacing w:before="65" w:line="228" w:lineRule="auto"/>
        <w:ind w:left="477"/>
        <w:rPr>
          <w:rFonts w:hint="eastAsia" w:ascii="宋体" w:hAnsi="宋体" w:eastAsia="宋体" w:cs="宋体"/>
          <w:color w:val="auto"/>
          <w:sz w:val="22"/>
          <w:szCs w:val="22"/>
          <w:highlight w:val="none"/>
        </w:rPr>
      </w:pPr>
      <w:r>
        <w:rPr>
          <w:rFonts w:hint="eastAsia" w:ascii="宋体" w:hAnsi="宋体" w:eastAsia="宋体" w:cs="宋体"/>
          <w:color w:val="auto"/>
          <w:spacing w:val="14"/>
          <w:sz w:val="22"/>
          <w:szCs w:val="22"/>
          <w:highlight w:val="none"/>
        </w:rPr>
        <w:t>4.1承包人的一般义务</w:t>
      </w:r>
    </w:p>
    <w:p w14:paraId="20AA1B48">
      <w:pPr>
        <w:spacing w:before="77" w:line="228" w:lineRule="auto"/>
        <w:ind w:left="477"/>
        <w:rPr>
          <w:rFonts w:hint="eastAsia" w:ascii="宋体" w:hAnsi="宋体" w:eastAsia="宋体" w:cs="宋体"/>
          <w:color w:val="auto"/>
          <w:sz w:val="22"/>
          <w:szCs w:val="22"/>
          <w:highlight w:val="none"/>
        </w:rPr>
      </w:pPr>
      <w:r>
        <w:rPr>
          <w:rFonts w:hint="eastAsia" w:ascii="宋体" w:hAnsi="宋体" w:eastAsia="宋体" w:cs="宋体"/>
          <w:color w:val="auto"/>
          <w:spacing w:val="11"/>
          <w:sz w:val="22"/>
          <w:szCs w:val="22"/>
          <w:highlight w:val="none"/>
        </w:rPr>
        <w:t>4.1.10其他义务</w:t>
      </w:r>
    </w:p>
    <w:p w14:paraId="6DB19BEA">
      <w:pPr>
        <w:spacing w:before="199" w:line="219" w:lineRule="auto"/>
        <w:ind w:left="541"/>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(4)本项细化为：</w:t>
      </w:r>
    </w:p>
    <w:p w14:paraId="5228AC98">
      <w:pPr>
        <w:spacing w:before="161" w:line="341" w:lineRule="auto"/>
        <w:ind w:left="18" w:right="33" w:firstLine="431"/>
        <w:rPr>
          <w:rFonts w:hint="eastAsia" w:ascii="宋体" w:hAnsi="宋体" w:eastAsia="宋体" w:cs="宋体"/>
          <w:color w:val="auto"/>
          <w:sz w:val="22"/>
          <w:szCs w:val="22"/>
          <w:highlight w:val="none"/>
        </w:rPr>
      </w:pPr>
      <w:r>
        <w:rPr>
          <w:rFonts w:hint="eastAsia" w:ascii="宋体" w:hAnsi="宋体" w:eastAsia="宋体" w:cs="宋体"/>
          <w:color w:val="auto"/>
          <w:spacing w:val="7"/>
          <w:sz w:val="22"/>
          <w:szCs w:val="22"/>
          <w:highlight w:val="none"/>
        </w:rPr>
        <w:t>1)农民工工资支付按照《广西壮族自治区工程建设领</w:t>
      </w:r>
      <w:r>
        <w:rPr>
          <w:rFonts w:hint="eastAsia" w:ascii="宋体" w:hAnsi="宋体" w:eastAsia="宋体" w:cs="宋体"/>
          <w:color w:val="auto"/>
          <w:spacing w:val="6"/>
          <w:sz w:val="22"/>
          <w:szCs w:val="22"/>
          <w:highlight w:val="none"/>
        </w:rPr>
        <w:t>域农民工工资专用账户管理暂行办法实</w:t>
      </w:r>
      <w:r>
        <w:rPr>
          <w:rFonts w:hint="eastAsia" w:ascii="宋体" w:hAnsi="宋体" w:eastAsia="宋体" w:cs="宋体"/>
          <w:color w:val="auto"/>
          <w:spacing w:val="-9"/>
          <w:sz w:val="22"/>
          <w:szCs w:val="22"/>
          <w:highlight w:val="none"/>
        </w:rPr>
        <w:t>施细则》(桂人社规﹝2022﹞5号)、《广西壮族自治区人力资</w:t>
      </w:r>
      <w:r>
        <w:rPr>
          <w:rFonts w:hint="eastAsia" w:ascii="宋体" w:hAnsi="宋体" w:eastAsia="宋体" w:cs="宋体"/>
          <w:color w:val="auto"/>
          <w:spacing w:val="-10"/>
          <w:sz w:val="22"/>
          <w:szCs w:val="22"/>
          <w:highlight w:val="none"/>
        </w:rPr>
        <w:t>源和社会保障厅广西壮族自治区住房</w:t>
      </w:r>
      <w:r>
        <w:rPr>
          <w:rFonts w:hint="eastAsia" w:ascii="宋体" w:hAnsi="宋体" w:eastAsia="宋体" w:cs="宋体"/>
          <w:color w:val="auto"/>
          <w:spacing w:val="11"/>
          <w:sz w:val="22"/>
          <w:szCs w:val="22"/>
          <w:highlight w:val="none"/>
        </w:rPr>
        <w:t>和城乡建设厅广西壮族自治区交通运输厅广</w:t>
      </w:r>
      <w:r>
        <w:rPr>
          <w:rFonts w:hint="eastAsia" w:ascii="宋体" w:hAnsi="宋体" w:eastAsia="宋体" w:cs="宋体"/>
          <w:color w:val="auto"/>
          <w:spacing w:val="10"/>
          <w:sz w:val="22"/>
          <w:szCs w:val="22"/>
          <w:highlight w:val="none"/>
        </w:rPr>
        <w:t>西壮族自治区水利厅中国银行保险监督管</w:t>
      </w:r>
      <w:r>
        <w:rPr>
          <w:rFonts w:hint="eastAsia" w:ascii="宋体" w:hAnsi="宋体" w:eastAsia="宋体" w:cs="宋体"/>
          <w:color w:val="auto"/>
          <w:spacing w:val="12"/>
          <w:sz w:val="22"/>
          <w:szCs w:val="22"/>
          <w:highlight w:val="none"/>
        </w:rPr>
        <w:t>理委员会广西监管局关于印发广西壮族自治区工程建设领域农民工工资保证金规定实施办法的</w:t>
      </w:r>
      <w:r>
        <w:rPr>
          <w:rFonts w:hint="eastAsia" w:ascii="宋体" w:hAnsi="宋体" w:eastAsia="宋体" w:cs="宋体"/>
          <w:color w:val="auto"/>
          <w:sz w:val="22"/>
          <w:szCs w:val="22"/>
          <w:highlight w:val="none"/>
        </w:rPr>
        <w:t>通知》(桂人社规〔2021〕16号)</w:t>
      </w:r>
      <w:r>
        <w:rPr>
          <w:rFonts w:hint="eastAsia" w:ascii="宋体" w:hAnsi="宋体" w:eastAsia="宋体" w:cs="宋体"/>
          <w:color w:val="auto"/>
          <w:spacing w:val="-1"/>
          <w:sz w:val="22"/>
          <w:szCs w:val="22"/>
          <w:highlight w:val="none"/>
        </w:rPr>
        <w:t>执行。</w:t>
      </w:r>
    </w:p>
    <w:p w14:paraId="708F0087">
      <w:pPr>
        <w:spacing w:before="154" w:line="321" w:lineRule="auto"/>
        <w:ind w:left="22" w:right="52" w:firstLine="415"/>
        <w:rPr>
          <w:rFonts w:hint="eastAsia" w:ascii="宋体" w:hAnsi="宋体" w:eastAsia="宋体" w:cs="宋体"/>
          <w:color w:val="auto"/>
          <w:sz w:val="22"/>
          <w:szCs w:val="22"/>
          <w:highlight w:val="none"/>
        </w:rPr>
      </w:pPr>
      <w:r>
        <w:rPr>
          <w:rFonts w:hint="eastAsia" w:ascii="宋体" w:hAnsi="宋体" w:eastAsia="宋体" w:cs="宋体"/>
          <w:color w:val="auto"/>
          <w:spacing w:val="7"/>
          <w:sz w:val="22"/>
          <w:szCs w:val="22"/>
          <w:highlight w:val="none"/>
        </w:rPr>
        <w:t>2)人工费用是指发包人向承包人专用账户拨付的专项用于支付农民工工资的工程款</w:t>
      </w:r>
      <w:r>
        <w:rPr>
          <w:rFonts w:hint="eastAsia" w:ascii="宋体" w:hAnsi="宋体" w:eastAsia="宋体" w:cs="宋体"/>
          <w:color w:val="auto"/>
          <w:spacing w:val="6"/>
          <w:sz w:val="22"/>
          <w:szCs w:val="22"/>
          <w:highlight w:val="none"/>
        </w:rPr>
        <w:t>。农民工</w:t>
      </w:r>
      <w:r>
        <w:rPr>
          <w:rFonts w:hint="eastAsia" w:ascii="宋体" w:hAnsi="宋体" w:eastAsia="宋体" w:cs="宋体"/>
          <w:color w:val="auto"/>
          <w:spacing w:val="14"/>
          <w:sz w:val="22"/>
          <w:szCs w:val="22"/>
          <w:highlight w:val="none"/>
        </w:rPr>
        <w:t>工资专用账户是指承包人在工程建设项目所在地银行业金融机构(简称银行)开立的，专项用</w:t>
      </w:r>
      <w:r>
        <w:rPr>
          <w:rFonts w:hint="eastAsia" w:ascii="宋体" w:hAnsi="宋体" w:eastAsia="宋体" w:cs="宋体"/>
          <w:color w:val="auto"/>
          <w:spacing w:val="7"/>
          <w:sz w:val="22"/>
          <w:szCs w:val="22"/>
          <w:highlight w:val="none"/>
        </w:rPr>
        <w:t>于支付农民工工资的专用存款账户。</w:t>
      </w:r>
    </w:p>
    <w:p w14:paraId="20F0C3CF">
      <w:pPr>
        <w:spacing w:before="163" w:line="347" w:lineRule="auto"/>
        <w:ind w:left="19" w:firstLine="400"/>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3)人工费用应与工程进度款分帐管理。必须按时足额支付，人工费拨付周期不得超过1个月，</w:t>
      </w:r>
      <w:r>
        <w:rPr>
          <w:rFonts w:hint="eastAsia" w:ascii="宋体" w:hAnsi="宋体" w:eastAsia="宋体" w:cs="宋体"/>
          <w:color w:val="auto"/>
          <w:spacing w:val="3"/>
          <w:sz w:val="22"/>
          <w:szCs w:val="22"/>
          <w:highlight w:val="none"/>
        </w:rPr>
        <w:t>最少每月支付一次，无工程款申请的月份，承包人单独上报人工费划拨申请；若因发包人未按照合</w:t>
      </w:r>
      <w:r>
        <w:rPr>
          <w:rFonts w:hint="eastAsia" w:ascii="宋体" w:hAnsi="宋体" w:eastAsia="宋体" w:cs="宋体"/>
          <w:color w:val="auto"/>
          <w:spacing w:val="6"/>
          <w:sz w:val="22"/>
          <w:szCs w:val="22"/>
          <w:highlight w:val="none"/>
        </w:rPr>
        <w:t>同约定划拨工程款项导致拖欠工资的，由发包人以未结清的工程款项为限先行垫付所拖欠的工资；</w:t>
      </w:r>
      <w:r>
        <w:rPr>
          <w:rFonts w:hint="eastAsia" w:ascii="宋体" w:hAnsi="宋体" w:eastAsia="宋体" w:cs="宋体"/>
          <w:color w:val="auto"/>
          <w:spacing w:val="4"/>
          <w:sz w:val="22"/>
          <w:szCs w:val="22"/>
          <w:highlight w:val="none"/>
        </w:rPr>
        <w:t>承包人向发包人申请工程进度款时必须把农民工</w:t>
      </w:r>
      <w:r>
        <w:rPr>
          <w:rFonts w:hint="eastAsia" w:ascii="宋体" w:hAnsi="宋体" w:eastAsia="宋体" w:cs="宋体"/>
          <w:color w:val="auto"/>
          <w:spacing w:val="3"/>
          <w:sz w:val="22"/>
          <w:szCs w:val="22"/>
          <w:highlight w:val="none"/>
        </w:rPr>
        <w:t>工资部分单独列明，如果未单独列明，监理单位不</w:t>
      </w:r>
      <w:r>
        <w:rPr>
          <w:rFonts w:hint="eastAsia" w:ascii="宋体" w:hAnsi="宋体" w:eastAsia="宋体" w:cs="宋体"/>
          <w:color w:val="auto"/>
          <w:spacing w:val="4"/>
          <w:sz w:val="22"/>
          <w:szCs w:val="22"/>
          <w:highlight w:val="none"/>
        </w:rPr>
        <w:t>得签支付证书等支付工程款的手续，发包人单</w:t>
      </w:r>
      <w:r>
        <w:rPr>
          <w:rFonts w:hint="eastAsia" w:ascii="宋体" w:hAnsi="宋体" w:eastAsia="宋体" w:cs="宋体"/>
          <w:color w:val="auto"/>
          <w:spacing w:val="3"/>
          <w:sz w:val="22"/>
          <w:szCs w:val="22"/>
          <w:highlight w:val="none"/>
        </w:rPr>
        <w:t>位不得审批和支付工程款。发包人必须把工程款分帐</w:t>
      </w:r>
      <w:r>
        <w:rPr>
          <w:rFonts w:hint="eastAsia" w:ascii="宋体" w:hAnsi="宋体" w:eastAsia="宋体" w:cs="宋体"/>
          <w:color w:val="auto"/>
          <w:spacing w:val="10"/>
          <w:sz w:val="22"/>
          <w:szCs w:val="22"/>
          <w:highlight w:val="none"/>
        </w:rPr>
        <w:t>出来的人工费转入承包人农民工工资支付专用账户，转入农民工工资</w:t>
      </w:r>
      <w:r>
        <w:rPr>
          <w:rFonts w:hint="eastAsia" w:ascii="宋体" w:hAnsi="宋体" w:eastAsia="宋体" w:cs="宋体"/>
          <w:color w:val="auto"/>
          <w:spacing w:val="9"/>
          <w:sz w:val="22"/>
          <w:szCs w:val="22"/>
          <w:highlight w:val="none"/>
        </w:rPr>
        <w:t>支付专用账户环节必须有银</w:t>
      </w:r>
      <w:r>
        <w:rPr>
          <w:rFonts w:hint="eastAsia" w:ascii="宋体" w:hAnsi="宋体" w:eastAsia="宋体" w:cs="宋体"/>
          <w:color w:val="auto"/>
          <w:sz w:val="22"/>
          <w:szCs w:val="22"/>
          <w:highlight w:val="none"/>
        </w:rPr>
        <w:t>行流水凭证。</w:t>
      </w:r>
    </w:p>
    <w:p w14:paraId="28EAAF21">
      <w:pPr>
        <w:spacing w:before="153" w:line="321" w:lineRule="auto"/>
        <w:ind w:left="19" w:right="47" w:firstLine="402"/>
        <w:rPr>
          <w:rFonts w:hint="eastAsia" w:ascii="宋体" w:hAnsi="宋体" w:eastAsia="宋体" w:cs="宋体"/>
          <w:color w:val="auto"/>
          <w:sz w:val="22"/>
          <w:szCs w:val="22"/>
          <w:highlight w:val="none"/>
        </w:rPr>
      </w:pPr>
      <w:r>
        <w:rPr>
          <w:rFonts w:hint="eastAsia" w:ascii="宋体" w:hAnsi="宋体" w:eastAsia="宋体" w:cs="宋体"/>
          <w:color w:val="auto"/>
          <w:spacing w:val="5"/>
          <w:sz w:val="22"/>
          <w:szCs w:val="22"/>
          <w:highlight w:val="none"/>
        </w:rPr>
        <w:t>4)发包人依据工程进度，审核承包人申报的工程进度款，按照与承包人约定的人</w:t>
      </w:r>
      <w:r>
        <w:rPr>
          <w:rFonts w:hint="eastAsia" w:ascii="宋体" w:hAnsi="宋体" w:eastAsia="宋体" w:cs="宋体"/>
          <w:color w:val="auto"/>
          <w:spacing w:val="4"/>
          <w:sz w:val="22"/>
          <w:szCs w:val="22"/>
          <w:highlight w:val="none"/>
        </w:rPr>
        <w:t>工费支付比</w:t>
      </w:r>
      <w:r>
        <w:rPr>
          <w:rFonts w:hint="eastAsia" w:ascii="宋体" w:hAnsi="宋体" w:eastAsia="宋体" w:cs="宋体"/>
          <w:color w:val="auto"/>
          <w:spacing w:val="11"/>
          <w:sz w:val="22"/>
          <w:szCs w:val="22"/>
          <w:highlight w:val="none"/>
        </w:rPr>
        <w:t>例20%，将人工费及时足额拨付至承包人</w:t>
      </w:r>
      <w:r>
        <w:rPr>
          <w:rFonts w:hint="eastAsia" w:ascii="宋体" w:hAnsi="宋体" w:eastAsia="宋体" w:cs="宋体"/>
          <w:color w:val="auto"/>
          <w:spacing w:val="10"/>
          <w:sz w:val="22"/>
          <w:szCs w:val="22"/>
          <w:highlight w:val="none"/>
        </w:rPr>
        <w:t>的农民工工资专用账户，其余工程进度款项由发包人支</w:t>
      </w:r>
      <w:r>
        <w:rPr>
          <w:rFonts w:hint="eastAsia" w:ascii="宋体" w:hAnsi="宋体" w:eastAsia="宋体" w:cs="宋体"/>
          <w:color w:val="auto"/>
          <w:spacing w:val="7"/>
          <w:sz w:val="22"/>
          <w:szCs w:val="22"/>
          <w:highlight w:val="none"/>
        </w:rPr>
        <w:t>付到承包人的单位基本户。</w:t>
      </w:r>
    </w:p>
    <w:p w14:paraId="1E1FD595">
      <w:pPr>
        <w:spacing w:before="155" w:line="321" w:lineRule="auto"/>
        <w:ind w:left="18" w:right="52" w:firstLine="420"/>
        <w:rPr>
          <w:rFonts w:hint="eastAsia" w:ascii="宋体" w:hAnsi="宋体" w:eastAsia="宋体" w:cs="宋体"/>
          <w:color w:val="auto"/>
          <w:sz w:val="22"/>
          <w:szCs w:val="22"/>
          <w:highlight w:val="none"/>
        </w:rPr>
      </w:pPr>
      <w:r>
        <w:rPr>
          <w:rFonts w:hint="eastAsia" w:ascii="宋体" w:hAnsi="宋体" w:eastAsia="宋体" w:cs="宋体"/>
          <w:color w:val="auto"/>
          <w:spacing w:val="7"/>
          <w:sz w:val="22"/>
          <w:szCs w:val="22"/>
          <w:highlight w:val="none"/>
        </w:rPr>
        <w:t>5)工程建设领域总包单位对农民工工资支付负总责，推行分包单位农民工工资委</w:t>
      </w:r>
      <w:r>
        <w:rPr>
          <w:rFonts w:hint="eastAsia" w:ascii="宋体" w:hAnsi="宋体" w:eastAsia="宋体" w:cs="宋体"/>
          <w:color w:val="auto"/>
          <w:spacing w:val="6"/>
          <w:sz w:val="22"/>
          <w:szCs w:val="22"/>
          <w:highlight w:val="none"/>
        </w:rPr>
        <w:t>托总包单位</w:t>
      </w:r>
      <w:r>
        <w:rPr>
          <w:rFonts w:hint="eastAsia" w:ascii="宋体" w:hAnsi="宋体" w:eastAsia="宋体" w:cs="宋体"/>
          <w:color w:val="auto"/>
          <w:spacing w:val="9"/>
          <w:sz w:val="22"/>
          <w:szCs w:val="22"/>
          <w:highlight w:val="none"/>
        </w:rPr>
        <w:t>代发制度(以下简称总包代发制度)。工程建设项目施行总包代发制度的，总包单位与分包单位</w:t>
      </w:r>
      <w:r>
        <w:rPr>
          <w:rFonts w:hint="eastAsia" w:ascii="宋体" w:hAnsi="宋体" w:eastAsia="宋体" w:cs="宋体"/>
          <w:color w:val="auto"/>
          <w:spacing w:val="7"/>
          <w:sz w:val="22"/>
          <w:szCs w:val="22"/>
          <w:highlight w:val="none"/>
        </w:rPr>
        <w:t>签订委托工资支付协议。</w:t>
      </w:r>
    </w:p>
    <w:p w14:paraId="42824B17">
      <w:pPr>
        <w:spacing w:before="151" w:line="298" w:lineRule="auto"/>
        <w:ind w:left="31" w:right="52" w:firstLine="405"/>
        <w:rPr>
          <w:rFonts w:hint="eastAsia" w:ascii="宋体" w:hAnsi="宋体" w:eastAsia="宋体" w:cs="宋体"/>
          <w:color w:val="auto"/>
          <w:sz w:val="22"/>
          <w:szCs w:val="22"/>
          <w:highlight w:val="none"/>
        </w:rPr>
      </w:pPr>
      <w:r>
        <w:rPr>
          <w:rFonts w:hint="eastAsia" w:ascii="宋体" w:hAnsi="宋体" w:eastAsia="宋体" w:cs="宋体"/>
          <w:color w:val="auto"/>
          <w:spacing w:val="7"/>
          <w:sz w:val="22"/>
          <w:szCs w:val="22"/>
          <w:highlight w:val="none"/>
        </w:rPr>
        <w:t>6)凡未向付款单位提供农民工工资专用账户的，或者请款单位在申请工程进度款时未</w:t>
      </w:r>
      <w:r>
        <w:rPr>
          <w:rFonts w:hint="eastAsia" w:ascii="宋体" w:hAnsi="宋体" w:eastAsia="宋体" w:cs="宋体"/>
          <w:color w:val="auto"/>
          <w:spacing w:val="6"/>
          <w:sz w:val="22"/>
          <w:szCs w:val="22"/>
          <w:highlight w:val="none"/>
        </w:rPr>
        <w:t>将人工费单列的，付款单位有权拒绝支付工程进度款。</w:t>
      </w:r>
    </w:p>
    <w:p w14:paraId="0E477149">
      <w:pPr>
        <w:spacing w:before="268" w:line="228" w:lineRule="auto"/>
        <w:ind w:left="420"/>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7)人工费使用要求：专款专用，除发放农民工工资外，不得用于其他用途。</w:t>
      </w:r>
    </w:p>
    <w:p w14:paraId="2B80C79B">
      <w:pPr>
        <w:spacing w:before="172" w:line="298" w:lineRule="auto"/>
        <w:ind w:left="24" w:right="63" w:firstLine="399"/>
        <w:rPr>
          <w:rFonts w:hint="eastAsia" w:ascii="宋体" w:hAnsi="宋体" w:eastAsia="宋体" w:cs="宋体"/>
          <w:color w:val="auto"/>
          <w:sz w:val="22"/>
          <w:szCs w:val="22"/>
          <w:highlight w:val="none"/>
        </w:rPr>
      </w:pPr>
      <w:r>
        <w:rPr>
          <w:rFonts w:hint="eastAsia" w:ascii="宋体" w:hAnsi="宋体" w:eastAsia="宋体" w:cs="宋体"/>
          <w:color w:val="auto"/>
          <w:spacing w:val="5"/>
          <w:sz w:val="22"/>
          <w:szCs w:val="22"/>
          <w:highlight w:val="none"/>
        </w:rPr>
        <w:t>8)承包人将人工费支付情况定期报告发包人和监理单位，并提供相应的</w:t>
      </w:r>
      <w:r>
        <w:rPr>
          <w:rFonts w:hint="eastAsia" w:ascii="宋体" w:hAnsi="宋体" w:eastAsia="宋体" w:cs="宋体"/>
          <w:color w:val="auto"/>
          <w:spacing w:val="4"/>
          <w:sz w:val="22"/>
          <w:szCs w:val="22"/>
          <w:highlight w:val="none"/>
        </w:rPr>
        <w:t>材料接受建设行政主</w:t>
      </w:r>
      <w:r>
        <w:rPr>
          <w:rFonts w:hint="eastAsia" w:ascii="宋体" w:hAnsi="宋体" w:eastAsia="宋体" w:cs="宋体"/>
          <w:color w:val="auto"/>
          <w:spacing w:val="6"/>
          <w:sz w:val="22"/>
          <w:szCs w:val="22"/>
          <w:highlight w:val="none"/>
        </w:rPr>
        <w:t>管部门和劳动保障行政主管部门对此事项监管。</w:t>
      </w:r>
    </w:p>
    <w:p w14:paraId="13EA8980">
      <w:pPr>
        <w:spacing w:before="132" w:line="228" w:lineRule="auto"/>
        <w:ind w:left="423"/>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9)农民工工资支付专用账户</w:t>
      </w:r>
      <w:r>
        <w:rPr>
          <w:rFonts w:hint="eastAsia" w:ascii="宋体" w:hAnsi="宋体" w:eastAsia="宋体" w:cs="宋体"/>
          <w:color w:val="auto"/>
          <w:spacing w:val="8"/>
          <w:sz w:val="22"/>
          <w:szCs w:val="22"/>
          <w:highlight w:val="none"/>
        </w:rPr>
        <w:t>：；</w:t>
      </w:r>
      <w:r>
        <w:rPr>
          <w:rFonts w:hint="eastAsia" w:ascii="宋体" w:hAnsi="宋体" w:eastAsia="宋体" w:cs="宋体"/>
          <w:color w:val="auto"/>
          <w:sz w:val="22"/>
          <w:szCs w:val="22"/>
          <w:highlight w:val="none"/>
        </w:rPr>
        <w:t>开户行</w:t>
      </w:r>
      <w:r>
        <w:rPr>
          <w:rFonts w:hint="eastAsia" w:ascii="宋体" w:hAnsi="宋体" w:eastAsia="宋体" w:cs="宋体"/>
          <w:color w:val="auto"/>
          <w:spacing w:val="8"/>
          <w:sz w:val="22"/>
          <w:szCs w:val="22"/>
          <w:highlight w:val="none"/>
        </w:rPr>
        <w:t>：；</w:t>
      </w:r>
      <w:r>
        <w:rPr>
          <w:rFonts w:hint="eastAsia" w:ascii="宋体" w:hAnsi="宋体" w:eastAsia="宋体" w:cs="宋体"/>
          <w:color w:val="auto"/>
          <w:sz w:val="22"/>
          <w:szCs w:val="22"/>
          <w:highlight w:val="none"/>
        </w:rPr>
        <w:t>账号：。</w:t>
      </w:r>
    </w:p>
    <w:p w14:paraId="18B9AF4A">
      <w:pPr>
        <w:tabs>
          <w:tab w:val="left" w:pos="649"/>
        </w:tabs>
        <w:spacing w:before="164" w:line="329" w:lineRule="auto"/>
        <w:ind w:left="20" w:firstLine="429"/>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u w:val="single" w:color="auto"/>
        </w:rPr>
        <w:tab/>
      </w:r>
      <w:r>
        <w:rPr>
          <w:rFonts w:hint="eastAsia" w:ascii="宋体" w:hAnsi="宋体" w:eastAsia="宋体" w:cs="宋体"/>
          <w:color w:val="auto"/>
          <w:spacing w:val="-8"/>
          <w:sz w:val="22"/>
          <w:szCs w:val="22"/>
          <w:highlight w:val="none"/>
          <w:u w:val="single" w:color="auto"/>
        </w:rPr>
        <w:t>(6)承包人应履行的其他义务：a.与本工程项目相关的审计和稽查、检查、视察等活动，</w:t>
      </w:r>
      <w:r>
        <w:rPr>
          <w:rFonts w:hint="eastAsia" w:ascii="宋体" w:hAnsi="宋体" w:eastAsia="宋体" w:cs="宋体"/>
          <w:color w:val="auto"/>
          <w:sz w:val="22"/>
          <w:szCs w:val="22"/>
          <w:highlight w:val="none"/>
          <w:u w:val="single" w:color="auto"/>
        </w:rPr>
        <w:t>承包人应高度重视并有义务委派专人积极予以配合。b.发包人和监理有权监督检查承包人的供</w:t>
      </w:r>
    </w:p>
    <w:p w14:paraId="2F64953C">
      <w:pPr>
        <w:spacing w:before="70" w:line="333" w:lineRule="auto"/>
        <w:ind w:left="24" w:right="55" w:firstLine="428"/>
        <w:jc w:val="both"/>
        <w:rPr>
          <w:rFonts w:hint="eastAsia" w:ascii="宋体" w:hAnsi="宋体" w:eastAsia="宋体" w:cs="宋体"/>
          <w:color w:val="auto"/>
          <w:sz w:val="22"/>
          <w:szCs w:val="22"/>
          <w:highlight w:val="none"/>
        </w:rPr>
      </w:pPr>
      <w:r>
        <w:rPr>
          <w:rFonts w:hint="eastAsia" w:ascii="宋体" w:hAnsi="宋体" w:eastAsia="宋体" w:cs="宋体"/>
          <w:color w:val="auto"/>
          <w:spacing w:val="-7"/>
          <w:sz w:val="22"/>
          <w:szCs w:val="22"/>
          <w:highlight w:val="none"/>
          <w:u w:val="single" w:color="auto"/>
        </w:rPr>
        <w:t>货合同。c.对项目使用的原有道路的维护和管理，以确保正常通行</w:t>
      </w:r>
      <w:r>
        <w:rPr>
          <w:rFonts w:hint="eastAsia" w:ascii="宋体" w:hAnsi="宋体" w:eastAsia="宋体" w:cs="宋体"/>
          <w:color w:val="auto"/>
          <w:spacing w:val="-8"/>
          <w:sz w:val="22"/>
          <w:szCs w:val="22"/>
          <w:highlight w:val="none"/>
          <w:u w:val="single" w:color="auto"/>
        </w:rPr>
        <w:t>。d.维护社会稳定，避</w:t>
      </w:r>
      <w:r>
        <w:rPr>
          <w:rFonts w:hint="eastAsia" w:ascii="宋体" w:hAnsi="宋体" w:eastAsia="宋体" w:cs="宋体"/>
          <w:color w:val="auto"/>
          <w:spacing w:val="-2"/>
          <w:sz w:val="22"/>
          <w:szCs w:val="22"/>
          <w:highlight w:val="none"/>
          <w:u w:val="single" w:color="auto"/>
        </w:rPr>
        <w:t>免发生因承包人原因引起施工队伍或施工引起周边</w:t>
      </w:r>
      <w:r>
        <w:rPr>
          <w:rFonts w:hint="eastAsia" w:ascii="宋体" w:hAnsi="宋体" w:eastAsia="宋体" w:cs="宋体"/>
          <w:color w:val="auto"/>
          <w:spacing w:val="-3"/>
          <w:sz w:val="22"/>
          <w:szCs w:val="22"/>
          <w:highlight w:val="none"/>
          <w:u w:val="single" w:color="auto"/>
        </w:rPr>
        <w:t>群众等群体性上访事件e.承包人应自觉接</w:t>
      </w:r>
      <w:r>
        <w:rPr>
          <w:rFonts w:hint="eastAsia" w:ascii="宋体" w:hAnsi="宋体" w:eastAsia="宋体" w:cs="宋体"/>
          <w:color w:val="auto"/>
          <w:sz w:val="22"/>
          <w:szCs w:val="22"/>
          <w:highlight w:val="none"/>
          <w:u w:val="single" w:color="auto"/>
        </w:rPr>
        <w:t>受交通主管部门、质量监督单位、公路管理机构的监督，对指出的问题进行认真的整改，及</w:t>
      </w:r>
      <w:r>
        <w:rPr>
          <w:rFonts w:hint="eastAsia" w:ascii="宋体" w:hAnsi="宋体" w:eastAsia="宋体" w:cs="宋体"/>
          <w:color w:val="auto"/>
          <w:spacing w:val="-16"/>
          <w:sz w:val="22"/>
          <w:szCs w:val="22"/>
          <w:highlight w:val="none"/>
          <w:u w:val="single" w:color="auto"/>
        </w:rPr>
        <w:t>时报告处理结果。</w:t>
      </w:r>
    </w:p>
    <w:p w14:paraId="0ECE6B04">
      <w:pPr>
        <w:spacing w:line="227" w:lineRule="auto"/>
        <w:ind w:left="477"/>
        <w:rPr>
          <w:rFonts w:hint="eastAsia" w:ascii="宋体" w:hAnsi="宋体" w:eastAsia="宋体" w:cs="宋体"/>
          <w:color w:val="auto"/>
          <w:sz w:val="22"/>
          <w:szCs w:val="22"/>
          <w:highlight w:val="none"/>
        </w:rPr>
      </w:pPr>
      <w:r>
        <w:rPr>
          <w:rFonts w:hint="eastAsia" w:ascii="宋体" w:hAnsi="宋体" w:eastAsia="宋体" w:cs="宋体"/>
          <w:color w:val="auto"/>
          <w:spacing w:val="12"/>
          <w:sz w:val="22"/>
          <w:szCs w:val="22"/>
          <w:highlight w:val="none"/>
        </w:rPr>
        <w:t>4.11不利物质条件</w:t>
      </w:r>
    </w:p>
    <w:p w14:paraId="43CDA24C">
      <w:pPr>
        <w:spacing w:before="152" w:line="228" w:lineRule="auto"/>
        <w:ind w:left="422"/>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4.11.1不利物质条件的范围：</w:t>
      </w:r>
      <w:r>
        <w:rPr>
          <w:rFonts w:hint="eastAsia" w:ascii="宋体" w:hAnsi="宋体" w:eastAsia="宋体" w:cs="宋体"/>
          <w:color w:val="auto"/>
          <w:spacing w:val="3"/>
          <w:sz w:val="22"/>
          <w:szCs w:val="22"/>
          <w:highlight w:val="none"/>
          <w:u w:val="single" w:color="auto"/>
        </w:rPr>
        <w:t>/</w:t>
      </w:r>
    </w:p>
    <w:p w14:paraId="4393DFD9">
      <w:pPr>
        <w:spacing w:before="152" w:line="228" w:lineRule="auto"/>
        <w:ind w:left="479"/>
        <w:rPr>
          <w:rFonts w:hint="eastAsia" w:ascii="宋体" w:hAnsi="宋体" w:eastAsia="宋体" w:cs="宋体"/>
          <w:color w:val="auto"/>
          <w:sz w:val="22"/>
          <w:szCs w:val="22"/>
          <w:highlight w:val="none"/>
        </w:rPr>
      </w:pPr>
      <w:r>
        <w:rPr>
          <w:rFonts w:hint="eastAsia" w:ascii="宋体" w:hAnsi="宋体" w:eastAsia="宋体" w:cs="宋体"/>
          <w:color w:val="auto"/>
          <w:spacing w:val="9"/>
          <w:sz w:val="22"/>
          <w:szCs w:val="22"/>
          <w:highlight w:val="none"/>
        </w:rPr>
        <w:t>10.1合同进度计划</w:t>
      </w:r>
    </w:p>
    <w:p w14:paraId="69589092">
      <w:pPr>
        <w:spacing w:before="158" w:line="334" w:lineRule="auto"/>
        <w:ind w:left="19" w:right="53" w:firstLine="399"/>
        <w:rPr>
          <w:rFonts w:hint="eastAsia" w:ascii="宋体" w:hAnsi="宋体" w:eastAsia="宋体" w:cs="宋体"/>
          <w:color w:val="auto"/>
          <w:sz w:val="22"/>
          <w:szCs w:val="22"/>
          <w:highlight w:val="none"/>
        </w:rPr>
      </w:pPr>
      <w:r>
        <w:rPr>
          <w:rFonts w:hint="eastAsia" w:ascii="宋体" w:hAnsi="宋体" w:eastAsia="宋体" w:cs="宋体"/>
          <w:color w:val="auto"/>
          <w:spacing w:val="-9"/>
          <w:sz w:val="22"/>
          <w:szCs w:val="22"/>
          <w:highlight w:val="none"/>
          <w:u w:val="single" w:color="auto"/>
        </w:rPr>
        <w:t>承包人编制施工方案的内容：承包人应在签订合同协议书后7天内，向监理人提交2份其</w:t>
      </w:r>
      <w:r>
        <w:rPr>
          <w:rFonts w:hint="eastAsia" w:ascii="宋体" w:hAnsi="宋体" w:eastAsia="宋体" w:cs="宋体"/>
          <w:color w:val="auto"/>
          <w:sz w:val="22"/>
          <w:szCs w:val="22"/>
          <w:highlight w:val="none"/>
          <w:u w:val="single" w:color="auto"/>
        </w:rPr>
        <w:t>格式和内容符合监理人规定的工程进度计划，以及为完成该计划而建议采用的实施性的施工</w:t>
      </w:r>
      <w:r>
        <w:rPr>
          <w:rFonts w:hint="eastAsia" w:ascii="宋体" w:hAnsi="宋体" w:eastAsia="宋体" w:cs="宋体"/>
          <w:color w:val="auto"/>
          <w:spacing w:val="-7"/>
          <w:sz w:val="22"/>
          <w:szCs w:val="22"/>
          <w:highlight w:val="none"/>
          <w:u w:val="single" w:color="auto"/>
        </w:rPr>
        <w:t>安排和施工方案的说明。监理人应在收到该计划后7天内审查同</w:t>
      </w:r>
      <w:r>
        <w:rPr>
          <w:rFonts w:hint="eastAsia" w:ascii="宋体" w:hAnsi="宋体" w:eastAsia="宋体" w:cs="宋体"/>
          <w:color w:val="auto"/>
          <w:spacing w:val="-8"/>
          <w:sz w:val="22"/>
          <w:szCs w:val="22"/>
          <w:highlight w:val="none"/>
          <w:u w:val="single" w:color="auto"/>
        </w:rPr>
        <w:t>意或提出修改意见，否则该进</w:t>
      </w:r>
      <w:r>
        <w:rPr>
          <w:rFonts w:hint="eastAsia" w:ascii="宋体" w:hAnsi="宋体" w:eastAsia="宋体" w:cs="宋体"/>
          <w:color w:val="auto"/>
          <w:spacing w:val="-7"/>
          <w:sz w:val="22"/>
          <w:szCs w:val="22"/>
          <w:highlight w:val="none"/>
          <w:u w:val="single" w:color="auto"/>
        </w:rPr>
        <w:t>度计划视为已得到批准。经监理人批准的施工进度计划称为合同进度计划，是控制合同工程进度的依据。工程进度计划应按照关键线路网络图和主要工作横道图两种形式分别绘制，并应包</w:t>
      </w:r>
      <w:r>
        <w:rPr>
          <w:rFonts w:hint="eastAsia" w:ascii="宋体" w:hAnsi="宋体" w:eastAsia="宋体" w:cs="宋体"/>
          <w:color w:val="auto"/>
          <w:spacing w:val="-9"/>
          <w:sz w:val="22"/>
          <w:szCs w:val="22"/>
          <w:highlight w:val="none"/>
          <w:u w:val="single" w:color="auto"/>
        </w:rPr>
        <w:t>括每月预计完成的工作量和形象进度。</w:t>
      </w:r>
    </w:p>
    <w:p w14:paraId="2C2133D0">
      <w:pPr>
        <w:spacing w:before="1" w:line="227" w:lineRule="auto"/>
        <w:ind w:left="450"/>
        <w:rPr>
          <w:rFonts w:hint="eastAsia" w:ascii="宋体" w:hAnsi="宋体" w:eastAsia="宋体" w:cs="宋体"/>
          <w:color w:val="auto"/>
          <w:sz w:val="20"/>
          <w:szCs w:val="20"/>
          <w:highlight w:val="none"/>
        </w:rPr>
      </w:pPr>
      <w:r>
        <w:rPr>
          <w:rFonts w:hint="eastAsia" w:ascii="宋体" w:hAnsi="宋体" w:eastAsia="宋体" w:cs="宋体"/>
          <w:color w:val="auto"/>
          <w:spacing w:val="4"/>
          <w:sz w:val="20"/>
          <w:szCs w:val="20"/>
          <w:highlight w:val="none"/>
        </w:rPr>
        <w:t>11.4异常恶劣的气候条件</w:t>
      </w:r>
    </w:p>
    <w:p w14:paraId="6D547EE3">
      <w:pPr>
        <w:spacing w:before="165" w:line="220" w:lineRule="auto"/>
        <w:jc w:val="right"/>
        <w:rPr>
          <w:rFonts w:hint="eastAsia" w:ascii="宋体" w:hAnsi="宋体" w:eastAsia="宋体" w:cs="宋体"/>
          <w:color w:val="auto"/>
          <w:sz w:val="22"/>
          <w:szCs w:val="22"/>
          <w:highlight w:val="none"/>
        </w:rPr>
      </w:pPr>
      <w:r>
        <w:rPr>
          <w:rFonts w:hint="eastAsia" w:ascii="宋体" w:hAnsi="宋体" w:eastAsia="宋体" w:cs="宋体"/>
          <w:color w:val="auto"/>
          <w:spacing w:val="-8"/>
          <w:sz w:val="22"/>
          <w:szCs w:val="22"/>
          <w:highlight w:val="none"/>
          <w:u w:val="single" w:color="auto"/>
        </w:rPr>
        <w:t>异常恶劣的气候条件的范围：(1)12级以上大风；(2)24小时降雨量超过250mnm；</w:t>
      </w:r>
    </w:p>
    <w:p w14:paraId="2FD86265">
      <w:pPr>
        <w:tabs>
          <w:tab w:val="left" w:pos="210"/>
        </w:tabs>
        <w:spacing w:before="138" w:line="330" w:lineRule="auto"/>
        <w:ind w:left="18" w:right="53" w:hanging="8"/>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u w:val="single" w:color="auto"/>
        </w:rPr>
        <w:tab/>
      </w:r>
      <w:r>
        <w:rPr>
          <w:rFonts w:hint="eastAsia" w:ascii="宋体" w:hAnsi="宋体" w:eastAsia="宋体" w:cs="宋体"/>
          <w:color w:val="auto"/>
          <w:sz w:val="22"/>
          <w:szCs w:val="22"/>
          <w:highlight w:val="none"/>
          <w:u w:val="single" w:color="auto"/>
        </w:rPr>
        <w:tab/>
      </w:r>
      <w:r>
        <w:rPr>
          <w:rFonts w:hint="eastAsia" w:ascii="宋体" w:hAnsi="宋体" w:eastAsia="宋体" w:cs="宋体"/>
          <w:color w:val="auto"/>
          <w:spacing w:val="-9"/>
          <w:sz w:val="22"/>
          <w:szCs w:val="22"/>
          <w:highlight w:val="none"/>
          <w:u w:val="single" w:color="auto"/>
        </w:rPr>
        <w:t>(3)50年一遇以上洪水；(4)6级以上地震；(5)日最高气</w:t>
      </w:r>
      <w:r>
        <w:rPr>
          <w:rFonts w:hint="eastAsia" w:ascii="宋体" w:hAnsi="宋体" w:eastAsia="宋体" w:cs="宋体"/>
          <w:color w:val="auto"/>
          <w:spacing w:val="-10"/>
          <w:sz w:val="22"/>
          <w:szCs w:val="22"/>
          <w:highlight w:val="none"/>
          <w:u w:val="single" w:color="auto"/>
        </w:rPr>
        <w:t>温40℃的天气连续持续一周</w:t>
      </w:r>
      <w:r>
        <w:rPr>
          <w:rFonts w:hint="eastAsia" w:ascii="宋体" w:hAnsi="宋体" w:eastAsia="宋体" w:cs="宋体"/>
          <w:color w:val="auto"/>
          <w:spacing w:val="-6"/>
          <w:sz w:val="22"/>
          <w:szCs w:val="22"/>
          <w:highlight w:val="none"/>
          <w:u w:val="single" w:color="auto"/>
        </w:rPr>
        <w:t>以上的高温天气。(6)通用条款39.1</w:t>
      </w:r>
      <w:r>
        <w:rPr>
          <w:rFonts w:hint="eastAsia" w:ascii="宋体" w:hAnsi="宋体" w:eastAsia="宋体" w:cs="宋体"/>
          <w:color w:val="auto"/>
          <w:spacing w:val="-7"/>
          <w:sz w:val="22"/>
          <w:szCs w:val="22"/>
          <w:highlight w:val="none"/>
          <w:u w:val="single" w:color="auto"/>
        </w:rPr>
        <w:t>约定的其他内容。不可抗力的自然灾害认定标准，以</w:t>
      </w:r>
      <w:r>
        <w:rPr>
          <w:rFonts w:hint="eastAsia" w:ascii="宋体" w:hAnsi="宋体" w:eastAsia="宋体" w:cs="宋体"/>
          <w:color w:val="auto"/>
          <w:spacing w:val="-15"/>
          <w:sz w:val="22"/>
          <w:szCs w:val="22"/>
          <w:highlight w:val="none"/>
          <w:u w:val="single" w:color="auto"/>
        </w:rPr>
        <w:t>政府有关部门的规定为准。</w:t>
      </w:r>
    </w:p>
    <w:p w14:paraId="1B750B23">
      <w:pPr>
        <w:spacing w:before="1" w:line="227" w:lineRule="auto"/>
        <w:ind w:left="479"/>
        <w:rPr>
          <w:rFonts w:hint="eastAsia" w:ascii="宋体" w:hAnsi="宋体" w:eastAsia="宋体" w:cs="宋体"/>
          <w:color w:val="auto"/>
          <w:sz w:val="22"/>
          <w:szCs w:val="22"/>
          <w:highlight w:val="none"/>
        </w:rPr>
      </w:pPr>
      <w:r>
        <w:rPr>
          <w:rFonts w:hint="eastAsia" w:ascii="宋体" w:hAnsi="宋体" w:eastAsia="宋体" w:cs="宋体"/>
          <w:color w:val="auto"/>
          <w:spacing w:val="10"/>
          <w:sz w:val="22"/>
          <w:szCs w:val="22"/>
          <w:highlight w:val="none"/>
        </w:rPr>
        <w:t>12.1承包人暂停施工的责任</w:t>
      </w:r>
    </w:p>
    <w:p w14:paraId="61F63881">
      <w:pPr>
        <w:spacing w:before="173" w:line="322" w:lineRule="auto"/>
        <w:ind w:left="24" w:right="63" w:firstLine="454"/>
        <w:rPr>
          <w:rFonts w:hint="eastAsia" w:ascii="宋体" w:hAnsi="宋体" w:eastAsia="宋体" w:cs="宋体"/>
          <w:color w:val="auto"/>
          <w:sz w:val="22"/>
          <w:szCs w:val="22"/>
          <w:highlight w:val="none"/>
        </w:rPr>
      </w:pPr>
      <w:r>
        <w:rPr>
          <w:rFonts w:hint="eastAsia" w:ascii="宋体" w:hAnsi="宋体" w:eastAsia="宋体" w:cs="宋体"/>
          <w:color w:val="auto"/>
          <w:spacing w:val="8"/>
          <w:sz w:val="22"/>
          <w:szCs w:val="22"/>
          <w:highlight w:val="none"/>
        </w:rPr>
        <w:t>12.1(6)由承包人承担的其他暂停施工：</w:t>
      </w:r>
      <w:r>
        <w:rPr>
          <w:rFonts w:hint="eastAsia" w:ascii="宋体" w:hAnsi="宋体" w:eastAsia="宋体" w:cs="宋体"/>
          <w:color w:val="auto"/>
          <w:spacing w:val="8"/>
          <w:sz w:val="22"/>
          <w:szCs w:val="22"/>
          <w:highlight w:val="none"/>
          <w:u w:val="single" w:color="auto"/>
        </w:rPr>
        <w:t>本款第(5)项细化为：(5)现场气候条件</w:t>
      </w:r>
      <w:r>
        <w:rPr>
          <w:rFonts w:hint="eastAsia" w:ascii="宋体" w:hAnsi="宋体" w:eastAsia="宋体" w:cs="宋体"/>
          <w:color w:val="auto"/>
          <w:spacing w:val="7"/>
          <w:sz w:val="22"/>
          <w:szCs w:val="22"/>
          <w:highlight w:val="none"/>
          <w:u w:val="single" w:color="auto"/>
        </w:rPr>
        <w:t>导致的必要停工(第11.4款约定的异常恶劣的气</w:t>
      </w:r>
      <w:r>
        <w:rPr>
          <w:rFonts w:hint="eastAsia" w:ascii="宋体" w:hAnsi="宋体" w:eastAsia="宋体" w:cs="宋体"/>
          <w:color w:val="auto"/>
          <w:spacing w:val="6"/>
          <w:sz w:val="22"/>
          <w:szCs w:val="22"/>
          <w:highlight w:val="none"/>
          <w:u w:val="single" w:color="auto"/>
        </w:rPr>
        <w:t>候条件除外)；(6)项目专用合同条款可能约定的由承包人承担的其他暂停施工。</w:t>
      </w:r>
    </w:p>
    <w:p w14:paraId="0F7B2F0E">
      <w:pPr>
        <w:spacing w:before="135" w:line="229" w:lineRule="auto"/>
        <w:ind w:left="486"/>
        <w:rPr>
          <w:rFonts w:hint="eastAsia" w:ascii="宋体" w:hAnsi="宋体" w:eastAsia="宋体" w:cs="宋体"/>
          <w:color w:val="auto"/>
          <w:sz w:val="22"/>
          <w:szCs w:val="22"/>
          <w:highlight w:val="none"/>
        </w:rPr>
      </w:pPr>
      <w:r>
        <w:rPr>
          <w:rFonts w:hint="eastAsia" w:ascii="宋体" w:hAnsi="宋体" w:eastAsia="宋体" w:cs="宋体"/>
          <w:color w:val="auto"/>
          <w:spacing w:val="5"/>
          <w:sz w:val="22"/>
          <w:szCs w:val="22"/>
          <w:highlight w:val="none"/>
        </w:rPr>
        <w:t>17.1计量</w:t>
      </w:r>
    </w:p>
    <w:p w14:paraId="7955ECE7">
      <w:pPr>
        <w:spacing w:before="150" w:line="226" w:lineRule="auto"/>
        <w:ind w:left="445"/>
        <w:rPr>
          <w:rFonts w:hint="eastAsia" w:ascii="宋体" w:hAnsi="宋体" w:eastAsia="宋体" w:cs="宋体"/>
          <w:color w:val="auto"/>
          <w:sz w:val="22"/>
          <w:szCs w:val="22"/>
          <w:highlight w:val="none"/>
        </w:rPr>
      </w:pPr>
      <w:r>
        <w:rPr>
          <w:rFonts w:hint="eastAsia" w:ascii="宋体" w:hAnsi="宋体" w:eastAsia="宋体" w:cs="宋体"/>
          <w:color w:val="auto"/>
          <w:spacing w:val="5"/>
          <w:sz w:val="22"/>
          <w:szCs w:val="22"/>
          <w:highlight w:val="none"/>
        </w:rPr>
        <w:t>17.1.5本项目工程量清单中总额价子目的支付原则和</w:t>
      </w:r>
      <w:r>
        <w:rPr>
          <w:rFonts w:hint="eastAsia" w:ascii="宋体" w:hAnsi="宋体" w:eastAsia="宋体" w:cs="宋体"/>
          <w:color w:val="auto"/>
          <w:spacing w:val="4"/>
          <w:sz w:val="22"/>
          <w:szCs w:val="22"/>
          <w:highlight w:val="none"/>
        </w:rPr>
        <w:t>支付进度：</w:t>
      </w:r>
      <w:r>
        <w:rPr>
          <w:rFonts w:hint="eastAsia" w:ascii="宋体" w:hAnsi="宋体" w:eastAsia="宋体" w:cs="宋体"/>
          <w:color w:val="auto"/>
          <w:spacing w:val="4"/>
          <w:sz w:val="22"/>
          <w:szCs w:val="22"/>
          <w:highlight w:val="none"/>
          <w:u w:val="single" w:color="auto"/>
        </w:rPr>
        <w:t>/</w:t>
      </w:r>
    </w:p>
    <w:p w14:paraId="1F532977">
      <w:pPr>
        <w:spacing w:before="153" w:line="227" w:lineRule="auto"/>
        <w:ind w:left="431"/>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17.3.5农民工工资保障金的缴存时间：</w:t>
      </w:r>
      <w:r>
        <w:rPr>
          <w:rFonts w:hint="eastAsia" w:ascii="宋体" w:hAnsi="宋体" w:eastAsia="宋体" w:cs="宋体"/>
          <w:color w:val="auto"/>
          <w:spacing w:val="2"/>
          <w:sz w:val="22"/>
          <w:szCs w:val="22"/>
          <w:highlight w:val="none"/>
          <w:u w:val="single" w:color="auto"/>
        </w:rPr>
        <w:t>收到中标通知书后7个工作日内。</w:t>
      </w:r>
    </w:p>
    <w:p w14:paraId="43584157">
      <w:pPr>
        <w:spacing w:before="173" w:line="356" w:lineRule="auto"/>
        <w:ind w:left="24" w:right="63" w:firstLine="398"/>
        <w:rPr>
          <w:rFonts w:hint="eastAsia" w:ascii="宋体" w:hAnsi="宋体" w:eastAsia="宋体" w:cs="宋体"/>
          <w:color w:val="auto"/>
          <w:sz w:val="22"/>
          <w:szCs w:val="22"/>
          <w:highlight w:val="none"/>
        </w:rPr>
      </w:pPr>
      <w:r>
        <w:rPr>
          <w:rFonts w:hint="eastAsia" w:ascii="宋体" w:hAnsi="宋体" w:eastAsia="宋体" w:cs="宋体"/>
          <w:color w:val="auto"/>
          <w:spacing w:val="5"/>
          <w:sz w:val="22"/>
          <w:szCs w:val="22"/>
          <w:highlight w:val="none"/>
        </w:rPr>
        <w:t>农民工工资保障金的缴存金额：</w:t>
      </w:r>
      <w:r>
        <w:rPr>
          <w:rFonts w:hint="eastAsia" w:ascii="宋体" w:hAnsi="宋体" w:eastAsia="宋体" w:cs="宋体"/>
          <w:color w:val="auto"/>
          <w:spacing w:val="5"/>
          <w:sz w:val="22"/>
          <w:szCs w:val="22"/>
          <w:highlight w:val="none"/>
          <w:u w:val="single" w:color="auto"/>
        </w:rPr>
        <w:t>按照《广西壮族自治区工程建设领域农民工工资保证</w:t>
      </w:r>
      <w:r>
        <w:rPr>
          <w:rFonts w:hint="eastAsia" w:ascii="宋体" w:hAnsi="宋体" w:eastAsia="宋体" w:cs="宋体"/>
          <w:color w:val="auto"/>
          <w:spacing w:val="4"/>
          <w:sz w:val="22"/>
          <w:szCs w:val="22"/>
          <w:highlight w:val="none"/>
          <w:u w:val="single" w:color="auto"/>
        </w:rPr>
        <w:t>金规定</w:t>
      </w:r>
      <w:r>
        <w:rPr>
          <w:rFonts w:hint="eastAsia" w:ascii="宋体" w:hAnsi="宋体" w:eastAsia="宋体" w:cs="宋体"/>
          <w:color w:val="auto"/>
          <w:spacing w:val="-1"/>
          <w:sz w:val="22"/>
          <w:szCs w:val="22"/>
          <w:highlight w:val="none"/>
          <w:u w:val="single" w:color="auto"/>
        </w:rPr>
        <w:t>实施办法的通知》(桂人社规〔2021〕16号)执行。</w:t>
      </w:r>
    </w:p>
    <w:p w14:paraId="6DCF3103">
      <w:pPr>
        <w:spacing w:line="220" w:lineRule="auto"/>
        <w:ind w:left="458"/>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17.4.1质量保证金金额：</w:t>
      </w:r>
      <w:r>
        <w:rPr>
          <w:rFonts w:hint="eastAsia" w:ascii="宋体" w:hAnsi="宋体" w:eastAsia="宋体" w:cs="宋体"/>
          <w:color w:val="auto"/>
          <w:spacing w:val="-2"/>
          <w:sz w:val="22"/>
          <w:szCs w:val="22"/>
          <w:highlight w:val="none"/>
          <w:u w:val="single" w:color="auto"/>
        </w:rPr>
        <w:t>工程结算价的3%或等同于合同结算价3%的银行保函</w:t>
      </w:r>
    </w:p>
    <w:p w14:paraId="7E934B29">
      <w:pPr>
        <w:spacing w:before="270" w:line="228" w:lineRule="auto"/>
        <w:ind w:left="466"/>
        <w:rPr>
          <w:rFonts w:hint="eastAsia" w:ascii="宋体" w:hAnsi="宋体" w:eastAsia="宋体" w:cs="宋体"/>
          <w:color w:val="auto"/>
          <w:sz w:val="22"/>
          <w:szCs w:val="22"/>
          <w:highlight w:val="none"/>
        </w:rPr>
      </w:pPr>
      <w:r>
        <w:rPr>
          <w:rFonts w:hint="eastAsia" w:ascii="宋体" w:hAnsi="宋体" w:eastAsia="宋体" w:cs="宋体"/>
          <w:color w:val="auto"/>
          <w:spacing w:val="12"/>
          <w:sz w:val="22"/>
          <w:szCs w:val="22"/>
          <w:highlight w:val="none"/>
        </w:rPr>
        <w:t>21.1不可抗力的确认</w:t>
      </w:r>
    </w:p>
    <w:p w14:paraId="342C6171">
      <w:pPr>
        <w:tabs>
          <w:tab w:val="left" w:pos="8830"/>
        </w:tabs>
        <w:spacing w:before="172" w:line="343" w:lineRule="auto"/>
        <w:ind w:left="21" w:firstLine="459"/>
        <w:jc w:val="both"/>
        <w:rPr>
          <w:rFonts w:hint="eastAsia" w:ascii="宋体" w:hAnsi="宋体" w:eastAsia="宋体" w:cs="宋体"/>
          <w:color w:val="auto"/>
          <w:sz w:val="22"/>
          <w:szCs w:val="22"/>
          <w:highlight w:val="none"/>
        </w:rPr>
      </w:pPr>
      <w:r>
        <w:rPr>
          <w:rFonts w:hint="eastAsia" w:ascii="宋体" w:hAnsi="宋体" w:eastAsia="宋体" w:cs="宋体"/>
          <w:color w:val="auto"/>
          <w:spacing w:val="10"/>
          <w:sz w:val="22"/>
          <w:szCs w:val="22"/>
          <w:highlight w:val="none"/>
        </w:rPr>
        <w:t>21.1.1(6)不可抗力的其他情形：</w:t>
      </w:r>
      <w:r>
        <w:rPr>
          <w:rFonts w:hint="eastAsia" w:ascii="宋体" w:hAnsi="宋体" w:eastAsia="宋体" w:cs="宋体"/>
          <w:color w:val="auto"/>
          <w:spacing w:val="10"/>
          <w:sz w:val="22"/>
          <w:szCs w:val="22"/>
          <w:highlight w:val="none"/>
          <w:u w:val="single" w:color="auto"/>
        </w:rPr>
        <w:t>(1)地震、海啸、火山爆</w:t>
      </w:r>
      <w:r>
        <w:rPr>
          <w:rFonts w:hint="eastAsia" w:ascii="宋体" w:hAnsi="宋体" w:eastAsia="宋体" w:cs="宋体"/>
          <w:color w:val="auto"/>
          <w:spacing w:val="9"/>
          <w:sz w:val="22"/>
          <w:szCs w:val="22"/>
          <w:highlight w:val="none"/>
          <w:u w:val="single" w:color="auto"/>
        </w:rPr>
        <w:t>发、泥石流、暴雨(雪)、</w:t>
      </w:r>
      <w:r>
        <w:rPr>
          <w:rFonts w:hint="eastAsia" w:ascii="宋体" w:hAnsi="宋体" w:eastAsia="宋体" w:cs="宋体"/>
          <w:color w:val="auto"/>
          <w:spacing w:val="3"/>
          <w:sz w:val="22"/>
          <w:szCs w:val="22"/>
          <w:highlight w:val="none"/>
          <w:u w:val="single" w:color="auto"/>
        </w:rPr>
        <w:t>台风、龙卷风、水灾等自然灾害；(2)战争、骚乱、暴动，但纯属承包人或其分包人派遣与雇用的人员由于本合同工程施工原因引起者除外；(3)</w:t>
      </w:r>
      <w:r>
        <w:rPr>
          <w:rFonts w:hint="eastAsia" w:ascii="宋体" w:hAnsi="宋体" w:eastAsia="宋体" w:cs="宋体"/>
          <w:color w:val="auto"/>
          <w:spacing w:val="2"/>
          <w:sz w:val="22"/>
          <w:szCs w:val="22"/>
          <w:highlight w:val="none"/>
          <w:u w:val="single" w:color="auto"/>
        </w:rPr>
        <w:t>核反应、辐射或放射性污染；(4)空</w:t>
      </w:r>
      <w:r>
        <w:rPr>
          <w:rFonts w:hint="eastAsia" w:ascii="宋体" w:hAnsi="宋体" w:eastAsia="宋体" w:cs="宋体"/>
          <w:color w:val="auto"/>
          <w:spacing w:val="3"/>
          <w:sz w:val="22"/>
          <w:szCs w:val="22"/>
          <w:highlight w:val="none"/>
          <w:u w:val="single" w:color="auto"/>
        </w:rPr>
        <w:t>中飞行物体附落或非发包人或承包人责任造成的爆炸、</w:t>
      </w:r>
      <w:r>
        <w:rPr>
          <w:rFonts w:hint="eastAsia" w:ascii="宋体" w:hAnsi="宋体" w:eastAsia="宋体" w:cs="宋体"/>
          <w:color w:val="auto"/>
          <w:spacing w:val="2"/>
          <w:sz w:val="22"/>
          <w:szCs w:val="22"/>
          <w:highlight w:val="none"/>
          <w:u w:val="single" w:color="auto"/>
        </w:rPr>
        <w:t>火灾；(5)瘟疫；(6)项目专用合同</w:t>
      </w:r>
      <w:r>
        <w:rPr>
          <w:rFonts w:hint="eastAsia" w:ascii="宋体" w:hAnsi="宋体" w:eastAsia="宋体" w:cs="宋体"/>
          <w:color w:val="auto"/>
          <w:spacing w:val="10"/>
          <w:sz w:val="22"/>
          <w:szCs w:val="22"/>
          <w:highlight w:val="none"/>
          <w:u w:val="single" w:color="auto"/>
        </w:rPr>
        <w:t>条款约定的其他情形。</w:t>
      </w:r>
    </w:p>
    <w:p w14:paraId="627331DE">
      <w:pPr>
        <w:spacing w:before="122" w:line="228" w:lineRule="auto"/>
        <w:ind w:left="466"/>
        <w:rPr>
          <w:rFonts w:hint="eastAsia" w:ascii="宋体" w:hAnsi="宋体" w:eastAsia="宋体" w:cs="宋体"/>
          <w:color w:val="auto"/>
          <w:sz w:val="22"/>
          <w:szCs w:val="22"/>
          <w:highlight w:val="none"/>
        </w:rPr>
      </w:pPr>
      <w:r>
        <w:rPr>
          <w:rFonts w:hint="eastAsia" w:ascii="宋体" w:hAnsi="宋体" w:eastAsia="宋体" w:cs="宋体"/>
          <w:color w:val="auto"/>
          <w:spacing w:val="12"/>
          <w:sz w:val="22"/>
          <w:szCs w:val="22"/>
          <w:highlight w:val="none"/>
        </w:rPr>
        <w:t>22.1承包人违约</w:t>
      </w:r>
    </w:p>
    <w:p w14:paraId="212B5771">
      <w:pPr>
        <w:spacing w:before="169" w:line="363" w:lineRule="auto"/>
        <w:ind w:left="18" w:right="21" w:firstLine="43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pacing w:val="9"/>
          <w:sz w:val="22"/>
          <w:szCs w:val="22"/>
          <w:highlight w:val="none"/>
        </w:rPr>
        <w:t>22.1.2当承包人发生第22.1.1项约定的违约情况时，发包人有权向承包人课以违约金，</w:t>
      </w:r>
      <w:r>
        <w:rPr>
          <w:rFonts w:hint="eastAsia" w:ascii="宋体" w:hAnsi="宋体" w:eastAsia="宋体" w:cs="宋体"/>
          <w:color w:val="auto"/>
          <w:spacing w:val="17"/>
          <w:sz w:val="22"/>
          <w:szCs w:val="22"/>
          <w:highlight w:val="none"/>
        </w:rPr>
        <w:t>具体约定如下：</w:t>
      </w:r>
      <w:r>
        <w:rPr>
          <w:rFonts w:hint="eastAsia" w:ascii="宋体" w:hAnsi="宋体" w:eastAsia="宋体" w:cs="宋体"/>
          <w:color w:val="auto"/>
          <w:spacing w:val="17"/>
          <w:sz w:val="22"/>
          <w:szCs w:val="22"/>
          <w:highlight w:val="none"/>
          <w:u w:val="single" w:color="auto"/>
        </w:rPr>
        <w:t>承包人有本合同通用条款第22.1.1(1</w:t>
      </w:r>
      <w:r>
        <w:rPr>
          <w:rFonts w:hint="eastAsia" w:ascii="宋体" w:hAnsi="宋体" w:eastAsia="宋体" w:cs="宋体"/>
          <w:color w:val="auto"/>
          <w:spacing w:val="16"/>
          <w:sz w:val="22"/>
          <w:szCs w:val="22"/>
          <w:highlight w:val="none"/>
          <w:u w:val="single" w:color="auto"/>
        </w:rPr>
        <w:t>)(2)(3)(4)情形的，发包人有</w:t>
      </w:r>
      <w:r>
        <w:rPr>
          <w:rFonts w:hint="eastAsia" w:ascii="宋体" w:hAnsi="宋体" w:eastAsia="宋体" w:cs="宋体"/>
          <w:color w:val="auto"/>
          <w:spacing w:val="8"/>
          <w:sz w:val="22"/>
          <w:szCs w:val="22"/>
          <w:highlight w:val="none"/>
          <w:u w:val="single" w:color="auto"/>
        </w:rPr>
        <w:t>权扣罚2%的工程款作为处罚</w:t>
      </w:r>
    </w:p>
    <w:p w14:paraId="5A9FF655">
      <w:pPr>
        <w:spacing w:before="1" w:line="228" w:lineRule="auto"/>
        <w:ind w:left="466"/>
        <w:rPr>
          <w:rFonts w:hint="eastAsia" w:ascii="宋体" w:hAnsi="宋体" w:eastAsia="宋体" w:cs="宋体"/>
          <w:color w:val="auto"/>
          <w:sz w:val="22"/>
          <w:szCs w:val="22"/>
          <w:highlight w:val="none"/>
        </w:rPr>
      </w:pPr>
      <w:r>
        <w:rPr>
          <w:rFonts w:hint="eastAsia" w:ascii="宋体" w:hAnsi="宋体" w:eastAsia="宋体" w:cs="宋体"/>
          <w:color w:val="auto"/>
          <w:spacing w:val="12"/>
          <w:sz w:val="22"/>
          <w:szCs w:val="22"/>
          <w:highlight w:val="none"/>
        </w:rPr>
        <w:t>22.2发包人违约</w:t>
      </w:r>
    </w:p>
    <w:p w14:paraId="50383299">
      <w:pPr>
        <w:spacing w:before="170" w:line="378" w:lineRule="auto"/>
        <w:ind w:left="19" w:right="1" w:firstLine="429"/>
        <w:rPr>
          <w:rFonts w:hint="eastAsia" w:ascii="宋体" w:hAnsi="宋体" w:eastAsia="宋体" w:cs="宋体"/>
          <w:color w:val="auto"/>
          <w:sz w:val="22"/>
          <w:szCs w:val="22"/>
          <w:highlight w:val="none"/>
        </w:rPr>
      </w:pPr>
      <w:r>
        <w:rPr>
          <w:rFonts w:hint="eastAsia" w:ascii="宋体" w:hAnsi="宋体" w:eastAsia="宋体" w:cs="宋体"/>
          <w:color w:val="auto"/>
          <w:spacing w:val="11"/>
          <w:sz w:val="22"/>
          <w:szCs w:val="22"/>
          <w:highlight w:val="none"/>
        </w:rPr>
        <w:t>22.2.2发包人无正当理由不按时返还履约保证金、质量保证金或农民工工资保障金的，发</w:t>
      </w:r>
      <w:r>
        <w:rPr>
          <w:rFonts w:hint="eastAsia" w:ascii="宋体" w:hAnsi="宋体" w:eastAsia="宋体" w:cs="宋体"/>
          <w:color w:val="auto"/>
          <w:spacing w:val="9"/>
          <w:sz w:val="22"/>
          <w:szCs w:val="22"/>
          <w:highlight w:val="none"/>
        </w:rPr>
        <w:t>包人应向承包人支付的违约金如下：</w:t>
      </w:r>
      <w:r>
        <w:rPr>
          <w:rFonts w:hint="eastAsia" w:ascii="宋体" w:hAnsi="宋体" w:eastAsia="宋体" w:cs="宋体"/>
          <w:color w:val="auto"/>
          <w:spacing w:val="9"/>
          <w:sz w:val="22"/>
          <w:szCs w:val="22"/>
          <w:highlight w:val="none"/>
          <w:u w:val="single" w:color="auto"/>
        </w:rPr>
        <w:t>/。</w:t>
      </w:r>
    </w:p>
    <w:p w14:paraId="57BF7473">
      <w:pPr>
        <w:spacing w:before="251" w:line="220" w:lineRule="auto"/>
        <w:ind w:left="102"/>
        <w:rPr>
          <w:rFonts w:hint="eastAsia" w:ascii="宋体" w:hAnsi="宋体" w:eastAsia="宋体" w:cs="宋体"/>
          <w:color w:val="auto"/>
          <w:sz w:val="22"/>
          <w:szCs w:val="22"/>
          <w:highlight w:val="none"/>
          <w:lang w:eastAsia="zh-CN"/>
        </w:rPr>
      </w:pPr>
      <w:r>
        <w:rPr>
          <w:rFonts w:hint="eastAsia" w:ascii="宋体" w:hAnsi="宋体" w:eastAsia="宋体" w:cs="宋体"/>
          <w:color w:val="auto"/>
          <w:spacing w:val="-2"/>
          <w:sz w:val="22"/>
          <w:szCs w:val="22"/>
          <w:highlight w:val="none"/>
        </w:rPr>
        <w:t>发包人：</w:t>
      </w:r>
      <w:r>
        <w:rPr>
          <w:rFonts w:hint="eastAsia" w:ascii="宋体" w:hAnsi="宋体" w:eastAsia="宋体" w:cs="宋体"/>
          <w:color w:val="auto"/>
          <w:spacing w:val="-2"/>
          <w:sz w:val="22"/>
          <w:szCs w:val="22"/>
          <w:highlight w:val="none"/>
          <w:lang w:val="en-US" w:eastAsia="zh-CN"/>
        </w:rPr>
        <w:t xml:space="preserve">                                        </w:t>
      </w:r>
      <w:r>
        <w:rPr>
          <w:rFonts w:hint="eastAsia" w:ascii="宋体" w:hAnsi="宋体" w:eastAsia="宋体" w:cs="宋体"/>
          <w:color w:val="auto"/>
          <w:spacing w:val="-2"/>
          <w:sz w:val="22"/>
          <w:szCs w:val="22"/>
          <w:highlight w:val="none"/>
        </w:rPr>
        <w:t>承包人：</w:t>
      </w:r>
    </w:p>
    <w:p w14:paraId="627EBC60">
      <w:pPr>
        <w:spacing w:before="307" w:line="219" w:lineRule="auto"/>
        <w:ind w:left="143"/>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(盖单位章)</w:t>
      </w:r>
      <w:r>
        <w:rPr>
          <w:rFonts w:hint="eastAsia" w:ascii="宋体" w:hAnsi="宋体" w:eastAsia="宋体" w:cs="宋体"/>
          <w:color w:val="auto"/>
          <w:spacing w:val="-2"/>
          <w:sz w:val="22"/>
          <w:szCs w:val="22"/>
          <w:highlight w:val="none"/>
          <w:lang w:val="en-US" w:eastAsia="zh-CN"/>
        </w:rPr>
        <w:t xml:space="preserve">                                      </w:t>
      </w:r>
      <w:r>
        <w:rPr>
          <w:rFonts w:hint="eastAsia" w:ascii="宋体" w:hAnsi="宋体" w:eastAsia="宋体" w:cs="宋体"/>
          <w:color w:val="auto"/>
          <w:spacing w:val="-2"/>
          <w:sz w:val="22"/>
          <w:szCs w:val="22"/>
          <w:highlight w:val="none"/>
        </w:rPr>
        <w:t>(盖单位章)</w:t>
      </w:r>
    </w:p>
    <w:p w14:paraId="48833ACC">
      <w:pPr>
        <w:pStyle w:val="4"/>
        <w:spacing w:line="284" w:lineRule="auto"/>
        <w:rPr>
          <w:rFonts w:hint="eastAsia" w:ascii="宋体" w:hAnsi="宋体" w:eastAsia="宋体" w:cs="宋体"/>
          <w:color w:val="auto"/>
          <w:highlight w:val="none"/>
        </w:rPr>
      </w:pPr>
    </w:p>
    <w:p w14:paraId="5E1E555E">
      <w:pPr>
        <w:pStyle w:val="4"/>
        <w:spacing w:line="284" w:lineRule="auto"/>
        <w:rPr>
          <w:rFonts w:hint="eastAsia" w:ascii="宋体" w:hAnsi="宋体" w:eastAsia="宋体" w:cs="宋体"/>
          <w:color w:val="auto"/>
          <w:highlight w:val="none"/>
        </w:rPr>
      </w:pPr>
    </w:p>
    <w:p w14:paraId="4BED958A">
      <w:pPr>
        <w:pStyle w:val="4"/>
        <w:spacing w:line="285" w:lineRule="auto"/>
        <w:rPr>
          <w:rFonts w:hint="eastAsia" w:ascii="宋体" w:hAnsi="宋体" w:eastAsia="宋体" w:cs="宋体"/>
          <w:color w:val="auto"/>
          <w:highlight w:val="none"/>
        </w:rPr>
      </w:pPr>
    </w:p>
    <w:p w14:paraId="418532DD">
      <w:pPr>
        <w:pStyle w:val="4"/>
        <w:spacing w:line="285" w:lineRule="auto"/>
        <w:rPr>
          <w:rFonts w:hint="eastAsia" w:ascii="宋体" w:hAnsi="宋体" w:eastAsia="宋体" w:cs="宋体"/>
          <w:color w:val="auto"/>
          <w:highlight w:val="none"/>
        </w:rPr>
      </w:pPr>
    </w:p>
    <w:p w14:paraId="2A1CC67A">
      <w:pPr>
        <w:spacing w:before="72" w:line="220" w:lineRule="auto"/>
        <w:ind w:left="100"/>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法定代表人或其委托代理人：</w:t>
      </w:r>
      <w:r>
        <w:rPr>
          <w:rFonts w:hint="eastAsia" w:ascii="宋体" w:hAnsi="宋体" w:eastAsia="宋体" w:cs="宋体"/>
          <w:color w:val="auto"/>
          <w:spacing w:val="-3"/>
          <w:sz w:val="22"/>
          <w:szCs w:val="22"/>
          <w:highlight w:val="none"/>
          <w:lang w:val="en-US" w:eastAsia="zh-CN"/>
        </w:rPr>
        <w:t xml:space="preserve">                     </w:t>
      </w:r>
      <w:r>
        <w:rPr>
          <w:rFonts w:hint="eastAsia" w:ascii="宋体" w:hAnsi="宋体" w:eastAsia="宋体" w:cs="宋体"/>
          <w:color w:val="auto"/>
          <w:spacing w:val="-4"/>
          <w:sz w:val="22"/>
          <w:szCs w:val="22"/>
          <w:highlight w:val="none"/>
        </w:rPr>
        <w:t>法定代表人或其委托代理人：</w:t>
      </w:r>
    </w:p>
    <w:p w14:paraId="0A429E8A">
      <w:pPr>
        <w:spacing w:before="26" w:line="220" w:lineRule="auto"/>
        <w:rPr>
          <w:rFonts w:hint="eastAsia" w:ascii="宋体" w:hAnsi="宋体" w:eastAsia="宋体" w:cs="宋体"/>
          <w:color w:val="auto"/>
          <w:sz w:val="22"/>
          <w:szCs w:val="22"/>
          <w:highlight w:val="none"/>
        </w:rPr>
      </w:pPr>
      <w:r>
        <w:rPr>
          <w:rFonts w:hint="eastAsia" w:ascii="宋体" w:hAnsi="宋体" w:eastAsia="宋体" w:cs="宋体"/>
          <w:color w:val="auto"/>
          <w:spacing w:val="-5"/>
          <w:sz w:val="22"/>
          <w:szCs w:val="22"/>
          <w:highlight w:val="none"/>
        </w:rPr>
        <w:t>(签字)(签字)</w:t>
      </w:r>
    </w:p>
    <w:p w14:paraId="28F37848">
      <w:pPr>
        <w:pStyle w:val="4"/>
        <w:spacing w:line="251" w:lineRule="auto"/>
        <w:rPr>
          <w:rFonts w:hint="eastAsia" w:ascii="宋体" w:hAnsi="宋体" w:eastAsia="宋体" w:cs="宋体"/>
          <w:color w:val="auto"/>
          <w:highlight w:val="none"/>
        </w:rPr>
      </w:pPr>
    </w:p>
    <w:p w14:paraId="67EA0A13">
      <w:pPr>
        <w:pStyle w:val="4"/>
        <w:spacing w:line="251" w:lineRule="auto"/>
        <w:rPr>
          <w:rFonts w:hint="eastAsia" w:ascii="宋体" w:hAnsi="宋体" w:eastAsia="宋体" w:cs="宋体"/>
          <w:color w:val="auto"/>
          <w:highlight w:val="none"/>
        </w:rPr>
      </w:pPr>
    </w:p>
    <w:p w14:paraId="31F9B03D">
      <w:pPr>
        <w:pStyle w:val="4"/>
        <w:spacing w:line="251" w:lineRule="auto"/>
        <w:rPr>
          <w:rFonts w:hint="eastAsia" w:ascii="宋体" w:hAnsi="宋体" w:eastAsia="宋体" w:cs="宋体"/>
          <w:color w:val="auto"/>
          <w:highlight w:val="none"/>
        </w:rPr>
      </w:pPr>
    </w:p>
    <w:p w14:paraId="26A0CBB0">
      <w:pPr>
        <w:pStyle w:val="4"/>
        <w:spacing w:line="251" w:lineRule="auto"/>
        <w:rPr>
          <w:rFonts w:hint="eastAsia" w:ascii="宋体" w:hAnsi="宋体" w:eastAsia="宋体" w:cs="宋体"/>
          <w:color w:val="auto"/>
          <w:highlight w:val="none"/>
        </w:rPr>
      </w:pPr>
    </w:p>
    <w:p w14:paraId="7DB815FC">
      <w:pPr>
        <w:tabs>
          <w:tab w:val="left" w:pos="848"/>
        </w:tabs>
        <w:spacing w:before="71" w:line="220" w:lineRule="auto"/>
        <w:ind w:left="7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u w:val="single" w:color="auto"/>
        </w:rPr>
        <w:tab/>
      </w:r>
      <w:r>
        <w:rPr>
          <w:rFonts w:hint="eastAsia" w:ascii="宋体" w:hAnsi="宋体" w:eastAsia="宋体" w:cs="宋体"/>
          <w:color w:val="auto"/>
          <w:spacing w:val="-15"/>
          <w:sz w:val="22"/>
          <w:szCs w:val="22"/>
          <w:highlight w:val="none"/>
        </w:rPr>
        <w:t>年月日</w:t>
      </w:r>
      <w:r>
        <w:rPr>
          <w:rFonts w:hint="eastAsia" w:ascii="宋体" w:hAnsi="宋体" w:eastAsia="宋体" w:cs="宋体"/>
          <w:color w:val="auto"/>
          <w:spacing w:val="-15"/>
          <w:sz w:val="22"/>
          <w:szCs w:val="22"/>
          <w:highlight w:val="none"/>
          <w:lang w:val="en-US" w:eastAsia="zh-CN"/>
        </w:rPr>
        <w:t xml:space="preserve">                                          </w:t>
      </w:r>
      <w:r>
        <w:rPr>
          <w:rFonts w:hint="eastAsia" w:ascii="宋体" w:hAnsi="宋体" w:eastAsia="宋体" w:cs="宋体"/>
          <w:color w:val="auto"/>
          <w:spacing w:val="-15"/>
          <w:sz w:val="22"/>
          <w:szCs w:val="22"/>
          <w:highlight w:val="none"/>
        </w:rPr>
        <w:t>年月日</w:t>
      </w:r>
    </w:p>
    <w:p w14:paraId="16CCA5A9">
      <w:pPr>
        <w:spacing w:line="220" w:lineRule="auto"/>
        <w:rPr>
          <w:rFonts w:hint="eastAsia" w:ascii="宋体" w:hAnsi="宋体" w:eastAsia="宋体" w:cs="宋体"/>
          <w:color w:val="auto"/>
          <w:sz w:val="22"/>
          <w:szCs w:val="22"/>
          <w:highlight w:val="none"/>
        </w:rPr>
        <w:sectPr>
          <w:headerReference r:id="rId199" w:type="default"/>
          <w:footerReference r:id="rId200" w:type="default"/>
          <w:pgSz w:w="11907" w:h="16840"/>
          <w:pgMar w:top="1182" w:right="1290" w:bottom="1014" w:left="1786" w:header="849" w:footer="852" w:gutter="0"/>
          <w:pgNumType w:fmt="decimal"/>
          <w:cols w:space="720" w:num="1"/>
        </w:sectPr>
      </w:pPr>
    </w:p>
    <w:p w14:paraId="1CC974F3">
      <w:pPr>
        <w:pStyle w:val="4"/>
        <w:rPr>
          <w:rFonts w:hint="eastAsia" w:ascii="宋体" w:hAnsi="宋体" w:eastAsia="宋体" w:cs="宋体"/>
          <w:color w:val="auto"/>
          <w:highlight w:val="none"/>
        </w:rPr>
      </w:pPr>
    </w:p>
    <w:p w14:paraId="3A6A807A">
      <w:pPr>
        <w:pStyle w:val="4"/>
        <w:rPr>
          <w:rFonts w:hint="eastAsia" w:ascii="宋体" w:hAnsi="宋体" w:eastAsia="宋体" w:cs="宋体"/>
          <w:color w:val="auto"/>
          <w:highlight w:val="none"/>
        </w:rPr>
      </w:pPr>
    </w:p>
    <w:p w14:paraId="59F51C42">
      <w:pPr>
        <w:pStyle w:val="4"/>
        <w:spacing w:line="241" w:lineRule="auto"/>
        <w:rPr>
          <w:rFonts w:hint="eastAsia" w:ascii="宋体" w:hAnsi="宋体" w:eastAsia="宋体" w:cs="宋体"/>
          <w:color w:val="auto"/>
          <w:highlight w:val="none"/>
        </w:rPr>
      </w:pPr>
    </w:p>
    <w:p w14:paraId="6EAF11A7">
      <w:pPr>
        <w:spacing w:before="140" w:line="222" w:lineRule="auto"/>
        <w:ind w:left="2687"/>
        <w:outlineLvl w:val="1"/>
        <w:rPr>
          <w:rFonts w:hint="eastAsia" w:ascii="宋体" w:hAnsi="宋体" w:eastAsia="宋体" w:cs="宋体"/>
          <w:b/>
          <w:bCs/>
          <w:color w:val="auto"/>
          <w:spacing w:val="4"/>
          <w:sz w:val="43"/>
          <w:szCs w:val="43"/>
          <w:highlight w:val="none"/>
        </w:rPr>
      </w:pPr>
    </w:p>
    <w:p w14:paraId="7CE9CCB2">
      <w:pPr>
        <w:spacing w:before="140" w:line="222" w:lineRule="auto"/>
        <w:ind w:left="2687"/>
        <w:outlineLvl w:val="1"/>
        <w:rPr>
          <w:rFonts w:hint="eastAsia" w:ascii="宋体" w:hAnsi="宋体" w:eastAsia="宋体" w:cs="宋体"/>
          <w:b/>
          <w:bCs/>
          <w:color w:val="auto"/>
          <w:spacing w:val="4"/>
          <w:sz w:val="43"/>
          <w:szCs w:val="43"/>
          <w:highlight w:val="none"/>
        </w:rPr>
      </w:pPr>
    </w:p>
    <w:p w14:paraId="60929D08">
      <w:pPr>
        <w:spacing w:before="140" w:line="222" w:lineRule="auto"/>
        <w:ind w:left="2687"/>
        <w:outlineLvl w:val="1"/>
        <w:rPr>
          <w:rFonts w:hint="eastAsia" w:ascii="宋体" w:hAnsi="宋体" w:eastAsia="宋体" w:cs="宋体"/>
          <w:color w:val="auto"/>
          <w:sz w:val="43"/>
          <w:szCs w:val="43"/>
          <w:highlight w:val="none"/>
        </w:rPr>
      </w:pPr>
      <w:bookmarkStart w:id="716" w:name="_Toc31739"/>
      <w:bookmarkStart w:id="717" w:name="_Toc7079"/>
      <w:bookmarkStart w:id="718" w:name="_Toc26181"/>
      <w:bookmarkStart w:id="719" w:name="_Toc3729"/>
      <w:bookmarkStart w:id="720" w:name="_Toc7061"/>
      <w:r>
        <w:rPr>
          <w:rFonts w:hint="eastAsia" w:ascii="宋体" w:hAnsi="宋体" w:eastAsia="宋体" w:cs="宋体"/>
          <w:b/>
          <w:bCs/>
          <w:color w:val="auto"/>
          <w:spacing w:val="4"/>
          <w:sz w:val="43"/>
          <w:szCs w:val="43"/>
          <w:highlight w:val="none"/>
        </w:rPr>
        <w:t>第三节合同附件格式</w:t>
      </w:r>
      <w:bookmarkEnd w:id="716"/>
      <w:bookmarkEnd w:id="717"/>
      <w:bookmarkEnd w:id="718"/>
      <w:bookmarkEnd w:id="719"/>
      <w:bookmarkEnd w:id="720"/>
    </w:p>
    <w:p w14:paraId="00F76274">
      <w:pPr>
        <w:spacing w:line="222" w:lineRule="auto"/>
        <w:rPr>
          <w:rFonts w:hint="eastAsia" w:ascii="宋体" w:hAnsi="宋体" w:eastAsia="宋体" w:cs="宋体"/>
          <w:color w:val="auto"/>
          <w:sz w:val="43"/>
          <w:szCs w:val="43"/>
          <w:highlight w:val="none"/>
        </w:rPr>
        <w:sectPr>
          <w:footerReference r:id="rId201" w:type="default"/>
          <w:pgSz w:w="11907" w:h="16840"/>
          <w:pgMar w:top="1182" w:right="1290" w:bottom="1014" w:left="1786" w:header="849" w:footer="852" w:gutter="0"/>
          <w:pgNumType w:fmt="decimal"/>
          <w:cols w:space="720" w:num="1"/>
        </w:sectPr>
      </w:pPr>
    </w:p>
    <w:p w14:paraId="39222853">
      <w:pPr>
        <w:pStyle w:val="4"/>
        <w:spacing w:line="259" w:lineRule="auto"/>
        <w:rPr>
          <w:rFonts w:hint="eastAsia" w:ascii="宋体" w:hAnsi="宋体" w:eastAsia="宋体" w:cs="宋体"/>
          <w:color w:val="auto"/>
          <w:highlight w:val="none"/>
        </w:rPr>
      </w:pPr>
    </w:p>
    <w:p w14:paraId="3A101A1E">
      <w:pPr>
        <w:pStyle w:val="4"/>
        <w:spacing w:line="259" w:lineRule="auto"/>
        <w:rPr>
          <w:rFonts w:hint="eastAsia" w:ascii="宋体" w:hAnsi="宋体" w:eastAsia="宋体" w:cs="宋体"/>
          <w:color w:val="auto"/>
          <w:highlight w:val="none"/>
        </w:rPr>
      </w:pPr>
    </w:p>
    <w:p w14:paraId="559F570B">
      <w:pPr>
        <w:spacing w:before="78" w:line="222" w:lineRule="auto"/>
        <w:ind w:left="458"/>
        <w:outlineLvl w:val="2"/>
        <w:rPr>
          <w:rFonts w:hint="eastAsia" w:ascii="宋体" w:hAnsi="宋体" w:eastAsia="宋体" w:cs="宋体"/>
          <w:color w:val="auto"/>
          <w:sz w:val="24"/>
          <w:szCs w:val="24"/>
          <w:highlight w:val="none"/>
        </w:rPr>
      </w:pPr>
      <w:bookmarkStart w:id="721" w:name="_Toc16780"/>
      <w:bookmarkStart w:id="722" w:name="_Toc17977"/>
      <w:bookmarkStart w:id="723" w:name="_Toc10501"/>
      <w:bookmarkStart w:id="724" w:name="_Toc5044"/>
      <w:bookmarkStart w:id="725" w:name="_Toc161"/>
      <w:r>
        <w:rPr>
          <w:rFonts w:hint="eastAsia" w:ascii="宋体" w:hAnsi="宋体" w:eastAsia="宋体" w:cs="宋体"/>
          <w:color w:val="auto"/>
          <w:spacing w:val="-3"/>
          <w:sz w:val="24"/>
          <w:szCs w:val="24"/>
          <w:highlight w:val="none"/>
        </w:rPr>
        <w:t>附件一合同协议书</w:t>
      </w:r>
      <w:bookmarkEnd w:id="721"/>
      <w:bookmarkEnd w:id="722"/>
      <w:bookmarkEnd w:id="723"/>
      <w:bookmarkEnd w:id="724"/>
      <w:bookmarkEnd w:id="725"/>
    </w:p>
    <w:p w14:paraId="42D91974">
      <w:pPr>
        <w:pStyle w:val="4"/>
        <w:spacing w:line="388" w:lineRule="auto"/>
        <w:rPr>
          <w:rFonts w:hint="eastAsia" w:ascii="宋体" w:hAnsi="宋体" w:eastAsia="宋体" w:cs="宋体"/>
          <w:color w:val="auto"/>
          <w:highlight w:val="none"/>
        </w:rPr>
      </w:pPr>
    </w:p>
    <w:p w14:paraId="3EC049E4">
      <w:pPr>
        <w:keepNext/>
        <w:keepLines/>
        <w:numPr>
          <w:ilvl w:val="0"/>
          <w:numId w:val="0"/>
        </w:numPr>
        <w:spacing w:line="576" w:lineRule="auto"/>
        <w:jc w:val="center"/>
        <w:textAlignment w:val="baseline"/>
        <w:outlineLvl w:val="0"/>
        <w:rPr>
          <w:rFonts w:hint="eastAsia" w:ascii="宋体" w:hAnsi="宋体" w:eastAsia="宋体" w:cs="宋体"/>
          <w:b/>
          <w:bCs/>
          <w:color w:val="auto"/>
          <w:kern w:val="44"/>
          <w:sz w:val="32"/>
          <w:szCs w:val="32"/>
          <w:highlight w:val="none"/>
          <w:lang w:val="en-US" w:eastAsia="zh-CN" w:bidi="ar-SA"/>
        </w:rPr>
      </w:pPr>
      <w:bookmarkStart w:id="726" w:name="_Toc7165"/>
      <w:bookmarkStart w:id="727" w:name="_Toc29121"/>
      <w:bookmarkStart w:id="728" w:name="_Toc2455"/>
      <w:bookmarkStart w:id="729" w:name="_Toc15491"/>
      <w:bookmarkStart w:id="730" w:name="_Toc5370"/>
      <w:r>
        <w:rPr>
          <w:rFonts w:hint="eastAsia" w:ascii="宋体" w:hAnsi="宋体" w:eastAsia="宋体" w:cs="宋体"/>
          <w:b/>
          <w:bCs/>
          <w:color w:val="auto"/>
          <w:kern w:val="44"/>
          <w:sz w:val="32"/>
          <w:szCs w:val="32"/>
          <w:highlight w:val="none"/>
          <w:lang w:val="en-US" w:eastAsia="zh-CN" w:bidi="ar-SA"/>
        </w:rPr>
        <w:t>一、合同协议书</w:t>
      </w:r>
      <w:bookmarkEnd w:id="726"/>
      <w:bookmarkEnd w:id="727"/>
      <w:bookmarkEnd w:id="728"/>
      <w:bookmarkEnd w:id="729"/>
      <w:bookmarkEnd w:id="730"/>
    </w:p>
    <w:p w14:paraId="7FC3E677">
      <w:pPr>
        <w:widowControl/>
        <w:adjustRightInd/>
        <w:snapToGrid/>
        <w:spacing w:line="400" w:lineRule="exact"/>
        <w:ind w:firstLine="480" w:firstLineChars="0"/>
        <w:jc w:val="both"/>
        <w:textAlignment w:val="baseline"/>
        <w:rPr>
          <w:rFonts w:hint="eastAsia" w:ascii="宋体" w:hAnsi="宋体" w:eastAsia="宋体" w:cs="宋体"/>
          <w:color w:val="auto"/>
          <w:sz w:val="24"/>
          <w:szCs w:val="24"/>
          <w:highlight w:val="none"/>
        </w:rPr>
      </w:pPr>
    </w:p>
    <w:p w14:paraId="6092BBF9">
      <w:pPr>
        <w:widowControl/>
        <w:adjustRightInd/>
        <w:snapToGrid/>
        <w:spacing w:line="400" w:lineRule="exact"/>
        <w:ind w:firstLine="482" w:firstLineChars="0"/>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u w:val="single" w:color="000000"/>
          <w:lang w:val="en-US" w:eastAsia="zh-CN"/>
        </w:rPr>
        <w:t>***</w:t>
      </w:r>
      <w:r>
        <w:rPr>
          <w:rFonts w:hint="eastAsia" w:ascii="宋体" w:hAnsi="宋体" w:eastAsia="宋体" w:cs="宋体"/>
          <w:color w:val="auto"/>
          <w:sz w:val="24"/>
          <w:szCs w:val="24"/>
          <w:highlight w:val="none"/>
          <w:u w:color="000000"/>
        </w:rPr>
        <w:t>（发包人名称，以下简称“发包人”）为实施</w:t>
      </w:r>
      <w:r>
        <w:rPr>
          <w:rFonts w:hint="eastAsia" w:ascii="宋体" w:hAnsi="宋体" w:eastAsia="宋体" w:cs="宋体"/>
          <w:b/>
          <w:bCs/>
          <w:color w:val="auto"/>
          <w:sz w:val="24"/>
          <w:szCs w:val="24"/>
          <w:highlight w:val="none"/>
          <w:u w:val="single" w:color="000000"/>
          <w:lang w:val="en-US" w:eastAsia="zh-CN"/>
        </w:rPr>
        <w:t>***</w:t>
      </w:r>
      <w:r>
        <w:rPr>
          <w:rFonts w:hint="eastAsia" w:ascii="宋体" w:hAnsi="宋体" w:eastAsia="宋体" w:cs="宋体"/>
          <w:color w:val="auto"/>
          <w:sz w:val="24"/>
          <w:szCs w:val="24"/>
          <w:highlight w:val="none"/>
          <w:u w:color="000000"/>
        </w:rPr>
        <w:t>（项目名称），已接受</w:t>
      </w:r>
      <w:r>
        <w:rPr>
          <w:rFonts w:hint="eastAsia" w:ascii="宋体" w:hAnsi="宋体" w:eastAsia="宋体" w:cs="宋体"/>
          <w:b/>
          <w:bCs/>
          <w:color w:val="auto"/>
          <w:sz w:val="24"/>
          <w:szCs w:val="24"/>
          <w:highlight w:val="none"/>
          <w:u w:val="single" w:color="000000"/>
          <w:lang w:val="en-US" w:eastAsia="zh-CN"/>
        </w:rPr>
        <w:t>***</w:t>
      </w:r>
      <w:r>
        <w:rPr>
          <w:rFonts w:hint="eastAsia" w:ascii="宋体" w:hAnsi="宋体" w:eastAsia="宋体" w:cs="宋体"/>
          <w:color w:val="auto"/>
          <w:sz w:val="24"/>
          <w:szCs w:val="24"/>
          <w:highlight w:val="none"/>
          <w:u w:color="000000"/>
        </w:rPr>
        <w:t>（承包人名称，以下简称“承包人”）对该项目</w:t>
      </w:r>
      <w:r>
        <w:rPr>
          <w:rFonts w:hint="eastAsia" w:ascii="宋体" w:hAnsi="宋体" w:eastAsia="宋体" w:cs="宋体"/>
          <w:b/>
          <w:bCs/>
          <w:color w:val="auto"/>
          <w:sz w:val="24"/>
          <w:szCs w:val="24"/>
          <w:highlight w:val="none"/>
          <w:u w:val="single" w:color="000000"/>
        </w:rPr>
        <w:t>/</w:t>
      </w:r>
      <w:r>
        <w:rPr>
          <w:rFonts w:hint="eastAsia" w:ascii="宋体" w:hAnsi="宋体" w:eastAsia="宋体" w:cs="宋体"/>
          <w:color w:val="auto"/>
          <w:sz w:val="24"/>
          <w:szCs w:val="24"/>
          <w:highlight w:val="none"/>
          <w:u w:color="000000"/>
        </w:rPr>
        <w:t>标段施工的</w:t>
      </w:r>
      <w:r>
        <w:rPr>
          <w:rFonts w:hint="eastAsia" w:ascii="宋体" w:hAnsi="宋体" w:eastAsia="宋体" w:cs="宋体"/>
          <w:color w:val="auto"/>
          <w:sz w:val="24"/>
          <w:szCs w:val="24"/>
          <w:highlight w:val="none"/>
          <w:u w:color="000000"/>
          <w:lang w:val="en-US" w:eastAsia="zh-CN"/>
        </w:rPr>
        <w:t>投标</w:t>
      </w:r>
      <w:r>
        <w:rPr>
          <w:rFonts w:hint="eastAsia" w:ascii="宋体" w:hAnsi="宋体" w:eastAsia="宋体" w:cs="宋体"/>
          <w:color w:val="auto"/>
          <w:sz w:val="24"/>
          <w:szCs w:val="24"/>
          <w:highlight w:val="none"/>
          <w:u w:color="000000"/>
        </w:rPr>
        <w:t>。发包人和承包人共同达成如下协议。</w:t>
      </w:r>
    </w:p>
    <w:p w14:paraId="4660A2E8">
      <w:pPr>
        <w:widowControl/>
        <w:numPr>
          <w:ilvl w:val="0"/>
          <w:numId w:val="4"/>
        </w:numPr>
        <w:adjustRightInd/>
        <w:snapToGrid/>
        <w:spacing w:line="400" w:lineRule="exact"/>
        <w:ind w:firstLine="480" w:firstLineChars="0"/>
        <w:jc w:val="both"/>
        <w:textAlignment w:val="baseline"/>
        <w:rPr>
          <w:rFonts w:hint="eastAsia" w:ascii="宋体" w:hAnsi="宋体" w:eastAsia="宋体" w:cs="宋体"/>
          <w:color w:val="auto"/>
          <w:sz w:val="24"/>
          <w:szCs w:val="24"/>
          <w:highlight w:val="none"/>
          <w:u w:color="000000"/>
        </w:rPr>
      </w:pPr>
      <w:r>
        <w:rPr>
          <w:rFonts w:hint="eastAsia" w:ascii="宋体" w:hAnsi="宋体" w:eastAsia="宋体" w:cs="宋体"/>
          <w:color w:val="auto"/>
          <w:sz w:val="24"/>
          <w:szCs w:val="24"/>
          <w:highlight w:val="none"/>
          <w:u w:color="000000"/>
        </w:rPr>
        <w:t>本工程</w:t>
      </w:r>
      <w:r>
        <w:rPr>
          <w:rFonts w:hint="eastAsia" w:ascii="宋体" w:hAnsi="宋体" w:eastAsia="宋体" w:cs="宋体"/>
          <w:b/>
          <w:bCs/>
          <w:color w:val="auto"/>
          <w:sz w:val="24"/>
          <w:szCs w:val="24"/>
          <w:highlight w:val="none"/>
          <w:u w:val="single" w:color="auto"/>
          <w:lang w:val="en-US" w:eastAsia="zh-CN"/>
        </w:rPr>
        <w:t>工程量</w:t>
      </w:r>
      <w:r>
        <w:rPr>
          <w:rFonts w:hint="eastAsia" w:ascii="宋体" w:hAnsi="宋体" w:eastAsia="宋体" w:cs="宋体"/>
          <w:color w:val="auto"/>
          <w:sz w:val="24"/>
          <w:szCs w:val="24"/>
          <w:highlight w:val="none"/>
          <w:u w:color="000000"/>
        </w:rPr>
        <w:t>等，详见</w:t>
      </w:r>
      <w:r>
        <w:rPr>
          <w:rFonts w:hint="eastAsia" w:ascii="宋体" w:hAnsi="宋体" w:eastAsia="宋体" w:cs="宋体"/>
          <w:color w:val="auto"/>
          <w:sz w:val="24"/>
          <w:szCs w:val="24"/>
          <w:highlight w:val="none"/>
          <w:u w:color="000000"/>
          <w:lang w:val="en-US" w:eastAsia="zh-CN"/>
        </w:rPr>
        <w:t>已标价</w:t>
      </w:r>
      <w:r>
        <w:rPr>
          <w:rFonts w:hint="eastAsia" w:ascii="宋体" w:hAnsi="宋体" w:eastAsia="宋体" w:cs="宋体"/>
          <w:color w:val="auto"/>
          <w:sz w:val="24"/>
          <w:szCs w:val="24"/>
          <w:highlight w:val="none"/>
          <w:u w:color="000000"/>
        </w:rPr>
        <w:t>工程量清单及图纸。</w:t>
      </w:r>
    </w:p>
    <w:p w14:paraId="4FCE6D7A">
      <w:pPr>
        <w:widowControl/>
        <w:adjustRightInd/>
        <w:snapToGrid/>
        <w:spacing w:line="400" w:lineRule="exact"/>
        <w:ind w:firstLine="480" w:firstLineChars="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color="000000"/>
        </w:rPr>
        <w:t>2.下列文件应视为构成合同文件的组成部分：</w:t>
      </w:r>
    </w:p>
    <w:p w14:paraId="5997828F">
      <w:pPr>
        <w:widowControl/>
        <w:spacing w:line="400" w:lineRule="exact"/>
        <w:ind w:firstLine="48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color="000000"/>
        </w:rPr>
        <w:t>（1）本协议书及各种合同附件（含评标期间和合同</w:t>
      </w:r>
      <w:r>
        <w:rPr>
          <w:rFonts w:hint="eastAsia" w:ascii="宋体" w:hAnsi="宋体" w:eastAsia="宋体" w:cs="宋体"/>
          <w:color w:val="auto"/>
          <w:sz w:val="24"/>
          <w:szCs w:val="24"/>
          <w:highlight w:val="none"/>
          <w:u w:color="000000"/>
          <w:lang w:val="en-US" w:eastAsia="zh-CN"/>
        </w:rPr>
        <w:t>谈判</w:t>
      </w:r>
      <w:r>
        <w:rPr>
          <w:rFonts w:hint="eastAsia" w:ascii="宋体" w:hAnsi="宋体" w:eastAsia="宋体" w:cs="宋体"/>
          <w:color w:val="auto"/>
          <w:sz w:val="24"/>
          <w:szCs w:val="24"/>
          <w:highlight w:val="none"/>
          <w:u w:color="000000"/>
        </w:rPr>
        <w:t>过程中的澄清文件和补充资料）；</w:t>
      </w:r>
    </w:p>
    <w:p w14:paraId="553C3157">
      <w:pPr>
        <w:widowControl/>
        <w:spacing w:line="400" w:lineRule="exact"/>
        <w:ind w:firstLine="48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color="000000"/>
        </w:rPr>
        <w:t>（2）</w:t>
      </w:r>
      <w:r>
        <w:rPr>
          <w:rFonts w:hint="eastAsia" w:ascii="宋体" w:hAnsi="宋体" w:eastAsia="宋体" w:cs="宋体"/>
          <w:color w:val="auto"/>
          <w:sz w:val="24"/>
          <w:szCs w:val="24"/>
          <w:highlight w:val="none"/>
          <w:u w:color="000000"/>
          <w:lang w:val="en-US" w:eastAsia="zh-CN"/>
        </w:rPr>
        <w:t>中标</w:t>
      </w:r>
      <w:r>
        <w:rPr>
          <w:rFonts w:hint="eastAsia" w:ascii="宋体" w:hAnsi="宋体" w:eastAsia="宋体" w:cs="宋体"/>
          <w:color w:val="auto"/>
          <w:sz w:val="24"/>
          <w:szCs w:val="24"/>
          <w:highlight w:val="none"/>
          <w:u w:color="000000"/>
        </w:rPr>
        <w:t>通知书；</w:t>
      </w:r>
    </w:p>
    <w:p w14:paraId="0B4DC571">
      <w:pPr>
        <w:widowControl/>
        <w:spacing w:line="400" w:lineRule="exact"/>
        <w:ind w:firstLine="48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color="000000"/>
        </w:rPr>
        <w:t>（3）</w:t>
      </w:r>
      <w:r>
        <w:rPr>
          <w:rFonts w:hint="eastAsia" w:ascii="宋体" w:hAnsi="宋体" w:eastAsia="宋体" w:cs="宋体"/>
          <w:color w:val="auto"/>
          <w:sz w:val="24"/>
          <w:szCs w:val="24"/>
          <w:highlight w:val="none"/>
          <w:u w:color="000000"/>
          <w:lang w:val="en-US" w:eastAsia="zh-CN"/>
        </w:rPr>
        <w:t>投标函及投标函附录</w:t>
      </w:r>
      <w:r>
        <w:rPr>
          <w:rFonts w:hint="eastAsia" w:ascii="宋体" w:hAnsi="宋体" w:eastAsia="宋体" w:cs="宋体"/>
          <w:color w:val="auto"/>
          <w:sz w:val="24"/>
          <w:szCs w:val="24"/>
          <w:highlight w:val="none"/>
          <w:u w:color="000000"/>
        </w:rPr>
        <w:t>；</w:t>
      </w:r>
    </w:p>
    <w:p w14:paraId="5A1262B8">
      <w:pPr>
        <w:widowControl/>
        <w:spacing w:line="400" w:lineRule="exact"/>
        <w:ind w:firstLine="48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color="000000"/>
        </w:rPr>
        <w:t>（</w:t>
      </w:r>
      <w:r>
        <w:rPr>
          <w:rFonts w:hint="eastAsia" w:ascii="宋体" w:hAnsi="宋体" w:eastAsia="宋体" w:cs="宋体"/>
          <w:color w:val="auto"/>
          <w:sz w:val="24"/>
          <w:szCs w:val="24"/>
          <w:highlight w:val="none"/>
          <w:u w:color="000000"/>
          <w:lang w:val="en-US" w:eastAsia="zh-CN"/>
        </w:rPr>
        <w:t>4</w:t>
      </w:r>
      <w:r>
        <w:rPr>
          <w:rFonts w:hint="eastAsia" w:ascii="宋体" w:hAnsi="宋体" w:eastAsia="宋体" w:cs="宋体"/>
          <w:color w:val="auto"/>
          <w:sz w:val="24"/>
          <w:szCs w:val="24"/>
          <w:highlight w:val="none"/>
          <w:u w:color="000000"/>
        </w:rPr>
        <w:t>）项目专用合同条款；</w:t>
      </w:r>
    </w:p>
    <w:p w14:paraId="439757C2">
      <w:pPr>
        <w:widowControl/>
        <w:spacing w:line="400" w:lineRule="exact"/>
        <w:ind w:firstLine="48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color="000000"/>
        </w:rPr>
        <w:t>（</w:t>
      </w:r>
      <w:r>
        <w:rPr>
          <w:rFonts w:hint="eastAsia" w:ascii="宋体" w:hAnsi="宋体" w:eastAsia="宋体" w:cs="宋体"/>
          <w:color w:val="auto"/>
          <w:sz w:val="24"/>
          <w:szCs w:val="24"/>
          <w:highlight w:val="none"/>
          <w:u w:color="000000"/>
          <w:lang w:val="en-US" w:eastAsia="zh-CN"/>
        </w:rPr>
        <w:t>5</w:t>
      </w:r>
      <w:r>
        <w:rPr>
          <w:rFonts w:hint="eastAsia" w:ascii="宋体" w:hAnsi="宋体" w:eastAsia="宋体" w:cs="宋体"/>
          <w:color w:val="auto"/>
          <w:sz w:val="24"/>
          <w:szCs w:val="24"/>
          <w:highlight w:val="none"/>
          <w:u w:color="000000"/>
        </w:rPr>
        <w:t>）公路工程专用合同条款；</w:t>
      </w:r>
    </w:p>
    <w:p w14:paraId="7C9B76C4">
      <w:pPr>
        <w:widowControl/>
        <w:spacing w:line="400" w:lineRule="exact"/>
        <w:ind w:firstLine="480"/>
        <w:jc w:val="both"/>
        <w:rPr>
          <w:rFonts w:hint="eastAsia" w:ascii="宋体" w:hAnsi="宋体" w:eastAsia="宋体" w:cs="宋体"/>
          <w:color w:val="auto"/>
          <w:sz w:val="24"/>
          <w:szCs w:val="24"/>
          <w:highlight w:val="none"/>
          <w:u w:color="000000"/>
        </w:rPr>
      </w:pPr>
      <w:r>
        <w:rPr>
          <w:rFonts w:hint="eastAsia" w:ascii="宋体" w:hAnsi="宋体" w:eastAsia="宋体" w:cs="宋体"/>
          <w:color w:val="auto"/>
          <w:sz w:val="24"/>
          <w:szCs w:val="24"/>
          <w:highlight w:val="none"/>
          <w:u w:color="000000"/>
        </w:rPr>
        <w:t>（</w:t>
      </w:r>
      <w:r>
        <w:rPr>
          <w:rFonts w:hint="eastAsia" w:ascii="宋体" w:hAnsi="宋体" w:eastAsia="宋体" w:cs="宋体"/>
          <w:color w:val="auto"/>
          <w:sz w:val="24"/>
          <w:szCs w:val="24"/>
          <w:highlight w:val="none"/>
          <w:u w:color="000000"/>
          <w:lang w:val="en-US" w:eastAsia="zh-CN"/>
        </w:rPr>
        <w:t>6</w:t>
      </w:r>
      <w:r>
        <w:rPr>
          <w:rFonts w:hint="eastAsia" w:ascii="宋体" w:hAnsi="宋体" w:eastAsia="宋体" w:cs="宋体"/>
          <w:color w:val="auto"/>
          <w:sz w:val="24"/>
          <w:szCs w:val="24"/>
          <w:highlight w:val="none"/>
          <w:u w:color="000000"/>
        </w:rPr>
        <w:t>）通用合同条款；</w:t>
      </w:r>
    </w:p>
    <w:p w14:paraId="25363D71">
      <w:pPr>
        <w:widowControl/>
        <w:spacing w:line="400" w:lineRule="exact"/>
        <w:ind w:firstLine="480"/>
        <w:jc w:val="both"/>
        <w:rPr>
          <w:rFonts w:hint="eastAsia" w:ascii="宋体" w:hAnsi="宋体" w:eastAsia="宋体" w:cs="宋体"/>
          <w:color w:val="auto"/>
          <w:sz w:val="24"/>
          <w:szCs w:val="24"/>
          <w:highlight w:val="none"/>
          <w:u w:color="000000"/>
          <w:lang w:val="en-US" w:eastAsia="zh-CN"/>
        </w:rPr>
      </w:pPr>
      <w:r>
        <w:rPr>
          <w:rFonts w:hint="eastAsia" w:ascii="宋体" w:hAnsi="宋体" w:eastAsia="宋体" w:cs="宋体"/>
          <w:color w:val="auto"/>
          <w:sz w:val="24"/>
          <w:szCs w:val="24"/>
          <w:highlight w:val="none"/>
          <w:u w:color="000000"/>
          <w:lang w:val="en-US" w:eastAsia="zh-CN"/>
        </w:rPr>
        <w:t>（7）工程量清单计量规则；</w:t>
      </w:r>
    </w:p>
    <w:p w14:paraId="5C415348">
      <w:pPr>
        <w:widowControl/>
        <w:spacing w:line="400" w:lineRule="exact"/>
        <w:ind w:firstLine="480"/>
        <w:jc w:val="both"/>
        <w:rPr>
          <w:rFonts w:hint="eastAsia" w:ascii="宋体" w:hAnsi="宋体" w:eastAsia="宋体" w:cs="宋体"/>
          <w:color w:val="auto"/>
          <w:sz w:val="24"/>
          <w:szCs w:val="24"/>
          <w:highlight w:val="none"/>
          <w:u w:color="000000"/>
        </w:rPr>
      </w:pPr>
      <w:r>
        <w:rPr>
          <w:rFonts w:hint="eastAsia" w:ascii="宋体" w:hAnsi="宋体" w:eastAsia="宋体" w:cs="宋体"/>
          <w:color w:val="auto"/>
          <w:sz w:val="24"/>
          <w:szCs w:val="24"/>
          <w:highlight w:val="none"/>
          <w:u w:color="000000"/>
        </w:rPr>
        <w:t>（</w:t>
      </w:r>
      <w:r>
        <w:rPr>
          <w:rFonts w:hint="eastAsia" w:ascii="宋体" w:hAnsi="宋体" w:eastAsia="宋体" w:cs="宋体"/>
          <w:color w:val="auto"/>
          <w:sz w:val="24"/>
          <w:szCs w:val="24"/>
          <w:highlight w:val="none"/>
          <w:u w:color="000000"/>
          <w:lang w:val="en-US" w:eastAsia="zh-CN"/>
        </w:rPr>
        <w:t>8</w:t>
      </w:r>
      <w:r>
        <w:rPr>
          <w:rFonts w:hint="eastAsia" w:ascii="宋体" w:hAnsi="宋体" w:eastAsia="宋体" w:cs="宋体"/>
          <w:color w:val="auto"/>
          <w:sz w:val="24"/>
          <w:szCs w:val="24"/>
          <w:highlight w:val="none"/>
          <w:u w:color="000000"/>
        </w:rPr>
        <w:t>）技术规范；</w:t>
      </w:r>
    </w:p>
    <w:p w14:paraId="76E3955C">
      <w:pPr>
        <w:widowControl/>
        <w:spacing w:line="400" w:lineRule="exact"/>
        <w:ind w:firstLine="48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color="000000"/>
        </w:rPr>
        <w:t>（</w:t>
      </w:r>
      <w:r>
        <w:rPr>
          <w:rFonts w:hint="eastAsia" w:ascii="宋体" w:hAnsi="宋体" w:eastAsia="宋体" w:cs="宋体"/>
          <w:color w:val="auto"/>
          <w:sz w:val="24"/>
          <w:szCs w:val="24"/>
          <w:highlight w:val="none"/>
          <w:u w:color="000000"/>
          <w:lang w:val="en-US" w:eastAsia="zh-CN"/>
        </w:rPr>
        <w:t>9</w:t>
      </w:r>
      <w:r>
        <w:rPr>
          <w:rFonts w:hint="eastAsia" w:ascii="宋体" w:hAnsi="宋体" w:eastAsia="宋体" w:cs="宋体"/>
          <w:color w:val="auto"/>
          <w:sz w:val="24"/>
          <w:szCs w:val="24"/>
          <w:highlight w:val="none"/>
          <w:u w:color="000000"/>
        </w:rPr>
        <w:t>）图纸；</w:t>
      </w:r>
    </w:p>
    <w:p w14:paraId="76E353E8">
      <w:pPr>
        <w:widowControl/>
        <w:spacing w:line="400" w:lineRule="exact"/>
        <w:ind w:firstLine="48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color="000000"/>
        </w:rPr>
        <w:t>（</w:t>
      </w:r>
      <w:r>
        <w:rPr>
          <w:rFonts w:hint="eastAsia" w:ascii="宋体" w:hAnsi="宋体" w:eastAsia="宋体" w:cs="宋体"/>
          <w:color w:val="auto"/>
          <w:sz w:val="24"/>
          <w:szCs w:val="24"/>
          <w:highlight w:val="none"/>
          <w:u w:color="000000"/>
          <w:lang w:val="en-US" w:eastAsia="zh-CN"/>
        </w:rPr>
        <w:t>10</w:t>
      </w:r>
      <w:r>
        <w:rPr>
          <w:rFonts w:hint="eastAsia" w:ascii="宋体" w:hAnsi="宋体" w:eastAsia="宋体" w:cs="宋体"/>
          <w:color w:val="auto"/>
          <w:sz w:val="24"/>
          <w:szCs w:val="24"/>
          <w:highlight w:val="none"/>
          <w:u w:color="000000"/>
        </w:rPr>
        <w:t>）已标价工程量清单；</w:t>
      </w:r>
    </w:p>
    <w:p w14:paraId="24ABA4F8">
      <w:pPr>
        <w:widowControl/>
        <w:spacing w:line="400" w:lineRule="exact"/>
        <w:ind w:firstLine="48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color="000000"/>
        </w:rPr>
        <w:t>（1</w:t>
      </w:r>
      <w:r>
        <w:rPr>
          <w:rFonts w:hint="eastAsia" w:ascii="宋体" w:hAnsi="宋体" w:eastAsia="宋体" w:cs="宋体"/>
          <w:color w:val="auto"/>
          <w:sz w:val="24"/>
          <w:szCs w:val="24"/>
          <w:highlight w:val="none"/>
          <w:u w:color="000000"/>
          <w:lang w:val="en-US" w:eastAsia="zh-CN"/>
        </w:rPr>
        <w:t>1</w:t>
      </w:r>
      <w:r>
        <w:rPr>
          <w:rFonts w:hint="eastAsia" w:ascii="宋体" w:hAnsi="宋体" w:eastAsia="宋体" w:cs="宋体"/>
          <w:color w:val="auto"/>
          <w:sz w:val="24"/>
          <w:szCs w:val="24"/>
          <w:highlight w:val="none"/>
          <w:u w:color="000000"/>
        </w:rPr>
        <w:t>）承包人有关人员、设备投入的承诺及</w:t>
      </w:r>
      <w:r>
        <w:rPr>
          <w:rFonts w:hint="eastAsia" w:ascii="宋体" w:hAnsi="宋体" w:eastAsia="宋体" w:cs="宋体"/>
          <w:color w:val="auto"/>
          <w:sz w:val="24"/>
          <w:szCs w:val="24"/>
          <w:highlight w:val="none"/>
          <w:u w:color="000000"/>
          <w:lang w:val="en-US" w:eastAsia="zh-CN"/>
        </w:rPr>
        <w:t>投标</w:t>
      </w:r>
      <w:r>
        <w:rPr>
          <w:rFonts w:hint="eastAsia" w:ascii="宋体" w:hAnsi="宋体" w:eastAsia="宋体" w:cs="宋体"/>
          <w:color w:val="auto"/>
          <w:sz w:val="24"/>
          <w:szCs w:val="24"/>
          <w:highlight w:val="none"/>
          <w:u w:color="000000"/>
        </w:rPr>
        <w:t>文件中的施工组织设计；</w:t>
      </w:r>
    </w:p>
    <w:p w14:paraId="3D35F125">
      <w:pPr>
        <w:widowControl/>
        <w:spacing w:line="400" w:lineRule="exact"/>
        <w:ind w:firstLine="48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color="000000"/>
        </w:rPr>
        <w:t>（1</w:t>
      </w:r>
      <w:r>
        <w:rPr>
          <w:rFonts w:hint="eastAsia" w:ascii="宋体" w:hAnsi="宋体" w:eastAsia="宋体" w:cs="宋体"/>
          <w:color w:val="auto"/>
          <w:sz w:val="24"/>
          <w:szCs w:val="24"/>
          <w:highlight w:val="none"/>
          <w:u w:color="000000"/>
          <w:lang w:val="en-US" w:eastAsia="zh-CN"/>
        </w:rPr>
        <w:t>2</w:t>
      </w:r>
      <w:r>
        <w:rPr>
          <w:rFonts w:hint="eastAsia" w:ascii="宋体" w:hAnsi="宋体" w:eastAsia="宋体" w:cs="宋体"/>
          <w:color w:val="auto"/>
          <w:sz w:val="24"/>
          <w:szCs w:val="24"/>
          <w:highlight w:val="none"/>
          <w:u w:color="000000"/>
        </w:rPr>
        <w:t>）其他合同文件。</w:t>
      </w:r>
    </w:p>
    <w:p w14:paraId="7DB3188E">
      <w:pPr>
        <w:widowControl/>
        <w:adjustRightInd/>
        <w:snapToGrid/>
        <w:spacing w:line="400" w:lineRule="exact"/>
        <w:ind w:firstLine="480" w:firstLineChars="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color="000000"/>
        </w:rPr>
        <w:t>上述合同文件互相补充和解释。如果合同文件之间存在矛盾或不一致之处，以上述文件的排列顺序在先者为准。</w:t>
      </w:r>
    </w:p>
    <w:p w14:paraId="60159476">
      <w:pPr>
        <w:widowControl/>
        <w:adjustRightInd/>
        <w:snapToGrid/>
        <w:spacing w:line="400" w:lineRule="exact"/>
        <w:ind w:firstLine="480" w:firstLineChars="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color="000000"/>
        </w:rPr>
        <w:t>3.根据工程量清单所列的预计数量和单价或总额价计算的签约合同价：人民币（大写）</w:t>
      </w:r>
      <w:r>
        <w:rPr>
          <w:rFonts w:hint="eastAsia" w:ascii="宋体" w:hAnsi="宋体" w:eastAsia="宋体" w:cs="宋体"/>
          <w:color w:val="auto"/>
          <w:sz w:val="24"/>
          <w:szCs w:val="24"/>
          <w:highlight w:val="none"/>
          <w:u w:val="single" w:color="auto"/>
          <w:lang w:val="en-US" w:eastAsia="zh-CN"/>
        </w:rPr>
        <w:t>大写</w:t>
      </w:r>
      <w:r>
        <w:rPr>
          <w:rFonts w:hint="eastAsia" w:ascii="宋体" w:hAnsi="宋体" w:eastAsia="宋体" w:cs="宋体"/>
          <w:color w:val="auto"/>
          <w:sz w:val="24"/>
          <w:szCs w:val="24"/>
          <w:highlight w:val="none"/>
          <w:u w:color="000000"/>
        </w:rPr>
        <w:t>元（¥）。合同价格形式：</w:t>
      </w:r>
      <w:r>
        <w:rPr>
          <w:rFonts w:hint="eastAsia" w:ascii="宋体" w:hAnsi="宋体" w:eastAsia="宋体" w:cs="宋体"/>
          <w:color w:val="auto"/>
          <w:sz w:val="24"/>
          <w:szCs w:val="24"/>
          <w:highlight w:val="none"/>
          <w:u w:val="single" w:color="000000"/>
        </w:rPr>
        <w:t>综合单价</w:t>
      </w:r>
      <w:r>
        <w:rPr>
          <w:rFonts w:hint="eastAsia" w:ascii="宋体" w:hAnsi="宋体" w:eastAsia="宋体" w:cs="宋体"/>
          <w:color w:val="auto"/>
          <w:sz w:val="24"/>
          <w:szCs w:val="24"/>
          <w:highlight w:val="none"/>
          <w:u w:color="000000"/>
        </w:rPr>
        <w:t>。</w:t>
      </w:r>
    </w:p>
    <w:p w14:paraId="06A7DCF0">
      <w:pPr>
        <w:widowControl/>
        <w:adjustRightInd/>
        <w:snapToGrid/>
        <w:spacing w:line="400" w:lineRule="exact"/>
        <w:ind w:firstLine="480" w:firstLineChars="0"/>
        <w:jc w:val="both"/>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color="000000"/>
        </w:rPr>
        <w:t>4.承包人项目经理：</w:t>
      </w:r>
      <w:r>
        <w:rPr>
          <w:rFonts w:hint="eastAsia" w:ascii="宋体" w:hAnsi="宋体" w:eastAsia="宋体" w:cs="宋体"/>
          <w:color w:val="auto"/>
          <w:sz w:val="24"/>
          <w:szCs w:val="24"/>
          <w:highlight w:val="none"/>
          <w:u w:val="single" w:color="000000"/>
        </w:rPr>
        <w:t>，</w:t>
      </w:r>
      <w:r>
        <w:rPr>
          <w:rFonts w:hint="eastAsia" w:ascii="宋体" w:hAnsi="宋体" w:eastAsia="宋体" w:cs="宋体"/>
          <w:color w:val="auto"/>
          <w:sz w:val="24"/>
          <w:szCs w:val="24"/>
          <w:highlight w:val="none"/>
          <w:u w:color="000000"/>
        </w:rPr>
        <w:t>注册编号：；</w:t>
      </w:r>
    </w:p>
    <w:p w14:paraId="60D96879">
      <w:pPr>
        <w:widowControl/>
        <w:adjustRightInd/>
        <w:snapToGrid/>
        <w:spacing w:line="400" w:lineRule="exact"/>
        <w:ind w:firstLine="480" w:firstLineChars="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color="000000"/>
        </w:rPr>
        <w:t>承包人项目总工：</w:t>
      </w:r>
      <w:r>
        <w:rPr>
          <w:rFonts w:hint="eastAsia" w:ascii="宋体" w:hAnsi="宋体" w:eastAsia="宋体" w:cs="宋体"/>
          <w:color w:val="auto"/>
          <w:sz w:val="24"/>
          <w:szCs w:val="24"/>
          <w:highlight w:val="none"/>
          <w:u w:val="single" w:color="000000"/>
        </w:rPr>
        <w:t>，</w:t>
      </w:r>
      <w:r>
        <w:rPr>
          <w:rFonts w:hint="eastAsia" w:ascii="宋体" w:hAnsi="宋体" w:eastAsia="宋体" w:cs="宋体"/>
          <w:color w:val="auto"/>
          <w:sz w:val="24"/>
          <w:szCs w:val="24"/>
          <w:highlight w:val="none"/>
          <w:u w:color="000000"/>
        </w:rPr>
        <w:t>职称证编号：。</w:t>
      </w:r>
    </w:p>
    <w:p w14:paraId="1390D58D">
      <w:pPr>
        <w:widowControl/>
        <w:adjustRightInd/>
        <w:snapToGrid/>
        <w:spacing w:line="400" w:lineRule="exact"/>
        <w:ind w:firstLine="480" w:firstLineChars="0"/>
        <w:jc w:val="both"/>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color="000000"/>
        </w:rPr>
        <w:t>5.工程质量符合</w:t>
      </w:r>
      <w:r>
        <w:rPr>
          <w:rFonts w:hint="eastAsia" w:ascii="宋体" w:hAnsi="宋体" w:eastAsia="宋体" w:cs="宋体"/>
          <w:b/>
          <w:bCs/>
          <w:color w:val="auto"/>
          <w:sz w:val="24"/>
          <w:szCs w:val="24"/>
          <w:highlight w:val="none"/>
          <w:u w:val="single" w:color="000000"/>
        </w:rPr>
        <w:t>达到国家质量标准合格等级</w:t>
      </w:r>
      <w:r>
        <w:rPr>
          <w:rFonts w:hint="eastAsia" w:ascii="宋体" w:hAnsi="宋体" w:eastAsia="宋体" w:cs="宋体"/>
          <w:color w:val="auto"/>
          <w:sz w:val="24"/>
          <w:szCs w:val="24"/>
          <w:highlight w:val="none"/>
          <w:u w:color="000000"/>
        </w:rPr>
        <w:t>标准。工程安全目标：</w:t>
      </w:r>
      <w:r>
        <w:rPr>
          <w:rFonts w:hint="eastAsia" w:ascii="宋体" w:hAnsi="宋体" w:eastAsia="宋体" w:cs="宋体"/>
          <w:b/>
          <w:bCs/>
          <w:color w:val="auto"/>
          <w:sz w:val="24"/>
          <w:szCs w:val="24"/>
          <w:highlight w:val="none"/>
          <w:u w:val="single" w:color="000000"/>
        </w:rPr>
        <w:t>无事故</w:t>
      </w:r>
      <w:r>
        <w:rPr>
          <w:rFonts w:hint="eastAsia" w:ascii="宋体" w:hAnsi="宋体" w:eastAsia="宋体" w:cs="宋体"/>
          <w:color w:val="auto"/>
          <w:sz w:val="24"/>
          <w:szCs w:val="24"/>
          <w:highlight w:val="none"/>
          <w:u w:color="000000"/>
        </w:rPr>
        <w:t>。</w:t>
      </w:r>
    </w:p>
    <w:p w14:paraId="7406B6FE">
      <w:pPr>
        <w:widowControl/>
        <w:adjustRightInd/>
        <w:snapToGrid/>
        <w:spacing w:line="400" w:lineRule="exact"/>
        <w:ind w:firstLine="480" w:firstLineChars="0"/>
        <w:jc w:val="both"/>
        <w:textAlignment w:val="baseline"/>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u w:color="000000"/>
          <w:lang w:val="en-US" w:eastAsia="zh-CN"/>
        </w:rPr>
        <w:t>6.</w:t>
      </w:r>
      <w:r>
        <w:rPr>
          <w:rFonts w:hint="eastAsia" w:ascii="宋体" w:hAnsi="宋体" w:eastAsia="宋体" w:cs="宋体"/>
          <w:color w:val="auto"/>
          <w:sz w:val="24"/>
          <w:szCs w:val="24"/>
          <w:highlight w:val="none"/>
          <w:u w:color="000000"/>
        </w:rPr>
        <w:t>工程履约担保金额为</w:t>
      </w:r>
      <w:r>
        <w:rPr>
          <w:rFonts w:hint="eastAsia" w:ascii="宋体" w:hAnsi="宋体" w:eastAsia="宋体" w:cs="宋体"/>
          <w:b/>
          <w:bCs/>
          <w:color w:val="auto"/>
          <w:sz w:val="24"/>
          <w:szCs w:val="24"/>
          <w:highlight w:val="none"/>
          <w:u w:val="single" w:color="000000"/>
        </w:rPr>
        <w:t>2</w:t>
      </w:r>
      <w:r>
        <w:rPr>
          <w:rFonts w:hint="eastAsia" w:ascii="宋体" w:hAnsi="宋体" w:eastAsia="宋体" w:cs="宋体"/>
          <w:color w:val="auto"/>
          <w:sz w:val="24"/>
          <w:szCs w:val="24"/>
          <w:highlight w:val="none"/>
          <w:u w:color="000000"/>
        </w:rPr>
        <w:t>%签约合同价</w:t>
      </w:r>
      <w:r>
        <w:rPr>
          <w:rFonts w:hint="eastAsia" w:ascii="宋体" w:hAnsi="宋体" w:eastAsia="宋体" w:cs="宋体"/>
          <w:b/>
          <w:color w:val="auto"/>
          <w:sz w:val="24"/>
          <w:szCs w:val="24"/>
          <w:highlight w:val="none"/>
          <w:u w:color="000000"/>
        </w:rPr>
        <w:t>（待全部工程完工经交工验收合格并按约定缴纳</w:t>
      </w:r>
      <w:r>
        <w:rPr>
          <w:rFonts w:hint="eastAsia" w:ascii="宋体" w:hAnsi="宋体" w:eastAsia="宋体" w:cs="宋体"/>
          <w:b/>
          <w:bCs/>
          <w:color w:val="auto"/>
          <w:sz w:val="24"/>
          <w:szCs w:val="24"/>
          <w:highlight w:val="none"/>
          <w:u w:val="single" w:color="000000"/>
        </w:rPr>
        <w:t>3</w:t>
      </w:r>
      <w:r>
        <w:rPr>
          <w:rFonts w:hint="eastAsia" w:ascii="宋体" w:hAnsi="宋体" w:eastAsia="宋体" w:cs="宋体"/>
          <w:color w:val="auto"/>
          <w:sz w:val="24"/>
          <w:szCs w:val="24"/>
          <w:highlight w:val="none"/>
          <w:u w:color="000000"/>
        </w:rPr>
        <w:t>%</w:t>
      </w:r>
      <w:r>
        <w:rPr>
          <w:rFonts w:hint="eastAsia" w:ascii="宋体" w:hAnsi="宋体" w:eastAsia="宋体" w:cs="宋体"/>
          <w:b/>
          <w:color w:val="auto"/>
          <w:sz w:val="24"/>
          <w:szCs w:val="24"/>
          <w:highlight w:val="none"/>
          <w:u w:color="000000"/>
        </w:rPr>
        <w:t>的工程质量保证金后由承包人提出申请28天内把履约保证金(无息）退还给承包人）；</w:t>
      </w:r>
      <w:r>
        <w:rPr>
          <w:rFonts w:hint="eastAsia" w:ascii="宋体" w:hAnsi="宋体" w:eastAsia="宋体" w:cs="宋体"/>
          <w:color w:val="auto"/>
          <w:sz w:val="24"/>
          <w:szCs w:val="24"/>
          <w:highlight w:val="none"/>
          <w:u w:color="000000"/>
        </w:rPr>
        <w:t>工程开工预付款为</w:t>
      </w:r>
      <w:r>
        <w:rPr>
          <w:rFonts w:hint="eastAsia" w:ascii="宋体" w:hAnsi="宋体" w:eastAsia="宋体" w:cs="宋体"/>
          <w:color w:val="auto"/>
          <w:sz w:val="24"/>
          <w:szCs w:val="24"/>
          <w:highlight w:val="none"/>
          <w:u w:val="single" w:color="auto"/>
          <w:lang w:val="en-US" w:eastAsia="zh-CN"/>
        </w:rPr>
        <w:t>10</w:t>
      </w:r>
      <w:r>
        <w:rPr>
          <w:rFonts w:hint="eastAsia" w:ascii="宋体" w:hAnsi="宋体" w:eastAsia="宋体" w:cs="宋体"/>
          <w:color w:val="auto"/>
          <w:sz w:val="24"/>
          <w:szCs w:val="24"/>
          <w:highlight w:val="none"/>
          <w:u w:color="000000"/>
        </w:rPr>
        <w:t>%签约合同价；工程材料、设备预付款为砂、碎石、水泥等主要材料、设备单据所列费用的</w:t>
      </w:r>
      <w:r>
        <w:rPr>
          <w:rFonts w:hint="eastAsia" w:ascii="宋体" w:hAnsi="宋体" w:eastAsia="宋体" w:cs="宋体"/>
          <w:color w:val="auto"/>
          <w:sz w:val="24"/>
          <w:szCs w:val="24"/>
          <w:highlight w:val="none"/>
          <w:u w:val="single" w:color="auto"/>
          <w:lang w:val="en-US" w:eastAsia="zh-CN"/>
        </w:rPr>
        <w:t>70</w:t>
      </w:r>
      <w:r>
        <w:rPr>
          <w:rFonts w:hint="eastAsia" w:ascii="宋体" w:hAnsi="宋体" w:eastAsia="宋体" w:cs="宋体"/>
          <w:color w:val="auto"/>
          <w:sz w:val="24"/>
          <w:szCs w:val="24"/>
          <w:highlight w:val="none"/>
          <w:u w:color="000000"/>
        </w:rPr>
        <w:t>%；工程进度款按进度支付，但每次工程进度款申请付款证书的最低限额为</w:t>
      </w:r>
      <w:r>
        <w:rPr>
          <w:rFonts w:hint="eastAsia" w:ascii="宋体" w:hAnsi="宋体" w:eastAsia="宋体" w:cs="宋体"/>
          <w:b w:val="0"/>
          <w:bCs w:val="0"/>
          <w:color w:val="auto"/>
          <w:sz w:val="24"/>
          <w:szCs w:val="24"/>
          <w:highlight w:val="none"/>
          <w:u w:val="single" w:color="auto"/>
        </w:rPr>
        <w:t>3</w:t>
      </w:r>
      <w:r>
        <w:rPr>
          <w:rFonts w:hint="eastAsia" w:ascii="宋体" w:hAnsi="宋体" w:eastAsia="宋体" w:cs="宋体"/>
          <w:b w:val="0"/>
          <w:bCs w:val="0"/>
          <w:color w:val="auto"/>
          <w:sz w:val="24"/>
          <w:szCs w:val="24"/>
          <w:highlight w:val="none"/>
          <w:u w:val="single" w:color="000000"/>
        </w:rPr>
        <w:t>0</w:t>
      </w:r>
      <w:r>
        <w:rPr>
          <w:rFonts w:hint="eastAsia" w:ascii="宋体" w:hAnsi="宋体" w:eastAsia="宋体" w:cs="宋体"/>
          <w:color w:val="auto"/>
          <w:sz w:val="24"/>
          <w:szCs w:val="24"/>
          <w:highlight w:val="none"/>
          <w:u w:color="000000"/>
        </w:rPr>
        <w:t>%签约合同价；农民工工资保证金在项目成交后，成交供应商按合同价的</w:t>
      </w:r>
      <w:r>
        <w:rPr>
          <w:rFonts w:hint="eastAsia" w:ascii="宋体" w:hAnsi="宋体" w:eastAsia="宋体" w:cs="宋体"/>
          <w:b/>
          <w:bCs/>
          <w:color w:val="auto"/>
          <w:sz w:val="24"/>
          <w:szCs w:val="24"/>
          <w:highlight w:val="none"/>
          <w:u w:val="single" w:color="auto"/>
        </w:rPr>
        <w:t>1</w:t>
      </w:r>
      <w:r>
        <w:rPr>
          <w:rFonts w:hint="eastAsia" w:ascii="宋体" w:hAnsi="宋体" w:eastAsia="宋体" w:cs="宋体"/>
          <w:color w:val="auto"/>
          <w:sz w:val="24"/>
          <w:szCs w:val="24"/>
          <w:highlight w:val="none"/>
          <w:u w:val="single" w:color="auto"/>
        </w:rPr>
        <w:t>%</w:t>
      </w:r>
      <w:r>
        <w:rPr>
          <w:rFonts w:hint="eastAsia" w:ascii="宋体" w:hAnsi="宋体" w:eastAsia="宋体" w:cs="宋体"/>
          <w:color w:val="auto"/>
          <w:sz w:val="24"/>
          <w:szCs w:val="24"/>
          <w:highlight w:val="none"/>
          <w:u w:color="000000"/>
        </w:rPr>
        <w:t>缴存农民工工资保证金至工程项目所在地商业银行开设的农民工工资保证金专用帐户中</w:t>
      </w:r>
      <w:r>
        <w:rPr>
          <w:rFonts w:hint="eastAsia" w:ascii="宋体" w:hAnsi="宋体" w:eastAsia="宋体" w:cs="宋体"/>
          <w:b/>
          <w:color w:val="auto"/>
          <w:sz w:val="24"/>
          <w:szCs w:val="24"/>
          <w:highlight w:val="none"/>
          <w:u w:color="000000"/>
        </w:rPr>
        <w:t>（注：如农民工工资缴存到三方监管专户的，农民工工资具体的缴存及退还方式以三方监管相关规定为准）。</w:t>
      </w:r>
    </w:p>
    <w:p w14:paraId="340B434C">
      <w:pPr>
        <w:widowControl/>
        <w:adjustRightInd/>
        <w:snapToGrid/>
        <w:spacing w:line="400" w:lineRule="exact"/>
        <w:ind w:firstLine="480" w:firstLineChars="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color="000000"/>
          <w:lang w:val="en-US" w:eastAsia="zh-CN"/>
        </w:rPr>
        <w:t>7.</w:t>
      </w:r>
      <w:r>
        <w:rPr>
          <w:rFonts w:hint="eastAsia" w:ascii="宋体" w:hAnsi="宋体" w:eastAsia="宋体" w:cs="宋体"/>
          <w:color w:val="auto"/>
          <w:sz w:val="24"/>
          <w:szCs w:val="24"/>
          <w:highlight w:val="none"/>
          <w:u w:color="000000"/>
        </w:rPr>
        <w:t>工程开工预付款、材料预付款的扣回与还清：</w:t>
      </w:r>
    </w:p>
    <w:p w14:paraId="23E9DDBC">
      <w:pPr>
        <w:widowControl/>
        <w:adjustRightInd/>
        <w:snapToGrid/>
        <w:spacing w:line="400" w:lineRule="exact"/>
        <w:ind w:firstLine="570" w:firstLineChars="25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u w:color="000000"/>
        </w:rPr>
        <w:t>(1)开工预付款在进度付款证书的累计金额未达到签约合同价的30%之前不予扣回，</w:t>
      </w:r>
      <w:r>
        <w:rPr>
          <w:rFonts w:hint="eastAsia" w:ascii="宋体" w:hAnsi="宋体" w:eastAsia="宋体" w:cs="宋体"/>
          <w:color w:val="auto"/>
          <w:sz w:val="24"/>
          <w:szCs w:val="24"/>
          <w:highlight w:val="none"/>
          <w:u w:color="000000"/>
        </w:rPr>
        <w:t>在达到签约合同价30%之后，开始按工程进度以固定比例(即每完成签约合同价的1%，扣回开工预付款的2%)分期从各月的进度付款证书中扣回，全部金额在进度付款证书的累计金额达到签约合同价的80%时扣完。</w:t>
      </w:r>
    </w:p>
    <w:p w14:paraId="4C8A26FF">
      <w:pPr>
        <w:widowControl/>
        <w:adjustRightInd/>
        <w:snapToGrid/>
        <w:spacing w:line="400" w:lineRule="exact"/>
        <w:ind w:firstLine="480" w:firstLineChars="0"/>
        <w:jc w:val="both"/>
        <w:textAlignment w:val="baseline"/>
        <w:rPr>
          <w:rFonts w:hint="eastAsia" w:ascii="宋体" w:hAnsi="宋体" w:eastAsia="宋体" w:cs="宋体"/>
          <w:color w:val="auto"/>
          <w:sz w:val="24"/>
          <w:szCs w:val="24"/>
          <w:highlight w:val="none"/>
          <w:u w:color="000000"/>
        </w:rPr>
      </w:pPr>
      <w:r>
        <w:rPr>
          <w:rFonts w:hint="eastAsia" w:ascii="宋体" w:hAnsi="宋体" w:eastAsia="宋体" w:cs="宋体"/>
          <w:color w:val="auto"/>
          <w:sz w:val="24"/>
          <w:szCs w:val="24"/>
          <w:highlight w:val="none"/>
          <w:u w:color="000000"/>
        </w:rPr>
        <w:t>(2)当材料、设备已用于或安装在永久工程之中时，材料、设备预付款应从进度付款证书中扣回，扣回期不超过3个月。已经支付材料、设备预付款的材料、设备的所有权应属于发包人。</w:t>
      </w:r>
    </w:p>
    <w:p w14:paraId="74477E21">
      <w:pPr>
        <w:widowControl/>
        <w:adjustRightInd/>
        <w:snapToGrid/>
        <w:spacing w:line="400" w:lineRule="exact"/>
        <w:ind w:firstLine="480" w:firstLineChars="0"/>
        <w:jc w:val="both"/>
        <w:textAlignment w:val="baseline"/>
        <w:rPr>
          <w:rFonts w:hint="eastAsia" w:ascii="宋体" w:hAnsi="宋体" w:eastAsia="宋体" w:cs="宋体"/>
          <w:color w:val="auto"/>
          <w:sz w:val="24"/>
          <w:szCs w:val="24"/>
          <w:highlight w:val="none"/>
          <w:u w:color="000000"/>
          <w:lang w:val="en-US" w:eastAsia="zh-CN"/>
        </w:rPr>
      </w:pPr>
      <w:r>
        <w:rPr>
          <w:rFonts w:hint="eastAsia" w:ascii="宋体" w:hAnsi="宋体" w:eastAsia="宋体" w:cs="宋体"/>
          <w:color w:val="auto"/>
          <w:sz w:val="24"/>
          <w:szCs w:val="24"/>
          <w:highlight w:val="none"/>
          <w:u w:color="000000"/>
          <w:lang w:val="en-US" w:eastAsia="zh-CN"/>
        </w:rPr>
        <w:t>8.工程进度款支付、工程竣工价款结算</w:t>
      </w:r>
    </w:p>
    <w:p w14:paraId="28EED5B4">
      <w:pPr>
        <w:widowControl/>
        <w:adjustRightInd/>
        <w:snapToGrid/>
        <w:spacing w:line="400" w:lineRule="exact"/>
        <w:ind w:firstLine="480" w:firstLineChars="0"/>
        <w:jc w:val="both"/>
        <w:textAlignment w:val="baseline"/>
        <w:rPr>
          <w:rFonts w:hint="eastAsia" w:ascii="宋体" w:hAnsi="宋体" w:eastAsia="宋体" w:cs="宋体"/>
          <w:color w:val="auto"/>
          <w:sz w:val="24"/>
          <w:szCs w:val="24"/>
          <w:highlight w:val="none"/>
          <w:u w:color="000000"/>
          <w:lang w:val="en-US" w:eastAsia="zh-CN"/>
        </w:rPr>
      </w:pPr>
      <w:r>
        <w:rPr>
          <w:rFonts w:hint="eastAsia" w:ascii="宋体" w:hAnsi="宋体" w:eastAsia="宋体" w:cs="宋体"/>
          <w:color w:val="auto"/>
          <w:sz w:val="24"/>
          <w:szCs w:val="24"/>
          <w:highlight w:val="none"/>
          <w:u w:color="000000"/>
          <w:lang w:val="en-US" w:eastAsia="zh-CN"/>
        </w:rPr>
        <w:t>根据确定的工程计量结果，承包人向发包人提出支付工程进度款申请，发包人应按不低于工程价款的80%，不高于工程价款的90%向承包人支付工程进度款。发包人收到承包人递交的竣工结算报告及完整的结算资料后，进行核实，给予确认或者提出修改意见。发包人根据确认的竣工结算报告向承包人支付工程竣工结算价款。</w:t>
      </w:r>
    </w:p>
    <w:p w14:paraId="3C2BE4C9">
      <w:pPr>
        <w:widowControl/>
        <w:adjustRightInd/>
        <w:snapToGrid/>
        <w:spacing w:line="400" w:lineRule="exact"/>
        <w:ind w:firstLine="480" w:firstLineChars="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color="000000"/>
          <w:lang w:val="en-US" w:eastAsia="zh-CN"/>
        </w:rPr>
        <w:t>9</w:t>
      </w:r>
      <w:r>
        <w:rPr>
          <w:rFonts w:hint="eastAsia" w:ascii="宋体" w:hAnsi="宋体" w:eastAsia="宋体" w:cs="宋体"/>
          <w:color w:val="auto"/>
          <w:sz w:val="24"/>
          <w:szCs w:val="24"/>
          <w:highlight w:val="none"/>
          <w:u w:color="000000"/>
        </w:rPr>
        <w:t>.农民工工资保证金的退回：</w:t>
      </w:r>
    </w:p>
    <w:p w14:paraId="19F8EA87">
      <w:pPr>
        <w:keepNext w:val="0"/>
        <w:keepLines w:val="0"/>
        <w:pageBreakBefore w:val="0"/>
        <w:widowControl/>
        <w:kinsoku w:val="0"/>
        <w:wordWrap/>
        <w:overflowPunct w:val="0"/>
        <w:topLinePunct w:val="0"/>
        <w:autoSpaceDE w:val="0"/>
        <w:autoSpaceDN w:val="0"/>
        <w:bidi w:val="0"/>
        <w:adjustRightInd/>
        <w:snapToGrid/>
        <w:spacing w:line="400" w:lineRule="exact"/>
        <w:ind w:right="0" w:firstLine="482" w:firstLineChars="0"/>
        <w:jc w:val="both"/>
        <w:textAlignment w:val="baseline"/>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在工程竣工验收合格并对验收发现的问题完成整改后，成交施工企业向发包人完成（施工）竣工资料移交手续及工程缺陷责任期满后，成交施工企业向保证金开设帐户所在地的人力资源社会保障部门提出解除农民工工资保证金专用帐户资金监管申请，人力资源社会保障部门按规定程序核实无拖欠农民工工资后，向账户开设银行出具解除农民工工资保证金帐户资金监管通知银行据此对农民工工资保证金帐户中的资金解除监管。（注：在工程竣工验收合格并对验收发现的问题完成整改后，施工单位向发包人完成（施工）竣工和农民工工资相关资料移交手续及工程缺陷责任期满后，可向发包人申请退还农民工工资保证金，发包人应按规定程序核实无拖欠农民工工资后,在收到申请之日起28个日历天内扣减承包人赔偿金和其他应从施工单位扣回的款项后，将农民工工资保证金无息退还给施工单位）。</w:t>
      </w:r>
    </w:p>
    <w:p w14:paraId="26515A75">
      <w:pPr>
        <w:keepNext w:val="0"/>
        <w:keepLines w:val="0"/>
        <w:pageBreakBefore w:val="0"/>
        <w:widowControl/>
        <w:kinsoku w:val="0"/>
        <w:wordWrap/>
        <w:overflowPunct w:val="0"/>
        <w:topLinePunct w:val="0"/>
        <w:autoSpaceDE w:val="0"/>
        <w:autoSpaceDN w:val="0"/>
        <w:bidi w:val="0"/>
        <w:adjustRightInd/>
        <w:snapToGrid/>
        <w:spacing w:line="400" w:lineRule="exact"/>
        <w:ind w:right="0" w:firstLine="482" w:firstLineChars="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rPr>
        <w:t>10.</w:t>
      </w:r>
      <w:r>
        <w:rPr>
          <w:rFonts w:hint="eastAsia" w:ascii="宋体" w:hAnsi="宋体" w:eastAsia="宋体" w:cs="宋体"/>
          <w:color w:val="auto"/>
          <w:sz w:val="24"/>
          <w:szCs w:val="24"/>
          <w:highlight w:val="none"/>
          <w:u w:color="000000"/>
        </w:rPr>
        <w:t>在到达农民工工资保证金退还日期前，若成交供应商的开户名称、开户银行、帐号有变动的，请以书面形式通知相关单位，否则由此产生的后果由成交供应商自负。</w:t>
      </w:r>
    </w:p>
    <w:p w14:paraId="0FC18DC3">
      <w:pPr>
        <w:widowControl/>
        <w:numPr>
          <w:ilvl w:val="0"/>
          <w:numId w:val="0"/>
        </w:numPr>
        <w:adjustRightInd/>
        <w:snapToGrid/>
        <w:spacing w:line="400" w:lineRule="exact"/>
        <w:ind w:firstLine="48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color="000000"/>
          <w:lang w:val="en-US" w:eastAsia="zh-CN"/>
        </w:rPr>
        <w:t>11.</w:t>
      </w:r>
      <w:r>
        <w:rPr>
          <w:rFonts w:hint="eastAsia" w:ascii="宋体" w:hAnsi="宋体" w:eastAsia="宋体" w:cs="宋体"/>
          <w:color w:val="auto"/>
          <w:sz w:val="24"/>
          <w:szCs w:val="24"/>
          <w:highlight w:val="none"/>
          <w:u w:color="000000"/>
        </w:rPr>
        <w:t>承包人承诺按合同约定承担工程的实施、完成及缺陷修复。</w:t>
      </w:r>
    </w:p>
    <w:p w14:paraId="7C98B777">
      <w:pPr>
        <w:widowControl/>
        <w:numPr>
          <w:ilvl w:val="0"/>
          <w:numId w:val="0"/>
        </w:numPr>
        <w:adjustRightInd/>
        <w:snapToGrid/>
        <w:spacing w:line="400" w:lineRule="exact"/>
        <w:ind w:firstLine="48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color="000000"/>
          <w:lang w:val="en-US" w:eastAsia="zh-CN"/>
        </w:rPr>
        <w:t>12.</w:t>
      </w:r>
      <w:r>
        <w:rPr>
          <w:rFonts w:hint="eastAsia" w:ascii="宋体" w:hAnsi="宋体" w:eastAsia="宋体" w:cs="宋体"/>
          <w:color w:val="auto"/>
          <w:sz w:val="24"/>
          <w:szCs w:val="24"/>
          <w:highlight w:val="none"/>
          <w:u w:color="000000"/>
        </w:rPr>
        <w:t>发包人承诺按合同约定的条件、时间和方式向承包人支付合同价款。</w:t>
      </w:r>
    </w:p>
    <w:p w14:paraId="06B4A574">
      <w:pPr>
        <w:widowControl/>
        <w:numPr>
          <w:ilvl w:val="0"/>
          <w:numId w:val="0"/>
        </w:numPr>
        <w:adjustRightInd/>
        <w:snapToGrid/>
        <w:spacing w:line="400" w:lineRule="exact"/>
        <w:ind w:firstLine="48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color="000000"/>
          <w:lang w:val="en-US" w:eastAsia="zh-CN"/>
        </w:rPr>
        <w:t>13.</w:t>
      </w:r>
      <w:r>
        <w:rPr>
          <w:rFonts w:hint="eastAsia" w:ascii="宋体" w:hAnsi="宋体" w:eastAsia="宋体" w:cs="宋体"/>
          <w:color w:val="auto"/>
          <w:sz w:val="24"/>
          <w:szCs w:val="24"/>
          <w:highlight w:val="none"/>
          <w:u w:color="000000"/>
        </w:rPr>
        <w:t>承包人应按照监理人指示开工，工期为</w:t>
      </w:r>
      <w:r>
        <w:rPr>
          <w:rFonts w:hint="eastAsia" w:ascii="宋体" w:hAnsi="宋体" w:eastAsia="宋体" w:cs="宋体"/>
          <w:b/>
          <w:bCs/>
          <w:color w:val="auto"/>
          <w:sz w:val="24"/>
          <w:szCs w:val="24"/>
          <w:highlight w:val="none"/>
          <w:u w:val="single" w:color="000000"/>
          <w:lang w:val="en-US" w:eastAsia="zh-CN"/>
        </w:rPr>
        <w:t>***</w:t>
      </w:r>
      <w:r>
        <w:rPr>
          <w:rFonts w:hint="eastAsia" w:ascii="宋体" w:hAnsi="宋体" w:eastAsia="宋体" w:cs="宋体"/>
          <w:color w:val="auto"/>
          <w:sz w:val="24"/>
          <w:szCs w:val="24"/>
          <w:highlight w:val="none"/>
          <w:u w:color="000000"/>
        </w:rPr>
        <w:t>日历天。</w:t>
      </w:r>
    </w:p>
    <w:p w14:paraId="5CC982AC">
      <w:pPr>
        <w:widowControl/>
        <w:numPr>
          <w:ilvl w:val="0"/>
          <w:numId w:val="0"/>
        </w:numPr>
        <w:adjustRightInd/>
        <w:snapToGrid/>
        <w:spacing w:line="400" w:lineRule="exact"/>
        <w:ind w:firstLine="48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color="000000"/>
          <w:lang w:val="en-US" w:eastAsia="zh-CN"/>
        </w:rPr>
        <w:t>14.</w:t>
      </w:r>
      <w:r>
        <w:rPr>
          <w:rFonts w:hint="eastAsia" w:ascii="宋体" w:hAnsi="宋体" w:eastAsia="宋体" w:cs="宋体"/>
          <w:color w:val="auto"/>
          <w:sz w:val="24"/>
          <w:szCs w:val="24"/>
          <w:highlight w:val="none"/>
          <w:u w:color="000000"/>
        </w:rPr>
        <w:t>质量保证金，承包人应在发包人签发交工验收合格证书后按签约合同价的</w:t>
      </w:r>
      <w:r>
        <w:rPr>
          <w:rFonts w:hint="eastAsia" w:ascii="宋体" w:hAnsi="宋体" w:eastAsia="宋体" w:cs="宋体"/>
          <w:b/>
          <w:bCs/>
          <w:color w:val="auto"/>
          <w:sz w:val="24"/>
          <w:szCs w:val="24"/>
          <w:highlight w:val="none"/>
          <w:u w:val="single" w:color="000000"/>
        </w:rPr>
        <w:t>3</w:t>
      </w:r>
      <w:r>
        <w:rPr>
          <w:rFonts w:hint="eastAsia" w:ascii="宋体" w:hAnsi="宋体" w:eastAsia="宋体" w:cs="宋体"/>
          <w:color w:val="auto"/>
          <w:sz w:val="24"/>
          <w:szCs w:val="24"/>
          <w:highlight w:val="none"/>
          <w:u w:color="000000"/>
        </w:rPr>
        <w:t>%缴纳质量保证金，工程质量保证金在全部工程完工经竣工验收合格、缺陷责任期满签发缺陷责任终止证书后由承包人提出申请28天内（无息）退还。</w:t>
      </w:r>
    </w:p>
    <w:p w14:paraId="70BE6F11">
      <w:pPr>
        <w:widowControl/>
        <w:adjustRightInd/>
        <w:snapToGrid/>
        <w:spacing w:line="400" w:lineRule="exact"/>
        <w:ind w:firstLine="480" w:firstLineChars="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color="000000"/>
        </w:rPr>
        <w:t>承包人拒绝按照本合同约定缴纳质量保证金的，发包人有权从竣工付款证书中扣留相应金额作为质量保证金，或者直接将履约保证金金额用于保证承包人在缺陷责任期内履行缺陷修复义务。</w:t>
      </w:r>
    </w:p>
    <w:p w14:paraId="5342993C">
      <w:pPr>
        <w:widowControl/>
        <w:numPr>
          <w:ilvl w:val="0"/>
          <w:numId w:val="0"/>
        </w:numPr>
        <w:adjustRightInd/>
        <w:snapToGrid/>
        <w:spacing w:line="400" w:lineRule="exact"/>
        <w:ind w:firstLine="48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color="000000"/>
          <w:lang w:val="en-US" w:eastAsia="zh-CN"/>
        </w:rPr>
        <w:t>15.</w:t>
      </w:r>
      <w:r>
        <w:rPr>
          <w:rFonts w:hint="eastAsia" w:ascii="宋体" w:hAnsi="宋体" w:eastAsia="宋体" w:cs="宋体"/>
          <w:color w:val="auto"/>
          <w:sz w:val="24"/>
          <w:szCs w:val="24"/>
          <w:highlight w:val="none"/>
          <w:u w:color="000000"/>
        </w:rPr>
        <w:t>合同生效后，承包人应按照发包人指示开设该项目农民工工资专用账户，并将每期的计量支付工程款按比例（不得低于行业个人工资的平均比例）进行分账，把农民工工资与其他工程进度款分账申请，通过专用账户向农民工发放工资，确保能足额支付农民工工资以及建立劳动用工管理台账等事项。</w:t>
      </w:r>
    </w:p>
    <w:p w14:paraId="10407D44">
      <w:pPr>
        <w:widowControl/>
        <w:numPr>
          <w:ilvl w:val="0"/>
          <w:numId w:val="0"/>
        </w:numPr>
        <w:adjustRightInd/>
        <w:snapToGrid/>
        <w:spacing w:line="400" w:lineRule="exact"/>
        <w:ind w:right="-99" w:rightChars="-47" w:firstLine="48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color="000000"/>
          <w:lang w:val="en-US" w:eastAsia="zh-CN"/>
        </w:rPr>
        <w:t>16.</w:t>
      </w:r>
      <w:r>
        <w:rPr>
          <w:rFonts w:hint="eastAsia" w:ascii="宋体" w:hAnsi="宋体" w:eastAsia="宋体" w:cs="宋体"/>
          <w:color w:val="auto"/>
          <w:sz w:val="24"/>
          <w:szCs w:val="24"/>
          <w:highlight w:val="none"/>
          <w:u w:color="000000"/>
        </w:rPr>
        <w:t>本协议书在承包人提供履约保证金后,由双方法定代表人或其委托代理人签署并加盖单位章后生效。全部工程完工后经竣工验收合格、缺陷期满签发缺陷责任终止证书后失效。</w:t>
      </w:r>
    </w:p>
    <w:p w14:paraId="5FA2FB8B">
      <w:pPr>
        <w:widowControl/>
        <w:numPr>
          <w:ilvl w:val="0"/>
          <w:numId w:val="0"/>
        </w:numPr>
        <w:adjustRightInd/>
        <w:snapToGrid/>
        <w:spacing w:line="400" w:lineRule="exact"/>
        <w:ind w:left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color="000000"/>
          <w:lang w:val="en-US" w:eastAsia="zh-CN"/>
        </w:rPr>
        <w:t>17.</w:t>
      </w:r>
      <w:r>
        <w:rPr>
          <w:rFonts w:hint="eastAsia" w:ascii="宋体" w:hAnsi="宋体" w:eastAsia="宋体" w:cs="宋体"/>
          <w:color w:val="auto"/>
          <w:sz w:val="24"/>
          <w:szCs w:val="24"/>
          <w:highlight w:val="none"/>
          <w:u w:color="000000"/>
        </w:rPr>
        <w:t>本协议书</w:t>
      </w:r>
      <w:r>
        <w:rPr>
          <w:rFonts w:hint="eastAsia" w:ascii="宋体" w:hAnsi="宋体" w:eastAsia="宋体" w:cs="宋体"/>
          <w:color w:val="auto"/>
          <w:sz w:val="24"/>
          <w:szCs w:val="24"/>
          <w:highlight w:val="none"/>
          <w:u w:color="000000"/>
          <w:lang w:val="en-US" w:eastAsia="zh-CN"/>
        </w:rPr>
        <w:t>一式陆份，</w:t>
      </w:r>
      <w:r>
        <w:rPr>
          <w:rFonts w:hint="eastAsia" w:ascii="宋体" w:hAnsi="宋体" w:eastAsia="宋体" w:cs="宋体"/>
          <w:color w:val="auto"/>
          <w:sz w:val="24"/>
          <w:szCs w:val="24"/>
          <w:highlight w:val="none"/>
          <w:u w:color="000000"/>
        </w:rPr>
        <w:t>合同双方各执</w:t>
      </w:r>
      <w:r>
        <w:rPr>
          <w:rFonts w:hint="eastAsia" w:ascii="宋体" w:hAnsi="宋体" w:eastAsia="宋体" w:cs="宋体"/>
          <w:color w:val="auto"/>
          <w:sz w:val="24"/>
          <w:szCs w:val="24"/>
          <w:highlight w:val="none"/>
          <w:u w:color="000000"/>
          <w:lang w:val="en-US" w:eastAsia="zh-CN"/>
        </w:rPr>
        <w:t>叁</w:t>
      </w:r>
      <w:r>
        <w:rPr>
          <w:rFonts w:hint="eastAsia" w:ascii="宋体" w:hAnsi="宋体" w:eastAsia="宋体" w:cs="宋体"/>
          <w:color w:val="auto"/>
          <w:sz w:val="24"/>
          <w:szCs w:val="24"/>
          <w:highlight w:val="none"/>
          <w:u w:color="000000"/>
        </w:rPr>
        <w:t>份。</w:t>
      </w:r>
    </w:p>
    <w:p w14:paraId="58FC4981">
      <w:pPr>
        <w:widowControl/>
        <w:numPr>
          <w:ilvl w:val="0"/>
          <w:numId w:val="0"/>
        </w:numPr>
        <w:adjustRightInd/>
        <w:snapToGrid/>
        <w:spacing w:line="400" w:lineRule="exact"/>
        <w:ind w:left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color="000000"/>
          <w:lang w:val="en-US" w:eastAsia="zh-CN"/>
        </w:rPr>
        <w:t>18.</w:t>
      </w:r>
      <w:r>
        <w:rPr>
          <w:rFonts w:hint="eastAsia" w:ascii="宋体" w:hAnsi="宋体" w:eastAsia="宋体" w:cs="宋体"/>
          <w:color w:val="auto"/>
          <w:sz w:val="24"/>
          <w:szCs w:val="24"/>
          <w:highlight w:val="none"/>
          <w:u w:color="000000"/>
        </w:rPr>
        <w:t>合同未尽事宜，双方另行签订补充协议。补充协议是合同的组成部分。</w:t>
      </w:r>
    </w:p>
    <w:p w14:paraId="7ED8B56F">
      <w:pPr>
        <w:widowControl/>
        <w:adjustRightInd/>
        <w:snapToGrid/>
        <w:spacing w:line="400" w:lineRule="exact"/>
        <w:ind w:firstLine="0" w:firstLineChars="0"/>
        <w:jc w:val="both"/>
        <w:textAlignment w:val="baseline"/>
        <w:rPr>
          <w:rFonts w:hint="eastAsia" w:ascii="宋体" w:hAnsi="宋体" w:eastAsia="宋体" w:cs="宋体"/>
          <w:color w:val="auto"/>
          <w:sz w:val="21"/>
          <w:highlight w:val="none"/>
        </w:rPr>
      </w:pPr>
    </w:p>
    <w:p w14:paraId="65D69918">
      <w:pPr>
        <w:widowControl/>
        <w:adjustRightInd/>
        <w:snapToGrid/>
        <w:spacing w:line="400" w:lineRule="exact"/>
        <w:ind w:firstLine="0" w:firstLineChars="0"/>
        <w:jc w:val="both"/>
        <w:textAlignment w:val="baseline"/>
        <w:rPr>
          <w:rFonts w:hint="eastAsia" w:ascii="宋体" w:hAnsi="宋体" w:eastAsia="宋体" w:cs="宋体"/>
          <w:color w:val="auto"/>
          <w:sz w:val="21"/>
          <w:highlight w:val="none"/>
        </w:rPr>
      </w:pPr>
    </w:p>
    <w:tbl>
      <w:tblPr>
        <w:tblStyle w:val="10"/>
        <w:tblW w:w="996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980"/>
        <w:gridCol w:w="4981"/>
      </w:tblGrid>
      <w:tr w14:paraId="62072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80" w:type="dxa"/>
          </w:tcPr>
          <w:p w14:paraId="5A4FB7FB">
            <w:pPr>
              <w:widowControl/>
              <w:adjustRightInd/>
              <w:snapToGrid/>
              <w:spacing w:line="400" w:lineRule="exact"/>
              <w:ind w:firstLine="0" w:firstLineChars="0"/>
              <w:jc w:val="both"/>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u w:color="000000"/>
              </w:rPr>
              <w:t>发包人：（盖单位公章</w:t>
            </w:r>
            <w:r>
              <w:rPr>
                <w:rFonts w:hint="eastAsia" w:ascii="宋体" w:hAnsi="宋体" w:eastAsia="宋体" w:cs="宋体"/>
                <w:color w:val="auto"/>
                <w:sz w:val="24"/>
                <w:szCs w:val="24"/>
                <w:highlight w:val="none"/>
                <w:u w:color="000000"/>
                <w:lang w:eastAsia="zh-CN"/>
              </w:rPr>
              <w:t>）</w:t>
            </w:r>
          </w:p>
        </w:tc>
        <w:tc>
          <w:tcPr>
            <w:tcW w:w="4981" w:type="dxa"/>
          </w:tcPr>
          <w:p w14:paraId="6DED5398">
            <w:pPr>
              <w:widowControl/>
              <w:adjustRightInd/>
              <w:snapToGrid/>
              <w:spacing w:line="400" w:lineRule="exact"/>
              <w:ind w:firstLine="0" w:firstLineChars="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color="000000"/>
              </w:rPr>
              <w:t>承包人：（盖单位公章）</w:t>
            </w:r>
          </w:p>
        </w:tc>
      </w:tr>
      <w:tr w14:paraId="3C761C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80" w:type="dxa"/>
          </w:tcPr>
          <w:p w14:paraId="1A946140">
            <w:pPr>
              <w:widowControl/>
              <w:adjustRightInd/>
              <w:snapToGrid/>
              <w:spacing w:line="400" w:lineRule="exact"/>
              <w:ind w:firstLine="0" w:firstLineChars="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color="000000"/>
              </w:rPr>
              <w:t>项目负责人：</w:t>
            </w:r>
          </w:p>
        </w:tc>
        <w:tc>
          <w:tcPr>
            <w:tcW w:w="4981" w:type="dxa"/>
          </w:tcPr>
          <w:p w14:paraId="645F199B">
            <w:pPr>
              <w:widowControl/>
              <w:adjustRightInd/>
              <w:snapToGrid/>
              <w:spacing w:line="400" w:lineRule="exact"/>
              <w:ind w:firstLine="0" w:firstLineChars="0"/>
              <w:jc w:val="both"/>
              <w:textAlignment w:val="baseline"/>
              <w:rPr>
                <w:rFonts w:hint="eastAsia" w:ascii="宋体" w:hAnsi="宋体" w:eastAsia="宋体" w:cs="宋体"/>
                <w:color w:val="auto"/>
                <w:sz w:val="24"/>
                <w:szCs w:val="24"/>
                <w:highlight w:val="none"/>
              </w:rPr>
            </w:pPr>
          </w:p>
        </w:tc>
      </w:tr>
      <w:tr w14:paraId="6F9E9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80" w:type="dxa"/>
          </w:tcPr>
          <w:p w14:paraId="1F3DF30A">
            <w:pPr>
              <w:widowControl/>
              <w:adjustRightInd/>
              <w:snapToGrid/>
              <w:spacing w:line="400" w:lineRule="exact"/>
              <w:ind w:firstLine="0" w:firstLineChars="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color="000000"/>
              </w:rPr>
              <w:t>法定代表人或其委托代理人：（签字）</w:t>
            </w:r>
          </w:p>
        </w:tc>
        <w:tc>
          <w:tcPr>
            <w:tcW w:w="4981" w:type="dxa"/>
          </w:tcPr>
          <w:p w14:paraId="0552FC73">
            <w:pPr>
              <w:widowControl/>
              <w:adjustRightInd/>
              <w:snapToGrid/>
              <w:spacing w:line="400" w:lineRule="exact"/>
              <w:ind w:firstLine="0" w:firstLineChars="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color="000000"/>
              </w:rPr>
              <w:t>法定代表人或其委托代理人：（签字）</w:t>
            </w:r>
          </w:p>
        </w:tc>
      </w:tr>
      <w:tr w14:paraId="73EB52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80" w:type="dxa"/>
          </w:tcPr>
          <w:p w14:paraId="276D3252">
            <w:pPr>
              <w:widowControl/>
              <w:adjustRightInd/>
              <w:snapToGrid/>
              <w:spacing w:line="400" w:lineRule="exact"/>
              <w:ind w:firstLine="0" w:firstLineChars="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color="000000"/>
              </w:rPr>
              <w:t>电话：</w:t>
            </w:r>
          </w:p>
        </w:tc>
        <w:tc>
          <w:tcPr>
            <w:tcW w:w="4981" w:type="dxa"/>
          </w:tcPr>
          <w:p w14:paraId="355E4083">
            <w:pPr>
              <w:widowControl/>
              <w:adjustRightInd/>
              <w:snapToGrid/>
              <w:spacing w:line="400" w:lineRule="exact"/>
              <w:ind w:firstLine="0" w:firstLineChars="0"/>
              <w:jc w:val="both"/>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u w:color="000000"/>
              </w:rPr>
              <w:t>电话：</w:t>
            </w:r>
          </w:p>
        </w:tc>
      </w:tr>
      <w:tr w14:paraId="4A3A6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80" w:type="dxa"/>
          </w:tcPr>
          <w:p w14:paraId="07DB291E">
            <w:pPr>
              <w:widowControl/>
              <w:adjustRightInd/>
              <w:snapToGrid/>
              <w:spacing w:line="400" w:lineRule="exact"/>
              <w:ind w:firstLine="0" w:firstLineChars="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color="000000"/>
              </w:rPr>
              <w:t>传真：</w:t>
            </w:r>
          </w:p>
        </w:tc>
        <w:tc>
          <w:tcPr>
            <w:tcW w:w="4981" w:type="dxa"/>
          </w:tcPr>
          <w:p w14:paraId="22B840F7">
            <w:pPr>
              <w:widowControl/>
              <w:adjustRightInd/>
              <w:snapToGrid/>
              <w:spacing w:line="400" w:lineRule="exact"/>
              <w:ind w:firstLine="0" w:firstLineChars="0"/>
              <w:jc w:val="both"/>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u w:color="000000"/>
              </w:rPr>
              <w:t>传真：</w:t>
            </w:r>
            <w:r>
              <w:rPr>
                <w:rFonts w:hint="eastAsia" w:ascii="宋体" w:hAnsi="宋体" w:eastAsia="宋体" w:cs="宋体"/>
                <w:b/>
                <w:bCs/>
                <w:color w:val="auto"/>
                <w:sz w:val="24"/>
                <w:szCs w:val="24"/>
                <w:highlight w:val="none"/>
                <w:u w:color="000000"/>
                <w:lang w:val="en-US" w:eastAsia="zh-CN"/>
              </w:rPr>
              <w:t>/</w:t>
            </w:r>
          </w:p>
        </w:tc>
      </w:tr>
      <w:tr w14:paraId="43CE8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80" w:type="dxa"/>
          </w:tcPr>
          <w:p w14:paraId="2DA77FF7">
            <w:pPr>
              <w:widowControl/>
              <w:adjustRightInd/>
              <w:snapToGrid/>
              <w:spacing w:line="400" w:lineRule="exact"/>
              <w:ind w:firstLine="0" w:firstLineChars="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color="000000"/>
              </w:rPr>
              <w:t>邮箱：</w:t>
            </w:r>
          </w:p>
        </w:tc>
        <w:tc>
          <w:tcPr>
            <w:tcW w:w="4981" w:type="dxa"/>
          </w:tcPr>
          <w:p w14:paraId="6957007C">
            <w:pPr>
              <w:widowControl/>
              <w:adjustRightInd/>
              <w:snapToGrid/>
              <w:spacing w:line="400" w:lineRule="exact"/>
              <w:ind w:firstLine="0" w:firstLineChars="0"/>
              <w:jc w:val="both"/>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u w:color="000000"/>
              </w:rPr>
              <w:t>邮箱：</w:t>
            </w:r>
          </w:p>
        </w:tc>
      </w:tr>
      <w:tr w14:paraId="449ED0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80" w:type="dxa"/>
          </w:tcPr>
          <w:p w14:paraId="42BC712C">
            <w:pPr>
              <w:widowControl/>
              <w:adjustRightInd/>
              <w:snapToGrid/>
              <w:spacing w:line="400" w:lineRule="exact"/>
              <w:ind w:firstLine="0" w:firstLineChars="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color="000000"/>
              </w:rPr>
              <w:t>开户银行：</w:t>
            </w:r>
          </w:p>
        </w:tc>
        <w:tc>
          <w:tcPr>
            <w:tcW w:w="4981" w:type="dxa"/>
          </w:tcPr>
          <w:p w14:paraId="040B29A1">
            <w:pPr>
              <w:widowControl/>
              <w:adjustRightInd/>
              <w:snapToGrid/>
              <w:spacing w:line="400" w:lineRule="exact"/>
              <w:ind w:firstLine="0" w:firstLineChars="0"/>
              <w:jc w:val="both"/>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u w:color="000000"/>
              </w:rPr>
              <w:t>开户银行：</w:t>
            </w:r>
          </w:p>
        </w:tc>
      </w:tr>
      <w:tr w14:paraId="26804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80" w:type="dxa"/>
          </w:tcPr>
          <w:p w14:paraId="61B3F4BB">
            <w:pPr>
              <w:widowControl/>
              <w:adjustRightInd/>
              <w:snapToGrid/>
              <w:spacing w:line="400" w:lineRule="exact"/>
              <w:ind w:firstLine="0" w:firstLineChars="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color="000000"/>
              </w:rPr>
              <w:t>账号：</w:t>
            </w:r>
          </w:p>
        </w:tc>
        <w:tc>
          <w:tcPr>
            <w:tcW w:w="4981" w:type="dxa"/>
          </w:tcPr>
          <w:p w14:paraId="4AF704AB">
            <w:pPr>
              <w:widowControl/>
              <w:adjustRightInd/>
              <w:snapToGrid/>
              <w:spacing w:line="400" w:lineRule="exact"/>
              <w:ind w:firstLine="0" w:firstLineChars="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color="000000"/>
              </w:rPr>
              <w:t>账号：</w:t>
            </w:r>
          </w:p>
        </w:tc>
      </w:tr>
      <w:tr w14:paraId="4383B6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80" w:type="dxa"/>
          </w:tcPr>
          <w:p w14:paraId="017245C1">
            <w:pPr>
              <w:widowControl/>
              <w:adjustRightInd/>
              <w:snapToGrid/>
              <w:spacing w:line="400" w:lineRule="exact"/>
              <w:ind w:firstLine="0" w:firstLineChars="0"/>
              <w:jc w:val="both"/>
              <w:textAlignment w:val="baseline"/>
              <w:rPr>
                <w:rFonts w:hint="eastAsia" w:ascii="宋体" w:hAnsi="宋体" w:eastAsia="宋体" w:cs="宋体"/>
                <w:color w:val="auto"/>
                <w:sz w:val="24"/>
                <w:szCs w:val="24"/>
                <w:highlight w:val="none"/>
              </w:rPr>
            </w:pPr>
          </w:p>
        </w:tc>
        <w:tc>
          <w:tcPr>
            <w:tcW w:w="4981" w:type="dxa"/>
          </w:tcPr>
          <w:p w14:paraId="72320AF9">
            <w:pPr>
              <w:widowControl/>
              <w:adjustRightInd/>
              <w:snapToGrid/>
              <w:spacing w:line="400" w:lineRule="exact"/>
              <w:ind w:firstLine="0" w:firstLineChars="0"/>
              <w:jc w:val="both"/>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u w:color="000000"/>
              </w:rPr>
              <w:t>农民工工资专用账户开户银行：</w:t>
            </w:r>
          </w:p>
        </w:tc>
      </w:tr>
      <w:tr w14:paraId="11FDC5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80" w:type="dxa"/>
          </w:tcPr>
          <w:p w14:paraId="364D7AE9">
            <w:pPr>
              <w:widowControl/>
              <w:adjustRightInd/>
              <w:snapToGrid/>
              <w:spacing w:line="400" w:lineRule="exact"/>
              <w:ind w:firstLine="0" w:firstLineChars="0"/>
              <w:jc w:val="both"/>
              <w:textAlignment w:val="baseline"/>
              <w:rPr>
                <w:rFonts w:hint="eastAsia" w:ascii="宋体" w:hAnsi="宋体" w:eastAsia="宋体" w:cs="宋体"/>
                <w:color w:val="auto"/>
                <w:sz w:val="24"/>
                <w:szCs w:val="24"/>
                <w:highlight w:val="none"/>
              </w:rPr>
            </w:pPr>
          </w:p>
        </w:tc>
        <w:tc>
          <w:tcPr>
            <w:tcW w:w="4981" w:type="dxa"/>
          </w:tcPr>
          <w:p w14:paraId="3001EDD1">
            <w:pPr>
              <w:widowControl/>
              <w:adjustRightInd/>
              <w:snapToGrid/>
              <w:spacing w:line="400" w:lineRule="exact"/>
              <w:ind w:firstLine="0" w:firstLineChars="0"/>
              <w:jc w:val="both"/>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u w:color="000000"/>
              </w:rPr>
              <w:t>账号：</w:t>
            </w:r>
          </w:p>
        </w:tc>
      </w:tr>
      <w:tr w14:paraId="4923F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7" w:hRule="atLeast"/>
        </w:trPr>
        <w:tc>
          <w:tcPr>
            <w:tcW w:w="4980" w:type="dxa"/>
          </w:tcPr>
          <w:p w14:paraId="0B4E3434">
            <w:pPr>
              <w:widowControl/>
              <w:adjustRightInd/>
              <w:snapToGrid/>
              <w:spacing w:line="400" w:lineRule="exact"/>
              <w:ind w:firstLine="0" w:firstLineChars="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color="000000"/>
              </w:rPr>
              <w:t>年月日</w:t>
            </w:r>
          </w:p>
        </w:tc>
        <w:tc>
          <w:tcPr>
            <w:tcW w:w="4981" w:type="dxa"/>
          </w:tcPr>
          <w:p w14:paraId="5094D0F2">
            <w:pPr>
              <w:widowControl/>
              <w:adjustRightInd/>
              <w:snapToGrid/>
              <w:spacing w:line="400" w:lineRule="exact"/>
              <w:ind w:firstLine="0" w:firstLineChars="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color="000000"/>
              </w:rPr>
              <w:t>年月日</w:t>
            </w:r>
          </w:p>
        </w:tc>
      </w:tr>
    </w:tbl>
    <w:p w14:paraId="10578C98">
      <w:pPr>
        <w:pStyle w:val="2"/>
        <w:rPr>
          <w:rFonts w:hint="eastAsia" w:ascii="宋体" w:hAnsi="宋体" w:eastAsia="宋体" w:cs="宋体"/>
          <w:color w:val="auto"/>
          <w:sz w:val="32"/>
          <w:szCs w:val="32"/>
          <w:highlight w:val="none"/>
          <w:u w:color="000000"/>
        </w:rPr>
      </w:pPr>
    </w:p>
    <w:p w14:paraId="52821FAB">
      <w:pPr>
        <w:pStyle w:val="2"/>
        <w:rPr>
          <w:rFonts w:hint="eastAsia" w:ascii="宋体" w:hAnsi="宋体" w:eastAsia="宋体" w:cs="宋体"/>
          <w:color w:val="auto"/>
          <w:sz w:val="32"/>
          <w:szCs w:val="32"/>
          <w:highlight w:val="none"/>
          <w:u w:color="000000"/>
          <w:lang w:val="en-US" w:eastAsia="zh-CN"/>
        </w:rPr>
      </w:pPr>
    </w:p>
    <w:p w14:paraId="0B198DB2">
      <w:pPr>
        <w:keepNext/>
        <w:keepLines/>
        <w:numPr>
          <w:ilvl w:val="0"/>
          <w:numId w:val="0"/>
        </w:numPr>
        <w:spacing w:line="576" w:lineRule="auto"/>
        <w:jc w:val="center"/>
        <w:textAlignment w:val="baseline"/>
        <w:outlineLvl w:val="0"/>
        <w:rPr>
          <w:rFonts w:hint="eastAsia" w:ascii="宋体" w:hAnsi="宋体" w:eastAsia="宋体" w:cs="宋体"/>
          <w:b/>
          <w:color w:val="auto"/>
          <w:kern w:val="44"/>
          <w:sz w:val="32"/>
          <w:szCs w:val="32"/>
          <w:highlight w:val="none"/>
          <w:u w:color="000000"/>
          <w:lang w:val="en-US" w:eastAsia="zh-CN" w:bidi="ar-SA"/>
        </w:rPr>
      </w:pPr>
    </w:p>
    <w:p w14:paraId="2E82D3B1">
      <w:pPr>
        <w:pStyle w:val="2"/>
        <w:rPr>
          <w:rFonts w:hint="eastAsia" w:ascii="宋体" w:hAnsi="宋体" w:eastAsia="宋体" w:cs="宋体"/>
          <w:b/>
          <w:color w:val="auto"/>
          <w:kern w:val="44"/>
          <w:sz w:val="32"/>
          <w:szCs w:val="32"/>
          <w:highlight w:val="none"/>
          <w:u w:color="000000"/>
          <w:lang w:val="en-US" w:eastAsia="zh-CN" w:bidi="ar-SA"/>
        </w:rPr>
      </w:pPr>
    </w:p>
    <w:p w14:paraId="3C1D3B81">
      <w:pPr>
        <w:pStyle w:val="2"/>
        <w:rPr>
          <w:rFonts w:hint="eastAsia" w:ascii="宋体" w:hAnsi="宋体" w:eastAsia="宋体" w:cs="宋体"/>
          <w:b/>
          <w:color w:val="auto"/>
          <w:kern w:val="44"/>
          <w:sz w:val="32"/>
          <w:szCs w:val="32"/>
          <w:highlight w:val="none"/>
          <w:u w:color="000000"/>
          <w:lang w:val="en-US" w:eastAsia="zh-CN" w:bidi="ar-SA"/>
        </w:rPr>
      </w:pPr>
    </w:p>
    <w:p w14:paraId="58559A7F">
      <w:pPr>
        <w:pStyle w:val="2"/>
        <w:rPr>
          <w:rFonts w:hint="eastAsia" w:ascii="宋体" w:hAnsi="宋体" w:eastAsia="宋体" w:cs="宋体"/>
          <w:b/>
          <w:color w:val="auto"/>
          <w:kern w:val="44"/>
          <w:sz w:val="32"/>
          <w:szCs w:val="32"/>
          <w:highlight w:val="none"/>
          <w:u w:color="000000"/>
          <w:lang w:val="en-US" w:eastAsia="zh-CN" w:bidi="ar-SA"/>
        </w:rPr>
      </w:pPr>
    </w:p>
    <w:p w14:paraId="70F793D7">
      <w:pPr>
        <w:pStyle w:val="2"/>
        <w:rPr>
          <w:rFonts w:hint="eastAsia" w:ascii="宋体" w:hAnsi="宋体" w:eastAsia="宋体" w:cs="宋体"/>
          <w:b/>
          <w:color w:val="auto"/>
          <w:kern w:val="44"/>
          <w:sz w:val="32"/>
          <w:szCs w:val="32"/>
          <w:highlight w:val="none"/>
          <w:u w:color="000000"/>
          <w:lang w:val="en-US" w:eastAsia="zh-CN" w:bidi="ar-SA"/>
        </w:rPr>
      </w:pPr>
    </w:p>
    <w:p w14:paraId="6C9E493D">
      <w:pPr>
        <w:pStyle w:val="2"/>
        <w:rPr>
          <w:rFonts w:hint="eastAsia" w:ascii="宋体" w:hAnsi="宋体" w:eastAsia="宋体" w:cs="宋体"/>
          <w:b/>
          <w:color w:val="auto"/>
          <w:kern w:val="44"/>
          <w:sz w:val="32"/>
          <w:szCs w:val="32"/>
          <w:highlight w:val="none"/>
          <w:u w:color="000000"/>
          <w:lang w:val="en-US" w:eastAsia="zh-CN" w:bidi="ar-SA"/>
        </w:rPr>
      </w:pPr>
    </w:p>
    <w:p w14:paraId="22EDE045">
      <w:pPr>
        <w:pStyle w:val="2"/>
        <w:rPr>
          <w:rFonts w:hint="eastAsia" w:ascii="宋体" w:hAnsi="宋体" w:eastAsia="宋体" w:cs="宋体"/>
          <w:b/>
          <w:color w:val="auto"/>
          <w:kern w:val="44"/>
          <w:sz w:val="32"/>
          <w:szCs w:val="32"/>
          <w:highlight w:val="none"/>
          <w:u w:color="000000"/>
          <w:lang w:val="en-US" w:eastAsia="zh-CN" w:bidi="ar-SA"/>
        </w:rPr>
      </w:pPr>
    </w:p>
    <w:p w14:paraId="39BB4FFA">
      <w:pPr>
        <w:keepNext/>
        <w:keepLines/>
        <w:numPr>
          <w:ilvl w:val="0"/>
          <w:numId w:val="0"/>
        </w:numPr>
        <w:spacing w:line="576" w:lineRule="auto"/>
        <w:jc w:val="center"/>
        <w:textAlignment w:val="baseline"/>
        <w:outlineLvl w:val="0"/>
        <w:rPr>
          <w:rFonts w:hint="eastAsia" w:ascii="宋体" w:hAnsi="宋体" w:eastAsia="宋体" w:cs="宋体"/>
          <w:b/>
          <w:color w:val="auto"/>
          <w:kern w:val="44"/>
          <w:sz w:val="32"/>
          <w:szCs w:val="32"/>
          <w:highlight w:val="none"/>
          <w:u w:color="000000"/>
          <w:lang w:val="en-US" w:eastAsia="zh-CN" w:bidi="ar-SA"/>
        </w:rPr>
      </w:pPr>
    </w:p>
    <w:p w14:paraId="6F7B87E3">
      <w:pPr>
        <w:keepNext/>
        <w:keepLines/>
        <w:numPr>
          <w:ilvl w:val="0"/>
          <w:numId w:val="0"/>
        </w:numPr>
        <w:spacing w:line="576" w:lineRule="auto"/>
        <w:jc w:val="center"/>
        <w:textAlignment w:val="baseline"/>
        <w:outlineLvl w:val="0"/>
        <w:rPr>
          <w:rFonts w:hint="eastAsia" w:ascii="宋体" w:hAnsi="宋体" w:eastAsia="宋体" w:cs="宋体"/>
          <w:b/>
          <w:color w:val="auto"/>
          <w:kern w:val="44"/>
          <w:sz w:val="32"/>
          <w:szCs w:val="32"/>
          <w:highlight w:val="none"/>
          <w:lang w:val="en-US" w:eastAsia="zh-CN" w:bidi="ar-SA"/>
        </w:rPr>
      </w:pPr>
      <w:bookmarkStart w:id="731" w:name="_Toc17042"/>
      <w:bookmarkStart w:id="732" w:name="_Toc30539"/>
      <w:bookmarkStart w:id="733" w:name="_Toc23106"/>
      <w:bookmarkStart w:id="734" w:name="_Toc2346"/>
      <w:bookmarkStart w:id="735" w:name="_Toc13553"/>
      <w:r>
        <w:rPr>
          <w:rFonts w:hint="eastAsia" w:ascii="宋体" w:hAnsi="宋体" w:eastAsia="宋体" w:cs="宋体"/>
          <w:b/>
          <w:color w:val="auto"/>
          <w:kern w:val="44"/>
          <w:sz w:val="32"/>
          <w:szCs w:val="32"/>
          <w:highlight w:val="none"/>
          <w:u w:color="000000"/>
          <w:lang w:val="en-US" w:eastAsia="zh-CN" w:bidi="ar-SA"/>
        </w:rPr>
        <w:t>二、廉政合同</w:t>
      </w:r>
      <w:bookmarkEnd w:id="731"/>
      <w:bookmarkEnd w:id="732"/>
      <w:bookmarkEnd w:id="733"/>
      <w:bookmarkEnd w:id="734"/>
      <w:bookmarkEnd w:id="735"/>
    </w:p>
    <w:p w14:paraId="700DDFB0">
      <w:pPr>
        <w:keepNext w:val="0"/>
        <w:keepLines w:val="0"/>
        <w:pageBreakBefore w:val="0"/>
        <w:widowControl/>
        <w:kinsoku w:val="0"/>
        <w:wordWrap/>
        <w:overflowPunct/>
        <w:topLinePunct w:val="0"/>
        <w:autoSpaceDE w:val="0"/>
        <w:autoSpaceDN w:val="0"/>
        <w:bidi w:val="0"/>
        <w:adjustRightInd/>
        <w:snapToGrid/>
        <w:spacing w:line="400" w:lineRule="exact"/>
        <w:ind w:firstLine="240" w:firstLineChars="1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color="000000"/>
        </w:rPr>
        <w:t>根据《关于在交通基础设施建设中加强廉政建设的若干意见》以及有关工程建设、廉政建设的规定，为做好工程建设中的党风廉政建设，保证工程建设高效优质，保证建设资金的安全和有效使用以及投资效益，</w:t>
      </w:r>
      <w:r>
        <w:rPr>
          <w:rFonts w:hint="eastAsia" w:ascii="宋体" w:hAnsi="宋体" w:eastAsia="宋体" w:cs="宋体"/>
          <w:b/>
          <w:bCs/>
          <w:color w:val="auto"/>
          <w:sz w:val="24"/>
          <w:szCs w:val="24"/>
          <w:highlight w:val="none"/>
          <w:u w:val="single" w:color="000000"/>
          <w:lang w:val="en-US" w:eastAsia="zh-CN"/>
        </w:rPr>
        <w:t>***</w:t>
      </w:r>
      <w:r>
        <w:rPr>
          <w:rFonts w:hint="eastAsia" w:ascii="宋体" w:hAnsi="宋体" w:eastAsia="宋体" w:cs="宋体"/>
          <w:color w:val="auto"/>
          <w:sz w:val="24"/>
          <w:szCs w:val="24"/>
          <w:highlight w:val="none"/>
          <w:u w:color="000000"/>
        </w:rPr>
        <w:t>（项目名称）项目法人</w:t>
      </w:r>
      <w:r>
        <w:rPr>
          <w:rFonts w:hint="eastAsia" w:ascii="宋体" w:hAnsi="宋体" w:eastAsia="宋体" w:cs="宋体"/>
          <w:b/>
          <w:bCs/>
          <w:color w:val="auto"/>
          <w:sz w:val="24"/>
          <w:szCs w:val="24"/>
          <w:highlight w:val="none"/>
          <w:u w:val="single" w:color="000000"/>
          <w:lang w:val="en-US" w:eastAsia="zh-CN"/>
        </w:rPr>
        <w:t>***</w:t>
      </w:r>
      <w:r>
        <w:rPr>
          <w:rFonts w:hint="eastAsia" w:ascii="宋体" w:hAnsi="宋体" w:eastAsia="宋体" w:cs="宋体"/>
          <w:color w:val="auto"/>
          <w:sz w:val="24"/>
          <w:szCs w:val="24"/>
          <w:highlight w:val="none"/>
          <w:u w:color="000000"/>
        </w:rPr>
        <w:t>（项目法人名称，以下简称“发包人”）与该项目</w:t>
      </w:r>
      <w:r>
        <w:rPr>
          <w:rFonts w:hint="eastAsia" w:ascii="宋体" w:hAnsi="宋体" w:eastAsia="宋体" w:cs="宋体"/>
          <w:b/>
          <w:bCs/>
          <w:color w:val="auto"/>
          <w:sz w:val="24"/>
          <w:szCs w:val="24"/>
          <w:highlight w:val="none"/>
          <w:u w:val="single" w:color="000000"/>
        </w:rPr>
        <w:t>/</w:t>
      </w:r>
      <w:r>
        <w:rPr>
          <w:rFonts w:hint="eastAsia" w:ascii="宋体" w:hAnsi="宋体" w:eastAsia="宋体" w:cs="宋体"/>
          <w:color w:val="auto"/>
          <w:sz w:val="24"/>
          <w:szCs w:val="24"/>
          <w:highlight w:val="none"/>
          <w:u w:color="000000"/>
        </w:rPr>
        <w:t>标段的施工单位</w:t>
      </w:r>
      <w:r>
        <w:rPr>
          <w:rFonts w:hint="eastAsia" w:ascii="宋体" w:hAnsi="宋体" w:eastAsia="宋体" w:cs="宋体"/>
          <w:b/>
          <w:bCs/>
          <w:color w:val="auto"/>
          <w:sz w:val="24"/>
          <w:szCs w:val="24"/>
          <w:highlight w:val="none"/>
          <w:u w:val="single" w:color="000000"/>
          <w:lang w:val="en-US" w:eastAsia="zh-CN"/>
        </w:rPr>
        <w:t>***</w:t>
      </w:r>
      <w:r>
        <w:rPr>
          <w:rFonts w:hint="eastAsia" w:ascii="宋体" w:hAnsi="宋体" w:eastAsia="宋体" w:cs="宋体"/>
          <w:color w:val="auto"/>
          <w:sz w:val="24"/>
          <w:szCs w:val="24"/>
          <w:highlight w:val="none"/>
          <w:u w:color="000000"/>
        </w:rPr>
        <w:t>（施工单位名称，以下简称“承包人”），特订立如下合同。</w:t>
      </w:r>
    </w:p>
    <w:p w14:paraId="4B661392">
      <w:pPr>
        <w:widowControl/>
        <w:adjustRightInd/>
        <w:snapToGrid/>
        <w:spacing w:line="400" w:lineRule="exact"/>
        <w:ind w:firstLine="480" w:firstLineChars="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color="000000"/>
        </w:rPr>
        <w:t>1．发包人和承包人双方的权利和义务</w:t>
      </w:r>
    </w:p>
    <w:p w14:paraId="3628665E">
      <w:pPr>
        <w:widowControl/>
        <w:adjustRightInd/>
        <w:snapToGrid/>
        <w:spacing w:line="400" w:lineRule="exact"/>
        <w:ind w:firstLine="480" w:firstLineChars="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color="000000"/>
        </w:rPr>
        <w:t>（1）严格遵守党的政策规定和国家有关法律法规及交通运输部的有关规定。</w:t>
      </w:r>
    </w:p>
    <w:p w14:paraId="53CF9587">
      <w:pPr>
        <w:widowControl/>
        <w:adjustRightInd/>
        <w:snapToGrid/>
        <w:spacing w:line="400" w:lineRule="exact"/>
        <w:ind w:firstLine="480" w:firstLineChars="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color="000000"/>
        </w:rPr>
        <w:t>（2）严格执行</w:t>
      </w:r>
      <w:r>
        <w:rPr>
          <w:rFonts w:hint="eastAsia" w:ascii="宋体" w:hAnsi="宋体" w:eastAsia="宋体" w:cs="宋体"/>
          <w:b/>
          <w:bCs/>
          <w:color w:val="auto"/>
          <w:sz w:val="24"/>
          <w:szCs w:val="24"/>
          <w:highlight w:val="none"/>
          <w:u w:val="single" w:color="000000"/>
          <w:lang w:val="en-US" w:eastAsia="zh-CN"/>
        </w:rPr>
        <w:t>***</w:t>
      </w:r>
      <w:r>
        <w:rPr>
          <w:rFonts w:hint="eastAsia" w:ascii="宋体" w:hAnsi="宋体" w:eastAsia="宋体" w:cs="宋体"/>
          <w:color w:val="auto"/>
          <w:sz w:val="24"/>
          <w:szCs w:val="24"/>
          <w:highlight w:val="none"/>
          <w:u w:color="000000"/>
        </w:rPr>
        <w:t>（项目名称）</w:t>
      </w:r>
      <w:r>
        <w:rPr>
          <w:rFonts w:hint="eastAsia" w:ascii="宋体" w:hAnsi="宋体" w:eastAsia="宋体" w:cs="宋体"/>
          <w:b/>
          <w:bCs/>
          <w:color w:val="auto"/>
          <w:sz w:val="24"/>
          <w:szCs w:val="24"/>
          <w:highlight w:val="none"/>
          <w:u w:val="single" w:color="000000"/>
        </w:rPr>
        <w:t>/</w:t>
      </w:r>
      <w:r>
        <w:rPr>
          <w:rFonts w:hint="eastAsia" w:ascii="宋体" w:hAnsi="宋体" w:eastAsia="宋体" w:cs="宋体"/>
          <w:color w:val="auto"/>
          <w:sz w:val="24"/>
          <w:szCs w:val="24"/>
          <w:highlight w:val="none"/>
          <w:u w:color="000000"/>
        </w:rPr>
        <w:t>标段施工合同文件，自觉按合同办事。</w:t>
      </w:r>
    </w:p>
    <w:p w14:paraId="5218B42E">
      <w:pPr>
        <w:widowControl/>
        <w:adjustRightInd/>
        <w:snapToGrid/>
        <w:spacing w:line="400" w:lineRule="exact"/>
        <w:ind w:firstLine="480" w:firstLineChars="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color="000000"/>
        </w:rPr>
        <w:t>（3）双方的业务活动坚持公开、公正、诚信、透明的原则（法律认定的商业秘密和合同文件另有规定除外），不得损害国家和集体利益，不得违反工程建设管理规章制度。</w:t>
      </w:r>
    </w:p>
    <w:p w14:paraId="56039EDE">
      <w:pPr>
        <w:widowControl/>
        <w:adjustRightInd/>
        <w:snapToGrid/>
        <w:spacing w:line="400" w:lineRule="exact"/>
        <w:ind w:firstLine="480" w:firstLineChars="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color="000000"/>
        </w:rPr>
        <w:t>（4）建立健全廉政制度，开展廉政教育，设立廉政告示牌，公布举报电话，监督并认真查处违法违纪行为。</w:t>
      </w:r>
    </w:p>
    <w:p w14:paraId="61031B5D">
      <w:pPr>
        <w:widowControl/>
        <w:adjustRightInd/>
        <w:snapToGrid/>
        <w:spacing w:line="400" w:lineRule="exact"/>
        <w:ind w:firstLine="480" w:firstLineChars="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color="000000"/>
        </w:rPr>
        <w:t>（5）发现对方在业务活动中有违反廉政规定的行为，有及时提醒对方纠正的权利和义务。</w:t>
      </w:r>
    </w:p>
    <w:p w14:paraId="301BF162">
      <w:pPr>
        <w:widowControl/>
        <w:adjustRightInd/>
        <w:snapToGrid/>
        <w:spacing w:line="400" w:lineRule="exact"/>
        <w:ind w:firstLine="480" w:firstLineChars="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color="000000"/>
        </w:rPr>
        <w:t>（6）发现对方严重违反本合同义务条款的行为，有向其上级有关部门举报、建议给予处理并要求告知处理结果的权利。</w:t>
      </w:r>
    </w:p>
    <w:p w14:paraId="6D78B3F6">
      <w:pPr>
        <w:widowControl/>
        <w:adjustRightInd/>
        <w:snapToGrid/>
        <w:spacing w:line="400" w:lineRule="exact"/>
        <w:ind w:firstLine="480" w:firstLineChars="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color="000000"/>
        </w:rPr>
        <w:t>2．发包人的义务</w:t>
      </w:r>
    </w:p>
    <w:p w14:paraId="1A2370F5">
      <w:pPr>
        <w:keepNext w:val="0"/>
        <w:keepLines w:val="0"/>
        <w:pageBreakBefore w:val="0"/>
        <w:widowControl/>
        <w:kinsoku w:val="0"/>
        <w:wordWrap/>
        <w:overflowPunct/>
        <w:topLinePunct w:val="0"/>
        <w:autoSpaceDE w:val="0"/>
        <w:autoSpaceDN w:val="0"/>
        <w:bidi w:val="0"/>
        <w:adjustRightInd/>
        <w:snapToGrid/>
        <w:spacing w:line="400" w:lineRule="exact"/>
        <w:ind w:firstLine="240" w:firstLineChars="1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color="000000"/>
        </w:rPr>
        <w:t>（1）发包人及其工作人员不得索要或接受承包人的礼金、有价证券和贵重物品，不得让承包人报销任何应由发包人或发包人工作人员个人支付的费用等。</w:t>
      </w:r>
    </w:p>
    <w:p w14:paraId="40CC7343">
      <w:pPr>
        <w:keepNext w:val="0"/>
        <w:keepLines w:val="0"/>
        <w:pageBreakBefore w:val="0"/>
        <w:widowControl/>
        <w:kinsoku w:val="0"/>
        <w:wordWrap/>
        <w:overflowPunct/>
        <w:topLinePunct w:val="0"/>
        <w:autoSpaceDE w:val="0"/>
        <w:autoSpaceDN w:val="0"/>
        <w:bidi w:val="0"/>
        <w:adjustRightInd/>
        <w:snapToGrid/>
        <w:spacing w:line="400" w:lineRule="exact"/>
        <w:ind w:firstLine="240" w:firstLineChars="1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color="000000"/>
        </w:rPr>
        <w:t>（2）发包人工作人员不得参加承包人安排的超标准宴请和娱乐活动；不得接受承包人提供的通讯工具、交通工具和高档办公用品等。</w:t>
      </w:r>
    </w:p>
    <w:p w14:paraId="20F05737">
      <w:pPr>
        <w:keepNext w:val="0"/>
        <w:keepLines w:val="0"/>
        <w:pageBreakBefore w:val="0"/>
        <w:widowControl/>
        <w:kinsoku w:val="0"/>
        <w:wordWrap/>
        <w:overflowPunct/>
        <w:topLinePunct w:val="0"/>
        <w:autoSpaceDE w:val="0"/>
        <w:autoSpaceDN w:val="0"/>
        <w:bidi w:val="0"/>
        <w:adjustRightInd/>
        <w:snapToGrid/>
        <w:spacing w:line="400" w:lineRule="exact"/>
        <w:ind w:firstLine="240" w:firstLineChars="1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color="000000"/>
        </w:rPr>
        <w:t>（3）发包人及其工作人员不利要求或者接受承包人为其住房装修、婚丧嫁娶活动、配偶子女的工作安排以及出国出境、旅游等提供方便等。</w:t>
      </w:r>
    </w:p>
    <w:p w14:paraId="536F30F8">
      <w:pPr>
        <w:keepNext w:val="0"/>
        <w:keepLines w:val="0"/>
        <w:pageBreakBefore w:val="0"/>
        <w:widowControl/>
        <w:kinsoku w:val="0"/>
        <w:wordWrap/>
        <w:overflowPunct/>
        <w:topLinePunct w:val="0"/>
        <w:autoSpaceDE w:val="0"/>
        <w:autoSpaceDN w:val="0"/>
        <w:bidi w:val="0"/>
        <w:adjustRightInd/>
        <w:snapToGrid/>
        <w:spacing w:line="400" w:lineRule="exact"/>
        <w:ind w:firstLine="240" w:firstLineChars="1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color="000000"/>
        </w:rPr>
        <w:t>（4）发包人工作人员及其配偶、子女不得从事与发包人工作有关的材料设备供应、工程分包、劳务等经济活动等。</w:t>
      </w:r>
    </w:p>
    <w:p w14:paraId="7474C8E6">
      <w:pPr>
        <w:widowControl/>
        <w:adjustRightInd/>
        <w:snapToGrid/>
        <w:spacing w:line="400" w:lineRule="exact"/>
        <w:ind w:firstLine="240" w:firstLineChars="1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color="000000"/>
        </w:rPr>
        <w:t>（5）发包人及期工作人员不得以任何理由向承包人推荐分包单位或推销材料，不得要求承包人购买合同规定外的材料和设备。</w:t>
      </w:r>
    </w:p>
    <w:p w14:paraId="7D465D5B">
      <w:pPr>
        <w:widowControl/>
        <w:adjustRightInd/>
        <w:snapToGrid/>
        <w:spacing w:line="400" w:lineRule="exact"/>
        <w:ind w:firstLine="240" w:firstLineChars="1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color="000000"/>
        </w:rPr>
        <w:t>（6）发包人工作人员要秉公办事，不准营私舞弊，不准利用职权从事各种个人有偿中介活动和安排个人施工队伍。</w:t>
      </w:r>
    </w:p>
    <w:p w14:paraId="060A12A6">
      <w:pPr>
        <w:widowControl/>
        <w:adjustRightInd/>
        <w:snapToGrid/>
        <w:spacing w:line="400" w:lineRule="exact"/>
        <w:ind w:firstLine="480" w:firstLineChars="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color="000000"/>
        </w:rPr>
        <w:t>3．承包人的义务</w:t>
      </w:r>
    </w:p>
    <w:p w14:paraId="2DA9F8E1">
      <w:pPr>
        <w:widowControl/>
        <w:adjustRightInd/>
        <w:snapToGrid/>
        <w:spacing w:line="400" w:lineRule="exact"/>
        <w:ind w:firstLine="480" w:firstLineChars="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color="000000"/>
        </w:rPr>
        <w:t>（1）承包人不得以任何理由向发包人及其工作人员行贿或馈赠礼金、有价证券、贵重礼品。</w:t>
      </w:r>
    </w:p>
    <w:p w14:paraId="4E95A3E0">
      <w:pPr>
        <w:widowControl/>
        <w:adjustRightInd/>
        <w:snapToGrid/>
        <w:spacing w:line="400" w:lineRule="exact"/>
        <w:ind w:firstLine="480" w:firstLineChars="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color="000000"/>
        </w:rPr>
        <w:t>（2）承包人不得以任何名义为发包人及其工作人员报销应由发包人单位或个人支付的任何费用。</w:t>
      </w:r>
    </w:p>
    <w:p w14:paraId="48AC55E2">
      <w:pPr>
        <w:widowControl/>
        <w:adjustRightInd/>
        <w:snapToGrid/>
        <w:spacing w:line="400" w:lineRule="exact"/>
        <w:ind w:firstLine="480" w:firstLineChars="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color="000000"/>
        </w:rPr>
        <w:t>（3）承包人不得以任何理由安排发包人工作人员参加超标准宴请及娱乐活动。</w:t>
      </w:r>
    </w:p>
    <w:p w14:paraId="55A371E1">
      <w:pPr>
        <w:widowControl/>
        <w:adjustRightInd/>
        <w:snapToGrid/>
        <w:spacing w:line="400" w:lineRule="exact"/>
        <w:ind w:firstLine="480" w:firstLineChars="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color="000000"/>
        </w:rPr>
        <w:t>（4）承包人不得为发包人单位和个人购置或提供通讯工具、交通工具和高档办公用品等。</w:t>
      </w:r>
    </w:p>
    <w:p w14:paraId="2A5B3C20">
      <w:pPr>
        <w:widowControl/>
        <w:adjustRightInd/>
        <w:snapToGrid/>
        <w:spacing w:line="400" w:lineRule="exact"/>
        <w:ind w:firstLine="480" w:firstLineChars="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color="000000"/>
        </w:rPr>
        <w:t>4．违约责任</w:t>
      </w:r>
    </w:p>
    <w:p w14:paraId="17DC668F">
      <w:pPr>
        <w:widowControl/>
        <w:adjustRightInd/>
        <w:snapToGrid/>
        <w:spacing w:line="400" w:lineRule="exact"/>
        <w:ind w:firstLine="480" w:firstLineChars="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color="000000"/>
        </w:rPr>
        <w:t>（1）发包人及其工作人员违反本合同第1、2条，按管理权限，依据有关规定给予党纪、政纪或组织处理；涉嫌犯罪的，移交司法机关追究刑事责任；给承包人单位造成经济损失的，应予以赔偿。</w:t>
      </w:r>
    </w:p>
    <w:p w14:paraId="5E91E312">
      <w:pPr>
        <w:widowControl/>
        <w:adjustRightInd/>
        <w:snapToGrid/>
        <w:spacing w:line="400" w:lineRule="exact"/>
        <w:ind w:firstLine="480" w:firstLineChars="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color="000000"/>
        </w:rPr>
        <w:t>（2）承包人及其工作人员违反本合同第1、3条，按管理权限，依据有关规定给予党纪、政纪或组织处理；给发包人单位造成经济损失的，应予以赔偿；情节严重的，发包人建议交通主管部门给予承包人一至三年内不得进入其主管的公路建设市场的处罚。</w:t>
      </w:r>
    </w:p>
    <w:p w14:paraId="6575E678">
      <w:pPr>
        <w:widowControl/>
        <w:adjustRightInd/>
        <w:snapToGrid/>
        <w:spacing w:line="400" w:lineRule="exact"/>
        <w:ind w:firstLine="480" w:firstLineChars="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color="000000"/>
        </w:rPr>
        <w:t>5.双方约定：本合同由双方或双方上级单位的纪检监察部门负责监督执行。由发包人或发包人上级单位的纪检监察部门约请承包人或承包人上级单位纪检监察部门对本合同执行情况进行检查，提出在本合同规定范围内的裁定意见。</w:t>
      </w:r>
    </w:p>
    <w:p w14:paraId="5BFA5468">
      <w:pPr>
        <w:widowControl/>
        <w:adjustRightInd/>
        <w:snapToGrid/>
        <w:spacing w:line="400" w:lineRule="exact"/>
        <w:ind w:firstLine="480" w:firstLineChars="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color="000000"/>
        </w:rPr>
        <w:t>6.本合同有效期为发包人和承包人签署之日起至该工程项目竣工验收后止。</w:t>
      </w:r>
    </w:p>
    <w:p w14:paraId="074192A4">
      <w:pPr>
        <w:widowControl/>
        <w:adjustRightInd/>
        <w:snapToGrid/>
        <w:spacing w:line="400" w:lineRule="exact"/>
        <w:ind w:firstLine="480" w:firstLineChars="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color="000000"/>
        </w:rPr>
        <w:t>7．本合同作为</w:t>
      </w:r>
      <w:r>
        <w:rPr>
          <w:rFonts w:hint="eastAsia" w:ascii="宋体" w:hAnsi="宋体" w:eastAsia="宋体" w:cs="宋体"/>
          <w:b/>
          <w:bCs/>
          <w:color w:val="auto"/>
          <w:sz w:val="24"/>
          <w:szCs w:val="24"/>
          <w:highlight w:val="none"/>
          <w:u w:val="single" w:color="000000"/>
          <w:lang w:val="en-US" w:eastAsia="zh-CN"/>
        </w:rPr>
        <w:t>***</w:t>
      </w:r>
      <w:r>
        <w:rPr>
          <w:rFonts w:hint="eastAsia" w:ascii="宋体" w:hAnsi="宋体" w:eastAsia="宋体" w:cs="宋体"/>
          <w:color w:val="auto"/>
          <w:sz w:val="24"/>
          <w:szCs w:val="24"/>
          <w:highlight w:val="none"/>
          <w:u w:color="000000"/>
        </w:rPr>
        <w:t>（项目名称）</w:t>
      </w:r>
      <w:r>
        <w:rPr>
          <w:rFonts w:hint="eastAsia" w:ascii="宋体" w:hAnsi="宋体" w:eastAsia="宋体" w:cs="宋体"/>
          <w:b/>
          <w:bCs/>
          <w:color w:val="auto"/>
          <w:sz w:val="24"/>
          <w:szCs w:val="24"/>
          <w:highlight w:val="none"/>
          <w:u w:val="single" w:color="000000"/>
        </w:rPr>
        <w:t>/</w:t>
      </w:r>
      <w:r>
        <w:rPr>
          <w:rFonts w:hint="eastAsia" w:ascii="宋体" w:hAnsi="宋体" w:eastAsia="宋体" w:cs="宋体"/>
          <w:color w:val="auto"/>
          <w:sz w:val="24"/>
          <w:szCs w:val="24"/>
          <w:highlight w:val="none"/>
          <w:u w:color="000000"/>
        </w:rPr>
        <w:t>标段施工合同的附件，与工程施工合同具有同等的法律效力，经合同双方签署后立即生效。</w:t>
      </w:r>
    </w:p>
    <w:p w14:paraId="0E70C834">
      <w:pPr>
        <w:widowControl/>
        <w:adjustRightInd/>
        <w:snapToGrid/>
        <w:spacing w:line="400" w:lineRule="exact"/>
        <w:ind w:firstLine="480" w:firstLineChars="0"/>
        <w:jc w:val="both"/>
        <w:textAlignment w:val="baseline"/>
        <w:rPr>
          <w:rFonts w:hint="eastAsia" w:ascii="宋体" w:hAnsi="宋体" w:eastAsia="宋体" w:cs="宋体"/>
          <w:color w:val="auto"/>
          <w:sz w:val="24"/>
          <w:szCs w:val="24"/>
          <w:highlight w:val="none"/>
          <w:u w:color="000000"/>
        </w:rPr>
      </w:pPr>
      <w:r>
        <w:rPr>
          <w:rFonts w:hint="eastAsia" w:ascii="宋体" w:hAnsi="宋体" w:eastAsia="宋体" w:cs="宋体"/>
          <w:color w:val="auto"/>
          <w:sz w:val="24"/>
          <w:szCs w:val="24"/>
          <w:highlight w:val="none"/>
          <w:u w:color="000000"/>
        </w:rPr>
        <w:t>8．本合同一式</w:t>
      </w:r>
      <w:r>
        <w:rPr>
          <w:rFonts w:hint="eastAsia" w:ascii="宋体" w:hAnsi="宋体" w:eastAsia="宋体" w:cs="宋体"/>
          <w:color w:val="auto"/>
          <w:sz w:val="24"/>
          <w:szCs w:val="24"/>
          <w:highlight w:val="none"/>
          <w:u w:val="single" w:color="000000"/>
        </w:rPr>
        <w:t>陆</w:t>
      </w:r>
      <w:r>
        <w:rPr>
          <w:rFonts w:hint="eastAsia" w:ascii="宋体" w:hAnsi="宋体" w:eastAsia="宋体" w:cs="宋体"/>
          <w:color w:val="auto"/>
          <w:sz w:val="24"/>
          <w:szCs w:val="24"/>
          <w:highlight w:val="none"/>
          <w:u w:color="000000"/>
        </w:rPr>
        <w:t>份，由发包人和承包人各执</w:t>
      </w:r>
      <w:r>
        <w:rPr>
          <w:rFonts w:hint="eastAsia" w:ascii="宋体" w:hAnsi="宋体" w:eastAsia="宋体" w:cs="宋体"/>
          <w:color w:val="auto"/>
          <w:sz w:val="24"/>
          <w:szCs w:val="24"/>
          <w:highlight w:val="none"/>
          <w:u w:val="single" w:color="000000"/>
        </w:rPr>
        <w:t>叁</w:t>
      </w:r>
      <w:r>
        <w:rPr>
          <w:rFonts w:hint="eastAsia" w:ascii="宋体" w:hAnsi="宋体" w:eastAsia="宋体" w:cs="宋体"/>
          <w:color w:val="auto"/>
          <w:sz w:val="24"/>
          <w:szCs w:val="24"/>
          <w:highlight w:val="none"/>
          <w:u w:color="000000"/>
        </w:rPr>
        <w:t>份。</w:t>
      </w:r>
    </w:p>
    <w:p w14:paraId="1D349EFC">
      <w:pPr>
        <w:tabs>
          <w:tab w:val="center" w:pos="4153"/>
          <w:tab w:val="right" w:pos="8306"/>
        </w:tabs>
        <w:snapToGrid w:val="0"/>
        <w:ind w:firstLine="360"/>
        <w:jc w:val="left"/>
        <w:textAlignment w:val="baseline"/>
        <w:rPr>
          <w:rFonts w:hint="eastAsia" w:ascii="宋体" w:hAnsi="宋体" w:eastAsia="宋体" w:cs="宋体"/>
          <w:color w:val="auto"/>
          <w:kern w:val="0"/>
          <w:sz w:val="24"/>
          <w:szCs w:val="24"/>
          <w:highlight w:val="none"/>
          <w:lang w:val="en-US" w:eastAsia="zh-CN" w:bidi="ar-SA"/>
        </w:rPr>
      </w:pPr>
    </w:p>
    <w:p w14:paraId="254855FC">
      <w:pPr>
        <w:tabs>
          <w:tab w:val="center" w:pos="4153"/>
          <w:tab w:val="right" w:pos="8306"/>
        </w:tabs>
        <w:snapToGrid w:val="0"/>
        <w:ind w:firstLine="360"/>
        <w:jc w:val="left"/>
        <w:textAlignment w:val="baseline"/>
        <w:rPr>
          <w:rFonts w:hint="eastAsia" w:ascii="宋体" w:hAnsi="宋体" w:eastAsia="宋体" w:cs="宋体"/>
          <w:color w:val="auto"/>
          <w:kern w:val="0"/>
          <w:sz w:val="24"/>
          <w:szCs w:val="24"/>
          <w:highlight w:val="none"/>
          <w:lang w:val="en-US" w:eastAsia="zh-CN" w:bidi="ar-SA"/>
        </w:rPr>
      </w:pPr>
    </w:p>
    <w:tbl>
      <w:tblPr>
        <w:tblStyle w:val="10"/>
        <w:tblW w:w="99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852"/>
        <w:gridCol w:w="5088"/>
      </w:tblGrid>
      <w:tr w14:paraId="76D0C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2" w:hRule="atLeast"/>
        </w:trPr>
        <w:tc>
          <w:tcPr>
            <w:tcW w:w="4852" w:type="dxa"/>
          </w:tcPr>
          <w:p w14:paraId="7B3B22BB">
            <w:pPr>
              <w:widowControl/>
              <w:adjustRightInd/>
              <w:snapToGrid/>
              <w:spacing w:line="240" w:lineRule="auto"/>
              <w:ind w:firstLine="0" w:firstLineChars="0"/>
              <w:jc w:val="both"/>
              <w:textAlignment w:val="baseline"/>
              <w:rPr>
                <w:rFonts w:hint="eastAsia" w:ascii="宋体" w:hAnsi="宋体" w:eastAsia="宋体" w:cs="宋体"/>
                <w:color w:val="auto"/>
                <w:sz w:val="24"/>
                <w:szCs w:val="24"/>
                <w:highlight w:val="none"/>
                <w:u w:color="000000"/>
              </w:rPr>
            </w:pPr>
            <w:r>
              <w:rPr>
                <w:rFonts w:hint="eastAsia" w:ascii="宋体" w:hAnsi="宋体" w:eastAsia="宋体" w:cs="宋体"/>
                <w:color w:val="auto"/>
                <w:sz w:val="24"/>
                <w:szCs w:val="24"/>
                <w:highlight w:val="none"/>
                <w:u w:color="000000"/>
              </w:rPr>
              <w:t>发包人：（盖单位公章）</w:t>
            </w:r>
          </w:p>
        </w:tc>
        <w:tc>
          <w:tcPr>
            <w:tcW w:w="5088" w:type="dxa"/>
          </w:tcPr>
          <w:p w14:paraId="24CA80CB">
            <w:pPr>
              <w:widowControl/>
              <w:adjustRightInd/>
              <w:snapToGrid/>
              <w:spacing w:line="240" w:lineRule="auto"/>
              <w:ind w:firstLine="0" w:firstLineChars="0"/>
              <w:jc w:val="both"/>
              <w:textAlignment w:val="baseline"/>
              <w:rPr>
                <w:rFonts w:hint="eastAsia" w:ascii="宋体" w:hAnsi="宋体" w:eastAsia="宋体" w:cs="宋体"/>
                <w:color w:val="auto"/>
                <w:sz w:val="24"/>
                <w:szCs w:val="24"/>
                <w:highlight w:val="none"/>
                <w:u w:color="000000"/>
              </w:rPr>
            </w:pPr>
            <w:r>
              <w:rPr>
                <w:rFonts w:hint="eastAsia" w:ascii="宋体" w:hAnsi="宋体" w:eastAsia="宋体" w:cs="宋体"/>
                <w:color w:val="auto"/>
                <w:sz w:val="24"/>
                <w:szCs w:val="24"/>
                <w:highlight w:val="none"/>
                <w:u w:color="000000"/>
              </w:rPr>
              <w:t>承包人：（盖单位公章）</w:t>
            </w:r>
          </w:p>
        </w:tc>
      </w:tr>
      <w:tr w14:paraId="6BCB5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2" w:hRule="atLeast"/>
        </w:trPr>
        <w:tc>
          <w:tcPr>
            <w:tcW w:w="4852" w:type="dxa"/>
          </w:tcPr>
          <w:p w14:paraId="5811286A">
            <w:pPr>
              <w:widowControl/>
              <w:adjustRightInd/>
              <w:snapToGrid/>
              <w:spacing w:line="240" w:lineRule="auto"/>
              <w:ind w:firstLine="0" w:firstLineChars="0"/>
              <w:jc w:val="both"/>
              <w:textAlignment w:val="baseline"/>
              <w:rPr>
                <w:rFonts w:hint="eastAsia" w:ascii="宋体" w:hAnsi="宋体" w:eastAsia="宋体" w:cs="宋体"/>
                <w:color w:val="auto"/>
                <w:sz w:val="24"/>
                <w:szCs w:val="24"/>
                <w:highlight w:val="none"/>
                <w:u w:color="000000"/>
              </w:rPr>
            </w:pPr>
          </w:p>
        </w:tc>
        <w:tc>
          <w:tcPr>
            <w:tcW w:w="5088" w:type="dxa"/>
          </w:tcPr>
          <w:p w14:paraId="7CF1D65E">
            <w:pPr>
              <w:widowControl/>
              <w:adjustRightInd/>
              <w:snapToGrid/>
              <w:spacing w:line="240" w:lineRule="auto"/>
              <w:ind w:firstLine="0" w:firstLineChars="0"/>
              <w:jc w:val="both"/>
              <w:textAlignment w:val="baseline"/>
              <w:rPr>
                <w:rFonts w:hint="eastAsia" w:ascii="宋体" w:hAnsi="宋体" w:eastAsia="宋体" w:cs="宋体"/>
                <w:color w:val="auto"/>
                <w:sz w:val="24"/>
                <w:szCs w:val="24"/>
                <w:highlight w:val="none"/>
                <w:u w:color="000000"/>
              </w:rPr>
            </w:pPr>
          </w:p>
        </w:tc>
      </w:tr>
      <w:tr w14:paraId="49411E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2" w:hRule="atLeast"/>
        </w:trPr>
        <w:tc>
          <w:tcPr>
            <w:tcW w:w="4852" w:type="dxa"/>
          </w:tcPr>
          <w:p w14:paraId="6DF65946">
            <w:pPr>
              <w:widowControl/>
              <w:adjustRightInd/>
              <w:snapToGrid/>
              <w:spacing w:line="240" w:lineRule="auto"/>
              <w:ind w:firstLine="0" w:firstLineChars="0"/>
              <w:jc w:val="both"/>
              <w:textAlignment w:val="baseline"/>
              <w:rPr>
                <w:rFonts w:hint="eastAsia" w:ascii="宋体" w:hAnsi="宋体" w:eastAsia="宋体" w:cs="宋体"/>
                <w:color w:val="auto"/>
                <w:sz w:val="24"/>
                <w:szCs w:val="24"/>
                <w:highlight w:val="none"/>
                <w:u w:color="000000"/>
              </w:rPr>
            </w:pPr>
            <w:r>
              <w:rPr>
                <w:rFonts w:hint="eastAsia" w:ascii="宋体" w:hAnsi="宋体" w:eastAsia="宋体" w:cs="宋体"/>
                <w:color w:val="auto"/>
                <w:sz w:val="24"/>
                <w:szCs w:val="24"/>
                <w:highlight w:val="none"/>
                <w:u w:color="000000"/>
              </w:rPr>
              <w:t>法定代表人</w:t>
            </w:r>
          </w:p>
          <w:p w14:paraId="3787C458">
            <w:pPr>
              <w:widowControl/>
              <w:adjustRightInd/>
              <w:snapToGrid/>
              <w:spacing w:line="240" w:lineRule="auto"/>
              <w:ind w:firstLine="0" w:firstLineChars="0"/>
              <w:jc w:val="both"/>
              <w:textAlignment w:val="baseline"/>
              <w:rPr>
                <w:rFonts w:hint="eastAsia" w:ascii="宋体" w:hAnsi="宋体" w:eastAsia="宋体" w:cs="宋体"/>
                <w:color w:val="auto"/>
                <w:sz w:val="24"/>
                <w:szCs w:val="24"/>
                <w:highlight w:val="none"/>
                <w:u w:color="000000"/>
              </w:rPr>
            </w:pPr>
            <w:r>
              <w:rPr>
                <w:rFonts w:hint="eastAsia" w:ascii="宋体" w:hAnsi="宋体" w:eastAsia="宋体" w:cs="宋体"/>
                <w:color w:val="auto"/>
                <w:sz w:val="24"/>
                <w:szCs w:val="24"/>
                <w:highlight w:val="none"/>
                <w:u w:color="000000"/>
              </w:rPr>
              <w:t>或其委托代理人：（签字）</w:t>
            </w:r>
          </w:p>
        </w:tc>
        <w:tc>
          <w:tcPr>
            <w:tcW w:w="5088" w:type="dxa"/>
          </w:tcPr>
          <w:p w14:paraId="593F04CF">
            <w:pPr>
              <w:widowControl/>
              <w:adjustRightInd/>
              <w:snapToGrid/>
              <w:spacing w:line="240" w:lineRule="auto"/>
              <w:ind w:firstLine="0" w:firstLineChars="0"/>
              <w:jc w:val="both"/>
              <w:textAlignment w:val="baseline"/>
              <w:rPr>
                <w:rFonts w:hint="eastAsia" w:ascii="宋体" w:hAnsi="宋体" w:eastAsia="宋体" w:cs="宋体"/>
                <w:color w:val="auto"/>
                <w:sz w:val="24"/>
                <w:szCs w:val="24"/>
                <w:highlight w:val="none"/>
                <w:u w:color="000000"/>
              </w:rPr>
            </w:pPr>
            <w:r>
              <w:rPr>
                <w:rFonts w:hint="eastAsia" w:ascii="宋体" w:hAnsi="宋体" w:eastAsia="宋体" w:cs="宋体"/>
                <w:color w:val="auto"/>
                <w:sz w:val="24"/>
                <w:szCs w:val="24"/>
                <w:highlight w:val="none"/>
                <w:u w:color="000000"/>
              </w:rPr>
              <w:t>法定代表人</w:t>
            </w:r>
          </w:p>
          <w:p w14:paraId="6028EE1E">
            <w:pPr>
              <w:widowControl/>
              <w:adjustRightInd/>
              <w:snapToGrid/>
              <w:spacing w:line="240" w:lineRule="auto"/>
              <w:ind w:firstLine="0" w:firstLineChars="0"/>
              <w:jc w:val="both"/>
              <w:textAlignment w:val="baseline"/>
              <w:rPr>
                <w:rFonts w:hint="eastAsia" w:ascii="宋体" w:hAnsi="宋体" w:eastAsia="宋体" w:cs="宋体"/>
                <w:color w:val="auto"/>
                <w:sz w:val="24"/>
                <w:szCs w:val="24"/>
                <w:highlight w:val="none"/>
                <w:u w:color="000000"/>
              </w:rPr>
            </w:pPr>
            <w:r>
              <w:rPr>
                <w:rFonts w:hint="eastAsia" w:ascii="宋体" w:hAnsi="宋体" w:eastAsia="宋体" w:cs="宋体"/>
                <w:color w:val="auto"/>
                <w:sz w:val="24"/>
                <w:szCs w:val="24"/>
                <w:highlight w:val="none"/>
                <w:u w:color="000000"/>
              </w:rPr>
              <w:t>或其委托代理人：（签字）</w:t>
            </w:r>
          </w:p>
        </w:tc>
      </w:tr>
      <w:tr w14:paraId="3FCDC0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7" w:hRule="atLeast"/>
        </w:trPr>
        <w:tc>
          <w:tcPr>
            <w:tcW w:w="4852" w:type="dxa"/>
          </w:tcPr>
          <w:p w14:paraId="0C11CB20">
            <w:pPr>
              <w:widowControl/>
              <w:adjustRightInd/>
              <w:snapToGrid/>
              <w:spacing w:line="240" w:lineRule="auto"/>
              <w:ind w:firstLine="0" w:firstLineChars="0"/>
              <w:jc w:val="both"/>
              <w:textAlignment w:val="baseline"/>
              <w:rPr>
                <w:rFonts w:hint="eastAsia" w:ascii="宋体" w:hAnsi="宋体" w:eastAsia="宋体" w:cs="宋体"/>
                <w:color w:val="auto"/>
                <w:sz w:val="24"/>
                <w:szCs w:val="24"/>
                <w:highlight w:val="none"/>
                <w:u w:color="000000"/>
              </w:rPr>
            </w:pPr>
            <w:r>
              <w:rPr>
                <w:rFonts w:hint="eastAsia" w:ascii="宋体" w:hAnsi="宋体" w:eastAsia="宋体" w:cs="宋体"/>
                <w:color w:val="auto"/>
                <w:sz w:val="24"/>
                <w:szCs w:val="24"/>
                <w:highlight w:val="none"/>
                <w:u w:color="000000"/>
              </w:rPr>
              <w:t>年月日</w:t>
            </w:r>
          </w:p>
        </w:tc>
        <w:tc>
          <w:tcPr>
            <w:tcW w:w="5088" w:type="dxa"/>
          </w:tcPr>
          <w:p w14:paraId="10ADB060">
            <w:pPr>
              <w:widowControl/>
              <w:adjustRightInd/>
              <w:snapToGrid/>
              <w:spacing w:line="240" w:lineRule="auto"/>
              <w:ind w:firstLine="0" w:firstLineChars="0"/>
              <w:jc w:val="both"/>
              <w:textAlignment w:val="baseline"/>
              <w:rPr>
                <w:rFonts w:hint="eastAsia" w:ascii="宋体" w:hAnsi="宋体" w:eastAsia="宋体" w:cs="宋体"/>
                <w:color w:val="auto"/>
                <w:sz w:val="24"/>
                <w:szCs w:val="24"/>
                <w:highlight w:val="none"/>
                <w:u w:color="000000"/>
              </w:rPr>
            </w:pPr>
            <w:r>
              <w:rPr>
                <w:rFonts w:hint="eastAsia" w:ascii="宋体" w:hAnsi="宋体" w:eastAsia="宋体" w:cs="宋体"/>
                <w:color w:val="auto"/>
                <w:sz w:val="24"/>
                <w:szCs w:val="24"/>
                <w:highlight w:val="none"/>
                <w:u w:color="000000"/>
              </w:rPr>
              <w:t>年月日</w:t>
            </w:r>
          </w:p>
        </w:tc>
      </w:tr>
    </w:tbl>
    <w:p w14:paraId="705F7824">
      <w:pPr>
        <w:widowControl/>
        <w:adjustRightInd/>
        <w:snapToGrid/>
        <w:spacing w:line="400" w:lineRule="exact"/>
        <w:ind w:firstLine="0" w:firstLineChars="0"/>
        <w:jc w:val="both"/>
        <w:textAlignment w:val="baseline"/>
        <w:rPr>
          <w:rFonts w:hint="eastAsia" w:ascii="宋体" w:hAnsi="宋体" w:eastAsia="宋体" w:cs="宋体"/>
          <w:color w:val="auto"/>
          <w:sz w:val="24"/>
          <w:szCs w:val="24"/>
          <w:highlight w:val="none"/>
          <w:u w:color="000000"/>
        </w:rPr>
      </w:pPr>
    </w:p>
    <w:p w14:paraId="5921F9C1">
      <w:pPr>
        <w:widowControl/>
        <w:adjustRightInd/>
        <w:snapToGrid/>
        <w:spacing w:line="240" w:lineRule="auto"/>
        <w:ind w:firstLine="643" w:firstLineChars="0"/>
        <w:jc w:val="both"/>
        <w:textAlignment w:val="baseline"/>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p>
    <w:p w14:paraId="6852C568">
      <w:pPr>
        <w:keepNext/>
        <w:keepLines/>
        <w:numPr>
          <w:ilvl w:val="0"/>
          <w:numId w:val="0"/>
        </w:numPr>
        <w:spacing w:line="576" w:lineRule="auto"/>
        <w:jc w:val="center"/>
        <w:textAlignment w:val="baseline"/>
        <w:outlineLvl w:val="0"/>
        <w:rPr>
          <w:rFonts w:hint="eastAsia" w:ascii="宋体" w:hAnsi="宋体" w:eastAsia="宋体" w:cs="宋体"/>
          <w:b/>
          <w:bCs/>
          <w:color w:val="auto"/>
          <w:kern w:val="44"/>
          <w:sz w:val="32"/>
          <w:szCs w:val="32"/>
          <w:highlight w:val="none"/>
          <w:lang w:val="en-US" w:eastAsia="zh-CN" w:bidi="ar-SA"/>
        </w:rPr>
      </w:pPr>
    </w:p>
    <w:p w14:paraId="518745D9">
      <w:pPr>
        <w:keepNext/>
        <w:keepLines/>
        <w:numPr>
          <w:ilvl w:val="0"/>
          <w:numId w:val="0"/>
        </w:numPr>
        <w:spacing w:line="576" w:lineRule="auto"/>
        <w:jc w:val="center"/>
        <w:textAlignment w:val="baseline"/>
        <w:outlineLvl w:val="0"/>
        <w:rPr>
          <w:rFonts w:hint="eastAsia" w:ascii="宋体" w:hAnsi="宋体" w:eastAsia="宋体" w:cs="宋体"/>
          <w:b/>
          <w:bCs/>
          <w:color w:val="auto"/>
          <w:kern w:val="44"/>
          <w:sz w:val="32"/>
          <w:szCs w:val="32"/>
          <w:highlight w:val="none"/>
          <w:lang w:val="en-US" w:eastAsia="zh-CN" w:bidi="ar-SA"/>
        </w:rPr>
      </w:pPr>
      <w:bookmarkStart w:id="736" w:name="_Toc22320"/>
      <w:bookmarkStart w:id="737" w:name="_Toc3730"/>
      <w:bookmarkStart w:id="738" w:name="_Toc15006"/>
      <w:bookmarkStart w:id="739" w:name="_Toc16372"/>
      <w:bookmarkStart w:id="740" w:name="_Toc115"/>
      <w:r>
        <w:rPr>
          <w:rFonts w:hint="eastAsia" w:ascii="宋体" w:hAnsi="宋体" w:eastAsia="宋体" w:cs="宋体"/>
          <w:b/>
          <w:bCs/>
          <w:color w:val="auto"/>
          <w:kern w:val="44"/>
          <w:sz w:val="32"/>
          <w:szCs w:val="32"/>
          <w:highlight w:val="none"/>
          <w:lang w:val="en-US" w:eastAsia="zh-CN" w:bidi="ar-SA"/>
        </w:rPr>
        <w:t>三、安全生产合同</w:t>
      </w:r>
      <w:bookmarkEnd w:id="736"/>
      <w:bookmarkEnd w:id="737"/>
      <w:bookmarkEnd w:id="738"/>
      <w:bookmarkEnd w:id="739"/>
      <w:bookmarkEnd w:id="740"/>
    </w:p>
    <w:p w14:paraId="4D02DFA0">
      <w:pPr>
        <w:widowControl/>
        <w:adjustRightInd/>
        <w:snapToGrid/>
        <w:spacing w:line="400" w:lineRule="exact"/>
        <w:ind w:firstLine="480" w:firstLineChars="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color="000000"/>
        </w:rPr>
        <w:t>为在</w:t>
      </w:r>
      <w:r>
        <w:rPr>
          <w:rFonts w:hint="eastAsia" w:ascii="宋体" w:hAnsi="宋体" w:eastAsia="宋体" w:cs="宋体"/>
          <w:b/>
          <w:bCs/>
          <w:color w:val="auto"/>
          <w:sz w:val="24"/>
          <w:szCs w:val="24"/>
          <w:highlight w:val="none"/>
          <w:u w:val="single" w:color="000000"/>
          <w:lang w:val="en-US" w:eastAsia="zh-CN"/>
        </w:rPr>
        <w:t>***</w:t>
      </w:r>
      <w:r>
        <w:rPr>
          <w:rFonts w:hint="eastAsia" w:ascii="宋体" w:hAnsi="宋体" w:eastAsia="宋体" w:cs="宋体"/>
          <w:color w:val="auto"/>
          <w:sz w:val="24"/>
          <w:szCs w:val="24"/>
          <w:highlight w:val="none"/>
          <w:u w:color="000000"/>
        </w:rPr>
        <w:t>（项目名称）施工合同的实施过程中创造安全、高效的施工环境，切实搞好本项目的安全管理工作，本项目发包人</w:t>
      </w:r>
      <w:r>
        <w:rPr>
          <w:rFonts w:hint="eastAsia" w:ascii="宋体" w:hAnsi="宋体" w:eastAsia="宋体" w:cs="宋体"/>
          <w:color w:val="auto"/>
          <w:sz w:val="24"/>
          <w:szCs w:val="24"/>
          <w:highlight w:val="none"/>
          <w:u w:val="single" w:color="000000"/>
          <w:lang w:val="en-US" w:eastAsia="zh-CN"/>
        </w:rPr>
        <w:t>兴业县公路建设养护中心</w:t>
      </w:r>
      <w:r>
        <w:rPr>
          <w:rFonts w:hint="eastAsia" w:ascii="宋体" w:hAnsi="宋体" w:eastAsia="宋体" w:cs="宋体"/>
          <w:color w:val="auto"/>
          <w:sz w:val="24"/>
          <w:szCs w:val="24"/>
          <w:highlight w:val="none"/>
          <w:u w:color="000000"/>
        </w:rPr>
        <w:t>（发包人名称，以下简称“发包人”）与承包人</w:t>
      </w:r>
      <w:r>
        <w:rPr>
          <w:rFonts w:hint="eastAsia" w:ascii="宋体" w:hAnsi="宋体" w:eastAsia="宋体" w:cs="宋体"/>
          <w:b/>
          <w:bCs/>
          <w:color w:val="auto"/>
          <w:sz w:val="24"/>
          <w:szCs w:val="24"/>
          <w:highlight w:val="none"/>
          <w:u w:val="single" w:color="000000"/>
          <w:lang w:val="en-US" w:eastAsia="zh-CN"/>
        </w:rPr>
        <w:t>***</w:t>
      </w:r>
      <w:r>
        <w:rPr>
          <w:rFonts w:hint="eastAsia" w:ascii="宋体" w:hAnsi="宋体" w:eastAsia="宋体" w:cs="宋体"/>
          <w:color w:val="auto"/>
          <w:sz w:val="24"/>
          <w:szCs w:val="24"/>
          <w:highlight w:val="none"/>
          <w:u w:color="000000"/>
        </w:rPr>
        <w:t>（承包人名称，以下简称“承包人”）特此签订安全生产合同：</w:t>
      </w:r>
    </w:p>
    <w:p w14:paraId="0329B004">
      <w:pPr>
        <w:widowControl/>
        <w:adjustRightInd/>
        <w:snapToGrid/>
        <w:spacing w:line="400" w:lineRule="exact"/>
        <w:ind w:firstLine="480" w:firstLineChars="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color="000000"/>
        </w:rPr>
        <w:t>1.发包人职责</w:t>
      </w:r>
    </w:p>
    <w:p w14:paraId="0E1BAB73">
      <w:pPr>
        <w:widowControl/>
        <w:adjustRightInd/>
        <w:snapToGrid/>
        <w:spacing w:line="400" w:lineRule="exact"/>
        <w:ind w:firstLine="480" w:firstLineChars="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color="000000"/>
        </w:rPr>
        <w:t>（1）严格遵守国家有关安全生产的法律法规，认真执行工程承包合同中的有关安全要求。</w:t>
      </w:r>
    </w:p>
    <w:p w14:paraId="4848F431">
      <w:pPr>
        <w:widowControl/>
        <w:adjustRightInd/>
        <w:snapToGrid/>
        <w:spacing w:line="400" w:lineRule="exact"/>
        <w:ind w:firstLine="480" w:firstLineChars="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color="000000"/>
        </w:rPr>
        <w:t>（2）按照“安全第一、预防为主”和坚持“管生产必须管安全”的原则进行安全生产管理，做到生产与安全工作同时计划、布置、检查、总结和评比。</w:t>
      </w:r>
    </w:p>
    <w:p w14:paraId="4065CDED">
      <w:pPr>
        <w:widowControl/>
        <w:adjustRightInd/>
        <w:snapToGrid/>
        <w:spacing w:line="400" w:lineRule="exact"/>
        <w:ind w:firstLine="480" w:firstLineChars="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color="000000"/>
        </w:rPr>
        <w:t>（3）重要的安全设施必须坚持与主体工程“三同时”的原则，即：同时设计、审批，同时施工，同时验收，投入使用。</w:t>
      </w:r>
    </w:p>
    <w:p w14:paraId="7DC00CEE">
      <w:pPr>
        <w:widowControl/>
        <w:adjustRightInd/>
        <w:snapToGrid/>
        <w:spacing w:line="400" w:lineRule="exact"/>
        <w:ind w:firstLine="480" w:firstLineChars="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color="000000"/>
        </w:rPr>
        <w:t>（4）定期召开安全生产调度会，及时传达中央及地方有关安全生产的精神。</w:t>
      </w:r>
    </w:p>
    <w:p w14:paraId="3BAC410D">
      <w:pPr>
        <w:widowControl/>
        <w:adjustRightInd/>
        <w:snapToGrid/>
        <w:spacing w:line="400" w:lineRule="exact"/>
        <w:ind w:firstLine="480" w:firstLineChars="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color="000000"/>
        </w:rPr>
        <w:t>（5）组织对承包人施工现场安全生产检查，监督承包人及时处理发现的各种安全隐患。</w:t>
      </w:r>
    </w:p>
    <w:p w14:paraId="0873C220">
      <w:pPr>
        <w:widowControl/>
        <w:adjustRightInd/>
        <w:snapToGrid/>
        <w:spacing w:line="400" w:lineRule="exact"/>
        <w:ind w:firstLine="480" w:firstLineChars="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color="000000"/>
        </w:rPr>
        <w:t>2.承包人职责</w:t>
      </w:r>
    </w:p>
    <w:p w14:paraId="617755E0">
      <w:pPr>
        <w:widowControl/>
        <w:adjustRightInd/>
        <w:snapToGrid/>
        <w:spacing w:line="400" w:lineRule="exact"/>
        <w:ind w:firstLine="240" w:firstLineChars="1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color="000000"/>
        </w:rPr>
        <w:t>（1）严格遵守《中华人民共和国安全生产法》、《建设工程安全生产管理条例》等国家有关安全生产的法律法规、《公路水运工程安全生产监督管理办法》、《公路工程施工安全技术规程》和《公路筑养路机械操作规程》等有关安全生产的规定。认真执行工程承包合同中的有关安全要求。</w:t>
      </w:r>
    </w:p>
    <w:p w14:paraId="24EE000D">
      <w:pPr>
        <w:widowControl/>
        <w:adjustRightInd/>
        <w:snapToGrid/>
        <w:spacing w:line="400" w:lineRule="exact"/>
        <w:ind w:firstLine="240" w:firstLineChars="1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color="000000"/>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合同的各项规定，做到生产与安全工作同时计划、布置、检查、总结和评比。</w:t>
      </w:r>
    </w:p>
    <w:p w14:paraId="2F64334F">
      <w:pPr>
        <w:widowControl/>
        <w:adjustRightInd/>
        <w:snapToGrid/>
        <w:spacing w:line="400" w:lineRule="exact"/>
        <w:ind w:firstLine="240" w:firstLineChars="1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color="000000"/>
        </w:rPr>
        <w:t>（3）建立健全安全生产责任制。从派往项目实施的项目经理到生产工人（包括临时雇请的民工）的安全生产管理系统必须做到纵向到底，—环不漏；各职能部门、人员的安全生产责任制做到横向到边，人人有责。项目经理是安全生产的第一责任人。现场设置的安全机构，应按《公路水运工程安全生产监督管理办法》规定的最低数量和资质条件配备专职安全生产管理人员，专职负责所有员工的安全和治安保卫工作及预防事故的发生。安全机构人员有权按有关规定发布指令，并采取保护性措施防止事故发生。</w:t>
      </w:r>
    </w:p>
    <w:p w14:paraId="7BAD4B2B">
      <w:pPr>
        <w:widowControl/>
        <w:adjustRightInd/>
        <w:snapToGrid/>
        <w:spacing w:line="400" w:lineRule="exact"/>
        <w:ind w:firstLine="240" w:firstLineChars="1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color="000000"/>
        </w:rPr>
        <w:t>（4）承包人在任何时候都应采取各种合理的预防措施，防止其员工发生任何违法、违禁、暴力或妨碍治安的行为。</w:t>
      </w:r>
    </w:p>
    <w:p w14:paraId="734A30DD">
      <w:pPr>
        <w:widowControl/>
        <w:adjustRightInd/>
        <w:snapToGrid/>
        <w:spacing w:line="400" w:lineRule="exact"/>
        <w:ind w:firstLine="240" w:firstLineChars="1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color="000000"/>
        </w:rPr>
        <w:t>（5）承包人必须具有劳动安全管理部门颁发的安全生产考核合格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经理必须承担管理责任。</w:t>
      </w:r>
    </w:p>
    <w:p w14:paraId="0365C307">
      <w:pPr>
        <w:widowControl/>
        <w:adjustRightInd/>
        <w:snapToGrid/>
        <w:spacing w:line="400" w:lineRule="exact"/>
        <w:ind w:firstLine="48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color="000000"/>
        </w:rPr>
        <w:t>（6）对于易燃易爆的材料除应专门妥善保管之外，还应配备有足够的消防设施，所有施工人员都应熟悉消防设备的性能和使用方法；承包人不得将任何种类的爆炸物给予、易货或以其他方式转让给任何其他人，或允许、容忍上述同样行为。</w:t>
      </w:r>
    </w:p>
    <w:p w14:paraId="5D4845AB">
      <w:pPr>
        <w:widowControl/>
        <w:adjustRightInd/>
        <w:snapToGrid/>
        <w:spacing w:line="400" w:lineRule="exact"/>
        <w:ind w:firstLine="240" w:firstLineChars="1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color="000000"/>
        </w:rPr>
        <w:t>（7）操作人员上岗，必须按规定穿戴防护用品。施工负责人和安全检查员应随时检查劳动防护用品的穿戴情况，不按规定穿戴防护用品的人员不得上岗。</w:t>
      </w:r>
    </w:p>
    <w:p w14:paraId="2FF0543C">
      <w:pPr>
        <w:widowControl/>
        <w:adjustRightInd/>
        <w:snapToGrid/>
        <w:spacing w:line="400" w:lineRule="exact"/>
        <w:ind w:firstLine="240" w:firstLineChars="1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color="000000"/>
        </w:rPr>
        <w:t>（8）所有施工机具设备和高空作业的设备均应定期检查，并有安全员的签字记录，保证其经常处于完好状态；不合格的机具、设备和劳动保护用品严禁使用：</w:t>
      </w:r>
    </w:p>
    <w:p w14:paraId="77AE38BF">
      <w:pPr>
        <w:widowControl/>
        <w:adjustRightInd/>
        <w:snapToGrid/>
        <w:spacing w:line="400" w:lineRule="exact"/>
        <w:ind w:firstLine="240" w:firstLineChars="1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color="000000"/>
        </w:rPr>
        <w:t>（9）施工中采用新技术、新工艺、新设备、新材料时，必须制定相应的安全技术措施，施工现场必须具有相关的安全标志牌。</w:t>
      </w:r>
    </w:p>
    <w:p w14:paraId="6D9D4ECD">
      <w:pPr>
        <w:widowControl/>
        <w:adjustRightInd/>
        <w:snapToGrid/>
        <w:spacing w:line="400" w:lineRule="exact"/>
        <w:ind w:firstLine="240" w:firstLineChars="1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color="000000"/>
        </w:rPr>
        <w:t>（10）承包人必须按照本工程项目特点，组织制定本工程实施中的生产安全事故应急救援预案；如果发生安全事故，应按照《国务院关于特大安全事故行政责任追究的规定》以及其他有关规定，及时上报有关部门，并坚持“四不放过”的原则．严肃处理相关责任人。</w:t>
      </w:r>
    </w:p>
    <w:p w14:paraId="3E81EEA9">
      <w:pPr>
        <w:widowControl/>
        <w:adjustRightInd/>
        <w:snapToGrid/>
        <w:spacing w:line="400" w:lineRule="exact"/>
        <w:ind w:firstLine="240" w:firstLineChars="1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color="000000"/>
        </w:rPr>
        <w:t>（11）安全生产费用按照《公路水运工程安全生产监督管理办法》的相关规定使用和管理。</w:t>
      </w:r>
    </w:p>
    <w:p w14:paraId="6A5260A0">
      <w:pPr>
        <w:widowControl/>
        <w:adjustRightInd/>
        <w:snapToGrid/>
        <w:spacing w:line="400" w:lineRule="exact"/>
        <w:ind w:firstLine="480" w:firstLineChars="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color="000000"/>
        </w:rPr>
        <w:t>3.违约责任</w:t>
      </w:r>
    </w:p>
    <w:p w14:paraId="5D3F292B">
      <w:pPr>
        <w:widowControl/>
        <w:adjustRightInd/>
        <w:snapToGrid/>
        <w:spacing w:line="400" w:lineRule="exact"/>
        <w:ind w:firstLine="480" w:firstLineChars="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color="000000"/>
        </w:rPr>
        <w:t>如因发包人或承包人违约造成安全事故，将依法追究责任。</w:t>
      </w:r>
    </w:p>
    <w:p w14:paraId="6756D6B4">
      <w:pPr>
        <w:widowControl/>
        <w:adjustRightInd/>
        <w:snapToGrid/>
        <w:spacing w:line="400" w:lineRule="exact"/>
        <w:ind w:firstLine="480" w:firstLineChars="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color="000000"/>
        </w:rPr>
        <w:t>4.本合同由双方法定代表人或其授权的代理人签署并加盖单位公章后生效，全部工程竣工验收后失效。</w:t>
      </w:r>
    </w:p>
    <w:p w14:paraId="134B6C0E">
      <w:pPr>
        <w:widowControl/>
        <w:adjustRightInd/>
        <w:snapToGrid/>
        <w:spacing w:line="400" w:lineRule="exact"/>
        <w:ind w:firstLine="480" w:firstLineChars="0"/>
        <w:jc w:val="both"/>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u w:color="000000"/>
        </w:rPr>
        <w:t>5.本合同</w:t>
      </w:r>
      <w:r>
        <w:rPr>
          <w:rFonts w:hint="eastAsia" w:ascii="宋体" w:hAnsi="宋体" w:eastAsia="宋体" w:cs="宋体"/>
          <w:color w:val="auto"/>
          <w:sz w:val="24"/>
          <w:szCs w:val="24"/>
          <w:highlight w:val="none"/>
          <w:u w:color="000000"/>
          <w:lang w:val="en-US" w:eastAsia="zh-CN"/>
        </w:rPr>
        <w:t>一式陆份</w:t>
      </w:r>
      <w:r>
        <w:rPr>
          <w:rFonts w:hint="eastAsia" w:ascii="宋体" w:hAnsi="宋体" w:eastAsia="宋体" w:cs="宋体"/>
          <w:color w:val="auto"/>
          <w:sz w:val="24"/>
          <w:szCs w:val="24"/>
          <w:highlight w:val="none"/>
          <w:u w:color="000000"/>
        </w:rPr>
        <w:t>，合同双方各执</w:t>
      </w:r>
      <w:r>
        <w:rPr>
          <w:rFonts w:hint="eastAsia" w:ascii="宋体" w:hAnsi="宋体" w:eastAsia="宋体" w:cs="宋体"/>
          <w:color w:val="auto"/>
          <w:sz w:val="24"/>
          <w:szCs w:val="24"/>
          <w:highlight w:val="none"/>
          <w:u w:color="000000"/>
          <w:lang w:val="en-US" w:eastAsia="zh-CN"/>
        </w:rPr>
        <w:t>叁</w:t>
      </w:r>
      <w:r>
        <w:rPr>
          <w:rFonts w:hint="eastAsia" w:ascii="宋体" w:hAnsi="宋体" w:eastAsia="宋体" w:cs="宋体"/>
          <w:color w:val="auto"/>
          <w:sz w:val="24"/>
          <w:szCs w:val="24"/>
          <w:highlight w:val="none"/>
          <w:u w:color="000000"/>
        </w:rPr>
        <w:t>份</w:t>
      </w:r>
      <w:r>
        <w:rPr>
          <w:rFonts w:hint="eastAsia" w:ascii="宋体" w:hAnsi="宋体" w:eastAsia="宋体" w:cs="宋体"/>
          <w:color w:val="auto"/>
          <w:sz w:val="24"/>
          <w:szCs w:val="24"/>
          <w:highlight w:val="none"/>
          <w:u w:color="000000"/>
          <w:lang w:eastAsia="zh-CN"/>
        </w:rPr>
        <w:t>。</w:t>
      </w:r>
    </w:p>
    <w:p w14:paraId="73FB7488">
      <w:pPr>
        <w:widowControl/>
        <w:adjustRightInd/>
        <w:snapToGrid/>
        <w:spacing w:line="400" w:lineRule="exact"/>
        <w:ind w:firstLine="0" w:firstLineChars="0"/>
        <w:jc w:val="both"/>
        <w:textAlignment w:val="baseline"/>
        <w:rPr>
          <w:rFonts w:hint="eastAsia" w:ascii="宋体" w:hAnsi="宋体" w:eastAsia="宋体" w:cs="宋体"/>
          <w:color w:val="auto"/>
          <w:sz w:val="24"/>
          <w:szCs w:val="24"/>
          <w:highlight w:val="none"/>
        </w:rPr>
      </w:pPr>
    </w:p>
    <w:tbl>
      <w:tblPr>
        <w:tblStyle w:val="10"/>
        <w:tblW w:w="99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852"/>
        <w:gridCol w:w="5088"/>
      </w:tblGrid>
      <w:tr w14:paraId="0EFA9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2" w:hRule="atLeast"/>
        </w:trPr>
        <w:tc>
          <w:tcPr>
            <w:tcW w:w="4852" w:type="dxa"/>
          </w:tcPr>
          <w:p w14:paraId="7187FF38">
            <w:pPr>
              <w:widowControl/>
              <w:adjustRightInd/>
              <w:snapToGrid/>
              <w:spacing w:line="240" w:lineRule="auto"/>
              <w:ind w:firstLine="0" w:firstLineChars="0"/>
              <w:jc w:val="both"/>
              <w:textAlignment w:val="baseline"/>
              <w:rPr>
                <w:rFonts w:hint="eastAsia" w:ascii="宋体" w:hAnsi="宋体" w:eastAsia="宋体" w:cs="宋体"/>
                <w:color w:val="auto"/>
                <w:sz w:val="24"/>
                <w:szCs w:val="24"/>
                <w:highlight w:val="none"/>
                <w:u w:color="000000"/>
              </w:rPr>
            </w:pPr>
            <w:r>
              <w:rPr>
                <w:rFonts w:hint="eastAsia" w:ascii="宋体" w:hAnsi="宋体" w:eastAsia="宋体" w:cs="宋体"/>
                <w:color w:val="auto"/>
                <w:sz w:val="24"/>
                <w:szCs w:val="24"/>
                <w:highlight w:val="none"/>
                <w:u w:color="000000"/>
              </w:rPr>
              <w:t>发包人：（盖单位公章）</w:t>
            </w:r>
          </w:p>
        </w:tc>
        <w:tc>
          <w:tcPr>
            <w:tcW w:w="5088" w:type="dxa"/>
          </w:tcPr>
          <w:p w14:paraId="7D37CDE5">
            <w:pPr>
              <w:widowControl/>
              <w:adjustRightInd/>
              <w:snapToGrid/>
              <w:spacing w:line="240" w:lineRule="auto"/>
              <w:ind w:firstLine="0" w:firstLineChars="0"/>
              <w:jc w:val="both"/>
              <w:textAlignment w:val="baseline"/>
              <w:rPr>
                <w:rFonts w:hint="eastAsia" w:ascii="宋体" w:hAnsi="宋体" w:eastAsia="宋体" w:cs="宋体"/>
                <w:color w:val="auto"/>
                <w:sz w:val="24"/>
                <w:szCs w:val="24"/>
                <w:highlight w:val="none"/>
                <w:u w:color="000000"/>
              </w:rPr>
            </w:pPr>
            <w:r>
              <w:rPr>
                <w:rFonts w:hint="eastAsia" w:ascii="宋体" w:hAnsi="宋体" w:eastAsia="宋体" w:cs="宋体"/>
                <w:color w:val="auto"/>
                <w:sz w:val="24"/>
                <w:szCs w:val="24"/>
                <w:highlight w:val="none"/>
                <w:u w:color="000000"/>
              </w:rPr>
              <w:t>承包人：（盖单位公章）</w:t>
            </w:r>
          </w:p>
        </w:tc>
      </w:tr>
      <w:tr w14:paraId="1DBD3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4852" w:type="dxa"/>
          </w:tcPr>
          <w:p w14:paraId="58A85B2E">
            <w:pPr>
              <w:widowControl/>
              <w:adjustRightInd/>
              <w:snapToGrid/>
              <w:spacing w:line="240" w:lineRule="auto"/>
              <w:ind w:firstLine="0" w:firstLineChars="0"/>
              <w:jc w:val="both"/>
              <w:textAlignment w:val="baseline"/>
              <w:rPr>
                <w:rFonts w:hint="eastAsia" w:ascii="宋体" w:hAnsi="宋体" w:eastAsia="宋体" w:cs="宋体"/>
                <w:color w:val="auto"/>
                <w:sz w:val="24"/>
                <w:szCs w:val="24"/>
                <w:highlight w:val="none"/>
                <w:u w:color="000000"/>
              </w:rPr>
            </w:pPr>
          </w:p>
        </w:tc>
        <w:tc>
          <w:tcPr>
            <w:tcW w:w="5088" w:type="dxa"/>
          </w:tcPr>
          <w:p w14:paraId="45DA8F30">
            <w:pPr>
              <w:widowControl/>
              <w:adjustRightInd/>
              <w:snapToGrid/>
              <w:spacing w:line="240" w:lineRule="auto"/>
              <w:ind w:firstLine="0" w:firstLineChars="0"/>
              <w:jc w:val="both"/>
              <w:textAlignment w:val="baseline"/>
              <w:rPr>
                <w:rFonts w:hint="eastAsia" w:ascii="宋体" w:hAnsi="宋体" w:eastAsia="宋体" w:cs="宋体"/>
                <w:color w:val="auto"/>
                <w:sz w:val="24"/>
                <w:szCs w:val="24"/>
                <w:highlight w:val="none"/>
                <w:u w:color="000000"/>
              </w:rPr>
            </w:pPr>
          </w:p>
        </w:tc>
      </w:tr>
      <w:tr w14:paraId="51D2F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2" w:hRule="atLeast"/>
        </w:trPr>
        <w:tc>
          <w:tcPr>
            <w:tcW w:w="4852" w:type="dxa"/>
          </w:tcPr>
          <w:p w14:paraId="5E237075">
            <w:pPr>
              <w:widowControl/>
              <w:adjustRightInd/>
              <w:snapToGrid/>
              <w:spacing w:line="240" w:lineRule="auto"/>
              <w:ind w:firstLine="0" w:firstLineChars="0"/>
              <w:jc w:val="both"/>
              <w:textAlignment w:val="baseline"/>
              <w:rPr>
                <w:rFonts w:hint="eastAsia" w:ascii="宋体" w:hAnsi="宋体" w:eastAsia="宋体" w:cs="宋体"/>
                <w:color w:val="auto"/>
                <w:sz w:val="24"/>
                <w:szCs w:val="24"/>
                <w:highlight w:val="none"/>
                <w:u w:color="000000"/>
              </w:rPr>
            </w:pPr>
            <w:r>
              <w:rPr>
                <w:rFonts w:hint="eastAsia" w:ascii="宋体" w:hAnsi="宋体" w:eastAsia="宋体" w:cs="宋体"/>
                <w:color w:val="auto"/>
                <w:sz w:val="24"/>
                <w:szCs w:val="24"/>
                <w:highlight w:val="none"/>
                <w:u w:color="000000"/>
              </w:rPr>
              <w:t>法定代表人</w:t>
            </w:r>
          </w:p>
          <w:p w14:paraId="260957FE">
            <w:pPr>
              <w:widowControl/>
              <w:adjustRightInd/>
              <w:snapToGrid/>
              <w:spacing w:line="240" w:lineRule="auto"/>
              <w:ind w:firstLine="0" w:firstLineChars="0"/>
              <w:jc w:val="both"/>
              <w:textAlignment w:val="baseline"/>
              <w:rPr>
                <w:rFonts w:hint="eastAsia" w:ascii="宋体" w:hAnsi="宋体" w:eastAsia="宋体" w:cs="宋体"/>
                <w:color w:val="auto"/>
                <w:sz w:val="24"/>
                <w:szCs w:val="24"/>
                <w:highlight w:val="none"/>
                <w:u w:color="000000"/>
              </w:rPr>
            </w:pPr>
            <w:r>
              <w:rPr>
                <w:rFonts w:hint="eastAsia" w:ascii="宋体" w:hAnsi="宋体" w:eastAsia="宋体" w:cs="宋体"/>
                <w:color w:val="auto"/>
                <w:sz w:val="24"/>
                <w:szCs w:val="24"/>
                <w:highlight w:val="none"/>
                <w:u w:color="000000"/>
              </w:rPr>
              <w:t>或其委托代理人：（签字）</w:t>
            </w:r>
          </w:p>
        </w:tc>
        <w:tc>
          <w:tcPr>
            <w:tcW w:w="5088" w:type="dxa"/>
          </w:tcPr>
          <w:p w14:paraId="03D83E9B">
            <w:pPr>
              <w:widowControl/>
              <w:adjustRightInd/>
              <w:snapToGrid/>
              <w:spacing w:line="240" w:lineRule="auto"/>
              <w:ind w:firstLine="0" w:firstLineChars="0"/>
              <w:jc w:val="both"/>
              <w:textAlignment w:val="baseline"/>
              <w:rPr>
                <w:rFonts w:hint="eastAsia" w:ascii="宋体" w:hAnsi="宋体" w:eastAsia="宋体" w:cs="宋体"/>
                <w:color w:val="auto"/>
                <w:sz w:val="24"/>
                <w:szCs w:val="24"/>
                <w:highlight w:val="none"/>
                <w:u w:color="000000"/>
              </w:rPr>
            </w:pPr>
            <w:r>
              <w:rPr>
                <w:rFonts w:hint="eastAsia" w:ascii="宋体" w:hAnsi="宋体" w:eastAsia="宋体" w:cs="宋体"/>
                <w:color w:val="auto"/>
                <w:sz w:val="24"/>
                <w:szCs w:val="24"/>
                <w:highlight w:val="none"/>
                <w:u w:color="000000"/>
              </w:rPr>
              <w:t>法定代表人</w:t>
            </w:r>
          </w:p>
          <w:p w14:paraId="69A68F70">
            <w:pPr>
              <w:widowControl/>
              <w:adjustRightInd/>
              <w:snapToGrid/>
              <w:spacing w:line="240" w:lineRule="auto"/>
              <w:ind w:firstLine="0" w:firstLineChars="0"/>
              <w:jc w:val="both"/>
              <w:textAlignment w:val="baseline"/>
              <w:rPr>
                <w:rFonts w:hint="eastAsia" w:ascii="宋体" w:hAnsi="宋体" w:eastAsia="宋体" w:cs="宋体"/>
                <w:color w:val="auto"/>
                <w:sz w:val="24"/>
                <w:szCs w:val="24"/>
                <w:highlight w:val="none"/>
                <w:u w:color="000000"/>
              </w:rPr>
            </w:pPr>
            <w:r>
              <w:rPr>
                <w:rFonts w:hint="eastAsia" w:ascii="宋体" w:hAnsi="宋体" w:eastAsia="宋体" w:cs="宋体"/>
                <w:color w:val="auto"/>
                <w:sz w:val="24"/>
                <w:szCs w:val="24"/>
                <w:highlight w:val="none"/>
                <w:u w:color="000000"/>
              </w:rPr>
              <w:t>或其委托代理人：（签字）</w:t>
            </w:r>
          </w:p>
        </w:tc>
      </w:tr>
      <w:tr w14:paraId="6EE5B4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7" w:hRule="atLeast"/>
        </w:trPr>
        <w:tc>
          <w:tcPr>
            <w:tcW w:w="4852" w:type="dxa"/>
          </w:tcPr>
          <w:p w14:paraId="62E95720">
            <w:pPr>
              <w:widowControl/>
              <w:adjustRightInd/>
              <w:snapToGrid/>
              <w:spacing w:line="240" w:lineRule="auto"/>
              <w:ind w:firstLine="0" w:firstLineChars="0"/>
              <w:jc w:val="both"/>
              <w:textAlignment w:val="baseline"/>
              <w:rPr>
                <w:rFonts w:hint="eastAsia" w:ascii="宋体" w:hAnsi="宋体" w:eastAsia="宋体" w:cs="宋体"/>
                <w:color w:val="auto"/>
                <w:sz w:val="24"/>
                <w:szCs w:val="24"/>
                <w:highlight w:val="none"/>
                <w:u w:color="000000"/>
              </w:rPr>
            </w:pPr>
            <w:r>
              <w:rPr>
                <w:rFonts w:hint="eastAsia" w:ascii="宋体" w:hAnsi="宋体" w:eastAsia="宋体" w:cs="宋体"/>
                <w:color w:val="auto"/>
                <w:sz w:val="24"/>
                <w:szCs w:val="24"/>
                <w:highlight w:val="none"/>
                <w:u w:color="000000"/>
              </w:rPr>
              <w:t>年月日</w:t>
            </w:r>
          </w:p>
        </w:tc>
        <w:tc>
          <w:tcPr>
            <w:tcW w:w="5088" w:type="dxa"/>
          </w:tcPr>
          <w:p w14:paraId="76A00BF0">
            <w:pPr>
              <w:widowControl/>
              <w:adjustRightInd/>
              <w:snapToGrid/>
              <w:spacing w:line="240" w:lineRule="auto"/>
              <w:ind w:firstLine="0" w:firstLineChars="0"/>
              <w:jc w:val="both"/>
              <w:textAlignment w:val="baseline"/>
              <w:rPr>
                <w:rFonts w:hint="eastAsia" w:ascii="宋体" w:hAnsi="宋体" w:eastAsia="宋体" w:cs="宋体"/>
                <w:color w:val="auto"/>
                <w:sz w:val="24"/>
                <w:szCs w:val="24"/>
                <w:highlight w:val="none"/>
                <w:u w:color="000000"/>
              </w:rPr>
            </w:pPr>
            <w:r>
              <w:rPr>
                <w:rFonts w:hint="eastAsia" w:ascii="宋体" w:hAnsi="宋体" w:eastAsia="宋体" w:cs="宋体"/>
                <w:color w:val="auto"/>
                <w:sz w:val="24"/>
                <w:szCs w:val="24"/>
                <w:highlight w:val="none"/>
                <w:u w:color="000000"/>
              </w:rPr>
              <w:t>年月日</w:t>
            </w:r>
          </w:p>
        </w:tc>
      </w:tr>
    </w:tbl>
    <w:p w14:paraId="57E16E45">
      <w:pPr>
        <w:bidi w:val="0"/>
        <w:ind w:left="0" w:leftChars="0" w:firstLine="0" w:firstLineChars="0"/>
        <w:rPr>
          <w:rFonts w:hint="eastAsia" w:ascii="宋体" w:hAnsi="宋体" w:eastAsia="宋体" w:cs="宋体"/>
          <w:color w:val="auto"/>
          <w:highlight w:val="none"/>
          <w:lang w:val="en-US" w:eastAsia="zh-CN"/>
        </w:rPr>
      </w:pPr>
    </w:p>
    <w:p w14:paraId="7FE22EAC">
      <w:pPr>
        <w:pStyle w:val="2"/>
        <w:rPr>
          <w:rFonts w:hint="eastAsia" w:ascii="宋体" w:hAnsi="宋体" w:eastAsia="宋体" w:cs="宋体"/>
          <w:color w:val="auto"/>
          <w:sz w:val="12"/>
          <w:szCs w:val="12"/>
          <w:highlight w:val="none"/>
        </w:rPr>
      </w:pPr>
    </w:p>
    <w:p w14:paraId="72EBE91B">
      <w:pPr>
        <w:spacing w:before="78" w:line="193" w:lineRule="auto"/>
        <w:ind w:left="458"/>
        <w:outlineLvl w:val="2"/>
        <w:rPr>
          <w:rFonts w:hint="eastAsia" w:ascii="宋体" w:hAnsi="宋体" w:eastAsia="宋体" w:cs="宋体"/>
          <w:color w:val="auto"/>
          <w:sz w:val="12"/>
          <w:szCs w:val="12"/>
          <w:highlight w:val="none"/>
        </w:rPr>
      </w:pPr>
      <w:bookmarkStart w:id="741" w:name="_Toc28535"/>
      <w:bookmarkStart w:id="742" w:name="_Toc30136"/>
      <w:bookmarkStart w:id="743" w:name="_Toc11134"/>
      <w:bookmarkStart w:id="744" w:name="_Toc16766"/>
      <w:bookmarkStart w:id="745" w:name="_Toc3336"/>
      <w:r>
        <w:rPr>
          <w:rFonts w:hint="eastAsia" w:ascii="宋体" w:hAnsi="宋体" w:eastAsia="宋体" w:cs="宋体"/>
          <w:color w:val="auto"/>
          <w:spacing w:val="-2"/>
          <w:sz w:val="24"/>
          <w:szCs w:val="24"/>
          <w:highlight w:val="none"/>
        </w:rPr>
        <w:t>附件四其他管理和技术人员最低要求</w:t>
      </w:r>
      <w:r>
        <w:rPr>
          <w:rFonts w:hint="eastAsia" w:ascii="宋体" w:hAnsi="宋体" w:eastAsia="宋体" w:cs="宋体"/>
          <w:b/>
          <w:bCs/>
          <w:color w:val="auto"/>
          <w:spacing w:val="-2"/>
          <w:position w:val="10"/>
          <w:sz w:val="12"/>
          <w:szCs w:val="12"/>
          <w:highlight w:val="none"/>
        </w:rPr>
        <w:t>①</w:t>
      </w:r>
      <w:bookmarkEnd w:id="741"/>
      <w:bookmarkEnd w:id="742"/>
      <w:bookmarkEnd w:id="743"/>
      <w:bookmarkEnd w:id="744"/>
      <w:bookmarkEnd w:id="745"/>
    </w:p>
    <w:p w14:paraId="23315772">
      <w:pPr>
        <w:pStyle w:val="2"/>
        <w:rPr>
          <w:rFonts w:hint="eastAsia" w:ascii="宋体" w:hAnsi="宋体" w:eastAsia="宋体" w:cs="宋体"/>
          <w:color w:val="auto"/>
          <w:sz w:val="12"/>
          <w:szCs w:val="12"/>
          <w:highlight w:val="none"/>
        </w:rPr>
      </w:pPr>
    </w:p>
    <w:p w14:paraId="627611C6">
      <w:pPr>
        <w:pStyle w:val="2"/>
        <w:rPr>
          <w:rFonts w:hint="eastAsia" w:ascii="宋体" w:hAnsi="宋体" w:eastAsia="宋体" w:cs="宋体"/>
          <w:color w:val="auto"/>
          <w:sz w:val="12"/>
          <w:szCs w:val="12"/>
          <w:highlight w:val="none"/>
        </w:rPr>
      </w:pPr>
    </w:p>
    <w:p w14:paraId="4BD01EC1">
      <w:pPr>
        <w:spacing w:before="91"/>
        <w:rPr>
          <w:rFonts w:hint="eastAsia" w:ascii="宋体" w:hAnsi="宋体" w:eastAsia="宋体" w:cs="宋体"/>
          <w:color w:val="auto"/>
          <w:highlight w:val="none"/>
        </w:rPr>
      </w:pPr>
    </w:p>
    <w:tbl>
      <w:tblPr>
        <w:tblStyle w:val="24"/>
        <w:tblW w:w="8898" w:type="dxa"/>
        <w:tblInd w:w="46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52"/>
        <w:gridCol w:w="2159"/>
        <w:gridCol w:w="4287"/>
      </w:tblGrid>
      <w:tr w14:paraId="70032A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8" w:hRule="atLeast"/>
        </w:trPr>
        <w:tc>
          <w:tcPr>
            <w:tcW w:w="2452" w:type="dxa"/>
            <w:vAlign w:val="top"/>
          </w:tcPr>
          <w:p w14:paraId="16B14E5A">
            <w:pPr>
              <w:spacing w:line="278" w:lineRule="auto"/>
              <w:rPr>
                <w:rFonts w:hint="eastAsia" w:ascii="宋体" w:hAnsi="宋体" w:eastAsia="宋体" w:cs="宋体"/>
                <w:color w:val="auto"/>
                <w:sz w:val="21"/>
                <w:highlight w:val="none"/>
              </w:rPr>
            </w:pPr>
          </w:p>
          <w:p w14:paraId="19682F2C">
            <w:pPr>
              <w:pStyle w:val="25"/>
              <w:spacing w:before="78" w:line="221" w:lineRule="auto"/>
              <w:ind w:left="87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人员</w:t>
            </w:r>
          </w:p>
        </w:tc>
        <w:tc>
          <w:tcPr>
            <w:tcW w:w="2159" w:type="dxa"/>
            <w:vAlign w:val="top"/>
          </w:tcPr>
          <w:p w14:paraId="3ED465FD">
            <w:pPr>
              <w:spacing w:line="279" w:lineRule="auto"/>
              <w:rPr>
                <w:rFonts w:hint="eastAsia" w:ascii="宋体" w:hAnsi="宋体" w:eastAsia="宋体" w:cs="宋体"/>
                <w:color w:val="auto"/>
                <w:sz w:val="21"/>
                <w:highlight w:val="none"/>
              </w:rPr>
            </w:pPr>
          </w:p>
          <w:p w14:paraId="517F8FFA">
            <w:pPr>
              <w:pStyle w:val="25"/>
              <w:spacing w:before="78" w:line="219" w:lineRule="auto"/>
              <w:ind w:left="731"/>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数量</w:t>
            </w:r>
          </w:p>
        </w:tc>
        <w:tc>
          <w:tcPr>
            <w:tcW w:w="4287" w:type="dxa"/>
            <w:vAlign w:val="top"/>
          </w:tcPr>
          <w:p w14:paraId="51A45531">
            <w:pPr>
              <w:spacing w:line="279" w:lineRule="auto"/>
              <w:rPr>
                <w:rFonts w:hint="eastAsia" w:ascii="宋体" w:hAnsi="宋体" w:eastAsia="宋体" w:cs="宋体"/>
                <w:color w:val="auto"/>
                <w:sz w:val="21"/>
                <w:highlight w:val="none"/>
              </w:rPr>
            </w:pPr>
          </w:p>
          <w:p w14:paraId="233E4E5D">
            <w:pPr>
              <w:pStyle w:val="25"/>
              <w:spacing w:before="78" w:line="219" w:lineRule="auto"/>
              <w:ind w:left="1501"/>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资格要求</w:t>
            </w:r>
          </w:p>
        </w:tc>
      </w:tr>
      <w:tr w14:paraId="33C98F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2452" w:type="dxa"/>
            <w:vAlign w:val="top"/>
          </w:tcPr>
          <w:p w14:paraId="67DCE0AC">
            <w:pPr>
              <w:rPr>
                <w:rFonts w:hint="eastAsia" w:ascii="宋体" w:hAnsi="宋体" w:eastAsia="宋体" w:cs="宋体"/>
                <w:color w:val="auto"/>
                <w:sz w:val="21"/>
                <w:highlight w:val="none"/>
              </w:rPr>
            </w:pPr>
          </w:p>
        </w:tc>
        <w:tc>
          <w:tcPr>
            <w:tcW w:w="2159" w:type="dxa"/>
            <w:vAlign w:val="top"/>
          </w:tcPr>
          <w:p w14:paraId="6F972769">
            <w:pPr>
              <w:rPr>
                <w:rFonts w:hint="eastAsia" w:ascii="宋体" w:hAnsi="宋体" w:eastAsia="宋体" w:cs="宋体"/>
                <w:color w:val="auto"/>
                <w:sz w:val="21"/>
                <w:highlight w:val="none"/>
              </w:rPr>
            </w:pPr>
          </w:p>
        </w:tc>
        <w:tc>
          <w:tcPr>
            <w:tcW w:w="4287" w:type="dxa"/>
            <w:vAlign w:val="top"/>
          </w:tcPr>
          <w:p w14:paraId="6A2DF1C4">
            <w:pPr>
              <w:rPr>
                <w:rFonts w:hint="eastAsia" w:ascii="宋体" w:hAnsi="宋体" w:eastAsia="宋体" w:cs="宋体"/>
                <w:color w:val="auto"/>
                <w:sz w:val="21"/>
                <w:highlight w:val="none"/>
              </w:rPr>
            </w:pPr>
          </w:p>
        </w:tc>
      </w:tr>
      <w:tr w14:paraId="16D6DA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452" w:type="dxa"/>
            <w:vAlign w:val="top"/>
          </w:tcPr>
          <w:p w14:paraId="73EF6888">
            <w:pPr>
              <w:rPr>
                <w:rFonts w:hint="eastAsia" w:ascii="宋体" w:hAnsi="宋体" w:eastAsia="宋体" w:cs="宋体"/>
                <w:color w:val="auto"/>
                <w:sz w:val="21"/>
                <w:highlight w:val="none"/>
              </w:rPr>
            </w:pPr>
          </w:p>
        </w:tc>
        <w:tc>
          <w:tcPr>
            <w:tcW w:w="2159" w:type="dxa"/>
            <w:vAlign w:val="top"/>
          </w:tcPr>
          <w:p w14:paraId="1D54C06B">
            <w:pPr>
              <w:rPr>
                <w:rFonts w:hint="eastAsia" w:ascii="宋体" w:hAnsi="宋体" w:eastAsia="宋体" w:cs="宋体"/>
                <w:color w:val="auto"/>
                <w:sz w:val="21"/>
                <w:highlight w:val="none"/>
              </w:rPr>
            </w:pPr>
          </w:p>
        </w:tc>
        <w:tc>
          <w:tcPr>
            <w:tcW w:w="4287" w:type="dxa"/>
            <w:vAlign w:val="top"/>
          </w:tcPr>
          <w:p w14:paraId="6EE7D8ED">
            <w:pPr>
              <w:rPr>
                <w:rFonts w:hint="eastAsia" w:ascii="宋体" w:hAnsi="宋体" w:eastAsia="宋体" w:cs="宋体"/>
                <w:color w:val="auto"/>
                <w:sz w:val="21"/>
                <w:highlight w:val="none"/>
              </w:rPr>
            </w:pPr>
          </w:p>
        </w:tc>
      </w:tr>
      <w:tr w14:paraId="79CB98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452" w:type="dxa"/>
            <w:vAlign w:val="top"/>
          </w:tcPr>
          <w:p w14:paraId="1E4898DF">
            <w:pPr>
              <w:rPr>
                <w:rFonts w:hint="eastAsia" w:ascii="宋体" w:hAnsi="宋体" w:eastAsia="宋体" w:cs="宋体"/>
                <w:color w:val="auto"/>
                <w:sz w:val="21"/>
                <w:highlight w:val="none"/>
              </w:rPr>
            </w:pPr>
          </w:p>
        </w:tc>
        <w:tc>
          <w:tcPr>
            <w:tcW w:w="2159" w:type="dxa"/>
            <w:vAlign w:val="top"/>
          </w:tcPr>
          <w:p w14:paraId="72C49C1D">
            <w:pPr>
              <w:rPr>
                <w:rFonts w:hint="eastAsia" w:ascii="宋体" w:hAnsi="宋体" w:eastAsia="宋体" w:cs="宋体"/>
                <w:color w:val="auto"/>
                <w:sz w:val="21"/>
                <w:highlight w:val="none"/>
              </w:rPr>
            </w:pPr>
          </w:p>
        </w:tc>
        <w:tc>
          <w:tcPr>
            <w:tcW w:w="4287" w:type="dxa"/>
            <w:vAlign w:val="top"/>
          </w:tcPr>
          <w:p w14:paraId="486833CE">
            <w:pPr>
              <w:rPr>
                <w:rFonts w:hint="eastAsia" w:ascii="宋体" w:hAnsi="宋体" w:eastAsia="宋体" w:cs="宋体"/>
                <w:color w:val="auto"/>
                <w:sz w:val="21"/>
                <w:highlight w:val="none"/>
              </w:rPr>
            </w:pPr>
          </w:p>
        </w:tc>
      </w:tr>
      <w:tr w14:paraId="5A5AE6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452" w:type="dxa"/>
            <w:vAlign w:val="top"/>
          </w:tcPr>
          <w:p w14:paraId="3EF9D934">
            <w:pPr>
              <w:rPr>
                <w:rFonts w:hint="eastAsia" w:ascii="宋体" w:hAnsi="宋体" w:eastAsia="宋体" w:cs="宋体"/>
                <w:color w:val="auto"/>
                <w:sz w:val="21"/>
                <w:highlight w:val="none"/>
              </w:rPr>
            </w:pPr>
          </w:p>
        </w:tc>
        <w:tc>
          <w:tcPr>
            <w:tcW w:w="2159" w:type="dxa"/>
            <w:vAlign w:val="top"/>
          </w:tcPr>
          <w:p w14:paraId="10E923DC">
            <w:pPr>
              <w:rPr>
                <w:rFonts w:hint="eastAsia" w:ascii="宋体" w:hAnsi="宋体" w:eastAsia="宋体" w:cs="宋体"/>
                <w:color w:val="auto"/>
                <w:sz w:val="21"/>
                <w:highlight w:val="none"/>
              </w:rPr>
            </w:pPr>
          </w:p>
        </w:tc>
        <w:tc>
          <w:tcPr>
            <w:tcW w:w="4287" w:type="dxa"/>
            <w:vAlign w:val="top"/>
          </w:tcPr>
          <w:p w14:paraId="10DA3380">
            <w:pPr>
              <w:rPr>
                <w:rFonts w:hint="eastAsia" w:ascii="宋体" w:hAnsi="宋体" w:eastAsia="宋体" w:cs="宋体"/>
                <w:color w:val="auto"/>
                <w:sz w:val="21"/>
                <w:highlight w:val="none"/>
              </w:rPr>
            </w:pPr>
          </w:p>
        </w:tc>
      </w:tr>
      <w:tr w14:paraId="1625A7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452" w:type="dxa"/>
            <w:vAlign w:val="top"/>
          </w:tcPr>
          <w:p w14:paraId="60440DB3">
            <w:pPr>
              <w:rPr>
                <w:rFonts w:hint="eastAsia" w:ascii="宋体" w:hAnsi="宋体" w:eastAsia="宋体" w:cs="宋体"/>
                <w:color w:val="auto"/>
                <w:sz w:val="21"/>
                <w:highlight w:val="none"/>
              </w:rPr>
            </w:pPr>
          </w:p>
        </w:tc>
        <w:tc>
          <w:tcPr>
            <w:tcW w:w="2159" w:type="dxa"/>
            <w:vAlign w:val="top"/>
          </w:tcPr>
          <w:p w14:paraId="2EB0AB2E">
            <w:pPr>
              <w:rPr>
                <w:rFonts w:hint="eastAsia" w:ascii="宋体" w:hAnsi="宋体" w:eastAsia="宋体" w:cs="宋体"/>
                <w:color w:val="auto"/>
                <w:sz w:val="21"/>
                <w:highlight w:val="none"/>
              </w:rPr>
            </w:pPr>
          </w:p>
        </w:tc>
        <w:tc>
          <w:tcPr>
            <w:tcW w:w="4287" w:type="dxa"/>
            <w:vAlign w:val="top"/>
          </w:tcPr>
          <w:p w14:paraId="10C9E62A">
            <w:pPr>
              <w:rPr>
                <w:rFonts w:hint="eastAsia" w:ascii="宋体" w:hAnsi="宋体" w:eastAsia="宋体" w:cs="宋体"/>
                <w:color w:val="auto"/>
                <w:sz w:val="21"/>
                <w:highlight w:val="none"/>
              </w:rPr>
            </w:pPr>
          </w:p>
        </w:tc>
      </w:tr>
      <w:tr w14:paraId="08DD7C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2452" w:type="dxa"/>
            <w:vAlign w:val="top"/>
          </w:tcPr>
          <w:p w14:paraId="5BD22FD7">
            <w:pPr>
              <w:rPr>
                <w:rFonts w:hint="eastAsia" w:ascii="宋体" w:hAnsi="宋体" w:eastAsia="宋体" w:cs="宋体"/>
                <w:color w:val="auto"/>
                <w:sz w:val="21"/>
                <w:highlight w:val="none"/>
              </w:rPr>
            </w:pPr>
          </w:p>
        </w:tc>
        <w:tc>
          <w:tcPr>
            <w:tcW w:w="2159" w:type="dxa"/>
            <w:vAlign w:val="top"/>
          </w:tcPr>
          <w:p w14:paraId="7BE130EC">
            <w:pPr>
              <w:rPr>
                <w:rFonts w:hint="eastAsia" w:ascii="宋体" w:hAnsi="宋体" w:eastAsia="宋体" w:cs="宋体"/>
                <w:color w:val="auto"/>
                <w:sz w:val="21"/>
                <w:highlight w:val="none"/>
              </w:rPr>
            </w:pPr>
          </w:p>
        </w:tc>
        <w:tc>
          <w:tcPr>
            <w:tcW w:w="4287" w:type="dxa"/>
            <w:vAlign w:val="top"/>
          </w:tcPr>
          <w:p w14:paraId="3C846D5A">
            <w:pPr>
              <w:rPr>
                <w:rFonts w:hint="eastAsia" w:ascii="宋体" w:hAnsi="宋体" w:eastAsia="宋体" w:cs="宋体"/>
                <w:color w:val="auto"/>
                <w:sz w:val="21"/>
                <w:highlight w:val="none"/>
              </w:rPr>
            </w:pPr>
          </w:p>
        </w:tc>
      </w:tr>
      <w:tr w14:paraId="4F2325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452" w:type="dxa"/>
            <w:vAlign w:val="top"/>
          </w:tcPr>
          <w:p w14:paraId="423543C8">
            <w:pPr>
              <w:rPr>
                <w:rFonts w:hint="eastAsia" w:ascii="宋体" w:hAnsi="宋体" w:eastAsia="宋体" w:cs="宋体"/>
                <w:color w:val="auto"/>
                <w:sz w:val="21"/>
                <w:highlight w:val="none"/>
              </w:rPr>
            </w:pPr>
          </w:p>
        </w:tc>
        <w:tc>
          <w:tcPr>
            <w:tcW w:w="2159" w:type="dxa"/>
            <w:vAlign w:val="top"/>
          </w:tcPr>
          <w:p w14:paraId="54390B71">
            <w:pPr>
              <w:rPr>
                <w:rFonts w:hint="eastAsia" w:ascii="宋体" w:hAnsi="宋体" w:eastAsia="宋体" w:cs="宋体"/>
                <w:color w:val="auto"/>
                <w:sz w:val="21"/>
                <w:highlight w:val="none"/>
              </w:rPr>
            </w:pPr>
          </w:p>
        </w:tc>
        <w:tc>
          <w:tcPr>
            <w:tcW w:w="4287" w:type="dxa"/>
            <w:vAlign w:val="top"/>
          </w:tcPr>
          <w:p w14:paraId="4D99C9C1">
            <w:pPr>
              <w:rPr>
                <w:rFonts w:hint="eastAsia" w:ascii="宋体" w:hAnsi="宋体" w:eastAsia="宋体" w:cs="宋体"/>
                <w:color w:val="auto"/>
                <w:sz w:val="21"/>
                <w:highlight w:val="none"/>
              </w:rPr>
            </w:pPr>
          </w:p>
        </w:tc>
      </w:tr>
      <w:tr w14:paraId="773350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452" w:type="dxa"/>
            <w:vAlign w:val="top"/>
          </w:tcPr>
          <w:p w14:paraId="45FF9F4F">
            <w:pPr>
              <w:rPr>
                <w:rFonts w:hint="eastAsia" w:ascii="宋体" w:hAnsi="宋体" w:eastAsia="宋体" w:cs="宋体"/>
                <w:color w:val="auto"/>
                <w:sz w:val="21"/>
                <w:highlight w:val="none"/>
              </w:rPr>
            </w:pPr>
          </w:p>
        </w:tc>
        <w:tc>
          <w:tcPr>
            <w:tcW w:w="2159" w:type="dxa"/>
            <w:vAlign w:val="top"/>
          </w:tcPr>
          <w:p w14:paraId="24FAA340">
            <w:pPr>
              <w:rPr>
                <w:rFonts w:hint="eastAsia" w:ascii="宋体" w:hAnsi="宋体" w:eastAsia="宋体" w:cs="宋体"/>
                <w:color w:val="auto"/>
                <w:sz w:val="21"/>
                <w:highlight w:val="none"/>
              </w:rPr>
            </w:pPr>
          </w:p>
        </w:tc>
        <w:tc>
          <w:tcPr>
            <w:tcW w:w="4287" w:type="dxa"/>
            <w:vAlign w:val="top"/>
          </w:tcPr>
          <w:p w14:paraId="38D38A0B">
            <w:pPr>
              <w:rPr>
                <w:rFonts w:hint="eastAsia" w:ascii="宋体" w:hAnsi="宋体" w:eastAsia="宋体" w:cs="宋体"/>
                <w:color w:val="auto"/>
                <w:sz w:val="21"/>
                <w:highlight w:val="none"/>
              </w:rPr>
            </w:pPr>
          </w:p>
        </w:tc>
      </w:tr>
      <w:tr w14:paraId="395730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452" w:type="dxa"/>
            <w:vAlign w:val="top"/>
          </w:tcPr>
          <w:p w14:paraId="7862E77B">
            <w:pPr>
              <w:rPr>
                <w:rFonts w:hint="eastAsia" w:ascii="宋体" w:hAnsi="宋体" w:eastAsia="宋体" w:cs="宋体"/>
                <w:color w:val="auto"/>
                <w:sz w:val="21"/>
                <w:highlight w:val="none"/>
              </w:rPr>
            </w:pPr>
          </w:p>
        </w:tc>
        <w:tc>
          <w:tcPr>
            <w:tcW w:w="2159" w:type="dxa"/>
            <w:vAlign w:val="top"/>
          </w:tcPr>
          <w:p w14:paraId="7E53E176">
            <w:pPr>
              <w:rPr>
                <w:rFonts w:hint="eastAsia" w:ascii="宋体" w:hAnsi="宋体" w:eastAsia="宋体" w:cs="宋体"/>
                <w:color w:val="auto"/>
                <w:sz w:val="21"/>
                <w:highlight w:val="none"/>
              </w:rPr>
            </w:pPr>
          </w:p>
        </w:tc>
        <w:tc>
          <w:tcPr>
            <w:tcW w:w="4287" w:type="dxa"/>
            <w:vAlign w:val="top"/>
          </w:tcPr>
          <w:p w14:paraId="336C9510">
            <w:pPr>
              <w:rPr>
                <w:rFonts w:hint="eastAsia" w:ascii="宋体" w:hAnsi="宋体" w:eastAsia="宋体" w:cs="宋体"/>
                <w:color w:val="auto"/>
                <w:sz w:val="21"/>
                <w:highlight w:val="none"/>
              </w:rPr>
            </w:pPr>
          </w:p>
        </w:tc>
      </w:tr>
      <w:tr w14:paraId="5E0FCC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452" w:type="dxa"/>
            <w:vAlign w:val="top"/>
          </w:tcPr>
          <w:p w14:paraId="7C70A5F8">
            <w:pPr>
              <w:rPr>
                <w:rFonts w:hint="eastAsia" w:ascii="宋体" w:hAnsi="宋体" w:eastAsia="宋体" w:cs="宋体"/>
                <w:color w:val="auto"/>
                <w:sz w:val="21"/>
                <w:highlight w:val="none"/>
              </w:rPr>
            </w:pPr>
          </w:p>
        </w:tc>
        <w:tc>
          <w:tcPr>
            <w:tcW w:w="2159" w:type="dxa"/>
            <w:vAlign w:val="top"/>
          </w:tcPr>
          <w:p w14:paraId="12E1D5E7">
            <w:pPr>
              <w:rPr>
                <w:rFonts w:hint="eastAsia" w:ascii="宋体" w:hAnsi="宋体" w:eastAsia="宋体" w:cs="宋体"/>
                <w:color w:val="auto"/>
                <w:sz w:val="21"/>
                <w:highlight w:val="none"/>
              </w:rPr>
            </w:pPr>
          </w:p>
        </w:tc>
        <w:tc>
          <w:tcPr>
            <w:tcW w:w="4287" w:type="dxa"/>
            <w:vAlign w:val="top"/>
          </w:tcPr>
          <w:p w14:paraId="5A14E52E">
            <w:pPr>
              <w:rPr>
                <w:rFonts w:hint="eastAsia" w:ascii="宋体" w:hAnsi="宋体" w:eastAsia="宋体" w:cs="宋体"/>
                <w:color w:val="auto"/>
                <w:sz w:val="21"/>
                <w:highlight w:val="none"/>
              </w:rPr>
            </w:pPr>
          </w:p>
        </w:tc>
      </w:tr>
      <w:tr w14:paraId="708254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452" w:type="dxa"/>
            <w:vAlign w:val="top"/>
          </w:tcPr>
          <w:p w14:paraId="3CC5DFD0">
            <w:pPr>
              <w:rPr>
                <w:rFonts w:hint="eastAsia" w:ascii="宋体" w:hAnsi="宋体" w:eastAsia="宋体" w:cs="宋体"/>
                <w:color w:val="auto"/>
                <w:sz w:val="21"/>
                <w:highlight w:val="none"/>
              </w:rPr>
            </w:pPr>
          </w:p>
        </w:tc>
        <w:tc>
          <w:tcPr>
            <w:tcW w:w="2159" w:type="dxa"/>
            <w:vAlign w:val="top"/>
          </w:tcPr>
          <w:p w14:paraId="5B0094DC">
            <w:pPr>
              <w:rPr>
                <w:rFonts w:hint="eastAsia" w:ascii="宋体" w:hAnsi="宋体" w:eastAsia="宋体" w:cs="宋体"/>
                <w:color w:val="auto"/>
                <w:sz w:val="21"/>
                <w:highlight w:val="none"/>
              </w:rPr>
            </w:pPr>
          </w:p>
        </w:tc>
        <w:tc>
          <w:tcPr>
            <w:tcW w:w="4287" w:type="dxa"/>
            <w:vAlign w:val="top"/>
          </w:tcPr>
          <w:p w14:paraId="09F5A156">
            <w:pPr>
              <w:rPr>
                <w:rFonts w:hint="eastAsia" w:ascii="宋体" w:hAnsi="宋体" w:eastAsia="宋体" w:cs="宋体"/>
                <w:color w:val="auto"/>
                <w:sz w:val="21"/>
                <w:highlight w:val="none"/>
              </w:rPr>
            </w:pPr>
          </w:p>
        </w:tc>
      </w:tr>
      <w:tr w14:paraId="62E5A7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452" w:type="dxa"/>
            <w:vAlign w:val="top"/>
          </w:tcPr>
          <w:p w14:paraId="10D84A66">
            <w:pPr>
              <w:rPr>
                <w:rFonts w:hint="eastAsia" w:ascii="宋体" w:hAnsi="宋体" w:eastAsia="宋体" w:cs="宋体"/>
                <w:color w:val="auto"/>
                <w:sz w:val="21"/>
                <w:highlight w:val="none"/>
              </w:rPr>
            </w:pPr>
          </w:p>
        </w:tc>
        <w:tc>
          <w:tcPr>
            <w:tcW w:w="2159" w:type="dxa"/>
            <w:vAlign w:val="top"/>
          </w:tcPr>
          <w:p w14:paraId="5325114A">
            <w:pPr>
              <w:rPr>
                <w:rFonts w:hint="eastAsia" w:ascii="宋体" w:hAnsi="宋体" w:eastAsia="宋体" w:cs="宋体"/>
                <w:color w:val="auto"/>
                <w:sz w:val="21"/>
                <w:highlight w:val="none"/>
              </w:rPr>
            </w:pPr>
          </w:p>
        </w:tc>
        <w:tc>
          <w:tcPr>
            <w:tcW w:w="4287" w:type="dxa"/>
            <w:vAlign w:val="top"/>
          </w:tcPr>
          <w:p w14:paraId="03C297CF">
            <w:pPr>
              <w:rPr>
                <w:rFonts w:hint="eastAsia" w:ascii="宋体" w:hAnsi="宋体" w:eastAsia="宋体" w:cs="宋体"/>
                <w:color w:val="auto"/>
                <w:sz w:val="21"/>
                <w:highlight w:val="none"/>
              </w:rPr>
            </w:pPr>
          </w:p>
        </w:tc>
      </w:tr>
      <w:tr w14:paraId="58787A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452" w:type="dxa"/>
            <w:vAlign w:val="top"/>
          </w:tcPr>
          <w:p w14:paraId="0C3861DF">
            <w:pPr>
              <w:rPr>
                <w:rFonts w:hint="eastAsia" w:ascii="宋体" w:hAnsi="宋体" w:eastAsia="宋体" w:cs="宋体"/>
                <w:color w:val="auto"/>
                <w:sz w:val="21"/>
                <w:highlight w:val="none"/>
              </w:rPr>
            </w:pPr>
          </w:p>
        </w:tc>
        <w:tc>
          <w:tcPr>
            <w:tcW w:w="2159" w:type="dxa"/>
            <w:vAlign w:val="top"/>
          </w:tcPr>
          <w:p w14:paraId="3CA8EC8D">
            <w:pPr>
              <w:rPr>
                <w:rFonts w:hint="eastAsia" w:ascii="宋体" w:hAnsi="宋体" w:eastAsia="宋体" w:cs="宋体"/>
                <w:color w:val="auto"/>
                <w:sz w:val="21"/>
                <w:highlight w:val="none"/>
              </w:rPr>
            </w:pPr>
          </w:p>
        </w:tc>
        <w:tc>
          <w:tcPr>
            <w:tcW w:w="4287" w:type="dxa"/>
            <w:vAlign w:val="top"/>
          </w:tcPr>
          <w:p w14:paraId="52704FDA">
            <w:pPr>
              <w:rPr>
                <w:rFonts w:hint="eastAsia" w:ascii="宋体" w:hAnsi="宋体" w:eastAsia="宋体" w:cs="宋体"/>
                <w:color w:val="auto"/>
                <w:sz w:val="21"/>
                <w:highlight w:val="none"/>
              </w:rPr>
            </w:pPr>
          </w:p>
        </w:tc>
      </w:tr>
      <w:tr w14:paraId="647F8D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452" w:type="dxa"/>
            <w:vAlign w:val="top"/>
          </w:tcPr>
          <w:p w14:paraId="0B930ED3">
            <w:pPr>
              <w:rPr>
                <w:rFonts w:hint="eastAsia" w:ascii="宋体" w:hAnsi="宋体" w:eastAsia="宋体" w:cs="宋体"/>
                <w:color w:val="auto"/>
                <w:sz w:val="21"/>
                <w:highlight w:val="none"/>
              </w:rPr>
            </w:pPr>
          </w:p>
        </w:tc>
        <w:tc>
          <w:tcPr>
            <w:tcW w:w="2159" w:type="dxa"/>
            <w:vAlign w:val="top"/>
          </w:tcPr>
          <w:p w14:paraId="0AC0787D">
            <w:pPr>
              <w:rPr>
                <w:rFonts w:hint="eastAsia" w:ascii="宋体" w:hAnsi="宋体" w:eastAsia="宋体" w:cs="宋体"/>
                <w:color w:val="auto"/>
                <w:sz w:val="21"/>
                <w:highlight w:val="none"/>
              </w:rPr>
            </w:pPr>
          </w:p>
        </w:tc>
        <w:tc>
          <w:tcPr>
            <w:tcW w:w="4287" w:type="dxa"/>
            <w:vAlign w:val="top"/>
          </w:tcPr>
          <w:p w14:paraId="633C663F">
            <w:pPr>
              <w:rPr>
                <w:rFonts w:hint="eastAsia" w:ascii="宋体" w:hAnsi="宋体" w:eastAsia="宋体" w:cs="宋体"/>
                <w:color w:val="auto"/>
                <w:sz w:val="21"/>
                <w:highlight w:val="none"/>
              </w:rPr>
            </w:pPr>
          </w:p>
        </w:tc>
      </w:tr>
      <w:tr w14:paraId="3FE9DD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2452" w:type="dxa"/>
            <w:vAlign w:val="top"/>
          </w:tcPr>
          <w:p w14:paraId="0BF5BDD9">
            <w:pPr>
              <w:rPr>
                <w:rFonts w:hint="eastAsia" w:ascii="宋体" w:hAnsi="宋体" w:eastAsia="宋体" w:cs="宋体"/>
                <w:color w:val="auto"/>
                <w:sz w:val="21"/>
                <w:highlight w:val="none"/>
              </w:rPr>
            </w:pPr>
          </w:p>
        </w:tc>
        <w:tc>
          <w:tcPr>
            <w:tcW w:w="2159" w:type="dxa"/>
            <w:vAlign w:val="top"/>
          </w:tcPr>
          <w:p w14:paraId="3A48BA67">
            <w:pPr>
              <w:rPr>
                <w:rFonts w:hint="eastAsia" w:ascii="宋体" w:hAnsi="宋体" w:eastAsia="宋体" w:cs="宋体"/>
                <w:color w:val="auto"/>
                <w:sz w:val="21"/>
                <w:highlight w:val="none"/>
              </w:rPr>
            </w:pPr>
          </w:p>
        </w:tc>
        <w:tc>
          <w:tcPr>
            <w:tcW w:w="4287" w:type="dxa"/>
            <w:vAlign w:val="top"/>
          </w:tcPr>
          <w:p w14:paraId="7AE5DE5E">
            <w:pPr>
              <w:rPr>
                <w:rFonts w:hint="eastAsia" w:ascii="宋体" w:hAnsi="宋体" w:eastAsia="宋体" w:cs="宋体"/>
                <w:color w:val="auto"/>
                <w:sz w:val="21"/>
                <w:highlight w:val="none"/>
              </w:rPr>
            </w:pPr>
          </w:p>
        </w:tc>
      </w:tr>
    </w:tbl>
    <w:p w14:paraId="38C09367">
      <w:pPr>
        <w:pStyle w:val="4"/>
        <w:spacing w:line="279" w:lineRule="auto"/>
        <w:rPr>
          <w:rFonts w:hint="eastAsia" w:ascii="宋体" w:hAnsi="宋体" w:eastAsia="宋体" w:cs="宋体"/>
          <w:color w:val="auto"/>
          <w:highlight w:val="none"/>
        </w:rPr>
      </w:pPr>
    </w:p>
    <w:p w14:paraId="0B289084">
      <w:pPr>
        <w:pStyle w:val="4"/>
        <w:spacing w:line="280" w:lineRule="auto"/>
        <w:rPr>
          <w:rFonts w:hint="eastAsia" w:ascii="宋体" w:hAnsi="宋体" w:eastAsia="宋体" w:cs="宋体"/>
          <w:color w:val="auto"/>
          <w:highlight w:val="none"/>
        </w:rPr>
      </w:pPr>
      <w:r>
        <w:rPr>
          <w:rFonts w:hint="eastAsia" w:ascii="宋体" w:hAnsi="宋体" w:eastAsia="宋体" w:cs="宋体"/>
          <w:color w:val="auto"/>
          <w:highlight w:val="none"/>
        </w:rPr>
        <w:drawing>
          <wp:anchor distT="0" distB="0" distL="0" distR="0" simplePos="0" relativeHeight="251702272" behindDoc="0" locked="0" layoutInCell="1" allowOverlap="1">
            <wp:simplePos x="0" y="0"/>
            <wp:positionH relativeFrom="column">
              <wp:posOffset>0</wp:posOffset>
            </wp:positionH>
            <wp:positionV relativeFrom="paragraph">
              <wp:posOffset>114935</wp:posOffset>
            </wp:positionV>
            <wp:extent cx="1829435" cy="7620"/>
            <wp:effectExtent l="0" t="0" r="0" b="0"/>
            <wp:wrapNone/>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314"/>
                    <a:stretch>
                      <a:fillRect/>
                    </a:stretch>
                  </pic:blipFill>
                  <pic:spPr>
                    <a:xfrm>
                      <a:off x="0" y="0"/>
                      <a:ext cx="1829435" cy="7619"/>
                    </a:xfrm>
                    <a:prstGeom prst="rect">
                      <a:avLst/>
                    </a:prstGeom>
                  </pic:spPr>
                </pic:pic>
              </a:graphicData>
            </a:graphic>
          </wp:anchor>
        </w:drawing>
      </w:r>
    </w:p>
    <w:p w14:paraId="4A10F36A">
      <w:pPr>
        <w:spacing w:before="58" w:line="315" w:lineRule="auto"/>
        <w:ind w:left="943" w:right="705" w:hanging="364"/>
        <w:rPr>
          <w:rFonts w:hint="eastAsia" w:ascii="宋体" w:hAnsi="宋体" w:eastAsia="宋体" w:cs="宋体"/>
          <w:color w:val="auto"/>
          <w:sz w:val="18"/>
          <w:szCs w:val="18"/>
          <w:highlight w:val="none"/>
        </w:rPr>
      </w:pPr>
      <w:r>
        <w:rPr>
          <w:rFonts w:hint="eastAsia" w:ascii="宋体" w:hAnsi="宋体" w:eastAsia="宋体" w:cs="宋体"/>
          <w:color w:val="auto"/>
          <w:spacing w:val="-5"/>
          <w:position w:val="9"/>
          <w:sz w:val="8"/>
          <w:szCs w:val="8"/>
          <w:highlight w:val="none"/>
        </w:rPr>
        <w:t>①</w:t>
      </w:r>
      <w:r>
        <w:rPr>
          <w:rFonts w:hint="eastAsia" w:ascii="宋体" w:hAnsi="宋体" w:eastAsia="宋体" w:cs="宋体"/>
          <w:color w:val="auto"/>
          <w:spacing w:val="-5"/>
          <w:sz w:val="18"/>
          <w:szCs w:val="18"/>
          <w:highlight w:val="none"/>
        </w:rPr>
        <w:t>a.招标人应在招标文件中规定若投标人在所投标段中标需派驻</w:t>
      </w:r>
      <w:r>
        <w:rPr>
          <w:rFonts w:hint="eastAsia" w:ascii="宋体" w:hAnsi="宋体" w:eastAsia="宋体" w:cs="宋体"/>
          <w:color w:val="auto"/>
          <w:spacing w:val="-6"/>
          <w:sz w:val="18"/>
          <w:szCs w:val="18"/>
          <w:highlight w:val="none"/>
        </w:rPr>
        <w:t>的其他管理和技术人员（例如项目副经理、</w:t>
      </w:r>
      <w:r>
        <w:rPr>
          <w:rFonts w:hint="eastAsia" w:ascii="宋体" w:hAnsi="宋体" w:eastAsia="宋体" w:cs="宋体"/>
          <w:color w:val="auto"/>
          <w:spacing w:val="-13"/>
          <w:sz w:val="18"/>
          <w:szCs w:val="18"/>
          <w:highlight w:val="none"/>
        </w:rPr>
        <w:t>专业工程师等）。上述人员的具体人选由招标</w:t>
      </w:r>
      <w:r>
        <w:rPr>
          <w:rFonts w:hint="eastAsia" w:ascii="宋体" w:hAnsi="宋体" w:eastAsia="宋体" w:cs="宋体"/>
          <w:color w:val="auto"/>
          <w:spacing w:val="-14"/>
          <w:sz w:val="18"/>
          <w:szCs w:val="18"/>
          <w:highlight w:val="none"/>
        </w:rPr>
        <w:t>人和中标人在合同谈判阶段确定，且经招标人审批后作为派</w:t>
      </w:r>
      <w:r>
        <w:rPr>
          <w:rFonts w:hint="eastAsia" w:ascii="宋体" w:hAnsi="宋体" w:eastAsia="宋体" w:cs="宋体"/>
          <w:color w:val="auto"/>
          <w:spacing w:val="-16"/>
          <w:sz w:val="18"/>
          <w:szCs w:val="18"/>
          <w:highlight w:val="none"/>
        </w:rPr>
        <w:t>驻本标段的项目管理机构主要人员，不允许更换。如中标人拟派驻的人员数量和资格条件不满足本表要求，</w:t>
      </w:r>
      <w:r>
        <w:rPr>
          <w:rFonts w:hint="eastAsia" w:ascii="宋体" w:hAnsi="宋体" w:eastAsia="宋体" w:cs="宋体"/>
          <w:color w:val="auto"/>
          <w:spacing w:val="-11"/>
          <w:sz w:val="18"/>
          <w:szCs w:val="18"/>
          <w:highlight w:val="none"/>
        </w:rPr>
        <w:t>招标人应取消其中标资格。</w:t>
      </w:r>
    </w:p>
    <w:p w14:paraId="03DB4297">
      <w:pPr>
        <w:spacing w:line="312" w:lineRule="auto"/>
        <w:ind w:left="942" w:right="909" w:hanging="187"/>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b.本表不适用于已按资格预审文件或招标文件要求提供了其他管理和技术人员的特别复杂的特大桥</w:t>
      </w:r>
      <w:r>
        <w:rPr>
          <w:rFonts w:hint="eastAsia" w:ascii="宋体" w:hAnsi="宋体" w:eastAsia="宋体" w:cs="宋体"/>
          <w:color w:val="auto"/>
          <w:spacing w:val="-1"/>
          <w:sz w:val="18"/>
          <w:szCs w:val="18"/>
          <w:highlight w:val="none"/>
        </w:rPr>
        <w:t>梁和特长隧道项目主体工程以及其他有特殊要求的工程。</w:t>
      </w:r>
    </w:p>
    <w:p w14:paraId="28A336CB">
      <w:pPr>
        <w:spacing w:before="177" w:line="226" w:lineRule="auto"/>
        <w:outlineLvl w:val="2"/>
        <w:rPr>
          <w:rFonts w:hint="eastAsia" w:ascii="宋体" w:hAnsi="宋体" w:eastAsia="宋体" w:cs="宋体"/>
          <w:color w:val="auto"/>
          <w:spacing w:val="-1"/>
          <w:sz w:val="24"/>
          <w:szCs w:val="24"/>
          <w:highlight w:val="none"/>
        </w:rPr>
      </w:pPr>
    </w:p>
    <w:p w14:paraId="56C21DD9">
      <w:pPr>
        <w:spacing w:before="177" w:line="226" w:lineRule="auto"/>
        <w:ind w:left="600"/>
        <w:outlineLvl w:val="2"/>
        <w:rPr>
          <w:rFonts w:hint="eastAsia" w:ascii="宋体" w:hAnsi="宋体" w:eastAsia="宋体" w:cs="宋体"/>
          <w:color w:val="auto"/>
          <w:sz w:val="12"/>
          <w:szCs w:val="12"/>
          <w:highlight w:val="none"/>
        </w:rPr>
      </w:pPr>
      <w:bookmarkStart w:id="746" w:name="_Toc6742"/>
      <w:bookmarkStart w:id="747" w:name="_Toc9983"/>
      <w:bookmarkStart w:id="748" w:name="_Toc10782"/>
      <w:bookmarkStart w:id="749" w:name="_Toc23389"/>
      <w:bookmarkStart w:id="750" w:name="_Toc29815"/>
      <w:r>
        <w:rPr>
          <w:rFonts w:hint="eastAsia" w:ascii="宋体" w:hAnsi="宋体" w:eastAsia="宋体" w:cs="宋体"/>
          <w:color w:val="auto"/>
          <w:spacing w:val="-1"/>
          <w:sz w:val="24"/>
          <w:szCs w:val="24"/>
          <w:highlight w:val="none"/>
        </w:rPr>
        <w:t>附件五主要机械设备和试验检测设备最低</w:t>
      </w:r>
      <w:r>
        <w:rPr>
          <w:rFonts w:hint="eastAsia" w:ascii="宋体" w:hAnsi="宋体" w:eastAsia="宋体" w:cs="宋体"/>
          <w:color w:val="auto"/>
          <w:spacing w:val="-2"/>
          <w:sz w:val="24"/>
          <w:szCs w:val="24"/>
          <w:highlight w:val="none"/>
        </w:rPr>
        <w:t>要求</w:t>
      </w:r>
      <w:r>
        <w:rPr>
          <w:rFonts w:hint="eastAsia" w:ascii="宋体" w:hAnsi="宋体" w:eastAsia="宋体" w:cs="宋体"/>
          <w:b/>
          <w:bCs/>
          <w:color w:val="auto"/>
          <w:spacing w:val="-2"/>
          <w:position w:val="10"/>
          <w:sz w:val="12"/>
          <w:szCs w:val="12"/>
          <w:highlight w:val="none"/>
        </w:rPr>
        <w:t>①</w:t>
      </w:r>
      <w:bookmarkEnd w:id="746"/>
      <w:bookmarkEnd w:id="747"/>
      <w:bookmarkEnd w:id="748"/>
      <w:bookmarkEnd w:id="749"/>
      <w:bookmarkEnd w:id="750"/>
    </w:p>
    <w:p w14:paraId="2A2D6AD1">
      <w:pPr>
        <w:spacing w:line="226" w:lineRule="auto"/>
        <w:rPr>
          <w:rFonts w:hint="eastAsia" w:ascii="宋体" w:hAnsi="宋体" w:eastAsia="宋体" w:cs="宋体"/>
          <w:color w:val="auto"/>
          <w:sz w:val="12"/>
          <w:szCs w:val="12"/>
          <w:highlight w:val="none"/>
        </w:rPr>
      </w:pPr>
    </w:p>
    <w:p w14:paraId="5CFD0CE8">
      <w:pPr>
        <w:pStyle w:val="2"/>
        <w:rPr>
          <w:rFonts w:hint="eastAsia" w:ascii="宋体" w:hAnsi="宋体" w:eastAsia="宋体" w:cs="宋体"/>
          <w:color w:val="auto"/>
          <w:sz w:val="12"/>
          <w:szCs w:val="12"/>
          <w:highlight w:val="none"/>
        </w:rPr>
      </w:pPr>
    </w:p>
    <w:p w14:paraId="08849473">
      <w:pPr>
        <w:spacing w:before="91"/>
        <w:rPr>
          <w:rFonts w:hint="eastAsia" w:ascii="宋体" w:hAnsi="宋体" w:eastAsia="宋体" w:cs="宋体"/>
          <w:color w:val="auto"/>
          <w:highlight w:val="none"/>
        </w:rPr>
      </w:pPr>
    </w:p>
    <w:tbl>
      <w:tblPr>
        <w:tblStyle w:val="24"/>
        <w:tblW w:w="8564" w:type="dxa"/>
        <w:tblInd w:w="62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36"/>
        <w:gridCol w:w="2742"/>
        <w:gridCol w:w="1387"/>
        <w:gridCol w:w="2199"/>
      </w:tblGrid>
      <w:tr w14:paraId="73CF0F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2236" w:type="dxa"/>
            <w:vAlign w:val="top"/>
          </w:tcPr>
          <w:p w14:paraId="0CD6E3BA">
            <w:pPr>
              <w:pStyle w:val="25"/>
              <w:spacing w:before="238" w:line="221" w:lineRule="auto"/>
              <w:ind w:left="653"/>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设备名称</w:t>
            </w:r>
          </w:p>
        </w:tc>
        <w:tc>
          <w:tcPr>
            <w:tcW w:w="2742" w:type="dxa"/>
            <w:vAlign w:val="top"/>
          </w:tcPr>
          <w:p w14:paraId="2769C154">
            <w:pPr>
              <w:pStyle w:val="25"/>
              <w:spacing w:before="239" w:line="219" w:lineRule="auto"/>
              <w:ind w:left="42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规格、功率及容量</w:t>
            </w:r>
          </w:p>
        </w:tc>
        <w:tc>
          <w:tcPr>
            <w:tcW w:w="1387" w:type="dxa"/>
            <w:vAlign w:val="top"/>
          </w:tcPr>
          <w:p w14:paraId="4BB3EDBB">
            <w:pPr>
              <w:pStyle w:val="25"/>
              <w:spacing w:before="238" w:line="220" w:lineRule="auto"/>
              <w:ind w:left="465"/>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单位</w:t>
            </w:r>
          </w:p>
        </w:tc>
        <w:tc>
          <w:tcPr>
            <w:tcW w:w="2199" w:type="dxa"/>
            <w:vAlign w:val="top"/>
          </w:tcPr>
          <w:p w14:paraId="60A10677">
            <w:pPr>
              <w:pStyle w:val="25"/>
              <w:spacing w:before="239" w:line="219" w:lineRule="auto"/>
              <w:ind w:left="39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最低数量要求</w:t>
            </w:r>
          </w:p>
        </w:tc>
      </w:tr>
      <w:tr w14:paraId="12DE98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2236" w:type="dxa"/>
            <w:vAlign w:val="top"/>
          </w:tcPr>
          <w:p w14:paraId="2FC54074">
            <w:pPr>
              <w:rPr>
                <w:rFonts w:hint="eastAsia" w:ascii="宋体" w:hAnsi="宋体" w:eastAsia="宋体" w:cs="宋体"/>
                <w:color w:val="auto"/>
                <w:sz w:val="21"/>
                <w:highlight w:val="none"/>
              </w:rPr>
            </w:pPr>
          </w:p>
        </w:tc>
        <w:tc>
          <w:tcPr>
            <w:tcW w:w="2742" w:type="dxa"/>
            <w:vAlign w:val="top"/>
          </w:tcPr>
          <w:p w14:paraId="253D7400">
            <w:pPr>
              <w:rPr>
                <w:rFonts w:hint="eastAsia" w:ascii="宋体" w:hAnsi="宋体" w:eastAsia="宋体" w:cs="宋体"/>
                <w:color w:val="auto"/>
                <w:sz w:val="21"/>
                <w:highlight w:val="none"/>
              </w:rPr>
            </w:pPr>
          </w:p>
        </w:tc>
        <w:tc>
          <w:tcPr>
            <w:tcW w:w="1387" w:type="dxa"/>
            <w:vAlign w:val="top"/>
          </w:tcPr>
          <w:p w14:paraId="06A380E4">
            <w:pPr>
              <w:rPr>
                <w:rFonts w:hint="eastAsia" w:ascii="宋体" w:hAnsi="宋体" w:eastAsia="宋体" w:cs="宋体"/>
                <w:color w:val="auto"/>
                <w:sz w:val="21"/>
                <w:highlight w:val="none"/>
              </w:rPr>
            </w:pPr>
          </w:p>
        </w:tc>
        <w:tc>
          <w:tcPr>
            <w:tcW w:w="2199" w:type="dxa"/>
            <w:vAlign w:val="top"/>
          </w:tcPr>
          <w:p w14:paraId="032A41ED">
            <w:pPr>
              <w:rPr>
                <w:rFonts w:hint="eastAsia" w:ascii="宋体" w:hAnsi="宋体" w:eastAsia="宋体" w:cs="宋体"/>
                <w:color w:val="auto"/>
                <w:sz w:val="21"/>
                <w:highlight w:val="none"/>
              </w:rPr>
            </w:pPr>
          </w:p>
        </w:tc>
      </w:tr>
      <w:tr w14:paraId="56B0B5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236" w:type="dxa"/>
            <w:vAlign w:val="top"/>
          </w:tcPr>
          <w:p w14:paraId="68B06429">
            <w:pPr>
              <w:rPr>
                <w:rFonts w:hint="eastAsia" w:ascii="宋体" w:hAnsi="宋体" w:eastAsia="宋体" w:cs="宋体"/>
                <w:color w:val="auto"/>
                <w:sz w:val="21"/>
                <w:highlight w:val="none"/>
              </w:rPr>
            </w:pPr>
          </w:p>
        </w:tc>
        <w:tc>
          <w:tcPr>
            <w:tcW w:w="2742" w:type="dxa"/>
            <w:vAlign w:val="top"/>
          </w:tcPr>
          <w:p w14:paraId="72B77C9F">
            <w:pPr>
              <w:rPr>
                <w:rFonts w:hint="eastAsia" w:ascii="宋体" w:hAnsi="宋体" w:eastAsia="宋体" w:cs="宋体"/>
                <w:color w:val="auto"/>
                <w:sz w:val="21"/>
                <w:highlight w:val="none"/>
              </w:rPr>
            </w:pPr>
          </w:p>
        </w:tc>
        <w:tc>
          <w:tcPr>
            <w:tcW w:w="1387" w:type="dxa"/>
            <w:vAlign w:val="top"/>
          </w:tcPr>
          <w:p w14:paraId="7F0E22DB">
            <w:pPr>
              <w:rPr>
                <w:rFonts w:hint="eastAsia" w:ascii="宋体" w:hAnsi="宋体" w:eastAsia="宋体" w:cs="宋体"/>
                <w:color w:val="auto"/>
                <w:sz w:val="21"/>
                <w:highlight w:val="none"/>
              </w:rPr>
            </w:pPr>
          </w:p>
        </w:tc>
        <w:tc>
          <w:tcPr>
            <w:tcW w:w="2199" w:type="dxa"/>
            <w:vAlign w:val="top"/>
          </w:tcPr>
          <w:p w14:paraId="4E883A4E">
            <w:pPr>
              <w:rPr>
                <w:rFonts w:hint="eastAsia" w:ascii="宋体" w:hAnsi="宋体" w:eastAsia="宋体" w:cs="宋体"/>
                <w:color w:val="auto"/>
                <w:sz w:val="21"/>
                <w:highlight w:val="none"/>
              </w:rPr>
            </w:pPr>
          </w:p>
        </w:tc>
      </w:tr>
      <w:tr w14:paraId="7447B7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236" w:type="dxa"/>
            <w:vAlign w:val="top"/>
          </w:tcPr>
          <w:p w14:paraId="1607ED98">
            <w:pPr>
              <w:rPr>
                <w:rFonts w:hint="eastAsia" w:ascii="宋体" w:hAnsi="宋体" w:eastAsia="宋体" w:cs="宋体"/>
                <w:color w:val="auto"/>
                <w:sz w:val="21"/>
                <w:highlight w:val="none"/>
              </w:rPr>
            </w:pPr>
          </w:p>
        </w:tc>
        <w:tc>
          <w:tcPr>
            <w:tcW w:w="2742" w:type="dxa"/>
            <w:vAlign w:val="top"/>
          </w:tcPr>
          <w:p w14:paraId="668AE9F9">
            <w:pPr>
              <w:rPr>
                <w:rFonts w:hint="eastAsia" w:ascii="宋体" w:hAnsi="宋体" w:eastAsia="宋体" w:cs="宋体"/>
                <w:color w:val="auto"/>
                <w:sz w:val="21"/>
                <w:highlight w:val="none"/>
              </w:rPr>
            </w:pPr>
          </w:p>
        </w:tc>
        <w:tc>
          <w:tcPr>
            <w:tcW w:w="1387" w:type="dxa"/>
            <w:vAlign w:val="top"/>
          </w:tcPr>
          <w:p w14:paraId="2A799BFC">
            <w:pPr>
              <w:rPr>
                <w:rFonts w:hint="eastAsia" w:ascii="宋体" w:hAnsi="宋体" w:eastAsia="宋体" w:cs="宋体"/>
                <w:color w:val="auto"/>
                <w:sz w:val="21"/>
                <w:highlight w:val="none"/>
              </w:rPr>
            </w:pPr>
          </w:p>
        </w:tc>
        <w:tc>
          <w:tcPr>
            <w:tcW w:w="2199" w:type="dxa"/>
            <w:vAlign w:val="top"/>
          </w:tcPr>
          <w:p w14:paraId="3C90EE1E">
            <w:pPr>
              <w:rPr>
                <w:rFonts w:hint="eastAsia" w:ascii="宋体" w:hAnsi="宋体" w:eastAsia="宋体" w:cs="宋体"/>
                <w:color w:val="auto"/>
                <w:sz w:val="21"/>
                <w:highlight w:val="none"/>
              </w:rPr>
            </w:pPr>
          </w:p>
        </w:tc>
      </w:tr>
      <w:tr w14:paraId="7BB126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2236" w:type="dxa"/>
            <w:vAlign w:val="top"/>
          </w:tcPr>
          <w:p w14:paraId="7BFF521F">
            <w:pPr>
              <w:rPr>
                <w:rFonts w:hint="eastAsia" w:ascii="宋体" w:hAnsi="宋体" w:eastAsia="宋体" w:cs="宋体"/>
                <w:color w:val="auto"/>
                <w:sz w:val="21"/>
                <w:highlight w:val="none"/>
              </w:rPr>
            </w:pPr>
          </w:p>
        </w:tc>
        <w:tc>
          <w:tcPr>
            <w:tcW w:w="2742" w:type="dxa"/>
            <w:vAlign w:val="top"/>
          </w:tcPr>
          <w:p w14:paraId="6DD0C03C">
            <w:pPr>
              <w:rPr>
                <w:rFonts w:hint="eastAsia" w:ascii="宋体" w:hAnsi="宋体" w:eastAsia="宋体" w:cs="宋体"/>
                <w:color w:val="auto"/>
                <w:sz w:val="21"/>
                <w:highlight w:val="none"/>
              </w:rPr>
            </w:pPr>
          </w:p>
        </w:tc>
        <w:tc>
          <w:tcPr>
            <w:tcW w:w="1387" w:type="dxa"/>
            <w:vAlign w:val="top"/>
          </w:tcPr>
          <w:p w14:paraId="432C5D4D">
            <w:pPr>
              <w:rPr>
                <w:rFonts w:hint="eastAsia" w:ascii="宋体" w:hAnsi="宋体" w:eastAsia="宋体" w:cs="宋体"/>
                <w:color w:val="auto"/>
                <w:sz w:val="21"/>
                <w:highlight w:val="none"/>
              </w:rPr>
            </w:pPr>
          </w:p>
        </w:tc>
        <w:tc>
          <w:tcPr>
            <w:tcW w:w="2199" w:type="dxa"/>
            <w:vAlign w:val="top"/>
          </w:tcPr>
          <w:p w14:paraId="4D1C6D04">
            <w:pPr>
              <w:rPr>
                <w:rFonts w:hint="eastAsia" w:ascii="宋体" w:hAnsi="宋体" w:eastAsia="宋体" w:cs="宋体"/>
                <w:color w:val="auto"/>
                <w:sz w:val="21"/>
                <w:highlight w:val="none"/>
              </w:rPr>
            </w:pPr>
          </w:p>
        </w:tc>
      </w:tr>
      <w:tr w14:paraId="6BE768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2236" w:type="dxa"/>
            <w:vAlign w:val="top"/>
          </w:tcPr>
          <w:p w14:paraId="2C66317E">
            <w:pPr>
              <w:rPr>
                <w:rFonts w:hint="eastAsia" w:ascii="宋体" w:hAnsi="宋体" w:eastAsia="宋体" w:cs="宋体"/>
                <w:color w:val="auto"/>
                <w:sz w:val="21"/>
                <w:highlight w:val="none"/>
              </w:rPr>
            </w:pPr>
          </w:p>
        </w:tc>
        <w:tc>
          <w:tcPr>
            <w:tcW w:w="2742" w:type="dxa"/>
            <w:vAlign w:val="top"/>
          </w:tcPr>
          <w:p w14:paraId="1E548574">
            <w:pPr>
              <w:rPr>
                <w:rFonts w:hint="eastAsia" w:ascii="宋体" w:hAnsi="宋体" w:eastAsia="宋体" w:cs="宋体"/>
                <w:color w:val="auto"/>
                <w:sz w:val="21"/>
                <w:highlight w:val="none"/>
              </w:rPr>
            </w:pPr>
          </w:p>
        </w:tc>
        <w:tc>
          <w:tcPr>
            <w:tcW w:w="1387" w:type="dxa"/>
            <w:vAlign w:val="top"/>
          </w:tcPr>
          <w:p w14:paraId="6D13BFB3">
            <w:pPr>
              <w:rPr>
                <w:rFonts w:hint="eastAsia" w:ascii="宋体" w:hAnsi="宋体" w:eastAsia="宋体" w:cs="宋体"/>
                <w:color w:val="auto"/>
                <w:sz w:val="21"/>
                <w:highlight w:val="none"/>
              </w:rPr>
            </w:pPr>
          </w:p>
        </w:tc>
        <w:tc>
          <w:tcPr>
            <w:tcW w:w="2199" w:type="dxa"/>
            <w:vAlign w:val="top"/>
          </w:tcPr>
          <w:p w14:paraId="390DD6B9">
            <w:pPr>
              <w:rPr>
                <w:rFonts w:hint="eastAsia" w:ascii="宋体" w:hAnsi="宋体" w:eastAsia="宋体" w:cs="宋体"/>
                <w:color w:val="auto"/>
                <w:sz w:val="21"/>
                <w:highlight w:val="none"/>
              </w:rPr>
            </w:pPr>
          </w:p>
        </w:tc>
      </w:tr>
      <w:tr w14:paraId="6D91A1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236" w:type="dxa"/>
            <w:vAlign w:val="top"/>
          </w:tcPr>
          <w:p w14:paraId="07A8E18D">
            <w:pPr>
              <w:rPr>
                <w:rFonts w:hint="eastAsia" w:ascii="宋体" w:hAnsi="宋体" w:eastAsia="宋体" w:cs="宋体"/>
                <w:color w:val="auto"/>
                <w:sz w:val="21"/>
                <w:highlight w:val="none"/>
              </w:rPr>
            </w:pPr>
          </w:p>
        </w:tc>
        <w:tc>
          <w:tcPr>
            <w:tcW w:w="2742" w:type="dxa"/>
            <w:vAlign w:val="top"/>
          </w:tcPr>
          <w:p w14:paraId="13CF3B2C">
            <w:pPr>
              <w:rPr>
                <w:rFonts w:hint="eastAsia" w:ascii="宋体" w:hAnsi="宋体" w:eastAsia="宋体" w:cs="宋体"/>
                <w:color w:val="auto"/>
                <w:sz w:val="21"/>
                <w:highlight w:val="none"/>
              </w:rPr>
            </w:pPr>
          </w:p>
        </w:tc>
        <w:tc>
          <w:tcPr>
            <w:tcW w:w="1387" w:type="dxa"/>
            <w:vAlign w:val="top"/>
          </w:tcPr>
          <w:p w14:paraId="762F7114">
            <w:pPr>
              <w:rPr>
                <w:rFonts w:hint="eastAsia" w:ascii="宋体" w:hAnsi="宋体" w:eastAsia="宋体" w:cs="宋体"/>
                <w:color w:val="auto"/>
                <w:sz w:val="21"/>
                <w:highlight w:val="none"/>
              </w:rPr>
            </w:pPr>
          </w:p>
        </w:tc>
        <w:tc>
          <w:tcPr>
            <w:tcW w:w="2199" w:type="dxa"/>
            <w:vAlign w:val="top"/>
          </w:tcPr>
          <w:p w14:paraId="32C179D6">
            <w:pPr>
              <w:rPr>
                <w:rFonts w:hint="eastAsia" w:ascii="宋体" w:hAnsi="宋体" w:eastAsia="宋体" w:cs="宋体"/>
                <w:color w:val="auto"/>
                <w:sz w:val="21"/>
                <w:highlight w:val="none"/>
              </w:rPr>
            </w:pPr>
          </w:p>
        </w:tc>
      </w:tr>
      <w:tr w14:paraId="6A487F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236" w:type="dxa"/>
            <w:vAlign w:val="top"/>
          </w:tcPr>
          <w:p w14:paraId="0240DA9E">
            <w:pPr>
              <w:rPr>
                <w:rFonts w:hint="eastAsia" w:ascii="宋体" w:hAnsi="宋体" w:eastAsia="宋体" w:cs="宋体"/>
                <w:color w:val="auto"/>
                <w:sz w:val="21"/>
                <w:highlight w:val="none"/>
              </w:rPr>
            </w:pPr>
          </w:p>
        </w:tc>
        <w:tc>
          <w:tcPr>
            <w:tcW w:w="2742" w:type="dxa"/>
            <w:vAlign w:val="top"/>
          </w:tcPr>
          <w:p w14:paraId="47064E89">
            <w:pPr>
              <w:rPr>
                <w:rFonts w:hint="eastAsia" w:ascii="宋体" w:hAnsi="宋体" w:eastAsia="宋体" w:cs="宋体"/>
                <w:color w:val="auto"/>
                <w:sz w:val="21"/>
                <w:highlight w:val="none"/>
              </w:rPr>
            </w:pPr>
          </w:p>
        </w:tc>
        <w:tc>
          <w:tcPr>
            <w:tcW w:w="1387" w:type="dxa"/>
            <w:vAlign w:val="top"/>
          </w:tcPr>
          <w:p w14:paraId="3BAA25BD">
            <w:pPr>
              <w:rPr>
                <w:rFonts w:hint="eastAsia" w:ascii="宋体" w:hAnsi="宋体" w:eastAsia="宋体" w:cs="宋体"/>
                <w:color w:val="auto"/>
                <w:sz w:val="21"/>
                <w:highlight w:val="none"/>
              </w:rPr>
            </w:pPr>
          </w:p>
        </w:tc>
        <w:tc>
          <w:tcPr>
            <w:tcW w:w="2199" w:type="dxa"/>
            <w:vAlign w:val="top"/>
          </w:tcPr>
          <w:p w14:paraId="112B3E2F">
            <w:pPr>
              <w:rPr>
                <w:rFonts w:hint="eastAsia" w:ascii="宋体" w:hAnsi="宋体" w:eastAsia="宋体" w:cs="宋体"/>
                <w:color w:val="auto"/>
                <w:sz w:val="21"/>
                <w:highlight w:val="none"/>
              </w:rPr>
            </w:pPr>
          </w:p>
        </w:tc>
      </w:tr>
      <w:tr w14:paraId="3AD521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236" w:type="dxa"/>
            <w:vAlign w:val="top"/>
          </w:tcPr>
          <w:p w14:paraId="56C14BC3">
            <w:pPr>
              <w:rPr>
                <w:rFonts w:hint="eastAsia" w:ascii="宋体" w:hAnsi="宋体" w:eastAsia="宋体" w:cs="宋体"/>
                <w:color w:val="auto"/>
                <w:sz w:val="21"/>
                <w:highlight w:val="none"/>
              </w:rPr>
            </w:pPr>
          </w:p>
        </w:tc>
        <w:tc>
          <w:tcPr>
            <w:tcW w:w="2742" w:type="dxa"/>
            <w:vAlign w:val="top"/>
          </w:tcPr>
          <w:p w14:paraId="7DECE281">
            <w:pPr>
              <w:rPr>
                <w:rFonts w:hint="eastAsia" w:ascii="宋体" w:hAnsi="宋体" w:eastAsia="宋体" w:cs="宋体"/>
                <w:color w:val="auto"/>
                <w:sz w:val="21"/>
                <w:highlight w:val="none"/>
              </w:rPr>
            </w:pPr>
          </w:p>
        </w:tc>
        <w:tc>
          <w:tcPr>
            <w:tcW w:w="1387" w:type="dxa"/>
            <w:vAlign w:val="top"/>
          </w:tcPr>
          <w:p w14:paraId="1BC41756">
            <w:pPr>
              <w:rPr>
                <w:rFonts w:hint="eastAsia" w:ascii="宋体" w:hAnsi="宋体" w:eastAsia="宋体" w:cs="宋体"/>
                <w:color w:val="auto"/>
                <w:sz w:val="21"/>
                <w:highlight w:val="none"/>
              </w:rPr>
            </w:pPr>
          </w:p>
        </w:tc>
        <w:tc>
          <w:tcPr>
            <w:tcW w:w="2199" w:type="dxa"/>
            <w:vAlign w:val="top"/>
          </w:tcPr>
          <w:p w14:paraId="2F855BCC">
            <w:pPr>
              <w:rPr>
                <w:rFonts w:hint="eastAsia" w:ascii="宋体" w:hAnsi="宋体" w:eastAsia="宋体" w:cs="宋体"/>
                <w:color w:val="auto"/>
                <w:sz w:val="21"/>
                <w:highlight w:val="none"/>
              </w:rPr>
            </w:pPr>
          </w:p>
        </w:tc>
      </w:tr>
      <w:tr w14:paraId="04D8BA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236" w:type="dxa"/>
            <w:vAlign w:val="top"/>
          </w:tcPr>
          <w:p w14:paraId="4C6D59B8">
            <w:pPr>
              <w:rPr>
                <w:rFonts w:hint="eastAsia" w:ascii="宋体" w:hAnsi="宋体" w:eastAsia="宋体" w:cs="宋体"/>
                <w:color w:val="auto"/>
                <w:sz w:val="21"/>
                <w:highlight w:val="none"/>
              </w:rPr>
            </w:pPr>
          </w:p>
        </w:tc>
        <w:tc>
          <w:tcPr>
            <w:tcW w:w="2742" w:type="dxa"/>
            <w:vAlign w:val="top"/>
          </w:tcPr>
          <w:p w14:paraId="3C7656F2">
            <w:pPr>
              <w:rPr>
                <w:rFonts w:hint="eastAsia" w:ascii="宋体" w:hAnsi="宋体" w:eastAsia="宋体" w:cs="宋体"/>
                <w:color w:val="auto"/>
                <w:sz w:val="21"/>
                <w:highlight w:val="none"/>
              </w:rPr>
            </w:pPr>
          </w:p>
        </w:tc>
        <w:tc>
          <w:tcPr>
            <w:tcW w:w="1387" w:type="dxa"/>
            <w:vAlign w:val="top"/>
          </w:tcPr>
          <w:p w14:paraId="35244226">
            <w:pPr>
              <w:rPr>
                <w:rFonts w:hint="eastAsia" w:ascii="宋体" w:hAnsi="宋体" w:eastAsia="宋体" w:cs="宋体"/>
                <w:color w:val="auto"/>
                <w:sz w:val="21"/>
                <w:highlight w:val="none"/>
              </w:rPr>
            </w:pPr>
          </w:p>
        </w:tc>
        <w:tc>
          <w:tcPr>
            <w:tcW w:w="2199" w:type="dxa"/>
            <w:vAlign w:val="top"/>
          </w:tcPr>
          <w:p w14:paraId="0D868EE5">
            <w:pPr>
              <w:rPr>
                <w:rFonts w:hint="eastAsia" w:ascii="宋体" w:hAnsi="宋体" w:eastAsia="宋体" w:cs="宋体"/>
                <w:color w:val="auto"/>
                <w:sz w:val="21"/>
                <w:highlight w:val="none"/>
              </w:rPr>
            </w:pPr>
          </w:p>
        </w:tc>
      </w:tr>
      <w:tr w14:paraId="54EBC6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236" w:type="dxa"/>
            <w:vAlign w:val="top"/>
          </w:tcPr>
          <w:p w14:paraId="40D5546A">
            <w:pPr>
              <w:rPr>
                <w:rFonts w:hint="eastAsia" w:ascii="宋体" w:hAnsi="宋体" w:eastAsia="宋体" w:cs="宋体"/>
                <w:color w:val="auto"/>
                <w:sz w:val="21"/>
                <w:highlight w:val="none"/>
              </w:rPr>
            </w:pPr>
          </w:p>
        </w:tc>
        <w:tc>
          <w:tcPr>
            <w:tcW w:w="2742" w:type="dxa"/>
            <w:vAlign w:val="top"/>
          </w:tcPr>
          <w:p w14:paraId="143BDB4B">
            <w:pPr>
              <w:rPr>
                <w:rFonts w:hint="eastAsia" w:ascii="宋体" w:hAnsi="宋体" w:eastAsia="宋体" w:cs="宋体"/>
                <w:color w:val="auto"/>
                <w:sz w:val="21"/>
                <w:highlight w:val="none"/>
              </w:rPr>
            </w:pPr>
          </w:p>
        </w:tc>
        <w:tc>
          <w:tcPr>
            <w:tcW w:w="1387" w:type="dxa"/>
            <w:vAlign w:val="top"/>
          </w:tcPr>
          <w:p w14:paraId="4C2321E8">
            <w:pPr>
              <w:rPr>
                <w:rFonts w:hint="eastAsia" w:ascii="宋体" w:hAnsi="宋体" w:eastAsia="宋体" w:cs="宋体"/>
                <w:color w:val="auto"/>
                <w:sz w:val="21"/>
                <w:highlight w:val="none"/>
              </w:rPr>
            </w:pPr>
          </w:p>
        </w:tc>
        <w:tc>
          <w:tcPr>
            <w:tcW w:w="2199" w:type="dxa"/>
            <w:vAlign w:val="top"/>
          </w:tcPr>
          <w:p w14:paraId="02ECB68D">
            <w:pPr>
              <w:rPr>
                <w:rFonts w:hint="eastAsia" w:ascii="宋体" w:hAnsi="宋体" w:eastAsia="宋体" w:cs="宋体"/>
                <w:color w:val="auto"/>
                <w:sz w:val="21"/>
                <w:highlight w:val="none"/>
              </w:rPr>
            </w:pPr>
          </w:p>
        </w:tc>
      </w:tr>
      <w:tr w14:paraId="73D14C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2236" w:type="dxa"/>
            <w:vAlign w:val="top"/>
          </w:tcPr>
          <w:p w14:paraId="2986967C">
            <w:pPr>
              <w:rPr>
                <w:rFonts w:hint="eastAsia" w:ascii="宋体" w:hAnsi="宋体" w:eastAsia="宋体" w:cs="宋体"/>
                <w:color w:val="auto"/>
                <w:sz w:val="21"/>
                <w:highlight w:val="none"/>
              </w:rPr>
            </w:pPr>
          </w:p>
        </w:tc>
        <w:tc>
          <w:tcPr>
            <w:tcW w:w="2742" w:type="dxa"/>
            <w:vAlign w:val="top"/>
          </w:tcPr>
          <w:p w14:paraId="16BABF2A">
            <w:pPr>
              <w:rPr>
                <w:rFonts w:hint="eastAsia" w:ascii="宋体" w:hAnsi="宋体" w:eastAsia="宋体" w:cs="宋体"/>
                <w:color w:val="auto"/>
                <w:sz w:val="21"/>
                <w:highlight w:val="none"/>
              </w:rPr>
            </w:pPr>
          </w:p>
        </w:tc>
        <w:tc>
          <w:tcPr>
            <w:tcW w:w="1387" w:type="dxa"/>
            <w:vAlign w:val="top"/>
          </w:tcPr>
          <w:p w14:paraId="73C29594">
            <w:pPr>
              <w:rPr>
                <w:rFonts w:hint="eastAsia" w:ascii="宋体" w:hAnsi="宋体" w:eastAsia="宋体" w:cs="宋体"/>
                <w:color w:val="auto"/>
                <w:sz w:val="21"/>
                <w:highlight w:val="none"/>
              </w:rPr>
            </w:pPr>
          </w:p>
        </w:tc>
        <w:tc>
          <w:tcPr>
            <w:tcW w:w="2199" w:type="dxa"/>
            <w:vAlign w:val="top"/>
          </w:tcPr>
          <w:p w14:paraId="692E96DB">
            <w:pPr>
              <w:rPr>
                <w:rFonts w:hint="eastAsia" w:ascii="宋体" w:hAnsi="宋体" w:eastAsia="宋体" w:cs="宋体"/>
                <w:color w:val="auto"/>
                <w:sz w:val="21"/>
                <w:highlight w:val="none"/>
              </w:rPr>
            </w:pPr>
          </w:p>
        </w:tc>
      </w:tr>
      <w:tr w14:paraId="2606F3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236" w:type="dxa"/>
            <w:vAlign w:val="top"/>
          </w:tcPr>
          <w:p w14:paraId="4EEA4289">
            <w:pPr>
              <w:rPr>
                <w:rFonts w:hint="eastAsia" w:ascii="宋体" w:hAnsi="宋体" w:eastAsia="宋体" w:cs="宋体"/>
                <w:color w:val="auto"/>
                <w:sz w:val="21"/>
                <w:highlight w:val="none"/>
              </w:rPr>
            </w:pPr>
          </w:p>
        </w:tc>
        <w:tc>
          <w:tcPr>
            <w:tcW w:w="2742" w:type="dxa"/>
            <w:vAlign w:val="top"/>
          </w:tcPr>
          <w:p w14:paraId="3D63C349">
            <w:pPr>
              <w:rPr>
                <w:rFonts w:hint="eastAsia" w:ascii="宋体" w:hAnsi="宋体" w:eastAsia="宋体" w:cs="宋体"/>
                <w:color w:val="auto"/>
                <w:sz w:val="21"/>
                <w:highlight w:val="none"/>
              </w:rPr>
            </w:pPr>
          </w:p>
        </w:tc>
        <w:tc>
          <w:tcPr>
            <w:tcW w:w="1387" w:type="dxa"/>
            <w:vAlign w:val="top"/>
          </w:tcPr>
          <w:p w14:paraId="67C1DA91">
            <w:pPr>
              <w:rPr>
                <w:rFonts w:hint="eastAsia" w:ascii="宋体" w:hAnsi="宋体" w:eastAsia="宋体" w:cs="宋体"/>
                <w:color w:val="auto"/>
                <w:sz w:val="21"/>
                <w:highlight w:val="none"/>
              </w:rPr>
            </w:pPr>
          </w:p>
        </w:tc>
        <w:tc>
          <w:tcPr>
            <w:tcW w:w="2199" w:type="dxa"/>
            <w:vAlign w:val="top"/>
          </w:tcPr>
          <w:p w14:paraId="7AC2142F">
            <w:pPr>
              <w:rPr>
                <w:rFonts w:hint="eastAsia" w:ascii="宋体" w:hAnsi="宋体" w:eastAsia="宋体" w:cs="宋体"/>
                <w:color w:val="auto"/>
                <w:sz w:val="21"/>
                <w:highlight w:val="none"/>
              </w:rPr>
            </w:pPr>
          </w:p>
        </w:tc>
      </w:tr>
      <w:tr w14:paraId="2D4E6A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236" w:type="dxa"/>
            <w:vAlign w:val="top"/>
          </w:tcPr>
          <w:p w14:paraId="4F384F28">
            <w:pPr>
              <w:rPr>
                <w:rFonts w:hint="eastAsia" w:ascii="宋体" w:hAnsi="宋体" w:eastAsia="宋体" w:cs="宋体"/>
                <w:color w:val="auto"/>
                <w:sz w:val="21"/>
                <w:highlight w:val="none"/>
              </w:rPr>
            </w:pPr>
          </w:p>
        </w:tc>
        <w:tc>
          <w:tcPr>
            <w:tcW w:w="2742" w:type="dxa"/>
            <w:vAlign w:val="top"/>
          </w:tcPr>
          <w:p w14:paraId="02CFE2A2">
            <w:pPr>
              <w:rPr>
                <w:rFonts w:hint="eastAsia" w:ascii="宋体" w:hAnsi="宋体" w:eastAsia="宋体" w:cs="宋体"/>
                <w:color w:val="auto"/>
                <w:sz w:val="21"/>
                <w:highlight w:val="none"/>
              </w:rPr>
            </w:pPr>
          </w:p>
        </w:tc>
        <w:tc>
          <w:tcPr>
            <w:tcW w:w="1387" w:type="dxa"/>
            <w:vAlign w:val="top"/>
          </w:tcPr>
          <w:p w14:paraId="20FE22BC">
            <w:pPr>
              <w:rPr>
                <w:rFonts w:hint="eastAsia" w:ascii="宋体" w:hAnsi="宋体" w:eastAsia="宋体" w:cs="宋体"/>
                <w:color w:val="auto"/>
                <w:sz w:val="21"/>
                <w:highlight w:val="none"/>
              </w:rPr>
            </w:pPr>
          </w:p>
        </w:tc>
        <w:tc>
          <w:tcPr>
            <w:tcW w:w="2199" w:type="dxa"/>
            <w:vAlign w:val="top"/>
          </w:tcPr>
          <w:p w14:paraId="19FC76FA">
            <w:pPr>
              <w:rPr>
                <w:rFonts w:hint="eastAsia" w:ascii="宋体" w:hAnsi="宋体" w:eastAsia="宋体" w:cs="宋体"/>
                <w:color w:val="auto"/>
                <w:sz w:val="21"/>
                <w:highlight w:val="none"/>
              </w:rPr>
            </w:pPr>
          </w:p>
        </w:tc>
      </w:tr>
      <w:tr w14:paraId="0B9EA2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236" w:type="dxa"/>
            <w:vAlign w:val="top"/>
          </w:tcPr>
          <w:p w14:paraId="6D008B1A">
            <w:pPr>
              <w:rPr>
                <w:rFonts w:hint="eastAsia" w:ascii="宋体" w:hAnsi="宋体" w:eastAsia="宋体" w:cs="宋体"/>
                <w:color w:val="auto"/>
                <w:sz w:val="21"/>
                <w:highlight w:val="none"/>
              </w:rPr>
            </w:pPr>
          </w:p>
        </w:tc>
        <w:tc>
          <w:tcPr>
            <w:tcW w:w="2742" w:type="dxa"/>
            <w:vAlign w:val="top"/>
          </w:tcPr>
          <w:p w14:paraId="31B170C4">
            <w:pPr>
              <w:rPr>
                <w:rFonts w:hint="eastAsia" w:ascii="宋体" w:hAnsi="宋体" w:eastAsia="宋体" w:cs="宋体"/>
                <w:color w:val="auto"/>
                <w:sz w:val="21"/>
                <w:highlight w:val="none"/>
              </w:rPr>
            </w:pPr>
          </w:p>
        </w:tc>
        <w:tc>
          <w:tcPr>
            <w:tcW w:w="1387" w:type="dxa"/>
            <w:vAlign w:val="top"/>
          </w:tcPr>
          <w:p w14:paraId="126B3B62">
            <w:pPr>
              <w:rPr>
                <w:rFonts w:hint="eastAsia" w:ascii="宋体" w:hAnsi="宋体" w:eastAsia="宋体" w:cs="宋体"/>
                <w:color w:val="auto"/>
                <w:sz w:val="21"/>
                <w:highlight w:val="none"/>
              </w:rPr>
            </w:pPr>
          </w:p>
        </w:tc>
        <w:tc>
          <w:tcPr>
            <w:tcW w:w="2199" w:type="dxa"/>
            <w:vAlign w:val="top"/>
          </w:tcPr>
          <w:p w14:paraId="418A38C0">
            <w:pPr>
              <w:rPr>
                <w:rFonts w:hint="eastAsia" w:ascii="宋体" w:hAnsi="宋体" w:eastAsia="宋体" w:cs="宋体"/>
                <w:color w:val="auto"/>
                <w:sz w:val="21"/>
                <w:highlight w:val="none"/>
              </w:rPr>
            </w:pPr>
          </w:p>
        </w:tc>
      </w:tr>
      <w:tr w14:paraId="51C834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2236" w:type="dxa"/>
            <w:vAlign w:val="top"/>
          </w:tcPr>
          <w:p w14:paraId="42D42D4D">
            <w:pPr>
              <w:rPr>
                <w:rFonts w:hint="eastAsia" w:ascii="宋体" w:hAnsi="宋体" w:eastAsia="宋体" w:cs="宋体"/>
                <w:color w:val="auto"/>
                <w:sz w:val="21"/>
                <w:highlight w:val="none"/>
              </w:rPr>
            </w:pPr>
          </w:p>
        </w:tc>
        <w:tc>
          <w:tcPr>
            <w:tcW w:w="2742" w:type="dxa"/>
            <w:vAlign w:val="top"/>
          </w:tcPr>
          <w:p w14:paraId="04E33660">
            <w:pPr>
              <w:rPr>
                <w:rFonts w:hint="eastAsia" w:ascii="宋体" w:hAnsi="宋体" w:eastAsia="宋体" w:cs="宋体"/>
                <w:color w:val="auto"/>
                <w:sz w:val="21"/>
                <w:highlight w:val="none"/>
              </w:rPr>
            </w:pPr>
          </w:p>
        </w:tc>
        <w:tc>
          <w:tcPr>
            <w:tcW w:w="1387" w:type="dxa"/>
            <w:vAlign w:val="top"/>
          </w:tcPr>
          <w:p w14:paraId="243B75F0">
            <w:pPr>
              <w:rPr>
                <w:rFonts w:hint="eastAsia" w:ascii="宋体" w:hAnsi="宋体" w:eastAsia="宋体" w:cs="宋体"/>
                <w:color w:val="auto"/>
                <w:sz w:val="21"/>
                <w:highlight w:val="none"/>
              </w:rPr>
            </w:pPr>
          </w:p>
        </w:tc>
        <w:tc>
          <w:tcPr>
            <w:tcW w:w="2199" w:type="dxa"/>
            <w:vAlign w:val="top"/>
          </w:tcPr>
          <w:p w14:paraId="19A6C626">
            <w:pPr>
              <w:rPr>
                <w:rFonts w:hint="eastAsia" w:ascii="宋体" w:hAnsi="宋体" w:eastAsia="宋体" w:cs="宋体"/>
                <w:color w:val="auto"/>
                <w:sz w:val="21"/>
                <w:highlight w:val="none"/>
              </w:rPr>
            </w:pPr>
          </w:p>
        </w:tc>
      </w:tr>
    </w:tbl>
    <w:p w14:paraId="17E631F6">
      <w:pPr>
        <w:pStyle w:val="4"/>
        <w:spacing w:line="316" w:lineRule="auto"/>
        <w:rPr>
          <w:rFonts w:hint="eastAsia" w:ascii="宋体" w:hAnsi="宋体" w:eastAsia="宋体" w:cs="宋体"/>
          <w:color w:val="auto"/>
          <w:highlight w:val="none"/>
        </w:rPr>
      </w:pPr>
    </w:p>
    <w:p w14:paraId="3BF71655">
      <w:pPr>
        <w:pStyle w:val="4"/>
        <w:spacing w:line="316" w:lineRule="auto"/>
        <w:rPr>
          <w:rFonts w:hint="eastAsia" w:ascii="宋体" w:hAnsi="宋体" w:eastAsia="宋体" w:cs="宋体"/>
          <w:color w:val="auto"/>
          <w:highlight w:val="none"/>
        </w:rPr>
      </w:pPr>
      <w:r>
        <w:rPr>
          <w:rFonts w:hint="eastAsia" w:ascii="宋体" w:hAnsi="宋体" w:eastAsia="宋体" w:cs="宋体"/>
          <w:color w:val="auto"/>
          <w:highlight w:val="none"/>
        </w:rPr>
        <w:drawing>
          <wp:anchor distT="0" distB="0" distL="0" distR="0" simplePos="0" relativeHeight="251703296" behindDoc="0" locked="0" layoutInCell="1" allowOverlap="1">
            <wp:simplePos x="0" y="0"/>
            <wp:positionH relativeFrom="column">
              <wp:posOffset>0</wp:posOffset>
            </wp:positionH>
            <wp:positionV relativeFrom="paragraph">
              <wp:posOffset>132080</wp:posOffset>
            </wp:positionV>
            <wp:extent cx="1829435" cy="7620"/>
            <wp:effectExtent l="0" t="0" r="0" b="0"/>
            <wp:wrapNone/>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r:embed="rId314"/>
                    <a:stretch>
                      <a:fillRect/>
                    </a:stretch>
                  </pic:blipFill>
                  <pic:spPr>
                    <a:xfrm>
                      <a:off x="0" y="0"/>
                      <a:ext cx="1829435" cy="7619"/>
                    </a:xfrm>
                    <a:prstGeom prst="rect">
                      <a:avLst/>
                    </a:prstGeom>
                  </pic:spPr>
                </pic:pic>
              </a:graphicData>
            </a:graphic>
          </wp:anchor>
        </w:drawing>
      </w:r>
    </w:p>
    <w:p w14:paraId="67849524">
      <w:pPr>
        <w:spacing w:before="59" w:line="312" w:lineRule="auto"/>
        <w:ind w:left="798" w:right="607" w:hanging="363"/>
        <w:rPr>
          <w:rFonts w:hint="eastAsia" w:ascii="宋体" w:hAnsi="宋体" w:eastAsia="宋体" w:cs="宋体"/>
          <w:color w:val="auto"/>
          <w:sz w:val="18"/>
          <w:szCs w:val="18"/>
          <w:highlight w:val="none"/>
        </w:rPr>
      </w:pPr>
      <w:r>
        <w:rPr>
          <w:rFonts w:hint="eastAsia" w:ascii="宋体" w:hAnsi="宋体" w:eastAsia="宋体" w:cs="宋体"/>
          <w:color w:val="auto"/>
          <w:spacing w:val="1"/>
          <w:position w:val="7"/>
          <w:sz w:val="8"/>
          <w:szCs w:val="8"/>
          <w:highlight w:val="none"/>
        </w:rPr>
        <w:t>①</w:t>
      </w:r>
      <w:r>
        <w:rPr>
          <w:rFonts w:hint="eastAsia" w:ascii="宋体" w:hAnsi="宋体" w:eastAsia="宋体" w:cs="宋体"/>
          <w:color w:val="auto"/>
          <w:spacing w:val="1"/>
          <w:sz w:val="18"/>
          <w:szCs w:val="18"/>
          <w:highlight w:val="none"/>
        </w:rPr>
        <w:t>a.招标人应在招标文件中规定若投标人在所投标段中标需提供的主要机械设备和试验检测设备。招标人将在合同谈判阶段要求中标人按照本表的最低要求填报为本标段配备的主要设备，在经招标人审批后作为投入本标段的主要设备且不允许更换。如招标人拟提供的设备数量和规格指标等不满足本</w:t>
      </w:r>
      <w:r>
        <w:rPr>
          <w:rFonts w:hint="eastAsia" w:ascii="宋体" w:hAnsi="宋体" w:eastAsia="宋体" w:cs="宋体"/>
          <w:color w:val="auto"/>
          <w:spacing w:val="-1"/>
          <w:sz w:val="18"/>
          <w:szCs w:val="18"/>
          <w:highlight w:val="none"/>
        </w:rPr>
        <w:t>表要求，招标人应取消其中标资格。</w:t>
      </w:r>
    </w:p>
    <w:p w14:paraId="600B8B0E">
      <w:pPr>
        <w:spacing w:before="1" w:line="314" w:lineRule="auto"/>
        <w:ind w:left="1160" w:right="710" w:hanging="72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b.本表不适用于已按资格预审文件或招标文件要求提供了主要机械设备和试验检测设备的特别复杂</w:t>
      </w:r>
      <w:r>
        <w:rPr>
          <w:rFonts w:hint="eastAsia" w:ascii="宋体" w:hAnsi="宋体" w:eastAsia="宋体" w:cs="宋体"/>
          <w:color w:val="auto"/>
          <w:spacing w:val="-1"/>
          <w:sz w:val="18"/>
          <w:szCs w:val="18"/>
          <w:highlight w:val="none"/>
        </w:rPr>
        <w:t>的特大桥梁和特长隧道项目主体工程以及其他有特殊要求的工程。</w:t>
      </w:r>
    </w:p>
    <w:p w14:paraId="591B5F26">
      <w:pPr>
        <w:spacing w:line="314" w:lineRule="auto"/>
        <w:rPr>
          <w:rFonts w:hint="eastAsia" w:ascii="宋体" w:hAnsi="宋体" w:eastAsia="宋体" w:cs="宋体"/>
          <w:color w:val="auto"/>
          <w:sz w:val="18"/>
          <w:szCs w:val="18"/>
          <w:highlight w:val="none"/>
        </w:rPr>
        <w:sectPr>
          <w:headerReference r:id="rId202" w:type="default"/>
          <w:footerReference r:id="rId203" w:type="default"/>
          <w:pgSz w:w="11907" w:h="16840"/>
          <w:pgMar w:top="1182" w:right="1066" w:bottom="1014" w:left="1643" w:header="849" w:footer="852" w:gutter="0"/>
          <w:pgNumType w:fmt="decimal"/>
          <w:cols w:space="720" w:num="1"/>
        </w:sectPr>
      </w:pPr>
    </w:p>
    <w:p w14:paraId="3989E9B6">
      <w:pPr>
        <w:spacing w:before="292" w:line="222" w:lineRule="auto"/>
        <w:ind w:left="458"/>
        <w:outlineLvl w:val="2"/>
        <w:rPr>
          <w:rFonts w:hint="eastAsia" w:ascii="宋体" w:hAnsi="宋体" w:eastAsia="宋体" w:cs="宋体"/>
          <w:color w:val="auto"/>
          <w:sz w:val="24"/>
          <w:szCs w:val="24"/>
          <w:highlight w:val="none"/>
        </w:rPr>
      </w:pPr>
      <w:bookmarkStart w:id="751" w:name="_Toc8785"/>
      <w:bookmarkStart w:id="752" w:name="_Toc1976"/>
      <w:bookmarkStart w:id="753" w:name="_Toc23129"/>
      <w:bookmarkStart w:id="754" w:name="_Toc19885"/>
      <w:bookmarkStart w:id="755" w:name="_Toc6514"/>
      <w:r>
        <w:rPr>
          <w:rFonts w:hint="eastAsia" w:ascii="宋体" w:hAnsi="宋体" w:eastAsia="宋体" w:cs="宋体"/>
          <w:color w:val="auto"/>
          <w:spacing w:val="-3"/>
          <w:sz w:val="24"/>
          <w:szCs w:val="24"/>
          <w:highlight w:val="none"/>
        </w:rPr>
        <w:t>附件六项目经理委任书</w:t>
      </w:r>
      <w:bookmarkEnd w:id="751"/>
      <w:bookmarkEnd w:id="752"/>
      <w:bookmarkEnd w:id="753"/>
      <w:bookmarkEnd w:id="754"/>
      <w:bookmarkEnd w:id="755"/>
    </w:p>
    <w:p w14:paraId="42D7429D">
      <w:pPr>
        <w:pStyle w:val="4"/>
        <w:spacing w:line="319" w:lineRule="auto"/>
        <w:rPr>
          <w:rFonts w:hint="eastAsia" w:ascii="宋体" w:hAnsi="宋体" w:eastAsia="宋体" w:cs="宋体"/>
          <w:color w:val="auto"/>
          <w:highlight w:val="none"/>
        </w:rPr>
      </w:pPr>
    </w:p>
    <w:p w14:paraId="7D5EC274">
      <w:pPr>
        <w:pStyle w:val="4"/>
        <w:spacing w:line="319" w:lineRule="auto"/>
        <w:rPr>
          <w:rFonts w:hint="eastAsia" w:ascii="宋体" w:hAnsi="宋体" w:eastAsia="宋体" w:cs="宋体"/>
          <w:color w:val="auto"/>
          <w:highlight w:val="none"/>
        </w:rPr>
      </w:pPr>
    </w:p>
    <w:p w14:paraId="56167459">
      <w:pPr>
        <w:tabs>
          <w:tab w:val="left" w:pos="1555"/>
        </w:tabs>
        <w:spacing w:before="65" w:line="228" w:lineRule="auto"/>
        <w:ind w:left="493"/>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u w:val="single" w:color="auto"/>
        </w:rPr>
        <w:tab/>
      </w:r>
      <w:r>
        <w:rPr>
          <w:rFonts w:hint="eastAsia" w:ascii="宋体" w:hAnsi="宋体" w:eastAsia="宋体" w:cs="宋体"/>
          <w:color w:val="auto"/>
          <w:spacing w:val="-7"/>
          <w:sz w:val="20"/>
          <w:szCs w:val="20"/>
          <w:highlight w:val="none"/>
          <w:u w:val="single" w:color="auto"/>
        </w:rPr>
        <w:t>（承包人全称）</w:t>
      </w:r>
    </w:p>
    <w:p w14:paraId="44844FEE">
      <w:pPr>
        <w:tabs>
          <w:tab w:val="left" w:pos="1029"/>
        </w:tabs>
        <w:spacing w:before="84" w:line="227" w:lineRule="auto"/>
        <w:ind w:left="49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auto"/>
        </w:rPr>
        <w:tab/>
      </w:r>
      <w:r>
        <w:rPr>
          <w:rFonts w:hint="eastAsia" w:ascii="宋体" w:hAnsi="宋体" w:eastAsia="宋体" w:cs="宋体"/>
          <w:color w:val="auto"/>
          <w:spacing w:val="2"/>
          <w:sz w:val="24"/>
          <w:szCs w:val="24"/>
          <w:highlight w:val="none"/>
          <w:u w:val="single" w:color="auto"/>
        </w:rPr>
        <w:t>（合同工程名称）</w:t>
      </w:r>
      <w:r>
        <w:rPr>
          <w:rFonts w:hint="eastAsia" w:ascii="宋体" w:hAnsi="宋体" w:eastAsia="宋体" w:cs="宋体"/>
          <w:color w:val="auto"/>
          <w:spacing w:val="2"/>
          <w:sz w:val="24"/>
          <w:szCs w:val="24"/>
          <w:highlight w:val="none"/>
        </w:rPr>
        <w:t>项目经理委任书</w:t>
      </w:r>
    </w:p>
    <w:p w14:paraId="3B15A9F1">
      <w:pPr>
        <w:pStyle w:val="4"/>
        <w:spacing w:line="274" w:lineRule="auto"/>
        <w:rPr>
          <w:rFonts w:hint="eastAsia" w:ascii="宋体" w:hAnsi="宋体" w:eastAsia="宋体" w:cs="宋体"/>
          <w:color w:val="auto"/>
          <w:sz w:val="24"/>
          <w:szCs w:val="24"/>
          <w:highlight w:val="none"/>
        </w:rPr>
      </w:pPr>
    </w:p>
    <w:p w14:paraId="4F5ACCA1">
      <w:pPr>
        <w:pStyle w:val="4"/>
        <w:spacing w:line="275" w:lineRule="auto"/>
        <w:rPr>
          <w:rFonts w:hint="eastAsia" w:ascii="宋体" w:hAnsi="宋体" w:eastAsia="宋体" w:cs="宋体"/>
          <w:color w:val="auto"/>
          <w:sz w:val="24"/>
          <w:szCs w:val="24"/>
          <w:highlight w:val="none"/>
        </w:rPr>
      </w:pPr>
    </w:p>
    <w:p w14:paraId="5C16186B">
      <w:pPr>
        <w:pStyle w:val="4"/>
        <w:spacing w:line="275" w:lineRule="auto"/>
        <w:rPr>
          <w:rFonts w:hint="eastAsia" w:ascii="宋体" w:hAnsi="宋体" w:eastAsia="宋体" w:cs="宋体"/>
          <w:color w:val="auto"/>
          <w:sz w:val="24"/>
          <w:szCs w:val="24"/>
          <w:highlight w:val="none"/>
        </w:rPr>
      </w:pPr>
    </w:p>
    <w:p w14:paraId="12B9E387">
      <w:pPr>
        <w:spacing w:before="65" w:line="228" w:lineRule="auto"/>
        <w:ind w:left="49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pict>
          <v:shape id="_x0000_s1034" o:spid="_x0000_s1034" style="position:absolute;left:0pt;margin-left:24.5pt;margin-top:13.35pt;height:1pt;width:173.15pt;z-index:251704320;mso-width-relative:page;mso-height-relative:page;" filled="f" stroked="t" coordsize="3462,20" path="m0,9l3462,9e">
            <v:fill on="f" focussize="0,0"/>
            <v:stroke weight="0.96pt" color="#000000" miterlimit="2" joinstyle="bevel"/>
            <v:imagedata o:title=""/>
            <o:lock v:ext="edit"/>
          </v:shape>
        </w:pict>
      </w:r>
      <w:r>
        <w:rPr>
          <w:rFonts w:hint="eastAsia" w:ascii="宋体" w:hAnsi="宋体" w:eastAsia="宋体" w:cs="宋体"/>
          <w:color w:val="auto"/>
          <w:spacing w:val="15"/>
          <w:sz w:val="24"/>
          <w:szCs w:val="24"/>
          <w:highlight w:val="none"/>
        </w:rPr>
        <w:t>致</w:t>
      </w:r>
      <w:r>
        <w:rPr>
          <w:rFonts w:hint="eastAsia" w:ascii="宋体" w:hAnsi="宋体" w:eastAsia="宋体" w:cs="宋体"/>
          <w:color w:val="auto"/>
          <w:spacing w:val="-25"/>
          <w:sz w:val="24"/>
          <w:szCs w:val="24"/>
          <w:highlight w:val="none"/>
        </w:rPr>
        <w:t>：（</w:t>
      </w:r>
      <w:r>
        <w:rPr>
          <w:rFonts w:hint="eastAsia" w:ascii="宋体" w:hAnsi="宋体" w:eastAsia="宋体" w:cs="宋体"/>
          <w:color w:val="auto"/>
          <w:spacing w:val="15"/>
          <w:sz w:val="24"/>
          <w:szCs w:val="24"/>
          <w:highlight w:val="none"/>
        </w:rPr>
        <w:t>发包人全称）</w:t>
      </w:r>
    </w:p>
    <w:p w14:paraId="2F40FF9F">
      <w:pPr>
        <w:tabs>
          <w:tab w:val="left" w:pos="1135"/>
        </w:tabs>
        <w:spacing w:before="84" w:line="252" w:lineRule="auto"/>
        <w:ind w:left="18" w:right="87" w:firstLine="475"/>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auto"/>
        </w:rPr>
        <w:tab/>
      </w:r>
      <w:r>
        <w:rPr>
          <w:rFonts w:hint="eastAsia" w:ascii="宋体" w:hAnsi="宋体" w:eastAsia="宋体" w:cs="宋体"/>
          <w:color w:val="auto"/>
          <w:spacing w:val="3"/>
          <w:sz w:val="24"/>
          <w:szCs w:val="24"/>
          <w:highlight w:val="none"/>
          <w:u w:val="single" w:color="auto"/>
        </w:rPr>
        <w:t>（承包人全称）</w:t>
      </w:r>
      <w:r>
        <w:rPr>
          <w:rFonts w:hint="eastAsia" w:ascii="宋体" w:hAnsi="宋体" w:eastAsia="宋体" w:cs="宋体"/>
          <w:color w:val="auto"/>
          <w:spacing w:val="3"/>
          <w:sz w:val="24"/>
          <w:szCs w:val="24"/>
          <w:highlight w:val="none"/>
        </w:rPr>
        <w:t>法定代表人</w:t>
      </w:r>
      <w:r>
        <w:rPr>
          <w:rFonts w:hint="eastAsia" w:ascii="宋体" w:hAnsi="宋体" w:eastAsia="宋体" w:cs="宋体"/>
          <w:color w:val="auto"/>
          <w:spacing w:val="3"/>
          <w:sz w:val="24"/>
          <w:szCs w:val="24"/>
          <w:highlight w:val="none"/>
          <w:u w:val="single" w:color="auto"/>
        </w:rPr>
        <w:t>（职务、姓名）</w:t>
      </w:r>
      <w:r>
        <w:rPr>
          <w:rFonts w:hint="eastAsia" w:ascii="宋体" w:hAnsi="宋体" w:eastAsia="宋体" w:cs="宋体"/>
          <w:color w:val="auto"/>
          <w:spacing w:val="3"/>
          <w:sz w:val="24"/>
          <w:szCs w:val="24"/>
          <w:highlight w:val="none"/>
        </w:rPr>
        <w:t>代表本单位委任</w:t>
      </w:r>
      <w:r>
        <w:rPr>
          <w:rFonts w:hint="eastAsia" w:ascii="宋体" w:hAnsi="宋体" w:eastAsia="宋体" w:cs="宋体"/>
          <w:b/>
          <w:bCs/>
          <w:color w:val="auto"/>
          <w:spacing w:val="3"/>
          <w:sz w:val="24"/>
          <w:szCs w:val="24"/>
          <w:highlight w:val="none"/>
          <w:u w:val="single" w:color="auto"/>
        </w:rPr>
        <w:t>项目经理、</w:t>
      </w:r>
      <w:r>
        <w:rPr>
          <w:rFonts w:hint="eastAsia" w:ascii="宋体" w:hAnsi="宋体" w:eastAsia="宋体" w:cs="宋体"/>
          <w:color w:val="auto"/>
          <w:spacing w:val="3"/>
          <w:sz w:val="24"/>
          <w:szCs w:val="24"/>
          <w:highlight w:val="none"/>
          <w:u w:val="single" w:color="auto"/>
        </w:rPr>
        <w:t>（职</w:t>
      </w:r>
      <w:r>
        <w:rPr>
          <w:rFonts w:hint="eastAsia" w:ascii="宋体" w:hAnsi="宋体" w:eastAsia="宋体" w:cs="宋体"/>
          <w:color w:val="auto"/>
          <w:spacing w:val="7"/>
          <w:sz w:val="24"/>
          <w:szCs w:val="24"/>
          <w:highlight w:val="none"/>
          <w:u w:val="single" w:color="auto"/>
        </w:rPr>
        <w:t>务、姓名、注册编号）</w:t>
      </w:r>
      <w:r>
        <w:rPr>
          <w:rFonts w:hint="eastAsia" w:ascii="宋体" w:hAnsi="宋体" w:eastAsia="宋体" w:cs="宋体"/>
          <w:color w:val="auto"/>
          <w:spacing w:val="7"/>
          <w:sz w:val="24"/>
          <w:szCs w:val="24"/>
          <w:highlight w:val="none"/>
        </w:rPr>
        <w:t>为</w:t>
      </w:r>
      <w:r>
        <w:rPr>
          <w:rFonts w:hint="eastAsia" w:ascii="宋体" w:hAnsi="宋体" w:eastAsia="宋体" w:cs="宋体"/>
          <w:color w:val="auto"/>
          <w:spacing w:val="7"/>
          <w:sz w:val="24"/>
          <w:szCs w:val="24"/>
          <w:highlight w:val="none"/>
          <w:u w:val="single" w:color="auto"/>
        </w:rPr>
        <w:t>（合同工程名称）</w:t>
      </w:r>
      <w:r>
        <w:rPr>
          <w:rFonts w:hint="eastAsia" w:ascii="宋体" w:hAnsi="宋体" w:eastAsia="宋体" w:cs="宋体"/>
          <w:color w:val="auto"/>
          <w:spacing w:val="7"/>
          <w:sz w:val="24"/>
          <w:szCs w:val="24"/>
          <w:highlight w:val="none"/>
        </w:rPr>
        <w:t>的项目经理。凡本合同执行中的有关技术、工程</w:t>
      </w:r>
      <w:r>
        <w:rPr>
          <w:rFonts w:hint="eastAsia" w:ascii="宋体" w:hAnsi="宋体" w:eastAsia="宋体" w:cs="宋体"/>
          <w:color w:val="auto"/>
          <w:spacing w:val="8"/>
          <w:sz w:val="24"/>
          <w:szCs w:val="24"/>
          <w:highlight w:val="none"/>
        </w:rPr>
        <w:t>进度、现场管理、质量检验、结算与支付等方面工作，由</w:t>
      </w:r>
      <w:r>
        <w:rPr>
          <w:rFonts w:hint="eastAsia" w:ascii="宋体" w:hAnsi="宋体" w:eastAsia="宋体" w:cs="宋体"/>
          <w:color w:val="auto"/>
          <w:spacing w:val="8"/>
          <w:sz w:val="24"/>
          <w:szCs w:val="24"/>
          <w:highlight w:val="none"/>
          <w:u w:val="single" w:color="auto"/>
        </w:rPr>
        <w:t>（姓名）</w:t>
      </w:r>
      <w:r>
        <w:rPr>
          <w:rFonts w:hint="eastAsia" w:ascii="宋体" w:hAnsi="宋体" w:eastAsia="宋体" w:cs="宋体"/>
          <w:color w:val="auto"/>
          <w:spacing w:val="8"/>
          <w:sz w:val="24"/>
          <w:szCs w:val="24"/>
          <w:highlight w:val="none"/>
        </w:rPr>
        <w:t>代表本单位全面负责。</w:t>
      </w:r>
    </w:p>
    <w:p w14:paraId="73E50F91">
      <w:pPr>
        <w:pStyle w:val="4"/>
        <w:spacing w:line="265" w:lineRule="auto"/>
        <w:rPr>
          <w:rFonts w:hint="eastAsia" w:ascii="宋体" w:hAnsi="宋体" w:eastAsia="宋体" w:cs="宋体"/>
          <w:color w:val="auto"/>
          <w:sz w:val="24"/>
          <w:szCs w:val="24"/>
          <w:highlight w:val="none"/>
        </w:rPr>
      </w:pPr>
    </w:p>
    <w:p w14:paraId="4FC28040">
      <w:pPr>
        <w:pStyle w:val="4"/>
        <w:spacing w:line="266" w:lineRule="auto"/>
        <w:rPr>
          <w:rFonts w:hint="eastAsia" w:ascii="宋体" w:hAnsi="宋体" w:eastAsia="宋体" w:cs="宋体"/>
          <w:color w:val="auto"/>
          <w:sz w:val="24"/>
          <w:szCs w:val="24"/>
          <w:highlight w:val="none"/>
        </w:rPr>
      </w:pPr>
    </w:p>
    <w:p w14:paraId="15605A26">
      <w:pPr>
        <w:pStyle w:val="4"/>
        <w:spacing w:line="266" w:lineRule="auto"/>
        <w:rPr>
          <w:rFonts w:hint="eastAsia" w:ascii="宋体" w:hAnsi="宋体" w:eastAsia="宋体" w:cs="宋体"/>
          <w:color w:val="auto"/>
          <w:sz w:val="24"/>
          <w:szCs w:val="24"/>
          <w:highlight w:val="none"/>
        </w:rPr>
      </w:pPr>
    </w:p>
    <w:p w14:paraId="3061408B">
      <w:pPr>
        <w:spacing w:before="65" w:line="227" w:lineRule="auto"/>
        <w:jc w:val="right"/>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承包人</w:t>
      </w:r>
      <w:r>
        <w:rPr>
          <w:rFonts w:hint="eastAsia" w:ascii="宋体" w:hAnsi="宋体" w:eastAsia="宋体" w:cs="宋体"/>
          <w:color w:val="auto"/>
          <w:spacing w:val="-6"/>
          <w:sz w:val="24"/>
          <w:szCs w:val="24"/>
          <w:highlight w:val="none"/>
        </w:rPr>
        <w:t>：</w:t>
      </w:r>
      <w:r>
        <w:rPr>
          <w:rFonts w:hint="eastAsia" w:ascii="宋体" w:hAnsi="宋体" w:eastAsia="宋体" w:cs="宋体"/>
          <w:color w:val="auto"/>
          <w:spacing w:val="-6"/>
          <w:sz w:val="24"/>
          <w:szCs w:val="24"/>
          <w:highlight w:val="none"/>
          <w:u w:val="single" w:color="auto"/>
        </w:rPr>
        <w:t>（</w:t>
      </w:r>
      <w:r>
        <w:rPr>
          <w:rFonts w:hint="eastAsia" w:ascii="宋体" w:hAnsi="宋体" w:eastAsia="宋体" w:cs="宋体"/>
          <w:color w:val="auto"/>
          <w:spacing w:val="13"/>
          <w:sz w:val="24"/>
          <w:szCs w:val="24"/>
          <w:highlight w:val="none"/>
          <w:u w:val="single" w:color="auto"/>
        </w:rPr>
        <w:t>全称</w:t>
      </w:r>
      <w:r>
        <w:rPr>
          <w:rFonts w:hint="eastAsia" w:ascii="宋体" w:hAnsi="宋体" w:eastAsia="宋体" w:cs="宋体"/>
          <w:color w:val="auto"/>
          <w:spacing w:val="-6"/>
          <w:sz w:val="24"/>
          <w:szCs w:val="24"/>
          <w:highlight w:val="none"/>
          <w:u w:val="single" w:color="auto"/>
        </w:rPr>
        <w:t>）（</w:t>
      </w:r>
      <w:r>
        <w:rPr>
          <w:rFonts w:hint="eastAsia" w:ascii="宋体" w:hAnsi="宋体" w:eastAsia="宋体" w:cs="宋体"/>
          <w:color w:val="auto"/>
          <w:spacing w:val="13"/>
          <w:sz w:val="24"/>
          <w:szCs w:val="24"/>
          <w:highlight w:val="none"/>
          <w:u w:val="single" w:color="auto"/>
        </w:rPr>
        <w:t>盖单位章）</w:t>
      </w:r>
    </w:p>
    <w:p w14:paraId="6CC561DB">
      <w:pPr>
        <w:pStyle w:val="4"/>
        <w:spacing w:line="286" w:lineRule="auto"/>
        <w:rPr>
          <w:rFonts w:hint="eastAsia" w:ascii="宋体" w:hAnsi="宋体" w:eastAsia="宋体" w:cs="宋体"/>
          <w:color w:val="auto"/>
          <w:sz w:val="24"/>
          <w:szCs w:val="24"/>
          <w:highlight w:val="none"/>
        </w:rPr>
      </w:pPr>
    </w:p>
    <w:p w14:paraId="77C969FF">
      <w:pPr>
        <w:spacing w:before="66" w:line="188" w:lineRule="auto"/>
        <w:ind w:firstLine="4536" w:firstLineChars="180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法定代表人：</w:t>
      </w:r>
      <w:r>
        <w:rPr>
          <w:rFonts w:hint="eastAsia" w:ascii="宋体" w:hAnsi="宋体" w:eastAsia="宋体" w:cs="宋体"/>
          <w:b/>
          <w:bCs/>
          <w:color w:val="auto"/>
          <w:spacing w:val="6"/>
          <w:sz w:val="24"/>
          <w:szCs w:val="24"/>
          <w:highlight w:val="none"/>
        </w:rPr>
        <w:t>总经理</w:t>
      </w:r>
      <w:r>
        <w:rPr>
          <w:rFonts w:hint="eastAsia" w:ascii="宋体" w:hAnsi="宋体" w:eastAsia="宋体" w:cs="宋体"/>
          <w:color w:val="auto"/>
          <w:spacing w:val="6"/>
          <w:sz w:val="24"/>
          <w:szCs w:val="24"/>
          <w:highlight w:val="none"/>
        </w:rPr>
        <w:t>（职务）</w:t>
      </w:r>
    </w:p>
    <w:tbl>
      <w:tblPr>
        <w:tblStyle w:val="24"/>
        <w:tblW w:w="2100" w:type="dxa"/>
        <w:tblInd w:w="673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2100"/>
      </w:tblGrid>
      <w:tr w14:paraId="73361AF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94" w:hRule="atLeast"/>
        </w:trPr>
        <w:tc>
          <w:tcPr>
            <w:tcW w:w="2100" w:type="dxa"/>
            <w:tcBorders>
              <w:top w:val="single" w:color="000000" w:sz="2" w:space="0"/>
              <w:bottom w:val="single" w:color="000000" w:sz="2" w:space="0"/>
            </w:tcBorders>
            <w:vAlign w:val="top"/>
          </w:tcPr>
          <w:p w14:paraId="33809ED0">
            <w:pPr>
              <w:spacing w:line="325" w:lineRule="auto"/>
              <w:rPr>
                <w:rFonts w:hint="eastAsia" w:ascii="宋体" w:hAnsi="宋体" w:eastAsia="宋体" w:cs="宋体"/>
                <w:color w:val="auto"/>
                <w:sz w:val="24"/>
                <w:szCs w:val="24"/>
                <w:highlight w:val="none"/>
              </w:rPr>
            </w:pPr>
          </w:p>
          <w:p w14:paraId="11D0683E">
            <w:pPr>
              <w:pStyle w:val="25"/>
              <w:spacing w:before="65" w:line="177" w:lineRule="auto"/>
              <w:ind w:left="70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（姓名）</w:t>
            </w:r>
          </w:p>
        </w:tc>
      </w:tr>
      <w:tr w14:paraId="052F25D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96" w:hRule="atLeast"/>
        </w:trPr>
        <w:tc>
          <w:tcPr>
            <w:tcW w:w="2100" w:type="dxa"/>
            <w:tcBorders>
              <w:top w:val="single" w:color="000000" w:sz="2" w:space="0"/>
              <w:bottom w:val="single" w:color="000000" w:sz="2" w:space="0"/>
            </w:tcBorders>
            <w:vAlign w:val="top"/>
          </w:tcPr>
          <w:p w14:paraId="3F055B8D">
            <w:pPr>
              <w:spacing w:line="326" w:lineRule="auto"/>
              <w:rPr>
                <w:rFonts w:hint="eastAsia" w:ascii="宋体" w:hAnsi="宋体" w:eastAsia="宋体" w:cs="宋体"/>
                <w:color w:val="auto"/>
                <w:sz w:val="24"/>
                <w:szCs w:val="24"/>
                <w:highlight w:val="none"/>
              </w:rPr>
            </w:pPr>
          </w:p>
          <w:p w14:paraId="58D9F912">
            <w:pPr>
              <w:pStyle w:val="25"/>
              <w:spacing w:before="65" w:line="178" w:lineRule="auto"/>
              <w:ind w:left="70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（签字）</w:t>
            </w:r>
          </w:p>
        </w:tc>
      </w:tr>
    </w:tbl>
    <w:p w14:paraId="38068030">
      <w:pPr>
        <w:tabs>
          <w:tab w:val="left" w:pos="6944"/>
        </w:tabs>
        <w:spacing w:before="122" w:line="228" w:lineRule="auto"/>
        <w:ind w:left="63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auto"/>
        </w:rPr>
        <w:tab/>
      </w:r>
      <w:r>
        <w:rPr>
          <w:rFonts w:hint="eastAsia" w:ascii="宋体" w:hAnsi="宋体" w:eastAsia="宋体" w:cs="宋体"/>
          <w:color w:val="auto"/>
          <w:spacing w:val="-2"/>
          <w:sz w:val="24"/>
          <w:szCs w:val="24"/>
          <w:highlight w:val="none"/>
        </w:rPr>
        <w:t>年月日</w:t>
      </w:r>
    </w:p>
    <w:p w14:paraId="6DC5569B">
      <w:pPr>
        <w:spacing w:line="228" w:lineRule="auto"/>
        <w:rPr>
          <w:rFonts w:hint="eastAsia" w:ascii="宋体" w:hAnsi="宋体" w:eastAsia="宋体" w:cs="宋体"/>
          <w:color w:val="auto"/>
          <w:sz w:val="24"/>
          <w:szCs w:val="24"/>
          <w:highlight w:val="none"/>
        </w:rPr>
        <w:sectPr>
          <w:headerReference r:id="rId204" w:type="default"/>
          <w:footerReference r:id="rId205" w:type="default"/>
          <w:pgSz w:w="11907" w:h="16840"/>
          <w:pgMar w:top="1182" w:right="1204" w:bottom="1014" w:left="1786" w:header="849" w:footer="852" w:gutter="0"/>
          <w:pgNumType w:fmt="decimal"/>
          <w:cols w:space="720" w:num="1"/>
        </w:sectPr>
      </w:pPr>
    </w:p>
    <w:p w14:paraId="3EA7B70C">
      <w:pPr>
        <w:pStyle w:val="4"/>
        <w:spacing w:line="245" w:lineRule="auto"/>
        <w:rPr>
          <w:rFonts w:hint="eastAsia" w:ascii="宋体" w:hAnsi="宋体" w:eastAsia="宋体" w:cs="宋体"/>
          <w:color w:val="auto"/>
          <w:highlight w:val="none"/>
        </w:rPr>
      </w:pPr>
    </w:p>
    <w:p w14:paraId="7398AE1B">
      <w:pPr>
        <w:pStyle w:val="4"/>
        <w:spacing w:line="245" w:lineRule="auto"/>
        <w:rPr>
          <w:rFonts w:hint="eastAsia" w:ascii="宋体" w:hAnsi="宋体" w:eastAsia="宋体" w:cs="宋体"/>
          <w:color w:val="auto"/>
          <w:highlight w:val="none"/>
        </w:rPr>
      </w:pPr>
    </w:p>
    <w:p w14:paraId="62501167">
      <w:pPr>
        <w:spacing w:before="78" w:line="222" w:lineRule="auto"/>
        <w:ind w:left="600"/>
        <w:outlineLvl w:val="2"/>
        <w:rPr>
          <w:rFonts w:hint="eastAsia" w:ascii="宋体" w:hAnsi="宋体" w:eastAsia="宋体" w:cs="宋体"/>
          <w:color w:val="auto"/>
          <w:sz w:val="24"/>
          <w:szCs w:val="24"/>
          <w:highlight w:val="none"/>
        </w:rPr>
      </w:pPr>
      <w:bookmarkStart w:id="756" w:name="_Toc17259"/>
      <w:bookmarkStart w:id="757" w:name="_Toc522"/>
      <w:bookmarkStart w:id="758" w:name="_Toc29219"/>
      <w:bookmarkStart w:id="759" w:name="_Toc12385"/>
      <w:bookmarkStart w:id="760" w:name="_Toc17985"/>
      <w:r>
        <w:rPr>
          <w:rFonts w:hint="eastAsia" w:ascii="宋体" w:hAnsi="宋体" w:eastAsia="宋体" w:cs="宋体"/>
          <w:color w:val="auto"/>
          <w:spacing w:val="-3"/>
          <w:sz w:val="24"/>
          <w:szCs w:val="24"/>
          <w:highlight w:val="none"/>
        </w:rPr>
        <w:t>附件七履约保证金格式</w:t>
      </w:r>
      <w:bookmarkEnd w:id="756"/>
      <w:bookmarkEnd w:id="757"/>
      <w:bookmarkEnd w:id="758"/>
      <w:bookmarkEnd w:id="759"/>
      <w:bookmarkEnd w:id="760"/>
    </w:p>
    <w:p w14:paraId="7044A6EE">
      <w:pPr>
        <w:spacing w:before="112" w:line="219" w:lineRule="auto"/>
        <w:ind w:left="589"/>
        <w:rPr>
          <w:rFonts w:hint="eastAsia" w:ascii="宋体" w:hAnsi="宋体" w:eastAsia="宋体" w:cs="宋体"/>
          <w:color w:val="auto"/>
          <w:spacing w:val="-2"/>
          <w:sz w:val="24"/>
          <w:szCs w:val="24"/>
          <w:highlight w:val="none"/>
        </w:rPr>
      </w:pPr>
    </w:p>
    <w:p w14:paraId="4E8A864D">
      <w:pPr>
        <w:spacing w:before="112" w:line="219" w:lineRule="auto"/>
        <w:ind w:left="5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如采用银行保函，格式如下。</w:t>
      </w:r>
    </w:p>
    <w:p w14:paraId="4253D89C">
      <w:pPr>
        <w:pStyle w:val="4"/>
        <w:spacing w:line="386" w:lineRule="auto"/>
        <w:rPr>
          <w:rFonts w:hint="eastAsia" w:ascii="宋体" w:hAnsi="宋体" w:eastAsia="宋体" w:cs="宋体"/>
          <w:color w:val="auto"/>
          <w:highlight w:val="none"/>
        </w:rPr>
      </w:pPr>
    </w:p>
    <w:p w14:paraId="1B0FC4BC">
      <w:pPr>
        <w:spacing w:before="91" w:line="222" w:lineRule="auto"/>
        <w:ind w:left="3893"/>
        <w:rPr>
          <w:rFonts w:hint="eastAsia" w:ascii="宋体" w:hAnsi="宋体" w:eastAsia="宋体" w:cs="宋体"/>
          <w:color w:val="auto"/>
          <w:sz w:val="28"/>
          <w:szCs w:val="28"/>
          <w:highlight w:val="none"/>
        </w:rPr>
      </w:pPr>
      <w:r>
        <w:rPr>
          <w:rFonts w:hint="eastAsia" w:ascii="宋体" w:hAnsi="宋体" w:eastAsia="宋体" w:cs="宋体"/>
          <w:color w:val="auto"/>
          <w:spacing w:val="-2"/>
          <w:sz w:val="28"/>
          <w:szCs w:val="28"/>
          <w:highlight w:val="none"/>
        </w:rPr>
        <w:t>履约保证金</w:t>
      </w:r>
    </w:p>
    <w:p w14:paraId="2ACC1AE1">
      <w:pPr>
        <w:pStyle w:val="4"/>
        <w:spacing w:line="438" w:lineRule="auto"/>
        <w:rPr>
          <w:rFonts w:hint="eastAsia" w:ascii="宋体" w:hAnsi="宋体" w:eastAsia="宋体" w:cs="宋体"/>
          <w:color w:val="auto"/>
          <w:highlight w:val="none"/>
        </w:rPr>
      </w:pPr>
    </w:p>
    <w:p w14:paraId="3668CF74">
      <w:pPr>
        <w:tabs>
          <w:tab w:val="left" w:pos="2916"/>
        </w:tabs>
        <w:spacing w:before="78" w:line="220" w:lineRule="auto"/>
        <w:ind w:left="69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auto"/>
        </w:rPr>
        <w:tab/>
      </w:r>
      <w:r>
        <w:rPr>
          <w:rFonts w:hint="eastAsia" w:ascii="宋体" w:hAnsi="宋体" w:eastAsia="宋体" w:cs="宋体"/>
          <w:color w:val="auto"/>
          <w:sz w:val="24"/>
          <w:szCs w:val="24"/>
          <w:highlight w:val="none"/>
        </w:rPr>
        <w:t>（发包人名称</w:t>
      </w:r>
      <w:r>
        <w:rPr>
          <w:rFonts w:hint="eastAsia" w:ascii="宋体" w:hAnsi="宋体" w:eastAsia="宋体" w:cs="宋体"/>
          <w:color w:val="auto"/>
          <w:spacing w:val="-55"/>
          <w:w w:val="86"/>
          <w:sz w:val="24"/>
          <w:szCs w:val="24"/>
          <w:highlight w:val="none"/>
        </w:rPr>
        <w:t>：）</w:t>
      </w:r>
    </w:p>
    <w:p w14:paraId="57118C19">
      <w:pPr>
        <w:pStyle w:val="4"/>
        <w:spacing w:line="264" w:lineRule="auto"/>
        <w:rPr>
          <w:rFonts w:hint="eastAsia" w:ascii="宋体" w:hAnsi="宋体" w:eastAsia="宋体" w:cs="宋体"/>
          <w:color w:val="auto"/>
          <w:highlight w:val="none"/>
        </w:rPr>
      </w:pPr>
    </w:p>
    <w:p w14:paraId="1954393B">
      <w:pPr>
        <w:tabs>
          <w:tab w:val="left" w:pos="2265"/>
        </w:tabs>
        <w:spacing w:before="78" w:line="311" w:lineRule="auto"/>
        <w:ind w:left="576" w:right="648" w:firstLine="612"/>
        <w:jc w:val="both"/>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鉴</w:t>
      </w:r>
      <w:r>
        <w:rPr>
          <w:rFonts w:hint="eastAsia" w:ascii="宋体" w:hAnsi="宋体" w:eastAsia="宋体" w:cs="宋体"/>
          <w:color w:val="auto"/>
          <w:spacing w:val="2"/>
          <w:sz w:val="24"/>
          <w:szCs w:val="24"/>
          <w:highlight w:val="none"/>
        </w:rPr>
        <w:t>于（发包人名称，以下简称“发</w:t>
      </w:r>
      <w:r>
        <w:rPr>
          <w:rFonts w:hint="eastAsia" w:ascii="宋体" w:hAnsi="宋体" w:eastAsia="宋体" w:cs="宋体"/>
          <w:color w:val="auto"/>
          <w:spacing w:val="-3"/>
          <w:sz w:val="24"/>
          <w:szCs w:val="24"/>
          <w:highlight w:val="none"/>
        </w:rPr>
        <w:t>包人”）接受（</w:t>
      </w:r>
      <w:r>
        <w:rPr>
          <w:rFonts w:hint="eastAsia" w:ascii="宋体" w:hAnsi="宋体" w:eastAsia="宋体" w:cs="宋体"/>
          <w:color w:val="auto"/>
          <w:spacing w:val="-4"/>
          <w:sz w:val="24"/>
          <w:szCs w:val="24"/>
          <w:highlight w:val="none"/>
        </w:rPr>
        <w:t>承包人名称，</w:t>
      </w:r>
      <w:r>
        <w:rPr>
          <w:rFonts w:hint="eastAsia" w:ascii="宋体" w:hAnsi="宋体" w:eastAsia="宋体" w:cs="宋体"/>
          <w:color w:val="auto"/>
          <w:spacing w:val="-10"/>
          <w:sz w:val="24"/>
          <w:szCs w:val="24"/>
          <w:highlight w:val="none"/>
        </w:rPr>
        <w:t>以下简称“承包人”）于年月日参加</w:t>
      </w:r>
      <w:r>
        <w:rPr>
          <w:rFonts w:hint="eastAsia" w:ascii="宋体" w:hAnsi="宋体" w:eastAsia="宋体" w:cs="宋体"/>
          <w:color w:val="auto"/>
          <w:sz w:val="24"/>
          <w:szCs w:val="24"/>
          <w:highlight w:val="none"/>
          <w:u w:val="single" w:color="auto"/>
        </w:rPr>
        <w:tab/>
      </w:r>
      <w:r>
        <w:rPr>
          <w:rFonts w:hint="eastAsia" w:ascii="宋体" w:hAnsi="宋体" w:eastAsia="宋体" w:cs="宋体"/>
          <w:color w:val="auto"/>
          <w:sz w:val="24"/>
          <w:szCs w:val="24"/>
          <w:highlight w:val="none"/>
        </w:rPr>
        <w:t>（项目名称）标</w:t>
      </w:r>
      <w:r>
        <w:rPr>
          <w:rFonts w:hint="eastAsia" w:ascii="宋体" w:hAnsi="宋体" w:eastAsia="宋体" w:cs="宋体"/>
          <w:color w:val="auto"/>
          <w:spacing w:val="3"/>
          <w:sz w:val="24"/>
          <w:szCs w:val="24"/>
          <w:highlight w:val="none"/>
        </w:rPr>
        <w:t>段施工的投标。我方愿意无条件地、不可撤销地就承包人履行与</w:t>
      </w:r>
      <w:r>
        <w:rPr>
          <w:rFonts w:hint="eastAsia" w:ascii="宋体" w:hAnsi="宋体" w:eastAsia="宋体" w:cs="宋体"/>
          <w:color w:val="auto"/>
          <w:spacing w:val="2"/>
          <w:sz w:val="24"/>
          <w:szCs w:val="24"/>
          <w:highlight w:val="none"/>
        </w:rPr>
        <w:t>你方订立的</w:t>
      </w:r>
      <w:r>
        <w:rPr>
          <w:rFonts w:hint="eastAsia" w:ascii="宋体" w:hAnsi="宋体" w:eastAsia="宋体" w:cs="宋体"/>
          <w:color w:val="auto"/>
          <w:sz w:val="24"/>
          <w:szCs w:val="24"/>
          <w:highlight w:val="none"/>
        </w:rPr>
        <w:t>合同，向你方提供担保。</w:t>
      </w:r>
    </w:p>
    <w:p w14:paraId="5720808A">
      <w:pPr>
        <w:keepNext w:val="0"/>
        <w:keepLines w:val="0"/>
        <w:pageBreakBefore w:val="0"/>
        <w:widowControl/>
        <w:kinsoku w:val="0"/>
        <w:wordWrap/>
        <w:overflowPunct/>
        <w:topLinePunct w:val="0"/>
        <w:autoSpaceDE w:val="0"/>
        <w:autoSpaceDN w:val="0"/>
        <w:bidi w:val="0"/>
        <w:adjustRightInd w:val="0"/>
        <w:snapToGrid w:val="0"/>
        <w:spacing w:before="1" w:line="218" w:lineRule="auto"/>
        <w:ind w:right="0" w:firstLine="904" w:firstLineChars="4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1</w:t>
      </w:r>
      <w:r>
        <w:rPr>
          <w:rFonts w:hint="eastAsia" w:ascii="宋体" w:hAnsi="宋体" w:eastAsia="宋体" w:cs="宋体"/>
          <w:color w:val="auto"/>
          <w:spacing w:val="-7"/>
          <w:sz w:val="24"/>
          <w:szCs w:val="24"/>
          <w:highlight w:val="none"/>
          <w:lang w:eastAsia="zh-CN"/>
        </w:rPr>
        <w:t>.</w:t>
      </w:r>
      <w:r>
        <w:rPr>
          <w:rFonts w:hint="eastAsia" w:ascii="宋体" w:hAnsi="宋体" w:eastAsia="宋体" w:cs="宋体"/>
          <w:color w:val="auto"/>
          <w:spacing w:val="-7"/>
          <w:sz w:val="24"/>
          <w:szCs w:val="24"/>
          <w:highlight w:val="none"/>
        </w:rPr>
        <w:t>担保金额人民币（大写）元(¥</w:t>
      </w:r>
      <w:r>
        <w:rPr>
          <w:rFonts w:hint="eastAsia" w:ascii="宋体" w:hAnsi="宋体" w:eastAsia="宋体" w:cs="宋体"/>
          <w:color w:val="auto"/>
          <w:spacing w:val="-8"/>
          <w:sz w:val="24"/>
          <w:szCs w:val="24"/>
          <w:highlight w:val="none"/>
        </w:rPr>
        <w:t>。）</w:t>
      </w:r>
    </w:p>
    <w:p w14:paraId="2CBAEAC1">
      <w:pPr>
        <w:keepNext w:val="0"/>
        <w:keepLines w:val="0"/>
        <w:pageBreakBefore w:val="0"/>
        <w:widowControl/>
        <w:kinsoku w:val="0"/>
        <w:wordWrap/>
        <w:overflowPunct/>
        <w:topLinePunct w:val="0"/>
        <w:autoSpaceDE w:val="0"/>
        <w:autoSpaceDN w:val="0"/>
        <w:bidi w:val="0"/>
        <w:adjustRightInd w:val="0"/>
        <w:snapToGrid w:val="0"/>
        <w:spacing w:before="121" w:line="257" w:lineRule="auto"/>
        <w:ind w:right="0" w:firstLine="976" w:firstLineChars="4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2.担保有效期自发包人与承包人签订的合</w:t>
      </w:r>
      <w:r>
        <w:rPr>
          <w:rFonts w:hint="eastAsia" w:ascii="宋体" w:hAnsi="宋体" w:eastAsia="宋体" w:cs="宋体"/>
          <w:color w:val="auto"/>
          <w:spacing w:val="1"/>
          <w:sz w:val="24"/>
          <w:szCs w:val="24"/>
          <w:highlight w:val="none"/>
        </w:rPr>
        <w:t>同生效之日起至发包人签发</w:t>
      </w:r>
      <w:r>
        <w:rPr>
          <w:rFonts w:hint="eastAsia" w:ascii="宋体" w:hAnsi="宋体" w:eastAsia="宋体" w:cs="宋体"/>
          <w:color w:val="auto"/>
          <w:sz w:val="24"/>
          <w:szCs w:val="24"/>
          <w:highlight w:val="none"/>
        </w:rPr>
        <w:t>交工验收证书且承包人按照合同约定缴纳质量保证金之日止。</w:t>
      </w:r>
      <w:r>
        <w:rPr>
          <w:rFonts w:hint="eastAsia" w:ascii="宋体" w:hAnsi="宋体" w:eastAsia="宋体" w:cs="宋体"/>
          <w:color w:val="auto"/>
          <w:position w:val="12"/>
          <w:sz w:val="24"/>
          <w:szCs w:val="24"/>
          <w:highlight w:val="none"/>
        </w:rPr>
        <w:t>①</w:t>
      </w:r>
    </w:p>
    <w:p w14:paraId="4C8F1CB9">
      <w:pPr>
        <w:keepNext w:val="0"/>
        <w:keepLines w:val="0"/>
        <w:pageBreakBefore w:val="0"/>
        <w:widowControl/>
        <w:kinsoku w:val="0"/>
        <w:wordWrap/>
        <w:overflowPunct/>
        <w:topLinePunct w:val="0"/>
        <w:autoSpaceDE w:val="0"/>
        <w:autoSpaceDN w:val="0"/>
        <w:bidi w:val="0"/>
        <w:adjustRightInd w:val="0"/>
        <w:snapToGrid w:val="0"/>
        <w:spacing w:before="120" w:line="280" w:lineRule="auto"/>
        <w:ind w:right="0" w:firstLine="944" w:firstLineChars="40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3.在本担保有效期内，因承包人违反合同约定的义务给你方造成经济损失时，我方在收到你方以书面形式提出的在担保金额内的赔偿要求后，在7日内无条件支付，无须你方出具证明或陈述理由。</w:t>
      </w:r>
    </w:p>
    <w:p w14:paraId="1DA6E5FF">
      <w:pPr>
        <w:keepNext w:val="0"/>
        <w:keepLines w:val="0"/>
        <w:pageBreakBefore w:val="0"/>
        <w:widowControl/>
        <w:kinsoku w:val="0"/>
        <w:wordWrap/>
        <w:overflowPunct/>
        <w:topLinePunct w:val="0"/>
        <w:autoSpaceDE w:val="0"/>
        <w:autoSpaceDN w:val="0"/>
        <w:bidi w:val="0"/>
        <w:adjustRightInd w:val="0"/>
        <w:snapToGrid w:val="0"/>
        <w:spacing w:before="120" w:line="280" w:lineRule="auto"/>
        <w:ind w:right="0" w:firstLine="944" w:firstLineChars="4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4.发包人和承包人按合同条款第15条</w:t>
      </w:r>
      <w:r>
        <w:rPr>
          <w:rFonts w:hint="eastAsia" w:ascii="宋体" w:hAnsi="宋体" w:eastAsia="宋体" w:cs="宋体"/>
          <w:color w:val="auto"/>
          <w:spacing w:val="2"/>
          <w:sz w:val="24"/>
          <w:szCs w:val="24"/>
          <w:highlight w:val="none"/>
        </w:rPr>
        <w:t>变更合同时，无论我方</w:t>
      </w:r>
      <w:r>
        <w:rPr>
          <w:rFonts w:hint="eastAsia" w:ascii="宋体" w:hAnsi="宋体" w:eastAsia="宋体" w:cs="宋体"/>
          <w:color w:val="auto"/>
          <w:spacing w:val="-2"/>
          <w:sz w:val="24"/>
          <w:szCs w:val="24"/>
          <w:highlight w:val="none"/>
        </w:rPr>
        <w:t>是否</w:t>
      </w:r>
      <w:r>
        <w:rPr>
          <w:rFonts w:hint="eastAsia" w:ascii="宋体" w:hAnsi="宋体" w:eastAsia="宋体" w:cs="宋体"/>
          <w:color w:val="auto"/>
          <w:spacing w:val="-10"/>
          <w:sz w:val="24"/>
          <w:szCs w:val="24"/>
          <w:highlight w:val="none"/>
        </w:rPr>
        <w:t>收到该变</w:t>
      </w:r>
      <w:r>
        <w:rPr>
          <w:rFonts w:hint="eastAsia" w:ascii="宋体" w:hAnsi="宋体" w:eastAsia="宋体" w:cs="宋体"/>
          <w:color w:val="auto"/>
          <w:spacing w:val="-8"/>
          <w:sz w:val="24"/>
          <w:szCs w:val="24"/>
          <w:highlight w:val="none"/>
        </w:rPr>
        <w:t>更，我方承担本担保规定的义务不变。</w:t>
      </w:r>
    </w:p>
    <w:p w14:paraId="6E452CC0">
      <w:pPr>
        <w:spacing w:before="306" w:line="219" w:lineRule="auto"/>
        <w:ind w:left="374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担保人名称</w:t>
      </w:r>
      <w:r>
        <w:rPr>
          <w:rFonts w:hint="eastAsia" w:ascii="宋体" w:hAnsi="宋体" w:eastAsia="宋体" w:cs="宋体"/>
          <w:color w:val="auto"/>
          <w:spacing w:val="9"/>
          <w:sz w:val="24"/>
          <w:szCs w:val="24"/>
          <w:highlight w:val="none"/>
        </w:rPr>
        <w:t>：</w:t>
      </w:r>
      <w:r>
        <w:rPr>
          <w:rFonts w:hint="eastAsia" w:ascii="宋体" w:hAnsi="宋体" w:eastAsia="宋体" w:cs="宋体"/>
          <w:color w:val="auto"/>
          <w:spacing w:val="9"/>
          <w:sz w:val="24"/>
          <w:szCs w:val="24"/>
          <w:highlight w:val="none"/>
          <w:u w:val="single" w:color="auto"/>
        </w:rPr>
        <w:t>（</w:t>
      </w:r>
      <w:r>
        <w:rPr>
          <w:rFonts w:hint="eastAsia" w:ascii="宋体" w:hAnsi="宋体" w:eastAsia="宋体" w:cs="宋体"/>
          <w:color w:val="auto"/>
          <w:spacing w:val="-3"/>
          <w:sz w:val="24"/>
          <w:szCs w:val="24"/>
          <w:highlight w:val="none"/>
        </w:rPr>
        <w:t>盖单位章）</w:t>
      </w:r>
    </w:p>
    <w:p w14:paraId="0702BB81">
      <w:pPr>
        <w:spacing w:before="306" w:line="219" w:lineRule="auto"/>
        <w:ind w:left="374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法定代表人或其委托代理人</w:t>
      </w:r>
      <w:r>
        <w:rPr>
          <w:rFonts w:hint="eastAsia" w:ascii="宋体" w:hAnsi="宋体" w:eastAsia="宋体" w:cs="宋体"/>
          <w:color w:val="auto"/>
          <w:spacing w:val="9"/>
          <w:sz w:val="24"/>
          <w:szCs w:val="24"/>
          <w:highlight w:val="none"/>
          <w:u w:val="single" w:color="auto"/>
        </w:rPr>
        <w:t>：（</w:t>
      </w:r>
      <w:r>
        <w:rPr>
          <w:rFonts w:hint="eastAsia" w:ascii="宋体" w:hAnsi="宋体" w:eastAsia="宋体" w:cs="宋体"/>
          <w:color w:val="auto"/>
          <w:spacing w:val="-2"/>
          <w:sz w:val="24"/>
          <w:szCs w:val="24"/>
          <w:highlight w:val="none"/>
        </w:rPr>
        <w:t>签字）</w:t>
      </w:r>
    </w:p>
    <w:p w14:paraId="068F93C1">
      <w:pPr>
        <w:spacing w:before="121" w:line="229" w:lineRule="auto"/>
        <w:ind w:left="3741"/>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7"/>
          <w:sz w:val="24"/>
          <w:szCs w:val="24"/>
          <w:highlight w:val="none"/>
        </w:rPr>
        <w:t>地址：</w:t>
      </w:r>
    </w:p>
    <w:p w14:paraId="3565D95B">
      <w:pPr>
        <w:spacing w:before="107" w:line="219" w:lineRule="auto"/>
        <w:ind w:left="3759"/>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4"/>
          <w:sz w:val="24"/>
          <w:szCs w:val="24"/>
          <w:highlight w:val="none"/>
        </w:rPr>
        <w:t>邮政编码：电话：传真：</w:t>
      </w:r>
    </w:p>
    <w:p w14:paraId="06199792">
      <w:pPr>
        <w:tabs>
          <w:tab w:val="left" w:pos="7027"/>
        </w:tabs>
        <w:spacing w:before="122" w:line="219" w:lineRule="auto"/>
        <w:ind w:left="613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auto"/>
        </w:rPr>
        <w:tab/>
      </w:r>
      <w:r>
        <w:rPr>
          <w:rFonts w:hint="eastAsia" w:ascii="宋体" w:hAnsi="宋体" w:eastAsia="宋体" w:cs="宋体"/>
          <w:color w:val="auto"/>
          <w:spacing w:val="-16"/>
          <w:sz w:val="24"/>
          <w:szCs w:val="24"/>
          <w:highlight w:val="none"/>
        </w:rPr>
        <w:t>年月日</w:t>
      </w:r>
    </w:p>
    <w:p w14:paraId="0F248990">
      <w:pPr>
        <w:pStyle w:val="4"/>
        <w:spacing w:line="265" w:lineRule="auto"/>
        <w:rPr>
          <w:rFonts w:hint="eastAsia" w:ascii="宋体" w:hAnsi="宋体" w:eastAsia="宋体" w:cs="宋体"/>
          <w:color w:val="auto"/>
          <w:highlight w:val="none"/>
        </w:rPr>
      </w:pPr>
    </w:p>
    <w:p w14:paraId="7A881F68">
      <w:pPr>
        <w:pStyle w:val="4"/>
        <w:spacing w:line="265" w:lineRule="auto"/>
        <w:rPr>
          <w:rFonts w:hint="eastAsia" w:ascii="宋体" w:hAnsi="宋体" w:eastAsia="宋体" w:cs="宋体"/>
          <w:color w:val="auto"/>
          <w:highlight w:val="none"/>
        </w:rPr>
      </w:pPr>
    </w:p>
    <w:p w14:paraId="5797410D">
      <w:pPr>
        <w:pStyle w:val="4"/>
        <w:spacing w:line="266" w:lineRule="auto"/>
        <w:rPr>
          <w:rFonts w:hint="eastAsia" w:ascii="宋体" w:hAnsi="宋体" w:eastAsia="宋体" w:cs="宋体"/>
          <w:color w:val="auto"/>
          <w:highlight w:val="none"/>
        </w:rPr>
      </w:pPr>
      <w:r>
        <w:rPr>
          <w:rFonts w:hint="eastAsia" w:ascii="宋体" w:hAnsi="宋体" w:eastAsia="宋体" w:cs="宋体"/>
          <w:color w:val="auto"/>
          <w:highlight w:val="none"/>
        </w:rPr>
        <w:drawing>
          <wp:anchor distT="0" distB="0" distL="0" distR="0" simplePos="0" relativeHeight="251705344" behindDoc="0" locked="0" layoutInCell="1" allowOverlap="1">
            <wp:simplePos x="0" y="0"/>
            <wp:positionH relativeFrom="column">
              <wp:posOffset>0</wp:posOffset>
            </wp:positionH>
            <wp:positionV relativeFrom="paragraph">
              <wp:posOffset>76200</wp:posOffset>
            </wp:positionV>
            <wp:extent cx="1829435" cy="7620"/>
            <wp:effectExtent l="0" t="0" r="0" b="0"/>
            <wp:wrapNone/>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317"/>
                    <a:stretch>
                      <a:fillRect/>
                    </a:stretch>
                  </pic:blipFill>
                  <pic:spPr>
                    <a:xfrm>
                      <a:off x="0" y="0"/>
                      <a:ext cx="1829435" cy="7619"/>
                    </a:xfrm>
                    <a:prstGeom prst="rect">
                      <a:avLst/>
                    </a:prstGeom>
                  </pic:spPr>
                </pic:pic>
              </a:graphicData>
            </a:graphic>
          </wp:anchor>
        </w:drawing>
      </w:r>
    </w:p>
    <w:p w14:paraId="39E34DE2">
      <w:pPr>
        <w:spacing w:before="59" w:line="243" w:lineRule="auto"/>
        <w:ind w:left="587" w:right="556" w:hanging="8"/>
        <w:rPr>
          <w:rFonts w:hint="eastAsia" w:ascii="宋体" w:hAnsi="宋体" w:eastAsia="宋体" w:cs="宋体"/>
          <w:color w:val="auto"/>
          <w:sz w:val="18"/>
          <w:szCs w:val="18"/>
          <w:highlight w:val="none"/>
        </w:rPr>
      </w:pPr>
      <w:r>
        <w:rPr>
          <w:rFonts w:hint="eastAsia" w:ascii="宋体" w:hAnsi="宋体" w:eastAsia="宋体" w:cs="宋体"/>
          <w:color w:val="auto"/>
          <w:spacing w:val="-1"/>
          <w:position w:val="8"/>
          <w:sz w:val="8"/>
          <w:szCs w:val="8"/>
          <w:highlight w:val="none"/>
        </w:rPr>
        <w:t>①</w:t>
      </w:r>
      <w:r>
        <w:rPr>
          <w:rFonts w:hint="eastAsia" w:ascii="宋体" w:hAnsi="宋体" w:eastAsia="宋体" w:cs="宋体"/>
          <w:color w:val="auto"/>
          <w:spacing w:val="-1"/>
          <w:sz w:val="18"/>
          <w:szCs w:val="18"/>
          <w:highlight w:val="none"/>
        </w:rPr>
        <w:t>本条内容可修改为：“本担保自（生效日期）之日起生效，至（</w:t>
      </w:r>
      <w:r>
        <w:rPr>
          <w:rFonts w:hint="eastAsia" w:ascii="宋体" w:hAnsi="宋体" w:eastAsia="宋体" w:cs="宋体"/>
          <w:color w:val="auto"/>
          <w:spacing w:val="-2"/>
          <w:sz w:val="18"/>
          <w:szCs w:val="18"/>
          <w:highlight w:val="none"/>
        </w:rPr>
        <w:t>失效日期）之日失</w:t>
      </w:r>
      <w:r>
        <w:rPr>
          <w:rFonts w:hint="eastAsia" w:ascii="宋体" w:hAnsi="宋体" w:eastAsia="宋体" w:cs="宋体"/>
          <w:color w:val="auto"/>
          <w:spacing w:val="18"/>
          <w:sz w:val="18"/>
          <w:szCs w:val="18"/>
          <w:highlight w:val="none"/>
        </w:rPr>
        <w:t>效。”</w:t>
      </w:r>
    </w:p>
    <w:p w14:paraId="4BC64324">
      <w:pPr>
        <w:spacing w:before="107" w:line="353" w:lineRule="auto"/>
        <w:ind w:left="811" w:right="669" w:hanging="14"/>
        <w:jc w:val="both"/>
        <w:rPr>
          <w:rFonts w:hint="eastAsia" w:ascii="宋体" w:hAnsi="宋体" w:eastAsia="宋体" w:cs="宋体"/>
          <w:color w:val="auto"/>
          <w:sz w:val="18"/>
          <w:szCs w:val="18"/>
          <w:highlight w:val="none"/>
        </w:rPr>
      </w:pPr>
      <w:r>
        <w:rPr>
          <w:rFonts w:hint="eastAsia" w:ascii="宋体" w:hAnsi="宋体" w:eastAsia="宋体" w:cs="宋体"/>
          <w:color w:val="auto"/>
          <w:spacing w:val="1"/>
          <w:sz w:val="18"/>
          <w:szCs w:val="18"/>
          <w:highlight w:val="none"/>
        </w:rPr>
        <w:t>如发包人接受履约保函采用固定有效期，在项目专用合同条款中应增加保证承包人在履约保函失效日前向发包人出具后续阶段履约保函的约束性条款，直至发包人签发交</w:t>
      </w:r>
      <w:r>
        <w:rPr>
          <w:rFonts w:hint="eastAsia" w:ascii="宋体" w:hAnsi="宋体" w:eastAsia="宋体" w:cs="宋体"/>
          <w:color w:val="auto"/>
          <w:sz w:val="18"/>
          <w:szCs w:val="18"/>
          <w:highlight w:val="none"/>
        </w:rPr>
        <w:t>工验收证书且承包人按照合</w:t>
      </w:r>
      <w:r>
        <w:rPr>
          <w:rFonts w:hint="eastAsia" w:ascii="宋体" w:hAnsi="宋体" w:eastAsia="宋体" w:cs="宋体"/>
          <w:color w:val="auto"/>
          <w:spacing w:val="-2"/>
          <w:sz w:val="18"/>
          <w:szCs w:val="18"/>
          <w:highlight w:val="none"/>
        </w:rPr>
        <w:t>同约定缴纳质量保证金之日为止。</w:t>
      </w:r>
    </w:p>
    <w:p w14:paraId="157D21A9">
      <w:pPr>
        <w:spacing w:line="353" w:lineRule="auto"/>
        <w:rPr>
          <w:rFonts w:hint="eastAsia" w:ascii="宋体" w:hAnsi="宋体" w:eastAsia="宋体" w:cs="宋体"/>
          <w:color w:val="auto"/>
          <w:sz w:val="18"/>
          <w:szCs w:val="18"/>
          <w:highlight w:val="none"/>
        </w:rPr>
        <w:sectPr>
          <w:headerReference r:id="rId206" w:type="default"/>
          <w:footerReference r:id="rId207" w:type="default"/>
          <w:pgSz w:w="11907" w:h="16840"/>
          <w:pgMar w:top="1182" w:right="1008" w:bottom="1014" w:left="1643" w:header="849" w:footer="852" w:gutter="0"/>
          <w:pgNumType w:fmt="decimal"/>
          <w:cols w:space="720" w:num="1"/>
        </w:sectPr>
      </w:pPr>
    </w:p>
    <w:p w14:paraId="4A741FAC">
      <w:pPr>
        <w:pStyle w:val="4"/>
        <w:spacing w:line="247" w:lineRule="auto"/>
        <w:rPr>
          <w:rFonts w:hint="eastAsia" w:ascii="宋体" w:hAnsi="宋体" w:eastAsia="宋体" w:cs="宋体"/>
          <w:color w:val="auto"/>
          <w:highlight w:val="none"/>
        </w:rPr>
      </w:pPr>
    </w:p>
    <w:p w14:paraId="342E4658">
      <w:pPr>
        <w:spacing w:before="78" w:line="222" w:lineRule="auto"/>
        <w:outlineLvl w:val="2"/>
        <w:rPr>
          <w:rFonts w:hint="eastAsia" w:ascii="宋体" w:hAnsi="宋体" w:eastAsia="宋体" w:cs="宋体"/>
          <w:color w:val="auto"/>
          <w:sz w:val="24"/>
          <w:szCs w:val="24"/>
          <w:highlight w:val="none"/>
        </w:rPr>
      </w:pPr>
      <w:bookmarkStart w:id="761" w:name="_Toc13980"/>
      <w:bookmarkStart w:id="762" w:name="_Toc20228"/>
      <w:bookmarkStart w:id="763" w:name="_Toc21181"/>
      <w:bookmarkStart w:id="764" w:name="_Toc11856"/>
      <w:bookmarkStart w:id="765" w:name="_Toc7693"/>
      <w:r>
        <w:rPr>
          <w:rFonts w:hint="eastAsia" w:ascii="宋体" w:hAnsi="宋体" w:eastAsia="宋体" w:cs="宋体"/>
          <w:color w:val="auto"/>
          <w:spacing w:val="-2"/>
          <w:sz w:val="24"/>
          <w:szCs w:val="24"/>
          <w:highlight w:val="none"/>
        </w:rPr>
        <w:t>附件八工程资金监管协议格式</w:t>
      </w:r>
      <w:bookmarkEnd w:id="761"/>
      <w:bookmarkEnd w:id="762"/>
      <w:bookmarkEnd w:id="763"/>
      <w:bookmarkEnd w:id="764"/>
      <w:bookmarkEnd w:id="765"/>
    </w:p>
    <w:p w14:paraId="5F24A7CD">
      <w:pPr>
        <w:spacing w:before="91" w:line="309" w:lineRule="auto"/>
        <w:ind w:left="444" w:right="239" w:firstLine="487"/>
        <w:rPr>
          <w:rFonts w:hint="eastAsia" w:ascii="宋体" w:hAnsi="宋体" w:eastAsia="宋体" w:cs="宋体"/>
          <w:color w:val="auto"/>
          <w:spacing w:val="7"/>
          <w:sz w:val="20"/>
          <w:szCs w:val="20"/>
          <w:highlight w:val="none"/>
        </w:rPr>
      </w:pPr>
    </w:p>
    <w:p w14:paraId="540011AE">
      <w:pPr>
        <w:spacing w:before="91" w:line="309" w:lineRule="auto"/>
        <w:ind w:left="444" w:right="239" w:firstLine="487"/>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（发包人与承包人签订合同协议书时应与发包人指定的银行签署工程资金监管协</w:t>
      </w:r>
      <w:r>
        <w:rPr>
          <w:rFonts w:hint="eastAsia" w:ascii="宋体" w:hAnsi="宋体" w:eastAsia="宋体" w:cs="宋体"/>
          <w:color w:val="auto"/>
          <w:spacing w:val="6"/>
          <w:sz w:val="24"/>
          <w:szCs w:val="24"/>
          <w:highlight w:val="none"/>
        </w:rPr>
        <w:t>议，</w:t>
      </w:r>
      <w:r>
        <w:rPr>
          <w:rFonts w:hint="eastAsia" w:ascii="宋体" w:hAnsi="宋体" w:eastAsia="宋体" w:cs="宋体"/>
          <w:color w:val="auto"/>
          <w:spacing w:val="-10"/>
          <w:sz w:val="24"/>
          <w:szCs w:val="24"/>
          <w:highlight w:val="none"/>
        </w:rPr>
        <w:t>工程资金监管协议内容在保证本项目资金有效监管的前提下由三方共同商定）</w:t>
      </w:r>
    </w:p>
    <w:p w14:paraId="5B157AF7">
      <w:pPr>
        <w:spacing w:before="299" w:line="227" w:lineRule="auto"/>
        <w:ind w:firstLine="3260" w:firstLineChars="1000"/>
        <w:rPr>
          <w:rFonts w:hint="eastAsia" w:ascii="宋体" w:hAnsi="宋体" w:eastAsia="宋体" w:cs="宋体"/>
          <w:color w:val="auto"/>
          <w:spacing w:val="8"/>
          <w:sz w:val="31"/>
          <w:szCs w:val="31"/>
          <w:highlight w:val="none"/>
        </w:rPr>
      </w:pPr>
      <w:r>
        <w:rPr>
          <w:rFonts w:hint="eastAsia" w:ascii="宋体" w:hAnsi="宋体" w:eastAsia="宋体" w:cs="宋体"/>
          <w:color w:val="auto"/>
          <w:spacing w:val="8"/>
          <w:sz w:val="31"/>
          <w:szCs w:val="31"/>
          <w:highlight w:val="none"/>
        </w:rPr>
        <w:t>工程资金监管协议</w:t>
      </w:r>
    </w:p>
    <w:p w14:paraId="190DE535">
      <w:pPr>
        <w:pStyle w:val="2"/>
        <w:rPr>
          <w:rFonts w:hint="eastAsia" w:ascii="宋体" w:hAnsi="宋体" w:eastAsia="宋体" w:cs="宋体"/>
          <w:color w:val="auto"/>
          <w:highlight w:val="none"/>
        </w:rPr>
      </w:pPr>
    </w:p>
    <w:p w14:paraId="27E383CB">
      <w:pPr>
        <w:keepNext w:val="0"/>
        <w:keepLines w:val="0"/>
        <w:pageBreakBefore w:val="0"/>
        <w:widowControl/>
        <w:kinsoku w:val="0"/>
        <w:wordWrap/>
        <w:overflowPunct/>
        <w:topLinePunct w:val="0"/>
        <w:autoSpaceDE w:val="0"/>
        <w:autoSpaceDN w:val="0"/>
        <w:bidi w:val="0"/>
        <w:adjustRightInd w:val="0"/>
        <w:snapToGrid w:val="0"/>
        <w:spacing w:before="294" w:line="280" w:lineRule="exact"/>
        <w:ind w:left="445"/>
        <w:textAlignment w:val="baseline"/>
        <w:rPr>
          <w:rFonts w:hint="eastAsia" w:ascii="宋体" w:hAnsi="宋体" w:eastAsia="宋体" w:cs="宋体"/>
          <w:color w:val="auto"/>
          <w:spacing w:val="9"/>
          <w:sz w:val="24"/>
          <w:szCs w:val="24"/>
          <w:highlight w:val="none"/>
        </w:rPr>
      </w:pPr>
      <w:r>
        <w:rPr>
          <w:rFonts w:hint="eastAsia" w:ascii="宋体" w:hAnsi="宋体" w:eastAsia="宋体" w:cs="宋体"/>
          <w:color w:val="auto"/>
          <w:spacing w:val="9"/>
          <w:sz w:val="24"/>
          <w:szCs w:val="24"/>
          <w:highlight w:val="none"/>
        </w:rPr>
        <w:t>发包人</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9"/>
          <w:sz w:val="24"/>
          <w:szCs w:val="24"/>
          <w:highlight w:val="none"/>
        </w:rPr>
        <w:t>以下简称“甲方”）</w:t>
      </w:r>
    </w:p>
    <w:p w14:paraId="7EB075FA">
      <w:pPr>
        <w:keepNext w:val="0"/>
        <w:keepLines w:val="0"/>
        <w:pageBreakBefore w:val="0"/>
        <w:widowControl/>
        <w:kinsoku w:val="0"/>
        <w:wordWrap/>
        <w:overflowPunct/>
        <w:topLinePunct w:val="0"/>
        <w:autoSpaceDE w:val="0"/>
        <w:autoSpaceDN w:val="0"/>
        <w:bidi w:val="0"/>
        <w:adjustRightInd w:val="0"/>
        <w:snapToGrid w:val="0"/>
        <w:spacing w:before="294" w:line="280" w:lineRule="exact"/>
        <w:ind w:left="44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承包人</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10"/>
          <w:sz w:val="24"/>
          <w:szCs w:val="24"/>
          <w:highlight w:val="none"/>
        </w:rPr>
        <w:t>以下简称“乙方”）</w:t>
      </w:r>
    </w:p>
    <w:p w14:paraId="7A6ECF89">
      <w:pPr>
        <w:keepNext w:val="0"/>
        <w:keepLines w:val="0"/>
        <w:pageBreakBefore w:val="0"/>
        <w:widowControl/>
        <w:kinsoku w:val="0"/>
        <w:wordWrap/>
        <w:overflowPunct/>
        <w:topLinePunct w:val="0"/>
        <w:autoSpaceDE w:val="0"/>
        <w:autoSpaceDN w:val="0"/>
        <w:bidi w:val="0"/>
        <w:adjustRightInd w:val="0"/>
        <w:snapToGrid w:val="0"/>
        <w:spacing w:before="90" w:line="280" w:lineRule="exact"/>
        <w:ind w:left="443"/>
        <w:textAlignment w:val="baseline"/>
        <w:rPr>
          <w:rFonts w:hint="eastAsia" w:ascii="宋体" w:hAnsi="宋体" w:eastAsia="宋体" w:cs="宋体"/>
          <w:color w:val="auto"/>
          <w:spacing w:val="9"/>
          <w:sz w:val="24"/>
          <w:szCs w:val="24"/>
          <w:highlight w:val="none"/>
        </w:rPr>
      </w:pPr>
    </w:p>
    <w:p w14:paraId="4C7A8F4B">
      <w:pPr>
        <w:keepNext w:val="0"/>
        <w:keepLines w:val="0"/>
        <w:pageBreakBefore w:val="0"/>
        <w:widowControl/>
        <w:kinsoku w:val="0"/>
        <w:wordWrap/>
        <w:overflowPunct/>
        <w:topLinePunct w:val="0"/>
        <w:autoSpaceDE w:val="0"/>
        <w:autoSpaceDN w:val="0"/>
        <w:bidi w:val="0"/>
        <w:adjustRightInd w:val="0"/>
        <w:snapToGrid w:val="0"/>
        <w:spacing w:before="90" w:line="280" w:lineRule="exact"/>
        <w:ind w:left="44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经办银行</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9"/>
          <w:sz w:val="24"/>
          <w:szCs w:val="24"/>
          <w:highlight w:val="none"/>
        </w:rPr>
        <w:t>以下简称“丙方”）</w:t>
      </w:r>
    </w:p>
    <w:p w14:paraId="4ADEF3B7">
      <w:pPr>
        <w:pStyle w:val="4"/>
        <w:keepNext w:val="0"/>
        <w:keepLines w:val="0"/>
        <w:pageBreakBefore w:val="0"/>
        <w:widowControl/>
        <w:kinsoku w:val="0"/>
        <w:wordWrap/>
        <w:overflowPunct/>
        <w:topLinePunct w:val="0"/>
        <w:autoSpaceDE w:val="0"/>
        <w:autoSpaceDN w:val="0"/>
        <w:bidi w:val="0"/>
        <w:adjustRightInd w:val="0"/>
        <w:snapToGrid w:val="0"/>
        <w:spacing w:line="280" w:lineRule="exact"/>
        <w:textAlignment w:val="baseline"/>
        <w:rPr>
          <w:rFonts w:hint="eastAsia" w:ascii="宋体" w:hAnsi="宋体" w:eastAsia="宋体" w:cs="宋体"/>
          <w:color w:val="auto"/>
          <w:sz w:val="24"/>
          <w:szCs w:val="24"/>
          <w:highlight w:val="none"/>
        </w:rPr>
      </w:pPr>
    </w:p>
    <w:p w14:paraId="5656D69C">
      <w:pPr>
        <w:keepNext w:val="0"/>
        <w:keepLines w:val="0"/>
        <w:pageBreakBefore w:val="0"/>
        <w:widowControl/>
        <w:kinsoku w:val="0"/>
        <w:wordWrap/>
        <w:overflowPunct/>
        <w:topLinePunct w:val="0"/>
        <w:autoSpaceDE w:val="0"/>
        <w:autoSpaceDN w:val="0"/>
        <w:bidi w:val="0"/>
        <w:adjustRightInd w:val="0"/>
        <w:snapToGrid w:val="0"/>
        <w:spacing w:before="65" w:line="280" w:lineRule="exact"/>
        <w:ind w:left="442" w:right="316" w:firstLine="481"/>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为了促进（项目名称）的顺利实施，管好用好建设资金，确保工程资金</w:t>
      </w:r>
      <w:r>
        <w:rPr>
          <w:rFonts w:hint="eastAsia" w:ascii="宋体" w:hAnsi="宋体" w:eastAsia="宋体" w:cs="宋体"/>
          <w:color w:val="auto"/>
          <w:spacing w:val="-1"/>
          <w:sz w:val="24"/>
          <w:szCs w:val="24"/>
          <w:highlight w:val="none"/>
        </w:rPr>
        <w:t>专款专用，同时为承包人提供便捷有效的银行业务服务，根据</w:t>
      </w:r>
      <w:r>
        <w:rPr>
          <w:rFonts w:hint="eastAsia" w:ascii="宋体" w:hAnsi="宋体" w:eastAsia="宋体" w:cs="宋体"/>
          <w:color w:val="auto"/>
          <w:spacing w:val="-2"/>
          <w:sz w:val="24"/>
          <w:szCs w:val="24"/>
          <w:highlight w:val="none"/>
          <w:u w:val="single" w:color="auto"/>
        </w:rPr>
        <w:t>（</w:t>
      </w:r>
      <w:r>
        <w:rPr>
          <w:rFonts w:hint="eastAsia" w:ascii="宋体" w:hAnsi="宋体" w:eastAsia="宋体" w:cs="宋体"/>
          <w:color w:val="auto"/>
          <w:spacing w:val="-2"/>
          <w:sz w:val="24"/>
          <w:szCs w:val="24"/>
          <w:highlight w:val="none"/>
        </w:rPr>
        <w:t>项目</w:t>
      </w:r>
      <w:r>
        <w:rPr>
          <w:rFonts w:hint="eastAsia" w:ascii="宋体" w:hAnsi="宋体" w:eastAsia="宋体" w:cs="宋体"/>
          <w:color w:val="auto"/>
          <w:spacing w:val="9"/>
          <w:sz w:val="24"/>
          <w:szCs w:val="24"/>
          <w:highlight w:val="none"/>
        </w:rPr>
        <w:t>名称）合同条款有关规定，经甲、乙、丙三方协商，达成协议如下：</w:t>
      </w:r>
    </w:p>
    <w:p w14:paraId="37230183">
      <w:pPr>
        <w:keepNext w:val="0"/>
        <w:keepLines w:val="0"/>
        <w:pageBreakBefore w:val="0"/>
        <w:widowControl/>
        <w:kinsoku w:val="0"/>
        <w:wordWrap/>
        <w:overflowPunct/>
        <w:topLinePunct w:val="0"/>
        <w:autoSpaceDE w:val="0"/>
        <w:autoSpaceDN w:val="0"/>
        <w:bidi w:val="0"/>
        <w:adjustRightInd w:val="0"/>
        <w:snapToGrid w:val="0"/>
        <w:spacing w:before="29" w:line="280" w:lineRule="exact"/>
        <w:ind w:left="94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1.资金管理的内容</w:t>
      </w:r>
    </w:p>
    <w:p w14:paraId="6BB770CE">
      <w:pPr>
        <w:keepNext w:val="0"/>
        <w:keepLines w:val="0"/>
        <w:pageBreakBefore w:val="0"/>
        <w:widowControl/>
        <w:kinsoku w:val="0"/>
        <w:wordWrap/>
        <w:overflowPunct/>
        <w:topLinePunct w:val="0"/>
        <w:autoSpaceDE w:val="0"/>
        <w:autoSpaceDN w:val="0"/>
        <w:bidi w:val="0"/>
        <w:adjustRightInd w:val="0"/>
        <w:snapToGrid w:val="0"/>
        <w:spacing w:before="96" w:line="280" w:lineRule="exact"/>
        <w:ind w:left="447" w:right="443" w:firstLine="48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（1）乙方为完成（项目名称）工程成立的项目经理部在丙方开设基本</w:t>
      </w:r>
      <w:r>
        <w:rPr>
          <w:rFonts w:hint="eastAsia" w:ascii="宋体" w:hAnsi="宋体" w:eastAsia="宋体" w:cs="宋体"/>
          <w:color w:val="auto"/>
          <w:spacing w:val="3"/>
          <w:sz w:val="24"/>
          <w:szCs w:val="24"/>
          <w:highlight w:val="none"/>
        </w:rPr>
        <w:t>结算户；</w:t>
      </w:r>
    </w:p>
    <w:p w14:paraId="5DCFAF73">
      <w:pPr>
        <w:keepNext w:val="0"/>
        <w:keepLines w:val="0"/>
        <w:pageBreakBefore w:val="0"/>
        <w:widowControl/>
        <w:kinsoku w:val="0"/>
        <w:wordWrap/>
        <w:overflowPunct/>
        <w:topLinePunct w:val="0"/>
        <w:autoSpaceDE w:val="0"/>
        <w:autoSpaceDN w:val="0"/>
        <w:bidi w:val="0"/>
        <w:adjustRightInd w:val="0"/>
        <w:snapToGrid w:val="0"/>
        <w:spacing w:before="122" w:line="280" w:lineRule="exact"/>
        <w:ind w:left="93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（2）甲方应按合同规定将工程款汇入乙方在丙方开设的账户；</w:t>
      </w:r>
    </w:p>
    <w:p w14:paraId="5235B567">
      <w:pPr>
        <w:keepNext w:val="0"/>
        <w:keepLines w:val="0"/>
        <w:pageBreakBefore w:val="0"/>
        <w:widowControl/>
        <w:kinsoku w:val="0"/>
        <w:wordWrap/>
        <w:overflowPunct/>
        <w:topLinePunct w:val="0"/>
        <w:autoSpaceDE w:val="0"/>
        <w:autoSpaceDN w:val="0"/>
        <w:bidi w:val="0"/>
        <w:adjustRightInd w:val="0"/>
        <w:snapToGrid w:val="0"/>
        <w:spacing w:before="99" w:line="280" w:lineRule="exact"/>
        <w:ind w:left="93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（3）乙方应将流动资金及甲方所拨付资金专项用于（项目名称</w:t>
      </w:r>
      <w:r>
        <w:rPr>
          <w:rFonts w:hint="eastAsia" w:ascii="宋体" w:hAnsi="宋体" w:eastAsia="宋体" w:cs="宋体"/>
          <w:color w:val="auto"/>
          <w:spacing w:val="-48"/>
          <w:w w:val="88"/>
          <w:sz w:val="24"/>
          <w:szCs w:val="24"/>
          <w:highlight w:val="none"/>
        </w:rPr>
        <w:t>；）</w:t>
      </w:r>
    </w:p>
    <w:p w14:paraId="4428E8D7">
      <w:pPr>
        <w:keepNext w:val="0"/>
        <w:keepLines w:val="0"/>
        <w:pageBreakBefore w:val="0"/>
        <w:widowControl/>
        <w:kinsoku w:val="0"/>
        <w:wordWrap/>
        <w:overflowPunct/>
        <w:topLinePunct w:val="0"/>
        <w:autoSpaceDE w:val="0"/>
        <w:autoSpaceDN w:val="0"/>
        <w:bidi w:val="0"/>
        <w:adjustRightInd w:val="0"/>
        <w:snapToGrid w:val="0"/>
        <w:spacing w:before="100" w:line="280" w:lineRule="exact"/>
        <w:ind w:left="445" w:right="308" w:firstLine="48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（4）丙方应为乙方提供便捷有效的银行业务服务，并接受甲方委</w:t>
      </w:r>
      <w:r>
        <w:rPr>
          <w:rFonts w:hint="eastAsia" w:ascii="宋体" w:hAnsi="宋体" w:eastAsia="宋体" w:cs="宋体"/>
          <w:color w:val="auto"/>
          <w:spacing w:val="7"/>
          <w:sz w:val="24"/>
          <w:szCs w:val="24"/>
          <w:highlight w:val="none"/>
        </w:rPr>
        <w:t>托对乙方在丙方开</w:t>
      </w:r>
      <w:r>
        <w:rPr>
          <w:rFonts w:hint="eastAsia" w:ascii="宋体" w:hAnsi="宋体" w:eastAsia="宋体" w:cs="宋体"/>
          <w:color w:val="auto"/>
          <w:spacing w:val="8"/>
          <w:sz w:val="24"/>
          <w:szCs w:val="24"/>
          <w:highlight w:val="none"/>
        </w:rPr>
        <w:t>设的基本结算户资金使用情况进行监督。</w:t>
      </w:r>
    </w:p>
    <w:p w14:paraId="1C77A5F4">
      <w:pPr>
        <w:keepNext w:val="0"/>
        <w:keepLines w:val="0"/>
        <w:pageBreakBefore w:val="0"/>
        <w:widowControl/>
        <w:kinsoku w:val="0"/>
        <w:wordWrap/>
        <w:overflowPunct/>
        <w:topLinePunct w:val="0"/>
        <w:autoSpaceDE w:val="0"/>
        <w:autoSpaceDN w:val="0"/>
        <w:bidi w:val="0"/>
        <w:adjustRightInd w:val="0"/>
        <w:snapToGrid w:val="0"/>
        <w:spacing w:before="105" w:line="280" w:lineRule="exact"/>
        <w:ind w:left="91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2.甲方的权责</w:t>
      </w:r>
    </w:p>
    <w:p w14:paraId="641FC0A6">
      <w:pPr>
        <w:keepNext w:val="0"/>
        <w:keepLines w:val="0"/>
        <w:pageBreakBefore w:val="0"/>
        <w:widowControl/>
        <w:kinsoku w:val="0"/>
        <w:wordWrap/>
        <w:overflowPunct/>
        <w:topLinePunct w:val="0"/>
        <w:autoSpaceDE w:val="0"/>
        <w:autoSpaceDN w:val="0"/>
        <w:bidi w:val="0"/>
        <w:adjustRightInd w:val="0"/>
        <w:snapToGrid w:val="0"/>
        <w:spacing w:before="99" w:line="280" w:lineRule="exact"/>
        <w:ind w:left="441" w:right="388" w:firstLine="49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（1）按照（项目名称）合同有关条款规定的</w:t>
      </w:r>
      <w:r>
        <w:rPr>
          <w:rFonts w:hint="eastAsia" w:ascii="宋体" w:hAnsi="宋体" w:eastAsia="宋体" w:cs="宋体"/>
          <w:color w:val="auto"/>
          <w:spacing w:val="3"/>
          <w:sz w:val="24"/>
          <w:szCs w:val="24"/>
          <w:highlight w:val="none"/>
        </w:rPr>
        <w:t>时间和方式，向乙方支付工程款；</w:t>
      </w:r>
    </w:p>
    <w:p w14:paraId="4E7034AB">
      <w:pPr>
        <w:keepNext w:val="0"/>
        <w:keepLines w:val="0"/>
        <w:pageBreakBefore w:val="0"/>
        <w:widowControl/>
        <w:kinsoku w:val="0"/>
        <w:wordWrap/>
        <w:overflowPunct/>
        <w:topLinePunct w:val="0"/>
        <w:autoSpaceDE w:val="0"/>
        <w:autoSpaceDN w:val="0"/>
        <w:bidi w:val="0"/>
        <w:adjustRightInd w:val="0"/>
        <w:snapToGrid w:val="0"/>
        <w:spacing w:before="88" w:line="280" w:lineRule="exact"/>
        <w:ind w:left="448" w:right="0" w:firstLine="48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（2）在发现乙方将本项目资金挪用、转移时，甲方有权中止工程支付，</w:t>
      </w:r>
      <w:r>
        <w:rPr>
          <w:rFonts w:hint="eastAsia" w:ascii="宋体" w:hAnsi="宋体" w:eastAsia="宋体" w:cs="宋体"/>
          <w:color w:val="auto"/>
          <w:spacing w:val="7"/>
          <w:sz w:val="24"/>
          <w:szCs w:val="24"/>
          <w:highlight w:val="none"/>
        </w:rPr>
        <w:t>直至乙方改</w:t>
      </w:r>
      <w:r>
        <w:rPr>
          <w:rFonts w:hint="eastAsia" w:ascii="宋体" w:hAnsi="宋体" w:eastAsia="宋体" w:cs="宋体"/>
          <w:color w:val="auto"/>
          <w:spacing w:val="4"/>
          <w:sz w:val="24"/>
          <w:szCs w:val="24"/>
          <w:highlight w:val="none"/>
        </w:rPr>
        <w:t>正为止；</w:t>
      </w:r>
    </w:p>
    <w:p w14:paraId="442ACE0D">
      <w:pPr>
        <w:keepNext w:val="0"/>
        <w:keepLines w:val="0"/>
        <w:pageBreakBefore w:val="0"/>
        <w:widowControl/>
        <w:kinsoku w:val="0"/>
        <w:wordWrap/>
        <w:overflowPunct/>
        <w:topLinePunct w:val="0"/>
        <w:autoSpaceDE w:val="0"/>
        <w:autoSpaceDN w:val="0"/>
        <w:bidi w:val="0"/>
        <w:adjustRightInd w:val="0"/>
        <w:snapToGrid w:val="0"/>
        <w:spacing w:before="91" w:line="280" w:lineRule="exact"/>
        <w:ind w:left="441" w:right="306" w:firstLine="49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（3）不定期审查丙方对乙方的资金使用监督情况，如丙方不能履行其责</w:t>
      </w:r>
      <w:r>
        <w:rPr>
          <w:rFonts w:hint="eastAsia" w:ascii="宋体" w:hAnsi="宋体" w:eastAsia="宋体" w:cs="宋体"/>
          <w:color w:val="auto"/>
          <w:spacing w:val="7"/>
          <w:sz w:val="24"/>
          <w:szCs w:val="24"/>
          <w:highlight w:val="none"/>
        </w:rPr>
        <w:t>任，甲方有权随时终止本协议；</w:t>
      </w:r>
    </w:p>
    <w:p w14:paraId="60364B5A">
      <w:pPr>
        <w:keepNext w:val="0"/>
        <w:keepLines w:val="0"/>
        <w:pageBreakBefore w:val="0"/>
        <w:widowControl/>
        <w:kinsoku w:val="0"/>
        <w:wordWrap/>
        <w:overflowPunct/>
        <w:topLinePunct w:val="0"/>
        <w:autoSpaceDE w:val="0"/>
        <w:autoSpaceDN w:val="0"/>
        <w:bidi w:val="0"/>
        <w:adjustRightInd w:val="0"/>
        <w:snapToGrid w:val="0"/>
        <w:spacing w:before="92" w:line="280" w:lineRule="exact"/>
        <w:ind w:left="93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（4）在乙、丙双方发生争议时，甲方应负责协调、解决。</w:t>
      </w:r>
    </w:p>
    <w:p w14:paraId="2A10AA70">
      <w:pPr>
        <w:keepNext w:val="0"/>
        <w:keepLines w:val="0"/>
        <w:pageBreakBefore w:val="0"/>
        <w:widowControl/>
        <w:kinsoku w:val="0"/>
        <w:wordWrap/>
        <w:overflowPunct/>
        <w:topLinePunct w:val="0"/>
        <w:autoSpaceDE w:val="0"/>
        <w:autoSpaceDN w:val="0"/>
        <w:bidi w:val="0"/>
        <w:adjustRightInd w:val="0"/>
        <w:snapToGrid w:val="0"/>
        <w:spacing w:before="111" w:line="280" w:lineRule="exact"/>
        <w:ind w:left="92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3.乙方的权责</w:t>
      </w:r>
    </w:p>
    <w:p w14:paraId="71CE91E7">
      <w:pPr>
        <w:keepNext w:val="0"/>
        <w:keepLines w:val="0"/>
        <w:pageBreakBefore w:val="0"/>
        <w:widowControl/>
        <w:kinsoku w:val="0"/>
        <w:wordWrap/>
        <w:overflowPunct/>
        <w:topLinePunct w:val="0"/>
        <w:autoSpaceDE w:val="0"/>
        <w:autoSpaceDN w:val="0"/>
        <w:bidi w:val="0"/>
        <w:adjustRightInd w:val="0"/>
        <w:snapToGrid w:val="0"/>
        <w:spacing w:before="97" w:line="280" w:lineRule="exact"/>
        <w:ind w:left="93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（1）项目经理部成立以后，乙方应尽快在丙方开设</w:t>
      </w:r>
      <w:r>
        <w:rPr>
          <w:rFonts w:hint="eastAsia" w:ascii="宋体" w:hAnsi="宋体" w:eastAsia="宋体" w:cs="宋体"/>
          <w:color w:val="auto"/>
          <w:spacing w:val="8"/>
          <w:sz w:val="24"/>
          <w:szCs w:val="24"/>
          <w:highlight w:val="none"/>
        </w:rPr>
        <w:t>基本结算户；</w:t>
      </w:r>
    </w:p>
    <w:p w14:paraId="5B78FF8A">
      <w:pPr>
        <w:keepNext w:val="0"/>
        <w:keepLines w:val="0"/>
        <w:pageBreakBefore w:val="0"/>
        <w:widowControl/>
        <w:kinsoku w:val="0"/>
        <w:wordWrap/>
        <w:overflowPunct/>
        <w:topLinePunct w:val="0"/>
        <w:autoSpaceDE w:val="0"/>
        <w:autoSpaceDN w:val="0"/>
        <w:bidi w:val="0"/>
        <w:adjustRightInd w:val="0"/>
        <w:snapToGrid w:val="0"/>
        <w:spacing w:before="99" w:line="280" w:lineRule="atLeast"/>
        <w:ind w:left="443" w:right="308" w:firstLine="48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（2）确保本项目资金专款专用，不发生挪用、转移资金的现象；</w:t>
      </w:r>
      <w:r>
        <w:rPr>
          <w:rFonts w:hint="eastAsia" w:ascii="宋体" w:hAnsi="宋体" w:eastAsia="宋体" w:cs="宋体"/>
          <w:color w:val="auto"/>
          <w:spacing w:val="7"/>
          <w:sz w:val="24"/>
          <w:szCs w:val="24"/>
          <w:highlight w:val="none"/>
        </w:rPr>
        <w:t>保证不通过权益转</w:t>
      </w:r>
      <w:r>
        <w:rPr>
          <w:rFonts w:hint="eastAsia" w:ascii="宋体" w:hAnsi="宋体" w:eastAsia="宋体" w:cs="宋体"/>
          <w:color w:val="auto"/>
          <w:spacing w:val="9"/>
          <w:sz w:val="24"/>
          <w:szCs w:val="24"/>
          <w:highlight w:val="none"/>
        </w:rPr>
        <w:t>让、抵押、担保承担债务等任何其他方式使用基本结算户的资金；</w:t>
      </w:r>
    </w:p>
    <w:p w14:paraId="76664F36">
      <w:pPr>
        <w:keepNext w:val="0"/>
        <w:keepLines w:val="0"/>
        <w:pageBreakBefore w:val="0"/>
        <w:widowControl/>
        <w:kinsoku w:val="0"/>
        <w:wordWrap/>
        <w:overflowPunct/>
        <w:topLinePunct w:val="0"/>
        <w:autoSpaceDE w:val="0"/>
        <w:autoSpaceDN w:val="0"/>
        <w:bidi w:val="0"/>
        <w:adjustRightInd w:val="0"/>
        <w:snapToGrid w:val="0"/>
        <w:spacing w:before="90" w:line="280" w:lineRule="atLeast"/>
        <w:ind w:firstLine="944" w:firstLineChars="4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（3）办理材料、设备等采购业务金额在万元以上的，应出示购货合同、协议和发票；</w:t>
      </w:r>
    </w:p>
    <w:p w14:paraId="0750F37E">
      <w:pPr>
        <w:keepNext w:val="0"/>
        <w:keepLines w:val="0"/>
        <w:pageBreakBefore w:val="0"/>
        <w:widowControl/>
        <w:kinsoku w:val="0"/>
        <w:wordWrap/>
        <w:overflowPunct/>
        <w:topLinePunct w:val="0"/>
        <w:autoSpaceDE w:val="0"/>
        <w:autoSpaceDN w:val="0"/>
        <w:bidi w:val="0"/>
        <w:adjustRightInd w:val="0"/>
        <w:snapToGrid w:val="0"/>
        <w:spacing w:before="93" w:line="280" w:lineRule="atLeast"/>
        <w:ind w:right="248" w:firstLine="738" w:firstLineChars="3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rPr>
        <w:t>在办理总额超过万元以上的采购业务时，应将合同、协议和发票复印件送丙方备案；购买</w:t>
      </w:r>
      <w:r>
        <w:rPr>
          <w:rFonts w:hint="eastAsia" w:ascii="宋体" w:hAnsi="宋体" w:eastAsia="宋体" w:cs="宋体"/>
          <w:color w:val="auto"/>
          <w:spacing w:val="-6"/>
          <w:sz w:val="24"/>
          <w:szCs w:val="24"/>
          <w:highlight w:val="none"/>
        </w:rPr>
        <w:t>应急材料、设备时可先办理支付手续，但事后必须补备有关资料</w:t>
      </w:r>
      <w:r>
        <w:rPr>
          <w:rFonts w:hint="eastAsia" w:ascii="宋体" w:hAnsi="宋体" w:eastAsia="宋体" w:cs="宋体"/>
          <w:color w:val="auto"/>
          <w:spacing w:val="-6"/>
          <w:sz w:val="24"/>
          <w:szCs w:val="24"/>
          <w:highlight w:val="none"/>
          <w:lang w:eastAsia="zh-CN"/>
        </w:rPr>
        <w:t>；</w:t>
      </w:r>
    </w:p>
    <w:p w14:paraId="34771D28">
      <w:pPr>
        <w:keepNext w:val="0"/>
        <w:keepLines w:val="0"/>
        <w:pageBreakBefore w:val="0"/>
        <w:widowControl/>
        <w:kinsoku w:val="0"/>
        <w:wordWrap/>
        <w:overflowPunct/>
        <w:topLinePunct w:val="0"/>
        <w:autoSpaceDE w:val="0"/>
        <w:autoSpaceDN w:val="0"/>
        <w:bidi w:val="0"/>
        <w:adjustRightInd w:val="0"/>
        <w:snapToGrid w:val="0"/>
        <w:spacing w:before="31" w:line="280" w:lineRule="atLeast"/>
        <w:ind w:left="23" w:right="0" w:firstLine="90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（4）用银行转账支票办理支付款项时，必须将转账支票送交丙方，由丙方负责</w:t>
      </w:r>
      <w:r>
        <w:rPr>
          <w:rFonts w:hint="eastAsia" w:ascii="宋体" w:hAnsi="宋体" w:eastAsia="宋体" w:cs="宋体"/>
          <w:color w:val="auto"/>
          <w:spacing w:val="7"/>
          <w:sz w:val="24"/>
          <w:szCs w:val="24"/>
          <w:highlight w:val="none"/>
        </w:rPr>
        <w:t>办理支票转付手续；</w:t>
      </w:r>
    </w:p>
    <w:p w14:paraId="21BA7144">
      <w:pPr>
        <w:keepNext w:val="0"/>
        <w:keepLines w:val="0"/>
        <w:pageBreakBefore w:val="0"/>
        <w:widowControl/>
        <w:kinsoku w:val="0"/>
        <w:wordWrap/>
        <w:overflowPunct/>
        <w:topLinePunct w:val="0"/>
        <w:autoSpaceDE w:val="0"/>
        <w:autoSpaceDN w:val="0"/>
        <w:bidi w:val="0"/>
        <w:adjustRightInd w:val="0"/>
        <w:snapToGrid w:val="0"/>
        <w:spacing w:before="96" w:line="280" w:lineRule="atLeast"/>
        <w:ind w:firstLine="1032" w:firstLineChars="4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（5）向分包单位支付工程进度款时，应附甲方批准</w:t>
      </w:r>
      <w:r>
        <w:rPr>
          <w:rFonts w:hint="eastAsia" w:ascii="宋体" w:hAnsi="宋体" w:eastAsia="宋体" w:cs="宋体"/>
          <w:color w:val="auto"/>
          <w:spacing w:val="8"/>
          <w:sz w:val="24"/>
          <w:szCs w:val="24"/>
          <w:highlight w:val="none"/>
        </w:rPr>
        <w:t>分包的文件；</w:t>
      </w:r>
    </w:p>
    <w:p w14:paraId="5150149F">
      <w:pPr>
        <w:keepNext w:val="0"/>
        <w:keepLines w:val="0"/>
        <w:pageBreakBefore w:val="0"/>
        <w:widowControl/>
        <w:kinsoku w:val="0"/>
        <w:wordWrap/>
        <w:overflowPunct/>
        <w:topLinePunct w:val="0"/>
        <w:autoSpaceDE w:val="0"/>
        <w:autoSpaceDN w:val="0"/>
        <w:bidi w:val="0"/>
        <w:adjustRightInd w:val="0"/>
        <w:snapToGrid w:val="0"/>
        <w:spacing w:before="100" w:line="280" w:lineRule="atLeast"/>
        <w:ind w:right="308" w:firstLine="1024" w:firstLineChars="400"/>
        <w:textAlignment w:val="baseline"/>
        <w:rPr>
          <w:rFonts w:hint="eastAsia" w:ascii="宋体" w:hAnsi="宋体" w:eastAsia="宋体" w:cs="宋体"/>
          <w:color w:val="auto"/>
          <w:spacing w:val="9"/>
          <w:sz w:val="24"/>
          <w:szCs w:val="24"/>
          <w:highlight w:val="none"/>
        </w:rPr>
      </w:pPr>
      <w:r>
        <w:rPr>
          <w:rFonts w:hint="eastAsia" w:ascii="宋体" w:hAnsi="宋体" w:eastAsia="宋体" w:cs="宋体"/>
          <w:color w:val="auto"/>
          <w:spacing w:val="8"/>
          <w:sz w:val="24"/>
          <w:szCs w:val="24"/>
          <w:highlight w:val="none"/>
        </w:rPr>
        <w:t>（6）向上级单位缴纳管理费、机械设备及周转材料租赁摊销费等</w:t>
      </w:r>
      <w:r>
        <w:rPr>
          <w:rFonts w:hint="eastAsia" w:ascii="宋体" w:hAnsi="宋体" w:eastAsia="宋体" w:cs="宋体"/>
          <w:color w:val="auto"/>
          <w:spacing w:val="7"/>
          <w:sz w:val="24"/>
          <w:szCs w:val="24"/>
          <w:highlight w:val="none"/>
        </w:rPr>
        <w:t>款项时，应附上级</w:t>
      </w:r>
      <w:r>
        <w:rPr>
          <w:rFonts w:hint="eastAsia" w:ascii="宋体" w:hAnsi="宋体" w:eastAsia="宋体" w:cs="宋体"/>
          <w:color w:val="auto"/>
          <w:spacing w:val="9"/>
          <w:sz w:val="24"/>
          <w:szCs w:val="24"/>
          <w:highlight w:val="none"/>
        </w:rPr>
        <w:t>单位出具的转账通知等有关资料，以确保资金专款专用。</w:t>
      </w:r>
    </w:p>
    <w:p w14:paraId="655705C4">
      <w:pPr>
        <w:keepNext w:val="0"/>
        <w:keepLines w:val="0"/>
        <w:pageBreakBefore w:val="0"/>
        <w:widowControl/>
        <w:kinsoku w:val="0"/>
        <w:wordWrap/>
        <w:overflowPunct/>
        <w:topLinePunct w:val="0"/>
        <w:autoSpaceDE w:val="0"/>
        <w:autoSpaceDN w:val="0"/>
        <w:bidi w:val="0"/>
        <w:adjustRightInd w:val="0"/>
        <w:snapToGrid w:val="0"/>
        <w:spacing w:before="69" w:line="280" w:lineRule="atLeast"/>
        <w:ind w:left="91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4.丙方的权责</w:t>
      </w:r>
    </w:p>
    <w:p w14:paraId="765865E4">
      <w:pPr>
        <w:keepNext w:val="0"/>
        <w:keepLines w:val="0"/>
        <w:pageBreakBefore w:val="0"/>
        <w:widowControl/>
        <w:kinsoku w:val="0"/>
        <w:wordWrap/>
        <w:overflowPunct/>
        <w:topLinePunct w:val="0"/>
        <w:autoSpaceDE w:val="0"/>
        <w:autoSpaceDN w:val="0"/>
        <w:bidi w:val="0"/>
        <w:adjustRightInd w:val="0"/>
        <w:snapToGrid w:val="0"/>
        <w:spacing w:before="98" w:line="280" w:lineRule="atLeast"/>
        <w:ind w:right="385" w:firstLine="992" w:firstLineChars="4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（1）成立（项目名称）工程资金管理服务小</w:t>
      </w:r>
      <w:r>
        <w:rPr>
          <w:rFonts w:hint="eastAsia" w:ascii="宋体" w:hAnsi="宋体" w:eastAsia="宋体" w:cs="宋体"/>
          <w:color w:val="auto"/>
          <w:spacing w:val="3"/>
          <w:sz w:val="24"/>
          <w:szCs w:val="24"/>
          <w:highlight w:val="none"/>
        </w:rPr>
        <w:t>组，明确业务流程，提高工</w:t>
      </w:r>
      <w:r>
        <w:rPr>
          <w:rFonts w:hint="eastAsia" w:ascii="宋体" w:hAnsi="宋体" w:eastAsia="宋体" w:cs="宋体"/>
          <w:color w:val="auto"/>
          <w:spacing w:val="7"/>
          <w:sz w:val="24"/>
          <w:szCs w:val="24"/>
          <w:highlight w:val="none"/>
        </w:rPr>
        <w:t>作效率，杜绝“压票”现象；</w:t>
      </w:r>
    </w:p>
    <w:p w14:paraId="05CDE469">
      <w:pPr>
        <w:keepNext w:val="0"/>
        <w:keepLines w:val="0"/>
        <w:pageBreakBefore w:val="0"/>
        <w:widowControl/>
        <w:kinsoku w:val="0"/>
        <w:wordWrap/>
        <w:overflowPunct/>
        <w:topLinePunct w:val="0"/>
        <w:autoSpaceDE w:val="0"/>
        <w:autoSpaceDN w:val="0"/>
        <w:bidi w:val="0"/>
        <w:adjustRightInd w:val="0"/>
        <w:snapToGrid w:val="0"/>
        <w:spacing w:before="162" w:line="280" w:lineRule="atLeast"/>
        <w:ind w:right="0" w:firstLine="960" w:firstLineChars="4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（2）根据乙方提供的购货合同、协议和发票，检查其所购材料、设备</w:t>
      </w:r>
      <w:r>
        <w:rPr>
          <w:rFonts w:hint="eastAsia" w:ascii="宋体" w:hAnsi="宋体" w:eastAsia="宋体" w:cs="宋体"/>
          <w:color w:val="auto"/>
          <w:spacing w:val="-1"/>
          <w:sz w:val="24"/>
          <w:szCs w:val="24"/>
          <w:highlight w:val="none"/>
        </w:rPr>
        <w:t>是否用于（项</w:t>
      </w:r>
      <w:r>
        <w:rPr>
          <w:rFonts w:hint="eastAsia" w:ascii="宋体" w:hAnsi="宋体" w:eastAsia="宋体" w:cs="宋体"/>
          <w:color w:val="auto"/>
          <w:spacing w:val="8"/>
          <w:sz w:val="24"/>
          <w:szCs w:val="24"/>
          <w:highlight w:val="none"/>
        </w:rPr>
        <w:t>目名称）工程建设，对本标段以外的购货款项，有权拒绝办理，并及时报告甲方；</w:t>
      </w:r>
    </w:p>
    <w:p w14:paraId="602607BD">
      <w:pPr>
        <w:keepNext w:val="0"/>
        <w:keepLines w:val="0"/>
        <w:pageBreakBefore w:val="0"/>
        <w:widowControl/>
        <w:kinsoku w:val="0"/>
        <w:wordWrap/>
        <w:overflowPunct/>
        <w:topLinePunct w:val="0"/>
        <w:autoSpaceDE w:val="0"/>
        <w:autoSpaceDN w:val="0"/>
        <w:bidi w:val="0"/>
        <w:adjustRightInd w:val="0"/>
        <w:snapToGrid w:val="0"/>
        <w:spacing w:before="163" w:line="280" w:lineRule="atLeast"/>
        <w:ind w:right="308" w:firstLine="768" w:firstLineChars="3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8"/>
          <w:sz w:val="24"/>
          <w:szCs w:val="24"/>
          <w:highlight w:val="none"/>
        </w:rPr>
        <w:t>（3）根据乙方与分包单位签订的合同及支付文件，检查其支付款</w:t>
      </w:r>
      <w:r>
        <w:rPr>
          <w:rFonts w:hint="eastAsia" w:ascii="宋体" w:hAnsi="宋体" w:eastAsia="宋体" w:cs="宋体"/>
          <w:color w:val="auto"/>
          <w:spacing w:val="7"/>
          <w:sz w:val="24"/>
          <w:szCs w:val="24"/>
          <w:highlight w:val="none"/>
        </w:rPr>
        <w:t>项是否符合有关条</w:t>
      </w:r>
      <w:r>
        <w:rPr>
          <w:rFonts w:hint="eastAsia" w:ascii="宋体" w:hAnsi="宋体" w:eastAsia="宋体" w:cs="宋体"/>
          <w:color w:val="auto"/>
          <w:spacing w:val="9"/>
          <w:sz w:val="24"/>
          <w:szCs w:val="24"/>
          <w:highlight w:val="none"/>
        </w:rPr>
        <w:t>件，向分包单位以外单位的支付有权拒绝办理，并及时报告甲方</w:t>
      </w:r>
      <w:r>
        <w:rPr>
          <w:rFonts w:hint="eastAsia" w:ascii="宋体" w:hAnsi="宋体" w:eastAsia="宋体" w:cs="宋体"/>
          <w:color w:val="auto"/>
          <w:spacing w:val="9"/>
          <w:sz w:val="24"/>
          <w:szCs w:val="24"/>
          <w:highlight w:val="none"/>
          <w:lang w:eastAsia="zh-CN"/>
        </w:rPr>
        <w:t>；</w:t>
      </w:r>
    </w:p>
    <w:p w14:paraId="39B83A08">
      <w:pPr>
        <w:keepNext w:val="0"/>
        <w:keepLines w:val="0"/>
        <w:pageBreakBefore w:val="0"/>
        <w:widowControl/>
        <w:kinsoku w:val="0"/>
        <w:wordWrap/>
        <w:overflowPunct/>
        <w:topLinePunct w:val="0"/>
        <w:autoSpaceDE w:val="0"/>
        <w:autoSpaceDN w:val="0"/>
        <w:bidi w:val="0"/>
        <w:adjustRightInd w:val="0"/>
        <w:snapToGrid w:val="0"/>
        <w:spacing w:before="162" w:line="280" w:lineRule="atLeast"/>
        <w:ind w:right="308" w:firstLine="768" w:firstLineChars="3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（4）根据乙方提供的上级单位出具的转账通知等有关资料，办理</w:t>
      </w:r>
      <w:r>
        <w:rPr>
          <w:rFonts w:hint="eastAsia" w:ascii="宋体" w:hAnsi="宋体" w:eastAsia="宋体" w:cs="宋体"/>
          <w:color w:val="auto"/>
          <w:spacing w:val="7"/>
          <w:sz w:val="24"/>
          <w:szCs w:val="24"/>
          <w:highlight w:val="none"/>
        </w:rPr>
        <w:t>管理费、机械设备</w:t>
      </w:r>
      <w:r>
        <w:rPr>
          <w:rFonts w:hint="eastAsia" w:ascii="宋体" w:hAnsi="宋体" w:eastAsia="宋体" w:cs="宋体"/>
          <w:color w:val="auto"/>
          <w:spacing w:val="10"/>
          <w:sz w:val="24"/>
          <w:szCs w:val="24"/>
          <w:highlight w:val="none"/>
        </w:rPr>
        <w:t>及周转材料租赁摊销费等款项的支付；对超出转账通知等有</w:t>
      </w:r>
      <w:r>
        <w:rPr>
          <w:rFonts w:hint="eastAsia" w:ascii="宋体" w:hAnsi="宋体" w:eastAsia="宋体" w:cs="宋体"/>
          <w:color w:val="auto"/>
          <w:spacing w:val="9"/>
          <w:sz w:val="24"/>
          <w:szCs w:val="24"/>
          <w:highlight w:val="none"/>
        </w:rPr>
        <w:t>关资料以外的支付，有权拒</w:t>
      </w:r>
      <w:r>
        <w:rPr>
          <w:rFonts w:hint="eastAsia" w:ascii="宋体" w:hAnsi="宋体" w:eastAsia="宋体" w:cs="宋体"/>
          <w:color w:val="auto"/>
          <w:spacing w:val="8"/>
          <w:sz w:val="24"/>
          <w:szCs w:val="24"/>
          <w:highlight w:val="none"/>
        </w:rPr>
        <w:t>绝办理，并及时报告甲方；</w:t>
      </w:r>
    </w:p>
    <w:p w14:paraId="0BA732E7">
      <w:pPr>
        <w:keepNext w:val="0"/>
        <w:keepLines w:val="0"/>
        <w:pageBreakBefore w:val="0"/>
        <w:widowControl/>
        <w:kinsoku w:val="0"/>
        <w:wordWrap/>
        <w:overflowPunct/>
        <w:topLinePunct w:val="0"/>
        <w:autoSpaceDE w:val="0"/>
        <w:autoSpaceDN w:val="0"/>
        <w:bidi w:val="0"/>
        <w:adjustRightInd w:val="0"/>
        <w:snapToGrid w:val="0"/>
        <w:spacing w:before="91" w:line="280" w:lineRule="atLeast"/>
        <w:ind w:right="308" w:firstLine="768" w:firstLineChars="3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（5）定期将乙方前一个周期的支付情况，整理后书面报送甲方；</w:t>
      </w:r>
      <w:r>
        <w:rPr>
          <w:rFonts w:hint="eastAsia" w:ascii="宋体" w:hAnsi="宋体" w:eastAsia="宋体" w:cs="宋体"/>
          <w:color w:val="auto"/>
          <w:spacing w:val="7"/>
          <w:sz w:val="24"/>
          <w:szCs w:val="24"/>
          <w:highlight w:val="none"/>
        </w:rPr>
        <w:t>乙方复印备案的材料一并送甲方。</w:t>
      </w:r>
    </w:p>
    <w:p w14:paraId="72576B1C">
      <w:pPr>
        <w:keepNext w:val="0"/>
        <w:keepLines w:val="0"/>
        <w:pageBreakBefore w:val="0"/>
        <w:widowControl/>
        <w:kinsoku w:val="0"/>
        <w:wordWrap/>
        <w:overflowPunct/>
        <w:topLinePunct w:val="0"/>
        <w:autoSpaceDE w:val="0"/>
        <w:autoSpaceDN w:val="0"/>
        <w:bidi w:val="0"/>
        <w:adjustRightInd w:val="0"/>
        <w:snapToGrid w:val="0"/>
        <w:spacing w:before="104" w:line="280" w:lineRule="atLeast"/>
        <w:ind w:right="405" w:firstLine="952" w:firstLineChars="4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5.甲、乙、丙三方都应履行保密责任，不得将其他两方的业务情况透露给三方以外的其他单位或个人。</w:t>
      </w:r>
    </w:p>
    <w:p w14:paraId="2341D958">
      <w:pPr>
        <w:keepNext w:val="0"/>
        <w:keepLines w:val="0"/>
        <w:pageBreakBefore w:val="0"/>
        <w:widowControl/>
        <w:kinsoku w:val="0"/>
        <w:wordWrap/>
        <w:overflowPunct/>
        <w:topLinePunct w:val="0"/>
        <w:autoSpaceDE w:val="0"/>
        <w:autoSpaceDN w:val="0"/>
        <w:bidi w:val="0"/>
        <w:adjustRightInd w:val="0"/>
        <w:snapToGrid w:val="0"/>
        <w:spacing w:before="100" w:line="280" w:lineRule="atLeast"/>
        <w:ind w:right="402" w:firstLine="1000" w:firstLineChars="4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6.本协议有效期自乙方在丙方开户起，至工程交工验收甲方向乙方颁发交工验收证</w:t>
      </w:r>
      <w:r>
        <w:rPr>
          <w:rFonts w:hint="eastAsia" w:ascii="宋体" w:hAnsi="宋体" w:eastAsia="宋体" w:cs="宋体"/>
          <w:color w:val="auto"/>
          <w:spacing w:val="2"/>
          <w:sz w:val="24"/>
          <w:szCs w:val="24"/>
          <w:highlight w:val="none"/>
        </w:rPr>
        <w:t>书后结束。</w:t>
      </w:r>
    </w:p>
    <w:p w14:paraId="04F42B83">
      <w:pPr>
        <w:keepNext w:val="0"/>
        <w:keepLines w:val="0"/>
        <w:pageBreakBefore w:val="0"/>
        <w:widowControl/>
        <w:kinsoku w:val="0"/>
        <w:wordWrap/>
        <w:overflowPunct/>
        <w:topLinePunct w:val="0"/>
        <w:autoSpaceDE w:val="0"/>
        <w:autoSpaceDN w:val="0"/>
        <w:bidi w:val="0"/>
        <w:adjustRightInd w:val="0"/>
        <w:snapToGrid w:val="0"/>
        <w:spacing w:before="103" w:line="280" w:lineRule="atLeast"/>
        <w:ind w:left="92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7.本协议未尽事宜，由甲方牵头，三方协商</w:t>
      </w:r>
      <w:r>
        <w:rPr>
          <w:rFonts w:hint="eastAsia" w:ascii="宋体" w:hAnsi="宋体" w:eastAsia="宋体" w:cs="宋体"/>
          <w:color w:val="auto"/>
          <w:spacing w:val="5"/>
          <w:sz w:val="24"/>
          <w:szCs w:val="24"/>
          <w:highlight w:val="none"/>
        </w:rPr>
        <w:t>解决。</w:t>
      </w:r>
    </w:p>
    <w:p w14:paraId="042D83D8">
      <w:pPr>
        <w:keepNext w:val="0"/>
        <w:keepLines w:val="0"/>
        <w:pageBreakBefore w:val="0"/>
        <w:widowControl/>
        <w:kinsoku w:val="0"/>
        <w:wordWrap/>
        <w:overflowPunct/>
        <w:topLinePunct w:val="0"/>
        <w:autoSpaceDE w:val="0"/>
        <w:autoSpaceDN w:val="0"/>
        <w:bidi w:val="0"/>
        <w:adjustRightInd w:val="0"/>
        <w:snapToGrid w:val="0"/>
        <w:spacing w:before="111" w:line="280" w:lineRule="atLeast"/>
        <w:ind w:right="380" w:firstLine="984" w:firstLineChars="4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8.本协议正本三份、副本份。合同三方各执正本一份、副本份，当正本与</w:t>
      </w:r>
      <w:r>
        <w:rPr>
          <w:rFonts w:hint="eastAsia" w:ascii="宋体" w:hAnsi="宋体" w:eastAsia="宋体" w:cs="宋体"/>
          <w:color w:val="auto"/>
          <w:spacing w:val="2"/>
          <w:sz w:val="24"/>
          <w:szCs w:val="24"/>
          <w:highlight w:val="none"/>
        </w:rPr>
        <w:t>副本内</w:t>
      </w:r>
      <w:r>
        <w:rPr>
          <w:rFonts w:hint="eastAsia" w:ascii="宋体" w:hAnsi="宋体" w:eastAsia="宋体" w:cs="宋体"/>
          <w:color w:val="auto"/>
          <w:spacing w:val="4"/>
          <w:sz w:val="24"/>
          <w:szCs w:val="24"/>
          <w:highlight w:val="none"/>
        </w:rPr>
        <w:t>容不一致时，以正本为准。</w:t>
      </w:r>
    </w:p>
    <w:p w14:paraId="3B8F0AC6">
      <w:pPr>
        <w:spacing w:before="66" w:line="227" w:lineRule="auto"/>
        <w:rPr>
          <w:rFonts w:hint="eastAsia" w:ascii="宋体" w:hAnsi="宋体" w:eastAsia="宋体" w:cs="宋体"/>
          <w:color w:val="auto"/>
          <w:spacing w:val="10"/>
          <w:sz w:val="24"/>
          <w:szCs w:val="24"/>
          <w:highlight w:val="none"/>
        </w:rPr>
      </w:pPr>
    </w:p>
    <w:p w14:paraId="13E3F44E">
      <w:pPr>
        <w:spacing w:before="66" w:line="227" w:lineRule="auto"/>
        <w:ind w:left="445"/>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发包人</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10"/>
          <w:sz w:val="24"/>
          <w:szCs w:val="24"/>
          <w:highlight w:val="none"/>
        </w:rPr>
        <w:t>盖单位章）</w:t>
      </w:r>
    </w:p>
    <w:p w14:paraId="3BF6B1D4">
      <w:pPr>
        <w:spacing w:before="56" w:line="228" w:lineRule="auto"/>
        <w:ind w:left="442"/>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法定代表人或其委托代理人</w:t>
      </w:r>
      <w:r>
        <w:rPr>
          <w:rFonts w:hint="eastAsia" w:ascii="宋体" w:hAnsi="宋体" w:eastAsia="宋体" w:cs="宋体"/>
          <w:color w:val="auto"/>
          <w:sz w:val="24"/>
          <w:szCs w:val="24"/>
          <w:highlight w:val="none"/>
        </w:rPr>
        <w:t>：（</w:t>
      </w:r>
      <w:r>
        <w:rPr>
          <w:rFonts w:hint="eastAsia" w:ascii="宋体" w:hAnsi="宋体" w:eastAsia="宋体" w:cs="宋体"/>
          <w:color w:val="auto"/>
          <w:spacing w:val="10"/>
          <w:sz w:val="24"/>
          <w:szCs w:val="24"/>
          <w:highlight w:val="none"/>
        </w:rPr>
        <w:t>签字）</w:t>
      </w:r>
    </w:p>
    <w:p w14:paraId="5831936F">
      <w:pPr>
        <w:tabs>
          <w:tab w:val="left" w:pos="3432"/>
        </w:tabs>
        <w:spacing w:before="84" w:line="228" w:lineRule="auto"/>
        <w:ind w:left="2353"/>
        <w:rPr>
          <w:rFonts w:hint="eastAsia" w:ascii="宋体" w:hAnsi="宋体" w:eastAsia="宋体" w:cs="宋体"/>
          <w:color w:val="auto"/>
          <w:spacing w:val="11"/>
          <w:sz w:val="24"/>
          <w:szCs w:val="24"/>
          <w:highlight w:val="none"/>
        </w:rPr>
      </w:pPr>
      <w:r>
        <w:rPr>
          <w:rFonts w:hint="eastAsia" w:ascii="宋体" w:hAnsi="宋体" w:eastAsia="宋体" w:cs="宋体"/>
          <w:color w:val="auto"/>
          <w:sz w:val="24"/>
          <w:szCs w:val="24"/>
          <w:highlight w:val="none"/>
          <w:u w:val="single" w:color="auto"/>
        </w:rPr>
        <w:tab/>
      </w:r>
      <w:r>
        <w:rPr>
          <w:rFonts w:hint="eastAsia" w:ascii="宋体" w:hAnsi="宋体" w:eastAsia="宋体" w:cs="宋体"/>
          <w:color w:val="auto"/>
          <w:spacing w:val="-2"/>
          <w:sz w:val="24"/>
          <w:szCs w:val="24"/>
          <w:highlight w:val="none"/>
        </w:rPr>
        <w:t>年月日</w:t>
      </w:r>
    </w:p>
    <w:p w14:paraId="2BB9D6D7">
      <w:pPr>
        <w:spacing w:before="303" w:line="227" w:lineRule="auto"/>
        <w:ind w:left="442"/>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承包人</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11"/>
          <w:sz w:val="24"/>
          <w:szCs w:val="24"/>
          <w:highlight w:val="none"/>
        </w:rPr>
        <w:t>盖单位章）</w:t>
      </w:r>
    </w:p>
    <w:p w14:paraId="298382EC">
      <w:pPr>
        <w:spacing w:before="54" w:line="228" w:lineRule="auto"/>
        <w:ind w:left="548"/>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法定代表人或其委托代理人</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10"/>
          <w:sz w:val="24"/>
          <w:szCs w:val="24"/>
          <w:highlight w:val="none"/>
        </w:rPr>
        <w:t>签字）</w:t>
      </w:r>
    </w:p>
    <w:p w14:paraId="71BAFF43">
      <w:pPr>
        <w:tabs>
          <w:tab w:val="left" w:pos="3432"/>
        </w:tabs>
        <w:spacing w:before="55" w:line="228" w:lineRule="auto"/>
        <w:ind w:left="235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auto"/>
        </w:rPr>
        <w:tab/>
      </w:r>
      <w:r>
        <w:rPr>
          <w:rFonts w:hint="eastAsia" w:ascii="宋体" w:hAnsi="宋体" w:eastAsia="宋体" w:cs="宋体"/>
          <w:color w:val="auto"/>
          <w:spacing w:val="-2"/>
          <w:sz w:val="24"/>
          <w:szCs w:val="24"/>
          <w:highlight w:val="none"/>
        </w:rPr>
        <w:t>年月日</w:t>
      </w:r>
    </w:p>
    <w:p w14:paraId="497B9A11">
      <w:pPr>
        <w:spacing w:before="298" w:line="227" w:lineRule="auto"/>
        <w:ind w:left="443"/>
        <w:rPr>
          <w:rFonts w:hint="eastAsia" w:ascii="宋体" w:hAnsi="宋体" w:eastAsia="宋体" w:cs="宋体"/>
          <w:color w:val="auto"/>
          <w:spacing w:val="10"/>
          <w:sz w:val="24"/>
          <w:szCs w:val="24"/>
          <w:highlight w:val="none"/>
        </w:rPr>
      </w:pPr>
    </w:p>
    <w:p w14:paraId="6FFF51A1">
      <w:pPr>
        <w:spacing w:before="298" w:line="227" w:lineRule="auto"/>
        <w:ind w:left="443"/>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经办银行</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10"/>
          <w:sz w:val="24"/>
          <w:szCs w:val="24"/>
          <w:highlight w:val="none"/>
        </w:rPr>
        <w:t>盖单位章）</w:t>
      </w:r>
    </w:p>
    <w:p w14:paraId="060EBFB2">
      <w:pPr>
        <w:spacing w:before="54" w:line="228" w:lineRule="auto"/>
        <w:ind w:left="548"/>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法定代表人或其委托代理人</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10"/>
          <w:sz w:val="24"/>
          <w:szCs w:val="24"/>
          <w:highlight w:val="none"/>
        </w:rPr>
        <w:t>签字）</w:t>
      </w:r>
    </w:p>
    <w:p w14:paraId="4FC49472">
      <w:pPr>
        <w:tabs>
          <w:tab w:val="left" w:pos="3432"/>
        </w:tabs>
        <w:spacing w:before="89" w:line="228" w:lineRule="auto"/>
        <w:ind w:left="235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auto"/>
        </w:rPr>
        <w:tab/>
      </w:r>
      <w:r>
        <w:rPr>
          <w:rFonts w:hint="eastAsia" w:ascii="宋体" w:hAnsi="宋体" w:eastAsia="宋体" w:cs="宋体"/>
          <w:color w:val="auto"/>
          <w:spacing w:val="-2"/>
          <w:sz w:val="24"/>
          <w:szCs w:val="24"/>
          <w:highlight w:val="none"/>
        </w:rPr>
        <w:t>年月日</w:t>
      </w:r>
    </w:p>
    <w:p w14:paraId="6155A0B9">
      <w:pPr>
        <w:pStyle w:val="4"/>
        <w:spacing w:line="268" w:lineRule="auto"/>
        <w:rPr>
          <w:rFonts w:hint="eastAsia" w:ascii="宋体" w:hAnsi="宋体" w:eastAsia="宋体" w:cs="宋体"/>
          <w:color w:val="auto"/>
          <w:sz w:val="24"/>
          <w:szCs w:val="24"/>
          <w:highlight w:val="none"/>
        </w:rPr>
      </w:pPr>
    </w:p>
    <w:p w14:paraId="03625F9D">
      <w:pPr>
        <w:spacing w:before="65" w:line="231" w:lineRule="auto"/>
        <w:ind w:left="3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附件九</w:t>
      </w:r>
      <w:r>
        <w:rPr>
          <w:rFonts w:hint="eastAsia" w:ascii="宋体" w:hAnsi="宋体" w:eastAsia="宋体" w:cs="宋体"/>
          <w:color w:val="auto"/>
          <w:spacing w:val="2"/>
          <w:sz w:val="24"/>
          <w:szCs w:val="24"/>
          <w:highlight w:val="none"/>
          <w:u w:val="single" w:color="auto"/>
        </w:rPr>
        <w:t>……</w:t>
      </w:r>
    </w:p>
    <w:p w14:paraId="150AE13F">
      <w:pPr>
        <w:spacing w:line="231" w:lineRule="auto"/>
        <w:rPr>
          <w:rFonts w:hint="eastAsia" w:ascii="宋体" w:hAnsi="宋体" w:eastAsia="宋体" w:cs="宋体"/>
          <w:color w:val="auto"/>
          <w:sz w:val="24"/>
          <w:szCs w:val="24"/>
          <w:highlight w:val="none"/>
        </w:rPr>
        <w:sectPr>
          <w:headerReference r:id="rId208" w:type="default"/>
          <w:footerReference r:id="rId209" w:type="default"/>
          <w:pgSz w:w="11907" w:h="16840"/>
          <w:pgMar w:top="1182" w:right="1290" w:bottom="1014" w:left="1786" w:header="849" w:footer="852" w:gutter="0"/>
          <w:pgNumType w:fmt="decimal"/>
          <w:cols w:space="720" w:num="1"/>
        </w:sectPr>
      </w:pPr>
    </w:p>
    <w:p w14:paraId="0E179A00">
      <w:pPr>
        <w:pStyle w:val="4"/>
        <w:spacing w:line="257" w:lineRule="auto"/>
        <w:rPr>
          <w:rFonts w:hint="eastAsia" w:ascii="宋体" w:hAnsi="宋体" w:eastAsia="宋体" w:cs="宋体"/>
          <w:color w:val="auto"/>
          <w:highlight w:val="none"/>
        </w:rPr>
      </w:pPr>
    </w:p>
    <w:p w14:paraId="24B2D38B">
      <w:pPr>
        <w:pStyle w:val="4"/>
        <w:spacing w:line="257" w:lineRule="auto"/>
        <w:rPr>
          <w:rFonts w:hint="eastAsia" w:ascii="宋体" w:hAnsi="宋体" w:eastAsia="宋体" w:cs="宋体"/>
          <w:color w:val="auto"/>
          <w:highlight w:val="none"/>
        </w:rPr>
      </w:pPr>
    </w:p>
    <w:p w14:paraId="23C188C4">
      <w:pPr>
        <w:pStyle w:val="4"/>
        <w:spacing w:line="257" w:lineRule="auto"/>
        <w:rPr>
          <w:rFonts w:hint="eastAsia" w:ascii="宋体" w:hAnsi="宋体" w:eastAsia="宋体" w:cs="宋体"/>
          <w:color w:val="auto"/>
          <w:highlight w:val="none"/>
        </w:rPr>
      </w:pPr>
    </w:p>
    <w:p w14:paraId="322730A8">
      <w:pPr>
        <w:pStyle w:val="4"/>
        <w:spacing w:line="257" w:lineRule="auto"/>
        <w:rPr>
          <w:rFonts w:hint="eastAsia" w:ascii="宋体" w:hAnsi="宋体" w:eastAsia="宋体" w:cs="宋体"/>
          <w:color w:val="auto"/>
          <w:highlight w:val="none"/>
        </w:rPr>
      </w:pPr>
    </w:p>
    <w:p w14:paraId="13245483">
      <w:pPr>
        <w:pStyle w:val="4"/>
        <w:spacing w:line="257" w:lineRule="auto"/>
        <w:rPr>
          <w:rFonts w:hint="eastAsia" w:ascii="宋体" w:hAnsi="宋体" w:eastAsia="宋体" w:cs="宋体"/>
          <w:color w:val="auto"/>
          <w:highlight w:val="none"/>
        </w:rPr>
      </w:pPr>
    </w:p>
    <w:p w14:paraId="227BC534">
      <w:pPr>
        <w:pStyle w:val="4"/>
        <w:spacing w:line="257" w:lineRule="auto"/>
        <w:rPr>
          <w:rFonts w:hint="eastAsia" w:ascii="宋体" w:hAnsi="宋体" w:eastAsia="宋体" w:cs="宋体"/>
          <w:color w:val="auto"/>
          <w:highlight w:val="none"/>
        </w:rPr>
      </w:pPr>
    </w:p>
    <w:p w14:paraId="5BD089BD">
      <w:pPr>
        <w:pStyle w:val="4"/>
        <w:spacing w:line="257" w:lineRule="auto"/>
        <w:rPr>
          <w:rFonts w:hint="eastAsia" w:ascii="宋体" w:hAnsi="宋体" w:eastAsia="宋体" w:cs="宋体"/>
          <w:color w:val="auto"/>
          <w:highlight w:val="none"/>
        </w:rPr>
      </w:pPr>
    </w:p>
    <w:p w14:paraId="258C4EAF">
      <w:pPr>
        <w:pStyle w:val="4"/>
        <w:spacing w:line="257" w:lineRule="auto"/>
        <w:rPr>
          <w:rFonts w:hint="eastAsia" w:ascii="宋体" w:hAnsi="宋体" w:eastAsia="宋体" w:cs="宋体"/>
          <w:color w:val="auto"/>
          <w:highlight w:val="none"/>
        </w:rPr>
      </w:pPr>
    </w:p>
    <w:p w14:paraId="6B290C29">
      <w:pPr>
        <w:pStyle w:val="4"/>
        <w:spacing w:line="257" w:lineRule="auto"/>
        <w:rPr>
          <w:rFonts w:hint="eastAsia" w:ascii="宋体" w:hAnsi="宋体" w:eastAsia="宋体" w:cs="宋体"/>
          <w:color w:val="auto"/>
          <w:highlight w:val="none"/>
        </w:rPr>
      </w:pPr>
    </w:p>
    <w:p w14:paraId="02724756">
      <w:pPr>
        <w:pStyle w:val="4"/>
        <w:spacing w:line="257" w:lineRule="auto"/>
        <w:rPr>
          <w:rFonts w:hint="eastAsia" w:ascii="宋体" w:hAnsi="宋体" w:eastAsia="宋体" w:cs="宋体"/>
          <w:color w:val="auto"/>
          <w:highlight w:val="none"/>
        </w:rPr>
      </w:pPr>
    </w:p>
    <w:p w14:paraId="7E70A213">
      <w:pPr>
        <w:pStyle w:val="4"/>
        <w:spacing w:line="257" w:lineRule="auto"/>
        <w:rPr>
          <w:rFonts w:hint="eastAsia" w:ascii="宋体" w:hAnsi="宋体" w:eastAsia="宋体" w:cs="宋体"/>
          <w:color w:val="auto"/>
          <w:highlight w:val="none"/>
        </w:rPr>
      </w:pPr>
    </w:p>
    <w:p w14:paraId="50533A89">
      <w:pPr>
        <w:pStyle w:val="4"/>
        <w:spacing w:line="257" w:lineRule="auto"/>
        <w:rPr>
          <w:rFonts w:hint="eastAsia" w:ascii="宋体" w:hAnsi="宋体" w:eastAsia="宋体" w:cs="宋体"/>
          <w:color w:val="auto"/>
          <w:highlight w:val="none"/>
        </w:rPr>
      </w:pPr>
    </w:p>
    <w:p w14:paraId="6FD72D3B">
      <w:pPr>
        <w:pStyle w:val="4"/>
        <w:spacing w:line="257" w:lineRule="auto"/>
        <w:rPr>
          <w:rFonts w:hint="eastAsia" w:ascii="宋体" w:hAnsi="宋体" w:eastAsia="宋体" w:cs="宋体"/>
          <w:color w:val="auto"/>
          <w:highlight w:val="none"/>
        </w:rPr>
      </w:pPr>
    </w:p>
    <w:p w14:paraId="63987353">
      <w:pPr>
        <w:pStyle w:val="4"/>
        <w:spacing w:line="258" w:lineRule="auto"/>
        <w:rPr>
          <w:rFonts w:hint="eastAsia" w:ascii="宋体" w:hAnsi="宋体" w:eastAsia="宋体" w:cs="宋体"/>
          <w:color w:val="auto"/>
          <w:highlight w:val="none"/>
        </w:rPr>
      </w:pPr>
    </w:p>
    <w:p w14:paraId="56397C56">
      <w:pPr>
        <w:spacing w:before="178" w:line="225" w:lineRule="auto"/>
        <w:ind w:left="2274"/>
        <w:rPr>
          <w:rFonts w:hint="eastAsia" w:ascii="宋体" w:hAnsi="宋体" w:eastAsia="宋体" w:cs="宋体"/>
          <w:color w:val="auto"/>
          <w:sz w:val="55"/>
          <w:szCs w:val="55"/>
          <w:highlight w:val="none"/>
        </w:rPr>
      </w:pPr>
      <w:r>
        <w:rPr>
          <w:rFonts w:hint="eastAsia" w:ascii="宋体" w:hAnsi="宋体" w:eastAsia="宋体" w:cs="宋体"/>
          <w:color w:val="auto"/>
          <w:spacing w:val="6"/>
          <w:sz w:val="55"/>
          <w:szCs w:val="55"/>
          <w:highlight w:val="none"/>
        </w:rPr>
        <w:t>第五章工程量清单</w:t>
      </w:r>
    </w:p>
    <w:p w14:paraId="1AFA0072">
      <w:pPr>
        <w:spacing w:line="225" w:lineRule="auto"/>
        <w:rPr>
          <w:rFonts w:hint="eastAsia" w:ascii="宋体" w:hAnsi="宋体" w:eastAsia="宋体" w:cs="宋体"/>
          <w:color w:val="auto"/>
          <w:sz w:val="55"/>
          <w:szCs w:val="55"/>
          <w:highlight w:val="none"/>
        </w:rPr>
        <w:sectPr>
          <w:footerReference r:id="rId210" w:type="default"/>
          <w:pgSz w:w="11907" w:h="16840"/>
          <w:pgMar w:top="1182" w:right="1290" w:bottom="1014" w:left="1786" w:header="849" w:footer="852" w:gutter="0"/>
          <w:pgNumType w:fmt="decimal"/>
          <w:cols w:space="720" w:num="1"/>
        </w:sectPr>
      </w:pPr>
    </w:p>
    <w:p w14:paraId="5585649A">
      <w:pPr>
        <w:pStyle w:val="4"/>
        <w:spacing w:line="245" w:lineRule="auto"/>
        <w:rPr>
          <w:rFonts w:hint="eastAsia" w:ascii="宋体" w:hAnsi="宋体" w:eastAsia="宋体" w:cs="宋体"/>
          <w:color w:val="auto"/>
          <w:highlight w:val="none"/>
        </w:rPr>
      </w:pPr>
    </w:p>
    <w:p w14:paraId="6849320D">
      <w:pPr>
        <w:pStyle w:val="4"/>
        <w:spacing w:line="245" w:lineRule="auto"/>
        <w:rPr>
          <w:rFonts w:hint="eastAsia" w:ascii="宋体" w:hAnsi="宋体" w:eastAsia="宋体" w:cs="宋体"/>
          <w:color w:val="auto"/>
          <w:highlight w:val="none"/>
        </w:rPr>
      </w:pPr>
    </w:p>
    <w:p w14:paraId="01046DA4">
      <w:pPr>
        <w:pStyle w:val="4"/>
        <w:spacing w:line="245" w:lineRule="auto"/>
        <w:rPr>
          <w:rFonts w:hint="eastAsia" w:ascii="宋体" w:hAnsi="宋体" w:eastAsia="宋体" w:cs="宋体"/>
          <w:color w:val="auto"/>
          <w:highlight w:val="none"/>
        </w:rPr>
      </w:pPr>
    </w:p>
    <w:p w14:paraId="6AA946D6">
      <w:pPr>
        <w:spacing w:before="114" w:line="227" w:lineRule="auto"/>
        <w:ind w:left="2994"/>
        <w:outlineLvl w:val="0"/>
        <w:rPr>
          <w:rFonts w:hint="eastAsia" w:ascii="宋体" w:hAnsi="宋体" w:eastAsia="宋体" w:cs="宋体"/>
          <w:color w:val="auto"/>
          <w:sz w:val="35"/>
          <w:szCs w:val="35"/>
          <w:highlight w:val="none"/>
        </w:rPr>
      </w:pPr>
      <w:bookmarkStart w:id="766" w:name="_Toc13404"/>
      <w:bookmarkStart w:id="767" w:name="_Toc28631"/>
      <w:bookmarkStart w:id="768" w:name="_Toc10131"/>
      <w:bookmarkStart w:id="769" w:name="_Toc19998"/>
      <w:bookmarkStart w:id="770" w:name="_Toc25672"/>
      <w:r>
        <w:rPr>
          <w:rFonts w:hint="eastAsia" w:ascii="宋体" w:hAnsi="宋体" w:eastAsia="宋体" w:cs="宋体"/>
          <w:color w:val="auto"/>
          <w:spacing w:val="8"/>
          <w:sz w:val="35"/>
          <w:szCs w:val="35"/>
          <w:highlight w:val="none"/>
        </w:rPr>
        <w:t>第五章工程量清单</w:t>
      </w:r>
      <w:bookmarkEnd w:id="766"/>
      <w:bookmarkEnd w:id="767"/>
      <w:bookmarkEnd w:id="768"/>
      <w:bookmarkEnd w:id="769"/>
      <w:bookmarkEnd w:id="770"/>
    </w:p>
    <w:p w14:paraId="02CE5667">
      <w:pPr>
        <w:pStyle w:val="4"/>
        <w:spacing w:line="351" w:lineRule="auto"/>
        <w:rPr>
          <w:rFonts w:hint="eastAsia" w:ascii="宋体" w:hAnsi="宋体" w:eastAsia="宋体" w:cs="宋体"/>
          <w:color w:val="auto"/>
          <w:highlight w:val="none"/>
        </w:rPr>
      </w:pPr>
    </w:p>
    <w:p w14:paraId="72ED1E6B">
      <w:pPr>
        <w:pStyle w:val="4"/>
        <w:spacing w:line="352" w:lineRule="auto"/>
        <w:rPr>
          <w:rFonts w:hint="eastAsia" w:ascii="宋体" w:hAnsi="宋体" w:eastAsia="宋体" w:cs="宋体"/>
          <w:color w:val="auto"/>
          <w:highlight w:val="none"/>
        </w:rPr>
      </w:pPr>
    </w:p>
    <w:p w14:paraId="63681491">
      <w:pPr>
        <w:spacing w:before="81" w:line="206" w:lineRule="auto"/>
        <w:ind w:left="469"/>
        <w:outlineLvl w:val="1"/>
        <w:rPr>
          <w:rFonts w:hint="eastAsia" w:ascii="宋体" w:hAnsi="宋体" w:eastAsia="宋体" w:cs="宋体"/>
          <w:color w:val="auto"/>
          <w:sz w:val="24"/>
          <w:szCs w:val="24"/>
          <w:highlight w:val="none"/>
        </w:rPr>
      </w:pPr>
      <w:bookmarkStart w:id="771" w:name="bookmark64"/>
      <w:bookmarkEnd w:id="771"/>
      <w:bookmarkStart w:id="772" w:name="_Toc18563"/>
      <w:bookmarkStart w:id="773" w:name="_Toc16565"/>
      <w:bookmarkStart w:id="774" w:name="_Toc28148"/>
      <w:bookmarkStart w:id="775" w:name="_Toc7720"/>
      <w:bookmarkStart w:id="776" w:name="_Toc31448"/>
      <w:r>
        <w:rPr>
          <w:rFonts w:hint="eastAsia" w:ascii="宋体" w:hAnsi="宋体" w:eastAsia="宋体" w:cs="宋体"/>
          <w:color w:val="auto"/>
          <w:spacing w:val="-4"/>
          <w:sz w:val="28"/>
          <w:szCs w:val="28"/>
          <w:highlight w:val="none"/>
        </w:rPr>
        <w:t>1.</w:t>
      </w:r>
      <w:r>
        <w:rPr>
          <w:rFonts w:hint="eastAsia" w:ascii="宋体" w:hAnsi="宋体" w:eastAsia="宋体" w:cs="宋体"/>
          <w:color w:val="auto"/>
          <w:spacing w:val="-4"/>
          <w:sz w:val="24"/>
          <w:szCs w:val="24"/>
          <w:highlight w:val="none"/>
        </w:rPr>
        <w:t>工程量清单说明</w:t>
      </w:r>
      <w:bookmarkEnd w:id="772"/>
      <w:bookmarkEnd w:id="773"/>
      <w:bookmarkEnd w:id="774"/>
      <w:bookmarkEnd w:id="775"/>
      <w:bookmarkEnd w:id="776"/>
    </w:p>
    <w:p w14:paraId="4962BCB4">
      <w:pPr>
        <w:pStyle w:val="4"/>
        <w:spacing w:line="269" w:lineRule="auto"/>
        <w:rPr>
          <w:rFonts w:hint="eastAsia" w:ascii="宋体" w:hAnsi="宋体" w:eastAsia="宋体" w:cs="宋体"/>
          <w:color w:val="auto"/>
          <w:highlight w:val="none"/>
        </w:rPr>
      </w:pPr>
    </w:p>
    <w:p w14:paraId="52C1A61E">
      <w:pPr>
        <w:spacing w:before="78" w:line="288" w:lineRule="auto"/>
        <w:ind w:left="444" w:right="235" w:firstLine="4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1.1本工程量清单是根据招标文件中包括的有合同约束力的工程量清单计量</w:t>
      </w:r>
      <w:r>
        <w:rPr>
          <w:rFonts w:hint="eastAsia" w:ascii="宋体" w:hAnsi="宋体" w:eastAsia="宋体" w:cs="宋体"/>
          <w:color w:val="auto"/>
          <w:sz w:val="24"/>
          <w:szCs w:val="24"/>
          <w:highlight w:val="none"/>
        </w:rPr>
        <w:t>规则、图纸以及有关工程量清单的国家标准、行</w:t>
      </w:r>
      <w:r>
        <w:rPr>
          <w:rFonts w:hint="eastAsia" w:ascii="宋体" w:hAnsi="宋体" w:eastAsia="宋体" w:cs="宋体"/>
          <w:color w:val="auto"/>
          <w:spacing w:val="-1"/>
          <w:sz w:val="24"/>
          <w:szCs w:val="24"/>
          <w:highlight w:val="none"/>
        </w:rPr>
        <w:t>业标准、合同条款中约定的其他</w:t>
      </w:r>
      <w:r>
        <w:rPr>
          <w:rFonts w:hint="eastAsia" w:ascii="宋体" w:hAnsi="宋体" w:eastAsia="宋体" w:cs="宋体"/>
          <w:color w:val="auto"/>
          <w:sz w:val="24"/>
          <w:szCs w:val="24"/>
          <w:highlight w:val="none"/>
        </w:rPr>
        <w:t>规则编制。约定计量规则中没有的子目，其工程</w:t>
      </w:r>
      <w:r>
        <w:rPr>
          <w:rFonts w:hint="eastAsia" w:ascii="宋体" w:hAnsi="宋体" w:eastAsia="宋体" w:cs="宋体"/>
          <w:color w:val="auto"/>
          <w:spacing w:val="-1"/>
          <w:sz w:val="24"/>
          <w:szCs w:val="24"/>
          <w:highlight w:val="none"/>
        </w:rPr>
        <w:t>量按照有合同约束力的图纸所标示尺寸的理论净量计算。计量采用中华人民共和国法定计量单位。</w:t>
      </w:r>
    </w:p>
    <w:p w14:paraId="23D208CB">
      <w:pPr>
        <w:spacing w:before="120" w:line="266" w:lineRule="auto"/>
        <w:ind w:left="444" w:right="235" w:firstLine="43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1.2本工程量清单应与招标文件中的投标人须知、通用合同条款、专用合同条</w:t>
      </w:r>
      <w:r>
        <w:rPr>
          <w:rFonts w:hint="eastAsia" w:ascii="宋体" w:hAnsi="宋体" w:eastAsia="宋体" w:cs="宋体"/>
          <w:color w:val="auto"/>
          <w:spacing w:val="-1"/>
          <w:sz w:val="24"/>
          <w:szCs w:val="24"/>
          <w:highlight w:val="none"/>
        </w:rPr>
        <w:t>款、工程量清单计量规则、技术规范及图纸等一起阅读和理解。</w:t>
      </w:r>
    </w:p>
    <w:p w14:paraId="7A821EFD">
      <w:pPr>
        <w:spacing w:before="121" w:line="292" w:lineRule="auto"/>
        <w:ind w:left="442" w:right="206" w:firstLine="432"/>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1.3本工程量清单中所列工程数量是估算的或设计的预计数量，仅作为投标报</w:t>
      </w:r>
      <w:r>
        <w:rPr>
          <w:rFonts w:hint="eastAsia" w:ascii="宋体" w:hAnsi="宋体" w:eastAsia="宋体" w:cs="宋体"/>
          <w:color w:val="auto"/>
          <w:spacing w:val="-21"/>
          <w:sz w:val="24"/>
          <w:szCs w:val="24"/>
          <w:highlight w:val="none"/>
        </w:rPr>
        <w:t>价的共同基础，不能作为最终结算与支付的依据。实际支付应按实际完成的工程量，由</w:t>
      </w:r>
      <w:r>
        <w:rPr>
          <w:rFonts w:hint="eastAsia" w:ascii="宋体" w:hAnsi="宋体" w:eastAsia="宋体" w:cs="宋体"/>
          <w:color w:val="auto"/>
          <w:spacing w:val="-22"/>
          <w:w w:val="98"/>
          <w:sz w:val="24"/>
          <w:szCs w:val="24"/>
          <w:highlight w:val="none"/>
        </w:rPr>
        <w:t>承包人按工程量清单计量规则规定的计量方法，以监理人认可的尺寸、断面计量，按本工</w:t>
      </w:r>
      <w:r>
        <w:rPr>
          <w:rFonts w:hint="eastAsia" w:ascii="宋体" w:hAnsi="宋体" w:eastAsia="宋体" w:cs="宋体"/>
          <w:color w:val="auto"/>
          <w:spacing w:val="-23"/>
          <w:w w:val="95"/>
          <w:sz w:val="24"/>
          <w:szCs w:val="24"/>
          <w:highlight w:val="none"/>
        </w:rPr>
        <w:t>程量清单的单价和总额价计算支付金额；或根据具体情况，按合同条款第15.4款的规定，按</w:t>
      </w:r>
      <w:r>
        <w:rPr>
          <w:rFonts w:hint="eastAsia" w:ascii="宋体" w:hAnsi="宋体" w:eastAsia="宋体" w:cs="宋体"/>
          <w:color w:val="auto"/>
          <w:spacing w:val="-1"/>
          <w:sz w:val="24"/>
          <w:szCs w:val="24"/>
          <w:highlight w:val="none"/>
        </w:rPr>
        <w:t>监理人确定的单价或总额价计算支付额。</w:t>
      </w:r>
    </w:p>
    <w:p w14:paraId="66917399">
      <w:pPr>
        <w:spacing w:before="124" w:line="288" w:lineRule="auto"/>
        <w:ind w:left="443" w:firstLine="431"/>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1.4工程量清单各章是按第八章“工程量清单计量规则”、第七章“技术规范”</w:t>
      </w:r>
      <w:r>
        <w:rPr>
          <w:rFonts w:hint="eastAsia" w:ascii="宋体" w:hAnsi="宋体" w:eastAsia="宋体" w:cs="宋体"/>
          <w:color w:val="auto"/>
          <w:spacing w:val="-15"/>
          <w:sz w:val="24"/>
          <w:szCs w:val="24"/>
          <w:highlight w:val="none"/>
        </w:rPr>
        <w:t>的相应章次编号的，因此，工程量清单中各章的工程子目的范围与计量等应与“工程</w:t>
      </w:r>
      <w:r>
        <w:rPr>
          <w:rFonts w:hint="eastAsia" w:ascii="宋体" w:hAnsi="宋体" w:eastAsia="宋体" w:cs="宋体"/>
          <w:color w:val="auto"/>
          <w:spacing w:val="-2"/>
          <w:sz w:val="24"/>
          <w:szCs w:val="24"/>
          <w:highlight w:val="none"/>
        </w:rPr>
        <w:t>量清单计量规则”“技术规范”相应章节的范围、计量与支付条</w:t>
      </w:r>
      <w:r>
        <w:rPr>
          <w:rFonts w:hint="eastAsia" w:ascii="宋体" w:hAnsi="宋体" w:eastAsia="宋体" w:cs="宋体"/>
          <w:color w:val="auto"/>
          <w:spacing w:val="-3"/>
          <w:sz w:val="24"/>
          <w:szCs w:val="24"/>
          <w:highlight w:val="none"/>
        </w:rPr>
        <w:t>款结合起来理解或解释。</w:t>
      </w:r>
    </w:p>
    <w:p w14:paraId="42F9944D">
      <w:pPr>
        <w:spacing w:before="120" w:line="265" w:lineRule="auto"/>
        <w:ind w:left="443" w:right="235" w:firstLine="431"/>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1.5对作业和材料的一般说明或规定，未重复写入工程量清单内，在给工程量</w:t>
      </w:r>
      <w:r>
        <w:rPr>
          <w:rFonts w:hint="eastAsia" w:ascii="宋体" w:hAnsi="宋体" w:eastAsia="宋体" w:cs="宋体"/>
          <w:color w:val="auto"/>
          <w:spacing w:val="-2"/>
          <w:sz w:val="24"/>
          <w:szCs w:val="24"/>
          <w:highlight w:val="none"/>
        </w:rPr>
        <w:t>清单各子目标价前，应参阅第七章“技术规范”的有关内容。</w:t>
      </w:r>
    </w:p>
    <w:p w14:paraId="4A37F7F8">
      <w:pPr>
        <w:spacing w:before="124" w:line="265" w:lineRule="auto"/>
        <w:ind w:left="448" w:right="173" w:firstLine="426"/>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1.6工程量清单中所列工程量的变动，丝毫不会降低或影</w:t>
      </w:r>
      <w:r>
        <w:rPr>
          <w:rFonts w:hint="eastAsia" w:ascii="宋体" w:hAnsi="宋体" w:eastAsia="宋体" w:cs="宋体"/>
          <w:color w:val="auto"/>
          <w:spacing w:val="-3"/>
          <w:sz w:val="24"/>
          <w:szCs w:val="24"/>
          <w:highlight w:val="none"/>
        </w:rPr>
        <w:t>响合同条款的效力，</w:t>
      </w:r>
      <w:r>
        <w:rPr>
          <w:rFonts w:hint="eastAsia" w:ascii="宋体" w:hAnsi="宋体" w:eastAsia="宋体" w:cs="宋体"/>
          <w:color w:val="auto"/>
          <w:spacing w:val="-1"/>
          <w:sz w:val="24"/>
          <w:szCs w:val="24"/>
          <w:highlight w:val="none"/>
        </w:rPr>
        <w:t>也不免除承包人按规定的标准进行施工和修复缺陷的责任。</w:t>
      </w:r>
    </w:p>
    <w:p w14:paraId="0BD2CE95">
      <w:pPr>
        <w:spacing w:before="122" w:line="280" w:lineRule="auto"/>
        <w:ind w:left="448" w:right="235" w:firstLine="426"/>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1.7图纸中所列的工程数量表及数量汇总表仅是提供资料，不</w:t>
      </w:r>
      <w:r>
        <w:rPr>
          <w:rFonts w:hint="eastAsia" w:ascii="宋体" w:hAnsi="宋体" w:eastAsia="宋体" w:cs="宋体"/>
          <w:color w:val="auto"/>
          <w:spacing w:val="-6"/>
          <w:sz w:val="24"/>
          <w:szCs w:val="24"/>
          <w:highlight w:val="none"/>
        </w:rPr>
        <w:t>是工程量清单的</w:t>
      </w:r>
      <w:r>
        <w:rPr>
          <w:rFonts w:hint="eastAsia" w:ascii="宋体" w:hAnsi="宋体" w:eastAsia="宋体" w:cs="宋体"/>
          <w:color w:val="auto"/>
          <w:spacing w:val="-1"/>
          <w:sz w:val="24"/>
          <w:szCs w:val="24"/>
          <w:highlight w:val="none"/>
        </w:rPr>
        <w:t>外延。当图纸与工程量清单所列数量不一致时，以工程量清单所列数量作为报价</w:t>
      </w:r>
      <w:r>
        <w:rPr>
          <w:rFonts w:hint="eastAsia" w:ascii="宋体" w:hAnsi="宋体" w:eastAsia="宋体" w:cs="宋体"/>
          <w:color w:val="auto"/>
          <w:spacing w:val="-4"/>
          <w:sz w:val="24"/>
          <w:szCs w:val="24"/>
          <w:highlight w:val="none"/>
        </w:rPr>
        <w:t>的依据。</w:t>
      </w:r>
    </w:p>
    <w:p w14:paraId="2DEFA5E5">
      <w:pPr>
        <w:pStyle w:val="4"/>
        <w:spacing w:line="305" w:lineRule="auto"/>
        <w:rPr>
          <w:rFonts w:hint="eastAsia" w:ascii="宋体" w:hAnsi="宋体" w:eastAsia="宋体" w:cs="宋体"/>
          <w:color w:val="auto"/>
          <w:highlight w:val="none"/>
        </w:rPr>
      </w:pPr>
    </w:p>
    <w:p w14:paraId="00A0D615">
      <w:pPr>
        <w:spacing w:before="81" w:line="204" w:lineRule="auto"/>
        <w:ind w:left="442"/>
        <w:outlineLvl w:val="1"/>
        <w:rPr>
          <w:rFonts w:hint="eastAsia" w:ascii="宋体" w:hAnsi="宋体" w:eastAsia="宋体" w:cs="宋体"/>
          <w:color w:val="auto"/>
          <w:sz w:val="24"/>
          <w:szCs w:val="24"/>
          <w:highlight w:val="none"/>
        </w:rPr>
      </w:pPr>
      <w:bookmarkStart w:id="777" w:name="_Toc6661"/>
      <w:bookmarkStart w:id="778" w:name="_Toc10421"/>
      <w:bookmarkStart w:id="779" w:name="_Toc21772"/>
      <w:bookmarkStart w:id="780" w:name="_Toc28902"/>
      <w:bookmarkStart w:id="781" w:name="_Toc14062"/>
      <w:r>
        <w:rPr>
          <w:rFonts w:hint="eastAsia" w:ascii="宋体" w:hAnsi="宋体" w:eastAsia="宋体" w:cs="宋体"/>
          <w:color w:val="auto"/>
          <w:spacing w:val="-2"/>
          <w:sz w:val="28"/>
          <w:szCs w:val="28"/>
          <w:highlight w:val="none"/>
        </w:rPr>
        <w:t>2.</w:t>
      </w:r>
      <w:r>
        <w:rPr>
          <w:rFonts w:hint="eastAsia" w:ascii="宋体" w:hAnsi="宋体" w:eastAsia="宋体" w:cs="宋体"/>
          <w:color w:val="auto"/>
          <w:spacing w:val="-2"/>
          <w:sz w:val="24"/>
          <w:szCs w:val="24"/>
          <w:highlight w:val="none"/>
        </w:rPr>
        <w:t>投标报价说明</w:t>
      </w:r>
      <w:bookmarkEnd w:id="777"/>
      <w:bookmarkEnd w:id="778"/>
      <w:bookmarkEnd w:id="779"/>
      <w:bookmarkEnd w:id="780"/>
      <w:bookmarkEnd w:id="781"/>
    </w:p>
    <w:p w14:paraId="52F3D24E">
      <w:pPr>
        <w:pStyle w:val="4"/>
        <w:spacing w:line="270" w:lineRule="auto"/>
        <w:rPr>
          <w:rFonts w:hint="eastAsia" w:ascii="宋体" w:hAnsi="宋体" w:eastAsia="宋体" w:cs="宋体"/>
          <w:color w:val="auto"/>
          <w:highlight w:val="none"/>
        </w:rPr>
      </w:pPr>
    </w:p>
    <w:p w14:paraId="3B7CEBA6">
      <w:pPr>
        <w:spacing w:before="79" w:line="218" w:lineRule="auto"/>
        <w:ind w:left="85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2.1工程量清单中的每一子目须填入单价或价格，且只允许有一个报</w:t>
      </w:r>
      <w:r>
        <w:rPr>
          <w:rFonts w:hint="eastAsia" w:ascii="宋体" w:hAnsi="宋体" w:eastAsia="宋体" w:cs="宋体"/>
          <w:color w:val="auto"/>
          <w:spacing w:val="-1"/>
          <w:sz w:val="24"/>
          <w:szCs w:val="24"/>
          <w:highlight w:val="none"/>
        </w:rPr>
        <w:t>价。</w:t>
      </w:r>
    </w:p>
    <w:p w14:paraId="2756CD9F">
      <w:pPr>
        <w:spacing w:before="121" w:line="280" w:lineRule="auto"/>
        <w:ind w:left="442" w:right="215" w:firstLine="409"/>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2.2除非合同另有规定，工程量清单中有标价的单价和</w:t>
      </w:r>
      <w:r>
        <w:rPr>
          <w:rFonts w:hint="eastAsia" w:ascii="宋体" w:hAnsi="宋体" w:eastAsia="宋体" w:cs="宋体"/>
          <w:color w:val="auto"/>
          <w:spacing w:val="-5"/>
          <w:sz w:val="24"/>
          <w:szCs w:val="24"/>
          <w:highlight w:val="none"/>
        </w:rPr>
        <w:t>总额价均已包括了为实</w:t>
      </w:r>
      <w:r>
        <w:rPr>
          <w:rFonts w:hint="eastAsia" w:ascii="宋体" w:hAnsi="宋体" w:eastAsia="宋体" w:cs="宋体"/>
          <w:color w:val="auto"/>
          <w:spacing w:val="-24"/>
          <w:sz w:val="24"/>
          <w:szCs w:val="24"/>
          <w:highlight w:val="none"/>
        </w:rPr>
        <w:t>施和完成合同工程所需的劳务、材料、机械、质检</w:t>
      </w:r>
      <w:r>
        <w:rPr>
          <w:rFonts w:hint="eastAsia" w:ascii="宋体" w:hAnsi="宋体" w:eastAsia="宋体" w:cs="宋体"/>
          <w:color w:val="auto"/>
          <w:spacing w:val="-25"/>
          <w:sz w:val="24"/>
          <w:szCs w:val="24"/>
          <w:highlight w:val="none"/>
        </w:rPr>
        <w:t>（自检、）安装、缺陷修复、管理、保</w:t>
      </w:r>
      <w:r>
        <w:rPr>
          <w:rFonts w:hint="eastAsia" w:ascii="宋体" w:hAnsi="宋体" w:eastAsia="宋体" w:cs="宋体"/>
          <w:color w:val="auto"/>
          <w:spacing w:val="-19"/>
          <w:sz w:val="24"/>
          <w:szCs w:val="24"/>
          <w:highlight w:val="none"/>
        </w:rPr>
        <w:t>险、税费、利润等费用，以及合同明示或暗示的所有责任、义务和</w:t>
      </w:r>
      <w:r>
        <w:rPr>
          <w:rFonts w:hint="eastAsia" w:ascii="宋体" w:hAnsi="宋体" w:eastAsia="宋体" w:cs="宋体"/>
          <w:color w:val="auto"/>
          <w:spacing w:val="-20"/>
          <w:sz w:val="24"/>
          <w:szCs w:val="24"/>
          <w:highlight w:val="none"/>
        </w:rPr>
        <w:t>一般风险。</w:t>
      </w:r>
    </w:p>
    <w:p w14:paraId="56430255">
      <w:pPr>
        <w:spacing w:line="280" w:lineRule="auto"/>
        <w:rPr>
          <w:rFonts w:hint="eastAsia" w:ascii="宋体" w:hAnsi="宋体" w:eastAsia="宋体" w:cs="宋体"/>
          <w:color w:val="auto"/>
          <w:sz w:val="24"/>
          <w:szCs w:val="24"/>
          <w:highlight w:val="none"/>
        </w:rPr>
        <w:sectPr>
          <w:headerReference r:id="rId211" w:type="default"/>
          <w:footerReference r:id="rId212" w:type="default"/>
          <w:pgSz w:w="11907" w:h="16840"/>
          <w:pgMar w:top="1182" w:right="1054" w:bottom="1014" w:left="1786" w:header="849" w:footer="852" w:gutter="0"/>
          <w:pgNumType w:fmt="decimal"/>
          <w:cols w:space="720" w:num="1"/>
        </w:sectPr>
      </w:pPr>
    </w:p>
    <w:p w14:paraId="376130A8">
      <w:pPr>
        <w:spacing w:before="292" w:line="280" w:lineRule="auto"/>
        <w:ind w:left="442" w:right="87" w:firstLine="40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2.3工程量清单中投标人没有填入单价或价格的子目</w:t>
      </w:r>
      <w:r>
        <w:rPr>
          <w:rFonts w:hint="eastAsia" w:ascii="宋体" w:hAnsi="宋体" w:eastAsia="宋体" w:cs="宋体"/>
          <w:color w:val="auto"/>
          <w:spacing w:val="-4"/>
          <w:sz w:val="24"/>
          <w:szCs w:val="24"/>
          <w:highlight w:val="none"/>
        </w:rPr>
        <w:t>，其费用视为已分摊在工</w:t>
      </w:r>
      <w:r>
        <w:rPr>
          <w:rFonts w:hint="eastAsia" w:ascii="宋体" w:hAnsi="宋体" w:eastAsia="宋体" w:cs="宋体"/>
          <w:color w:val="auto"/>
          <w:sz w:val="24"/>
          <w:szCs w:val="24"/>
          <w:highlight w:val="none"/>
        </w:rPr>
        <w:t>程量清单中其他相关子目的单价或价格之中。承包人</w:t>
      </w:r>
      <w:r>
        <w:rPr>
          <w:rFonts w:hint="eastAsia" w:ascii="宋体" w:hAnsi="宋体" w:eastAsia="宋体" w:cs="宋体"/>
          <w:color w:val="auto"/>
          <w:spacing w:val="-1"/>
          <w:sz w:val="24"/>
          <w:szCs w:val="24"/>
          <w:highlight w:val="none"/>
        </w:rPr>
        <w:t>必须按监理人指令完成工程量清单中未填入单价或价格的子目，但不能得到结算与支付。</w:t>
      </w:r>
    </w:p>
    <w:p w14:paraId="298CCA97">
      <w:pPr>
        <w:spacing w:before="196" w:line="280" w:lineRule="auto"/>
        <w:ind w:left="446" w:right="87" w:firstLine="40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2.4符合合同条款规定的全部费用应认为已被计入有标价的工程量清单</w:t>
      </w:r>
      <w:r>
        <w:rPr>
          <w:rFonts w:hint="eastAsia" w:ascii="宋体" w:hAnsi="宋体" w:eastAsia="宋体" w:cs="宋体"/>
          <w:color w:val="auto"/>
          <w:spacing w:val="-1"/>
          <w:sz w:val="24"/>
          <w:szCs w:val="24"/>
          <w:highlight w:val="none"/>
        </w:rPr>
        <w:t>所列</w:t>
      </w:r>
      <w:r>
        <w:rPr>
          <w:rFonts w:hint="eastAsia" w:ascii="宋体" w:hAnsi="宋体" w:eastAsia="宋体" w:cs="宋体"/>
          <w:color w:val="auto"/>
          <w:sz w:val="24"/>
          <w:szCs w:val="24"/>
          <w:highlight w:val="none"/>
        </w:rPr>
        <w:t>各子目之中，未列子目不予计量的工作，其</w:t>
      </w:r>
      <w:r>
        <w:rPr>
          <w:rFonts w:hint="eastAsia" w:ascii="宋体" w:hAnsi="宋体" w:eastAsia="宋体" w:cs="宋体"/>
          <w:color w:val="auto"/>
          <w:spacing w:val="-1"/>
          <w:sz w:val="24"/>
          <w:szCs w:val="24"/>
          <w:highlight w:val="none"/>
        </w:rPr>
        <w:t>费用应视为已分摊在本合同工程的有关子目的单价或总额价之中。</w:t>
      </w:r>
    </w:p>
    <w:p w14:paraId="59A44352">
      <w:pPr>
        <w:spacing w:before="122" w:line="265" w:lineRule="auto"/>
        <w:ind w:left="443" w:right="87" w:firstLine="408"/>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2.5承包人用于本合同工程的各类装备的提供、运输</w:t>
      </w:r>
      <w:r>
        <w:rPr>
          <w:rFonts w:hint="eastAsia" w:ascii="宋体" w:hAnsi="宋体" w:eastAsia="宋体" w:cs="宋体"/>
          <w:color w:val="auto"/>
          <w:spacing w:val="-4"/>
          <w:sz w:val="24"/>
          <w:szCs w:val="24"/>
          <w:highlight w:val="none"/>
        </w:rPr>
        <w:t>、维护、拆卸、拼装等支</w:t>
      </w:r>
      <w:r>
        <w:rPr>
          <w:rFonts w:hint="eastAsia" w:ascii="宋体" w:hAnsi="宋体" w:eastAsia="宋体" w:cs="宋体"/>
          <w:color w:val="auto"/>
          <w:spacing w:val="-1"/>
          <w:sz w:val="24"/>
          <w:szCs w:val="24"/>
          <w:highlight w:val="none"/>
        </w:rPr>
        <w:t>付的费用，已包括在工程量清单的单价与总额价之中。</w:t>
      </w:r>
    </w:p>
    <w:p w14:paraId="250B607A">
      <w:pPr>
        <w:spacing w:before="193" w:line="219" w:lineRule="auto"/>
        <w:ind w:left="85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2.6工程量清单中各项金额均以人民币（元）结</w:t>
      </w:r>
      <w:r>
        <w:rPr>
          <w:rFonts w:hint="eastAsia" w:ascii="宋体" w:hAnsi="宋体" w:eastAsia="宋体" w:cs="宋体"/>
          <w:color w:val="auto"/>
          <w:spacing w:val="-1"/>
          <w:sz w:val="24"/>
          <w:szCs w:val="24"/>
          <w:highlight w:val="none"/>
        </w:rPr>
        <w:t>算。</w:t>
      </w:r>
    </w:p>
    <w:p w14:paraId="6AA9CCA6">
      <w:pPr>
        <w:spacing w:before="193" w:line="219" w:lineRule="auto"/>
        <w:ind w:left="85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2.7暂列金额（不含计日工总额）的数量及拟用子目的说明：</w:t>
      </w:r>
      <w:r>
        <w:rPr>
          <w:rFonts w:hint="eastAsia" w:ascii="宋体" w:hAnsi="宋体" w:eastAsia="宋体" w:cs="宋体"/>
          <w:color w:val="auto"/>
          <w:sz w:val="24"/>
          <w:szCs w:val="24"/>
          <w:highlight w:val="none"/>
          <w:u w:val="single" w:color="auto"/>
        </w:rPr>
        <w:t>。</w:t>
      </w:r>
    </w:p>
    <w:p w14:paraId="33685647">
      <w:pPr>
        <w:spacing w:before="196" w:line="218" w:lineRule="auto"/>
        <w:ind w:left="85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2.8暂估价的数量及拟用子目的说明</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1"/>
          <w:sz w:val="24"/>
          <w:szCs w:val="24"/>
          <w:highlight w:val="none"/>
          <w:u w:val="single" w:color="auto"/>
        </w:rPr>
        <w:t>。</w:t>
      </w:r>
    </w:p>
    <w:p w14:paraId="7F8BA14A">
      <w:pPr>
        <w:spacing w:before="236" w:line="188" w:lineRule="auto"/>
        <w:ind w:left="85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2.9</w:t>
      </w:r>
    </w:p>
    <w:p w14:paraId="53FBE38E">
      <w:pPr>
        <w:pStyle w:val="4"/>
        <w:spacing w:line="321" w:lineRule="auto"/>
        <w:rPr>
          <w:rFonts w:hint="eastAsia" w:ascii="宋体" w:hAnsi="宋体" w:eastAsia="宋体" w:cs="宋体"/>
          <w:color w:val="auto"/>
          <w:highlight w:val="none"/>
        </w:rPr>
      </w:pPr>
    </w:p>
    <w:p w14:paraId="348F6CB3">
      <w:pPr>
        <w:spacing w:before="81" w:line="206" w:lineRule="auto"/>
        <w:ind w:left="447"/>
        <w:outlineLvl w:val="1"/>
        <w:rPr>
          <w:rFonts w:hint="eastAsia" w:ascii="宋体" w:hAnsi="宋体" w:eastAsia="宋体" w:cs="宋体"/>
          <w:color w:val="auto"/>
          <w:sz w:val="24"/>
          <w:szCs w:val="24"/>
          <w:highlight w:val="none"/>
        </w:rPr>
      </w:pPr>
      <w:bookmarkStart w:id="782" w:name="_Toc11882"/>
      <w:bookmarkStart w:id="783" w:name="_Toc20784"/>
      <w:bookmarkStart w:id="784" w:name="_Toc6427"/>
      <w:bookmarkStart w:id="785" w:name="_Toc10491"/>
      <w:bookmarkStart w:id="786" w:name="_Toc15875"/>
      <w:r>
        <w:rPr>
          <w:rFonts w:hint="eastAsia" w:ascii="宋体" w:hAnsi="宋体" w:eastAsia="宋体" w:cs="宋体"/>
          <w:color w:val="auto"/>
          <w:spacing w:val="-3"/>
          <w:sz w:val="28"/>
          <w:szCs w:val="28"/>
          <w:highlight w:val="none"/>
        </w:rPr>
        <w:t>3.</w:t>
      </w:r>
      <w:r>
        <w:rPr>
          <w:rFonts w:hint="eastAsia" w:ascii="宋体" w:hAnsi="宋体" w:eastAsia="宋体" w:cs="宋体"/>
          <w:color w:val="auto"/>
          <w:spacing w:val="-3"/>
          <w:sz w:val="24"/>
          <w:szCs w:val="24"/>
          <w:highlight w:val="none"/>
        </w:rPr>
        <w:t>计日工说明</w:t>
      </w:r>
      <w:bookmarkEnd w:id="782"/>
      <w:bookmarkEnd w:id="783"/>
      <w:bookmarkEnd w:id="784"/>
      <w:bookmarkEnd w:id="785"/>
      <w:bookmarkEnd w:id="786"/>
    </w:p>
    <w:p w14:paraId="6FE46994">
      <w:pPr>
        <w:spacing w:before="27" w:line="220" w:lineRule="auto"/>
        <w:ind w:left="856"/>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3.1总则</w:t>
      </w:r>
    </w:p>
    <w:p w14:paraId="617F6D5D">
      <w:pPr>
        <w:spacing w:before="116" w:line="219" w:lineRule="auto"/>
        <w:ind w:left="867"/>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（1）本说明应参照通用合同条款第15.7款一并理解。</w:t>
      </w:r>
    </w:p>
    <w:p w14:paraId="121E955C">
      <w:pPr>
        <w:spacing w:before="123" w:line="264" w:lineRule="auto"/>
        <w:ind w:left="446" w:right="87" w:firstLine="42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（2）未经监理人书面指令，任何工程不得按计日工施</w:t>
      </w:r>
      <w:r>
        <w:rPr>
          <w:rFonts w:hint="eastAsia" w:ascii="宋体" w:hAnsi="宋体" w:eastAsia="宋体" w:cs="宋体"/>
          <w:color w:val="auto"/>
          <w:spacing w:val="-3"/>
          <w:sz w:val="24"/>
          <w:szCs w:val="24"/>
          <w:highlight w:val="none"/>
        </w:rPr>
        <w:t>工；接到监理人按计日</w:t>
      </w:r>
      <w:r>
        <w:rPr>
          <w:rFonts w:hint="eastAsia" w:ascii="宋体" w:hAnsi="宋体" w:eastAsia="宋体" w:cs="宋体"/>
          <w:color w:val="auto"/>
          <w:spacing w:val="-1"/>
          <w:sz w:val="24"/>
          <w:szCs w:val="24"/>
          <w:highlight w:val="none"/>
        </w:rPr>
        <w:t>工施工的书面指令，承包人也不得拒绝。</w:t>
      </w:r>
    </w:p>
    <w:p w14:paraId="5DB421ED">
      <w:pPr>
        <w:spacing w:before="121" w:line="288" w:lineRule="auto"/>
        <w:ind w:left="444" w:right="87" w:firstLine="42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（3）投标人应在计日工单价表中填列计日工子目的基</w:t>
      </w:r>
      <w:r>
        <w:rPr>
          <w:rFonts w:hint="eastAsia" w:ascii="宋体" w:hAnsi="宋体" w:eastAsia="宋体" w:cs="宋体"/>
          <w:color w:val="auto"/>
          <w:spacing w:val="-3"/>
          <w:sz w:val="24"/>
          <w:szCs w:val="24"/>
          <w:highlight w:val="none"/>
        </w:rPr>
        <w:t>本单价或租价，该基本</w:t>
      </w:r>
      <w:r>
        <w:rPr>
          <w:rFonts w:hint="eastAsia" w:ascii="宋体" w:hAnsi="宋体" w:eastAsia="宋体" w:cs="宋体"/>
          <w:color w:val="auto"/>
          <w:spacing w:val="7"/>
          <w:sz w:val="24"/>
          <w:szCs w:val="24"/>
          <w:highlight w:val="none"/>
        </w:rPr>
        <w:t>单价或租价适用于监理人指令的任何数量的计日</w:t>
      </w:r>
      <w:r>
        <w:rPr>
          <w:rFonts w:hint="eastAsia" w:ascii="宋体" w:hAnsi="宋体" w:eastAsia="宋体" w:cs="宋体"/>
          <w:color w:val="auto"/>
          <w:spacing w:val="6"/>
          <w:sz w:val="24"/>
          <w:szCs w:val="24"/>
          <w:highlight w:val="none"/>
        </w:rPr>
        <w:t>工的结算与支付。计日工的劳</w:t>
      </w:r>
      <w:r>
        <w:rPr>
          <w:rFonts w:hint="eastAsia" w:ascii="宋体" w:hAnsi="宋体" w:eastAsia="宋体" w:cs="宋体"/>
          <w:color w:val="auto"/>
          <w:sz w:val="24"/>
          <w:szCs w:val="24"/>
          <w:highlight w:val="none"/>
        </w:rPr>
        <w:t>务、材料和施工机械由招标人（或发包人）列出</w:t>
      </w:r>
      <w:r>
        <w:rPr>
          <w:rFonts w:hint="eastAsia" w:ascii="宋体" w:hAnsi="宋体" w:eastAsia="宋体" w:cs="宋体"/>
          <w:color w:val="auto"/>
          <w:spacing w:val="-1"/>
          <w:sz w:val="24"/>
          <w:szCs w:val="24"/>
          <w:highlight w:val="none"/>
        </w:rPr>
        <w:t>正常的估计数量，投标人报出单价，计算出计日工总额后列入工程量清单汇总表中并进入评标价。</w:t>
      </w:r>
    </w:p>
    <w:p w14:paraId="07458E25">
      <w:pPr>
        <w:spacing w:before="122" w:line="218" w:lineRule="auto"/>
        <w:ind w:left="867"/>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（4）计日工不调价。</w:t>
      </w:r>
    </w:p>
    <w:p w14:paraId="573914A8">
      <w:pPr>
        <w:spacing w:before="121" w:line="219" w:lineRule="auto"/>
        <w:ind w:left="856"/>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3.2计日工劳务</w:t>
      </w:r>
    </w:p>
    <w:p w14:paraId="2EA9EF35">
      <w:pPr>
        <w:spacing w:before="120" w:line="288" w:lineRule="auto"/>
        <w:ind w:left="442" w:right="87" w:firstLine="42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（1）在计算应付给承包人的计日工工资时，工时应从</w:t>
      </w:r>
      <w:r>
        <w:rPr>
          <w:rFonts w:hint="eastAsia" w:ascii="宋体" w:hAnsi="宋体" w:eastAsia="宋体" w:cs="宋体"/>
          <w:color w:val="auto"/>
          <w:spacing w:val="-3"/>
          <w:sz w:val="24"/>
          <w:szCs w:val="24"/>
          <w:highlight w:val="none"/>
        </w:rPr>
        <w:t>工人到达施工现场，并</w:t>
      </w:r>
      <w:r>
        <w:rPr>
          <w:rFonts w:hint="eastAsia" w:ascii="宋体" w:hAnsi="宋体" w:eastAsia="宋体" w:cs="宋体"/>
          <w:color w:val="auto"/>
          <w:sz w:val="24"/>
          <w:szCs w:val="24"/>
          <w:highlight w:val="none"/>
        </w:rPr>
        <w:t>开始从事指定的工作算起，到返回原出发地点为止，</w:t>
      </w:r>
      <w:r>
        <w:rPr>
          <w:rFonts w:hint="eastAsia" w:ascii="宋体" w:hAnsi="宋体" w:eastAsia="宋体" w:cs="宋体"/>
          <w:color w:val="auto"/>
          <w:spacing w:val="-1"/>
          <w:sz w:val="24"/>
          <w:szCs w:val="24"/>
          <w:highlight w:val="none"/>
        </w:rPr>
        <w:t>扣去用餐和休息的时间。只</w:t>
      </w:r>
      <w:r>
        <w:rPr>
          <w:rFonts w:hint="eastAsia" w:ascii="宋体" w:hAnsi="宋体" w:eastAsia="宋体" w:cs="宋体"/>
          <w:color w:val="auto"/>
          <w:sz w:val="24"/>
          <w:szCs w:val="24"/>
          <w:highlight w:val="none"/>
        </w:rPr>
        <w:t>有直接从事指定的工作，且能胜任该工作的工人才能</w:t>
      </w:r>
      <w:r>
        <w:rPr>
          <w:rFonts w:hint="eastAsia" w:ascii="宋体" w:hAnsi="宋体" w:eastAsia="宋体" w:cs="宋体"/>
          <w:color w:val="auto"/>
          <w:spacing w:val="-1"/>
          <w:sz w:val="24"/>
          <w:szCs w:val="24"/>
          <w:highlight w:val="none"/>
        </w:rPr>
        <w:t>计工，随同工人一起做工的班长应计算在内，但不包括领工（工长）和其他质检管理人员。</w:t>
      </w:r>
    </w:p>
    <w:p w14:paraId="3ED7EDA2">
      <w:pPr>
        <w:spacing w:before="120" w:line="281" w:lineRule="auto"/>
        <w:ind w:left="441" w:firstLine="426"/>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（2）承包人可以得到用于计日工劳务的全部工时的支</w:t>
      </w:r>
      <w:r>
        <w:rPr>
          <w:rFonts w:hint="eastAsia" w:ascii="宋体" w:hAnsi="宋体" w:eastAsia="宋体" w:cs="宋体"/>
          <w:color w:val="auto"/>
          <w:spacing w:val="-3"/>
          <w:sz w:val="24"/>
          <w:szCs w:val="24"/>
          <w:highlight w:val="none"/>
        </w:rPr>
        <w:t>付，此支付按承包人填</w:t>
      </w:r>
      <w:r>
        <w:rPr>
          <w:rFonts w:hint="eastAsia" w:ascii="宋体" w:hAnsi="宋体" w:eastAsia="宋体" w:cs="宋体"/>
          <w:color w:val="auto"/>
          <w:spacing w:val="-18"/>
          <w:sz w:val="24"/>
          <w:szCs w:val="24"/>
          <w:highlight w:val="none"/>
        </w:rPr>
        <w:t>报的“计日工劳务单价表”所列单价计算，该单价应包括基本单价及承包人的管理费、</w:t>
      </w:r>
      <w:r>
        <w:rPr>
          <w:rFonts w:hint="eastAsia" w:ascii="宋体" w:hAnsi="宋体" w:eastAsia="宋体" w:cs="宋体"/>
          <w:color w:val="auto"/>
          <w:spacing w:val="-15"/>
          <w:sz w:val="24"/>
          <w:szCs w:val="24"/>
          <w:highlight w:val="none"/>
        </w:rPr>
        <w:t>税费、利润等所有附加费，说明如下：</w:t>
      </w:r>
    </w:p>
    <w:p w14:paraId="476CAE5A">
      <w:pPr>
        <w:spacing w:before="121" w:line="265" w:lineRule="auto"/>
        <w:ind w:left="444" w:right="65" w:firstLine="375"/>
        <w:rPr>
          <w:rFonts w:hint="eastAsia" w:ascii="宋体" w:hAnsi="宋体" w:eastAsia="宋体" w:cs="宋体"/>
          <w:color w:val="auto"/>
          <w:sz w:val="24"/>
          <w:szCs w:val="24"/>
          <w:highlight w:val="none"/>
        </w:rPr>
      </w:pPr>
      <w:r>
        <w:rPr>
          <w:rFonts w:hint="eastAsia" w:ascii="宋体" w:hAnsi="宋体" w:eastAsia="宋体" w:cs="宋体"/>
          <w:color w:val="auto"/>
          <w:spacing w:val="-21"/>
          <w:sz w:val="24"/>
          <w:szCs w:val="24"/>
          <w:highlight w:val="none"/>
        </w:rPr>
        <w:t>a.劳务基本单价包括：承包人劳务的全部直接费用，如：工资、加班费、津贴、福</w:t>
      </w:r>
      <w:r>
        <w:rPr>
          <w:rFonts w:hint="eastAsia" w:ascii="宋体" w:hAnsi="宋体" w:eastAsia="宋体" w:cs="宋体"/>
          <w:color w:val="auto"/>
          <w:spacing w:val="-19"/>
          <w:sz w:val="24"/>
          <w:szCs w:val="24"/>
          <w:highlight w:val="none"/>
        </w:rPr>
        <w:t>利费及劳动保护费等。</w:t>
      </w:r>
    </w:p>
    <w:p w14:paraId="0C275C82">
      <w:pPr>
        <w:spacing w:before="120" w:line="219" w:lineRule="auto"/>
        <w:ind w:left="84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b.承包人的利润、管理、质检、保险、税费；易耗品的使用，水电及照明</w:t>
      </w:r>
    </w:p>
    <w:p w14:paraId="2CDF8BA1">
      <w:pPr>
        <w:spacing w:line="219" w:lineRule="auto"/>
        <w:rPr>
          <w:rFonts w:hint="eastAsia" w:ascii="宋体" w:hAnsi="宋体" w:eastAsia="宋体" w:cs="宋体"/>
          <w:color w:val="auto"/>
          <w:sz w:val="24"/>
          <w:szCs w:val="24"/>
          <w:highlight w:val="none"/>
        </w:rPr>
        <w:sectPr>
          <w:headerReference r:id="rId213" w:type="default"/>
          <w:footerReference r:id="rId214" w:type="default"/>
          <w:pgSz w:w="11907" w:h="16840"/>
          <w:pgMar w:top="1182" w:right="1201" w:bottom="1014" w:left="1786" w:header="849" w:footer="852" w:gutter="0"/>
          <w:pgNumType w:fmt="decimal"/>
          <w:cols w:space="720" w:num="1"/>
        </w:sectPr>
      </w:pPr>
    </w:p>
    <w:p w14:paraId="3F44E102">
      <w:pPr>
        <w:spacing w:before="292" w:line="312" w:lineRule="auto"/>
        <w:ind w:left="447" w:right="61" w:firstLine="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费，工作台、脚手架、临时设施费，手动机具与工具的使用及维修，以及上述各</w:t>
      </w:r>
      <w:r>
        <w:rPr>
          <w:rFonts w:hint="eastAsia" w:ascii="宋体" w:hAnsi="宋体" w:eastAsia="宋体" w:cs="宋体"/>
          <w:color w:val="auto"/>
          <w:spacing w:val="-2"/>
          <w:sz w:val="24"/>
          <w:szCs w:val="24"/>
          <w:highlight w:val="none"/>
        </w:rPr>
        <w:t>项伴随而来的费用。</w:t>
      </w:r>
    </w:p>
    <w:p w14:paraId="75A88E26">
      <w:pPr>
        <w:spacing w:line="218" w:lineRule="auto"/>
        <w:ind w:left="856"/>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3.3计日工材料</w:t>
      </w:r>
    </w:p>
    <w:p w14:paraId="351EF123">
      <w:pPr>
        <w:spacing w:before="99" w:line="312" w:lineRule="auto"/>
        <w:ind w:left="447" w:firstLine="40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承包人可以得到计日工使用的材料费用（上述3.2款已计入劳务费内的材料</w:t>
      </w:r>
      <w:r>
        <w:rPr>
          <w:rFonts w:hint="eastAsia" w:ascii="宋体" w:hAnsi="宋体" w:eastAsia="宋体" w:cs="宋体"/>
          <w:color w:val="auto"/>
          <w:spacing w:val="-6"/>
          <w:sz w:val="24"/>
          <w:szCs w:val="24"/>
          <w:highlight w:val="none"/>
        </w:rPr>
        <w:t>费用除外）的支付，此费用按承包人“计日工材料单价</w:t>
      </w:r>
      <w:r>
        <w:rPr>
          <w:rFonts w:hint="eastAsia" w:ascii="宋体" w:hAnsi="宋体" w:eastAsia="宋体" w:cs="宋体"/>
          <w:color w:val="auto"/>
          <w:spacing w:val="-7"/>
          <w:sz w:val="24"/>
          <w:szCs w:val="24"/>
          <w:highlight w:val="none"/>
        </w:rPr>
        <w:t>表”中所填报的单价计算，</w:t>
      </w:r>
      <w:r>
        <w:rPr>
          <w:rFonts w:hint="eastAsia" w:ascii="宋体" w:hAnsi="宋体" w:eastAsia="宋体" w:cs="宋体"/>
          <w:color w:val="auto"/>
          <w:spacing w:val="-5"/>
          <w:sz w:val="24"/>
          <w:szCs w:val="24"/>
          <w:highlight w:val="none"/>
        </w:rPr>
        <w:t>该单价应包括基本单价及承包人的管理费、税</w:t>
      </w:r>
      <w:r>
        <w:rPr>
          <w:rFonts w:hint="eastAsia" w:ascii="宋体" w:hAnsi="宋体" w:eastAsia="宋体" w:cs="宋体"/>
          <w:color w:val="auto"/>
          <w:spacing w:val="-6"/>
          <w:sz w:val="24"/>
          <w:szCs w:val="24"/>
          <w:highlight w:val="none"/>
        </w:rPr>
        <w:t>费、利润等所有附加费，说明如下：</w:t>
      </w:r>
    </w:p>
    <w:p w14:paraId="788F1D64">
      <w:pPr>
        <w:spacing w:before="2" w:line="264" w:lineRule="auto"/>
        <w:ind w:left="444" w:right="438" w:firstLine="413"/>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（1）材料基本单价按供货价加运杂费（到达承包人现场仓库、）保险</w:t>
      </w:r>
      <w:r>
        <w:rPr>
          <w:rFonts w:hint="eastAsia" w:ascii="宋体" w:hAnsi="宋体" w:eastAsia="宋体" w:cs="宋体"/>
          <w:color w:val="auto"/>
          <w:spacing w:val="-14"/>
          <w:sz w:val="24"/>
          <w:szCs w:val="24"/>
          <w:highlight w:val="none"/>
        </w:rPr>
        <w:t>费、仓</w:t>
      </w:r>
      <w:r>
        <w:rPr>
          <w:rFonts w:hint="eastAsia" w:ascii="宋体" w:hAnsi="宋体" w:eastAsia="宋体" w:cs="宋体"/>
          <w:color w:val="auto"/>
          <w:spacing w:val="-8"/>
          <w:sz w:val="24"/>
          <w:szCs w:val="24"/>
          <w:highlight w:val="none"/>
        </w:rPr>
        <w:t>库管理费以及运输损耗等计算；</w:t>
      </w:r>
    </w:p>
    <w:p w14:paraId="7F2B5987">
      <w:pPr>
        <w:spacing w:before="122" w:line="219" w:lineRule="auto"/>
        <w:ind w:left="867"/>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（2）承包人的利润、管理、质检、保险、税费及其他附加费；</w:t>
      </w:r>
    </w:p>
    <w:p w14:paraId="2A8C3D97">
      <w:pPr>
        <w:spacing w:before="114" w:line="229" w:lineRule="auto"/>
        <w:ind w:left="472" w:right="61" w:firstLine="39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（3）从现场运至使用地点的人工费和施工机械使用费</w:t>
      </w:r>
      <w:r>
        <w:rPr>
          <w:rFonts w:hint="eastAsia" w:ascii="宋体" w:hAnsi="宋体" w:eastAsia="宋体" w:cs="宋体"/>
          <w:color w:val="auto"/>
          <w:spacing w:val="-3"/>
          <w:sz w:val="24"/>
          <w:szCs w:val="24"/>
          <w:highlight w:val="none"/>
        </w:rPr>
        <w:t>不包括在上述基本单价</w:t>
      </w:r>
      <w:r>
        <w:rPr>
          <w:rFonts w:hint="eastAsia" w:ascii="宋体" w:hAnsi="宋体" w:eastAsia="宋体" w:cs="宋体"/>
          <w:color w:val="auto"/>
          <w:spacing w:val="-20"/>
          <w:sz w:val="24"/>
          <w:szCs w:val="24"/>
          <w:highlight w:val="none"/>
        </w:rPr>
        <w:t>内。</w:t>
      </w:r>
    </w:p>
    <w:p w14:paraId="1BA33D26">
      <w:pPr>
        <w:spacing w:before="120" w:line="219" w:lineRule="auto"/>
        <w:ind w:left="85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3.4计日工施工机械</w:t>
      </w:r>
    </w:p>
    <w:p w14:paraId="7C31C9C1">
      <w:pPr>
        <w:spacing w:before="120" w:line="219" w:lineRule="auto"/>
        <w:ind w:left="86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（1）承包人可以得到用于计日工作业的施工机械费用</w:t>
      </w:r>
      <w:r>
        <w:rPr>
          <w:rFonts w:hint="eastAsia" w:ascii="宋体" w:hAnsi="宋体" w:eastAsia="宋体" w:cs="宋体"/>
          <w:color w:val="auto"/>
          <w:spacing w:val="-3"/>
          <w:sz w:val="24"/>
          <w:szCs w:val="24"/>
          <w:highlight w:val="none"/>
        </w:rPr>
        <w:t>的支付，该费用按承包</w:t>
      </w:r>
    </w:p>
    <w:p w14:paraId="40D600D8">
      <w:pPr>
        <w:spacing w:before="119" w:line="311" w:lineRule="auto"/>
        <w:ind w:left="446" w:right="63" w:firstLine="41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人填报的“计日工施工机械单价表”中的租价计算。该租价应包括施工机械</w:t>
      </w:r>
      <w:r>
        <w:rPr>
          <w:rFonts w:hint="eastAsia" w:ascii="宋体" w:hAnsi="宋体" w:eastAsia="宋体" w:cs="宋体"/>
          <w:color w:val="auto"/>
          <w:spacing w:val="-1"/>
          <w:sz w:val="24"/>
          <w:szCs w:val="24"/>
          <w:highlight w:val="none"/>
        </w:rPr>
        <w:t>的折旧、利息、维修、保养、零配件、油燃料、保险和其他消耗品的费用以及全</w:t>
      </w:r>
      <w:r>
        <w:rPr>
          <w:rFonts w:hint="eastAsia" w:ascii="宋体" w:hAnsi="宋体" w:eastAsia="宋体" w:cs="宋体"/>
          <w:color w:val="auto"/>
          <w:sz w:val="24"/>
          <w:szCs w:val="24"/>
          <w:highlight w:val="none"/>
        </w:rPr>
        <w:t>部有关使用这些机械的管理费、税费、利润</w:t>
      </w:r>
      <w:r>
        <w:rPr>
          <w:rFonts w:hint="eastAsia" w:ascii="宋体" w:hAnsi="宋体" w:eastAsia="宋体" w:cs="宋体"/>
          <w:color w:val="auto"/>
          <w:spacing w:val="-1"/>
          <w:sz w:val="24"/>
          <w:szCs w:val="24"/>
          <w:highlight w:val="none"/>
        </w:rPr>
        <w:t>和司机与助手的劳务费等费用。</w:t>
      </w:r>
    </w:p>
    <w:p w14:paraId="1C46AEE6">
      <w:pPr>
        <w:spacing w:line="312" w:lineRule="auto"/>
        <w:ind w:left="444" w:right="61" w:firstLine="423"/>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（2）在计日工作业中，承包人计算所用的施工机械费</w:t>
      </w:r>
      <w:r>
        <w:rPr>
          <w:rFonts w:hint="eastAsia" w:ascii="宋体" w:hAnsi="宋体" w:eastAsia="宋体" w:cs="宋体"/>
          <w:color w:val="auto"/>
          <w:spacing w:val="-3"/>
          <w:sz w:val="24"/>
          <w:szCs w:val="24"/>
          <w:highlight w:val="none"/>
        </w:rPr>
        <w:t>用时，应按实际工作小</w:t>
      </w:r>
      <w:r>
        <w:rPr>
          <w:rFonts w:hint="eastAsia" w:ascii="宋体" w:hAnsi="宋体" w:eastAsia="宋体" w:cs="宋体"/>
          <w:color w:val="auto"/>
          <w:sz w:val="24"/>
          <w:szCs w:val="24"/>
          <w:highlight w:val="none"/>
        </w:rPr>
        <w:t>时支付。除非经监理人的同意，计算的工作小时</w:t>
      </w:r>
      <w:r>
        <w:rPr>
          <w:rFonts w:hint="eastAsia" w:ascii="宋体" w:hAnsi="宋体" w:eastAsia="宋体" w:cs="宋体"/>
          <w:color w:val="auto"/>
          <w:spacing w:val="-1"/>
          <w:sz w:val="24"/>
          <w:szCs w:val="24"/>
          <w:highlight w:val="none"/>
        </w:rPr>
        <w:t>才能将施工机械从现场某处运到监理人指令的计日工作业的另一现场往返运送时间包括在内。</w:t>
      </w:r>
    </w:p>
    <w:p w14:paraId="6664A8FA">
      <w:pPr>
        <w:spacing w:before="266" w:line="206" w:lineRule="auto"/>
        <w:ind w:left="440"/>
        <w:outlineLvl w:val="1"/>
        <w:rPr>
          <w:rFonts w:hint="eastAsia" w:ascii="宋体" w:hAnsi="宋体" w:eastAsia="宋体" w:cs="宋体"/>
          <w:color w:val="auto"/>
          <w:sz w:val="24"/>
          <w:szCs w:val="24"/>
          <w:highlight w:val="none"/>
        </w:rPr>
      </w:pPr>
      <w:bookmarkStart w:id="787" w:name="bookmark65"/>
      <w:bookmarkEnd w:id="787"/>
      <w:bookmarkStart w:id="788" w:name="_Toc22418"/>
      <w:bookmarkStart w:id="789" w:name="_Toc13421"/>
      <w:bookmarkStart w:id="790" w:name="_Toc27990"/>
      <w:bookmarkStart w:id="791" w:name="_Toc16106"/>
      <w:bookmarkStart w:id="792" w:name="_Toc24569"/>
      <w:r>
        <w:rPr>
          <w:rFonts w:hint="eastAsia" w:ascii="宋体" w:hAnsi="宋体" w:eastAsia="宋体" w:cs="宋体"/>
          <w:color w:val="auto"/>
          <w:spacing w:val="-4"/>
          <w:sz w:val="28"/>
          <w:szCs w:val="28"/>
          <w:highlight w:val="none"/>
        </w:rPr>
        <w:t>4.</w:t>
      </w:r>
      <w:r>
        <w:rPr>
          <w:rFonts w:hint="eastAsia" w:ascii="宋体" w:hAnsi="宋体" w:eastAsia="宋体" w:cs="宋体"/>
          <w:color w:val="auto"/>
          <w:spacing w:val="-4"/>
          <w:sz w:val="24"/>
          <w:szCs w:val="24"/>
          <w:highlight w:val="none"/>
        </w:rPr>
        <w:t>其他说明</w:t>
      </w:r>
      <w:bookmarkEnd w:id="788"/>
      <w:bookmarkEnd w:id="789"/>
      <w:bookmarkEnd w:id="790"/>
      <w:bookmarkEnd w:id="791"/>
      <w:bookmarkEnd w:id="792"/>
    </w:p>
    <w:p w14:paraId="575AFF8A">
      <w:pPr>
        <w:spacing w:before="27" w:line="313" w:lineRule="auto"/>
        <w:ind w:left="443" w:right="59" w:firstLine="41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每个单项报价不能超过该单项的采购预算金额，凡超</w:t>
      </w:r>
      <w:r>
        <w:rPr>
          <w:rFonts w:hint="eastAsia" w:ascii="宋体" w:hAnsi="宋体" w:eastAsia="宋体" w:cs="宋体"/>
          <w:color w:val="auto"/>
          <w:spacing w:val="-6"/>
          <w:sz w:val="24"/>
          <w:szCs w:val="24"/>
          <w:highlight w:val="none"/>
        </w:rPr>
        <w:t>过采购预算金额的报价均</w:t>
      </w:r>
      <w:r>
        <w:rPr>
          <w:rFonts w:hint="eastAsia" w:ascii="宋体" w:hAnsi="宋体" w:eastAsia="宋体" w:cs="宋体"/>
          <w:color w:val="auto"/>
          <w:spacing w:val="-3"/>
          <w:sz w:val="24"/>
          <w:szCs w:val="24"/>
          <w:highlight w:val="none"/>
        </w:rPr>
        <w:t>被视为无效报价，投标无效。</w:t>
      </w:r>
    </w:p>
    <w:p w14:paraId="473B7826">
      <w:pPr>
        <w:spacing w:line="313" w:lineRule="auto"/>
        <w:rPr>
          <w:rFonts w:hint="eastAsia" w:ascii="宋体" w:hAnsi="宋体" w:eastAsia="宋体" w:cs="宋体"/>
          <w:color w:val="auto"/>
          <w:sz w:val="24"/>
          <w:szCs w:val="24"/>
          <w:highlight w:val="none"/>
        </w:rPr>
        <w:sectPr>
          <w:headerReference r:id="rId215" w:type="default"/>
          <w:footerReference r:id="rId216" w:type="default"/>
          <w:pgSz w:w="11907" w:h="16840"/>
          <w:pgMar w:top="1182" w:right="1227" w:bottom="1014" w:left="1786" w:header="849" w:footer="852" w:gutter="0"/>
          <w:pgNumType w:fmt="decimal"/>
          <w:cols w:space="720" w:num="1"/>
        </w:sectPr>
      </w:pPr>
    </w:p>
    <w:p w14:paraId="769F47A0">
      <w:pPr>
        <w:pStyle w:val="4"/>
        <w:spacing w:line="252" w:lineRule="auto"/>
        <w:rPr>
          <w:rFonts w:hint="eastAsia" w:ascii="宋体" w:hAnsi="宋体" w:eastAsia="宋体" w:cs="宋体"/>
          <w:color w:val="auto"/>
          <w:highlight w:val="none"/>
        </w:rPr>
      </w:pPr>
    </w:p>
    <w:p w14:paraId="3D7FC9A5">
      <w:pPr>
        <w:pStyle w:val="4"/>
        <w:spacing w:line="252" w:lineRule="auto"/>
        <w:rPr>
          <w:rFonts w:hint="eastAsia" w:ascii="宋体" w:hAnsi="宋体" w:eastAsia="宋体" w:cs="宋体"/>
          <w:color w:val="auto"/>
          <w:highlight w:val="none"/>
        </w:rPr>
      </w:pPr>
    </w:p>
    <w:p w14:paraId="13C4F654">
      <w:pPr>
        <w:pStyle w:val="4"/>
        <w:spacing w:line="252" w:lineRule="auto"/>
        <w:rPr>
          <w:rFonts w:hint="eastAsia" w:ascii="宋体" w:hAnsi="宋体" w:eastAsia="宋体" w:cs="宋体"/>
          <w:color w:val="auto"/>
          <w:highlight w:val="none"/>
        </w:rPr>
      </w:pPr>
    </w:p>
    <w:p w14:paraId="73540E9C">
      <w:pPr>
        <w:pStyle w:val="4"/>
        <w:spacing w:line="252" w:lineRule="auto"/>
        <w:rPr>
          <w:rFonts w:hint="eastAsia" w:ascii="宋体" w:hAnsi="宋体" w:eastAsia="宋体" w:cs="宋体"/>
          <w:color w:val="auto"/>
          <w:highlight w:val="none"/>
        </w:rPr>
      </w:pPr>
    </w:p>
    <w:p w14:paraId="6BFE4A3E">
      <w:pPr>
        <w:pStyle w:val="4"/>
        <w:spacing w:line="252" w:lineRule="auto"/>
        <w:rPr>
          <w:rFonts w:hint="eastAsia" w:ascii="宋体" w:hAnsi="宋体" w:eastAsia="宋体" w:cs="宋体"/>
          <w:color w:val="auto"/>
          <w:highlight w:val="none"/>
        </w:rPr>
      </w:pPr>
    </w:p>
    <w:p w14:paraId="69473BD4">
      <w:pPr>
        <w:pStyle w:val="4"/>
        <w:spacing w:line="252" w:lineRule="auto"/>
        <w:rPr>
          <w:rFonts w:hint="eastAsia" w:ascii="宋体" w:hAnsi="宋体" w:eastAsia="宋体" w:cs="宋体"/>
          <w:color w:val="auto"/>
          <w:highlight w:val="none"/>
        </w:rPr>
      </w:pPr>
    </w:p>
    <w:p w14:paraId="713B1262">
      <w:pPr>
        <w:pStyle w:val="4"/>
        <w:spacing w:line="252" w:lineRule="auto"/>
        <w:rPr>
          <w:rFonts w:hint="eastAsia" w:ascii="宋体" w:hAnsi="宋体" w:eastAsia="宋体" w:cs="宋体"/>
          <w:color w:val="auto"/>
          <w:highlight w:val="none"/>
        </w:rPr>
      </w:pPr>
    </w:p>
    <w:p w14:paraId="049F64EA">
      <w:pPr>
        <w:pStyle w:val="4"/>
        <w:spacing w:line="252" w:lineRule="auto"/>
        <w:rPr>
          <w:rFonts w:hint="eastAsia" w:ascii="宋体" w:hAnsi="宋体" w:eastAsia="宋体" w:cs="宋体"/>
          <w:color w:val="auto"/>
          <w:highlight w:val="none"/>
        </w:rPr>
      </w:pPr>
    </w:p>
    <w:p w14:paraId="3AA5B04D">
      <w:pPr>
        <w:pStyle w:val="4"/>
        <w:spacing w:line="252" w:lineRule="auto"/>
        <w:rPr>
          <w:rFonts w:hint="eastAsia" w:ascii="宋体" w:hAnsi="宋体" w:eastAsia="宋体" w:cs="宋体"/>
          <w:color w:val="auto"/>
          <w:highlight w:val="none"/>
        </w:rPr>
      </w:pPr>
    </w:p>
    <w:p w14:paraId="570C18FC">
      <w:pPr>
        <w:pStyle w:val="4"/>
        <w:spacing w:line="252" w:lineRule="auto"/>
        <w:rPr>
          <w:rFonts w:hint="eastAsia" w:ascii="宋体" w:hAnsi="宋体" w:eastAsia="宋体" w:cs="宋体"/>
          <w:color w:val="auto"/>
          <w:highlight w:val="none"/>
        </w:rPr>
      </w:pPr>
    </w:p>
    <w:p w14:paraId="7146ADC5">
      <w:pPr>
        <w:pStyle w:val="4"/>
        <w:spacing w:line="252" w:lineRule="auto"/>
        <w:rPr>
          <w:rFonts w:hint="eastAsia" w:ascii="宋体" w:hAnsi="宋体" w:eastAsia="宋体" w:cs="宋体"/>
          <w:color w:val="auto"/>
          <w:highlight w:val="none"/>
        </w:rPr>
      </w:pPr>
    </w:p>
    <w:p w14:paraId="205F65F0">
      <w:pPr>
        <w:pStyle w:val="4"/>
        <w:spacing w:line="252" w:lineRule="auto"/>
        <w:rPr>
          <w:rFonts w:hint="eastAsia" w:ascii="宋体" w:hAnsi="宋体" w:eastAsia="宋体" w:cs="宋体"/>
          <w:color w:val="auto"/>
          <w:highlight w:val="none"/>
        </w:rPr>
      </w:pPr>
    </w:p>
    <w:p w14:paraId="0C51278D">
      <w:pPr>
        <w:pStyle w:val="4"/>
        <w:spacing w:line="253" w:lineRule="auto"/>
        <w:rPr>
          <w:rFonts w:hint="eastAsia" w:ascii="宋体" w:hAnsi="宋体" w:eastAsia="宋体" w:cs="宋体"/>
          <w:color w:val="auto"/>
          <w:highlight w:val="none"/>
        </w:rPr>
      </w:pPr>
    </w:p>
    <w:p w14:paraId="377A69D0">
      <w:pPr>
        <w:pStyle w:val="4"/>
        <w:spacing w:line="253" w:lineRule="auto"/>
        <w:rPr>
          <w:rFonts w:hint="eastAsia" w:ascii="宋体" w:hAnsi="宋体" w:eastAsia="宋体" w:cs="宋体"/>
          <w:color w:val="auto"/>
          <w:highlight w:val="none"/>
        </w:rPr>
      </w:pPr>
    </w:p>
    <w:p w14:paraId="6D99005B">
      <w:pPr>
        <w:spacing w:before="247" w:line="222" w:lineRule="auto"/>
        <w:ind w:firstLine="2960" w:firstLineChars="400"/>
        <w:outlineLvl w:val="0"/>
        <w:rPr>
          <w:rFonts w:hint="eastAsia" w:ascii="宋体" w:hAnsi="宋体" w:eastAsia="宋体" w:cs="宋体"/>
          <w:color w:val="auto"/>
          <w:sz w:val="76"/>
          <w:szCs w:val="76"/>
          <w:highlight w:val="none"/>
        </w:rPr>
      </w:pPr>
      <w:bookmarkStart w:id="793" w:name="_Toc29462"/>
      <w:bookmarkStart w:id="794" w:name="_Toc21432"/>
      <w:bookmarkStart w:id="795" w:name="_Toc6827"/>
      <w:bookmarkStart w:id="796" w:name="_Toc8753"/>
      <w:bookmarkStart w:id="797" w:name="_Toc13504"/>
      <w:r>
        <w:rPr>
          <w:rFonts w:hint="eastAsia" w:ascii="宋体" w:hAnsi="宋体" w:eastAsia="宋体" w:cs="宋体"/>
          <w:color w:val="auto"/>
          <w:spacing w:val="-10"/>
          <w:sz w:val="76"/>
          <w:szCs w:val="76"/>
          <w:highlight w:val="none"/>
        </w:rPr>
        <w:t>第二卷</w:t>
      </w:r>
      <w:bookmarkEnd w:id="793"/>
      <w:bookmarkEnd w:id="794"/>
      <w:bookmarkEnd w:id="795"/>
      <w:bookmarkEnd w:id="796"/>
      <w:bookmarkEnd w:id="797"/>
    </w:p>
    <w:p w14:paraId="1E218650">
      <w:pPr>
        <w:spacing w:line="222" w:lineRule="auto"/>
        <w:rPr>
          <w:rFonts w:hint="eastAsia" w:ascii="宋体" w:hAnsi="宋体" w:eastAsia="宋体" w:cs="宋体"/>
          <w:color w:val="auto"/>
          <w:sz w:val="76"/>
          <w:szCs w:val="76"/>
          <w:highlight w:val="none"/>
        </w:rPr>
        <w:sectPr>
          <w:headerReference r:id="rId217" w:type="default"/>
          <w:footerReference r:id="rId218" w:type="default"/>
          <w:pgSz w:w="11907" w:h="16840"/>
          <w:pgMar w:top="1182" w:right="1290" w:bottom="1014" w:left="1786" w:header="849" w:footer="852" w:gutter="0"/>
          <w:pgNumType w:fmt="decimal"/>
          <w:cols w:space="720" w:num="1"/>
        </w:sectPr>
      </w:pPr>
    </w:p>
    <w:p w14:paraId="2366D513">
      <w:pPr>
        <w:pStyle w:val="4"/>
        <w:spacing w:line="250" w:lineRule="auto"/>
        <w:rPr>
          <w:rFonts w:hint="eastAsia" w:ascii="宋体" w:hAnsi="宋体" w:eastAsia="宋体" w:cs="宋体"/>
          <w:color w:val="auto"/>
          <w:highlight w:val="none"/>
        </w:rPr>
      </w:pPr>
    </w:p>
    <w:p w14:paraId="6D674961">
      <w:pPr>
        <w:pStyle w:val="4"/>
        <w:spacing w:line="250" w:lineRule="auto"/>
        <w:rPr>
          <w:rFonts w:hint="eastAsia" w:ascii="宋体" w:hAnsi="宋体" w:eastAsia="宋体" w:cs="宋体"/>
          <w:color w:val="auto"/>
          <w:highlight w:val="none"/>
        </w:rPr>
      </w:pPr>
    </w:p>
    <w:p w14:paraId="0DF4FAD3">
      <w:pPr>
        <w:pStyle w:val="4"/>
        <w:spacing w:line="250" w:lineRule="auto"/>
        <w:rPr>
          <w:rFonts w:hint="eastAsia" w:ascii="宋体" w:hAnsi="宋体" w:eastAsia="宋体" w:cs="宋体"/>
          <w:color w:val="auto"/>
          <w:highlight w:val="none"/>
        </w:rPr>
      </w:pPr>
    </w:p>
    <w:p w14:paraId="45E3EFFC">
      <w:pPr>
        <w:pStyle w:val="4"/>
        <w:spacing w:line="251" w:lineRule="auto"/>
        <w:rPr>
          <w:rFonts w:hint="eastAsia" w:ascii="宋体" w:hAnsi="宋体" w:eastAsia="宋体" w:cs="宋体"/>
          <w:color w:val="auto"/>
          <w:highlight w:val="none"/>
        </w:rPr>
      </w:pPr>
    </w:p>
    <w:p w14:paraId="69109F25">
      <w:pPr>
        <w:pStyle w:val="4"/>
        <w:spacing w:line="251" w:lineRule="auto"/>
        <w:rPr>
          <w:rFonts w:hint="eastAsia" w:ascii="宋体" w:hAnsi="宋体" w:eastAsia="宋体" w:cs="宋体"/>
          <w:color w:val="auto"/>
          <w:highlight w:val="none"/>
        </w:rPr>
      </w:pPr>
    </w:p>
    <w:p w14:paraId="3805ADAE">
      <w:pPr>
        <w:pStyle w:val="4"/>
        <w:spacing w:line="251" w:lineRule="auto"/>
        <w:rPr>
          <w:rFonts w:hint="eastAsia" w:ascii="宋体" w:hAnsi="宋体" w:eastAsia="宋体" w:cs="宋体"/>
          <w:color w:val="auto"/>
          <w:highlight w:val="none"/>
        </w:rPr>
      </w:pPr>
    </w:p>
    <w:p w14:paraId="0C9C6CBF">
      <w:pPr>
        <w:pStyle w:val="4"/>
        <w:spacing w:line="251" w:lineRule="auto"/>
        <w:rPr>
          <w:rFonts w:hint="eastAsia" w:ascii="宋体" w:hAnsi="宋体" w:eastAsia="宋体" w:cs="宋体"/>
          <w:color w:val="auto"/>
          <w:highlight w:val="none"/>
        </w:rPr>
      </w:pPr>
    </w:p>
    <w:p w14:paraId="62748229">
      <w:pPr>
        <w:pStyle w:val="4"/>
        <w:spacing w:line="251" w:lineRule="auto"/>
        <w:rPr>
          <w:rFonts w:hint="eastAsia" w:ascii="宋体" w:hAnsi="宋体" w:eastAsia="宋体" w:cs="宋体"/>
          <w:color w:val="auto"/>
          <w:highlight w:val="none"/>
        </w:rPr>
      </w:pPr>
    </w:p>
    <w:p w14:paraId="41A75238">
      <w:pPr>
        <w:pStyle w:val="4"/>
        <w:spacing w:line="251" w:lineRule="auto"/>
        <w:rPr>
          <w:rFonts w:hint="eastAsia" w:ascii="宋体" w:hAnsi="宋体" w:eastAsia="宋体" w:cs="宋体"/>
          <w:color w:val="auto"/>
          <w:highlight w:val="none"/>
        </w:rPr>
      </w:pPr>
    </w:p>
    <w:p w14:paraId="5FF66F58">
      <w:pPr>
        <w:pStyle w:val="4"/>
        <w:spacing w:line="251" w:lineRule="auto"/>
        <w:rPr>
          <w:rFonts w:hint="eastAsia" w:ascii="宋体" w:hAnsi="宋体" w:eastAsia="宋体" w:cs="宋体"/>
          <w:color w:val="auto"/>
          <w:highlight w:val="none"/>
        </w:rPr>
      </w:pPr>
    </w:p>
    <w:p w14:paraId="5B9B690C">
      <w:pPr>
        <w:pStyle w:val="4"/>
        <w:spacing w:line="251" w:lineRule="auto"/>
        <w:rPr>
          <w:rFonts w:hint="eastAsia" w:ascii="宋体" w:hAnsi="宋体" w:eastAsia="宋体" w:cs="宋体"/>
          <w:color w:val="auto"/>
          <w:highlight w:val="none"/>
        </w:rPr>
      </w:pPr>
    </w:p>
    <w:p w14:paraId="663FCD7A">
      <w:pPr>
        <w:pStyle w:val="4"/>
        <w:spacing w:line="251" w:lineRule="auto"/>
        <w:rPr>
          <w:rFonts w:hint="eastAsia" w:ascii="宋体" w:hAnsi="宋体" w:eastAsia="宋体" w:cs="宋体"/>
          <w:color w:val="auto"/>
          <w:highlight w:val="none"/>
        </w:rPr>
      </w:pPr>
    </w:p>
    <w:p w14:paraId="50C5800A">
      <w:pPr>
        <w:pStyle w:val="4"/>
        <w:spacing w:line="251" w:lineRule="auto"/>
        <w:rPr>
          <w:rFonts w:hint="eastAsia" w:ascii="宋体" w:hAnsi="宋体" w:eastAsia="宋体" w:cs="宋体"/>
          <w:color w:val="auto"/>
          <w:highlight w:val="none"/>
        </w:rPr>
      </w:pPr>
    </w:p>
    <w:p w14:paraId="67611956">
      <w:pPr>
        <w:pStyle w:val="4"/>
        <w:spacing w:line="251" w:lineRule="auto"/>
        <w:rPr>
          <w:rFonts w:hint="eastAsia" w:ascii="宋体" w:hAnsi="宋体" w:eastAsia="宋体" w:cs="宋体"/>
          <w:color w:val="auto"/>
          <w:highlight w:val="none"/>
        </w:rPr>
      </w:pPr>
    </w:p>
    <w:p w14:paraId="27372F5A">
      <w:pPr>
        <w:pStyle w:val="4"/>
        <w:spacing w:line="251" w:lineRule="auto"/>
        <w:rPr>
          <w:rFonts w:hint="eastAsia" w:ascii="宋体" w:hAnsi="宋体" w:eastAsia="宋体" w:cs="宋体"/>
          <w:color w:val="auto"/>
          <w:highlight w:val="none"/>
        </w:rPr>
      </w:pPr>
    </w:p>
    <w:p w14:paraId="50A4A7F7">
      <w:pPr>
        <w:pStyle w:val="4"/>
        <w:spacing w:line="251" w:lineRule="auto"/>
        <w:rPr>
          <w:rFonts w:hint="eastAsia" w:ascii="宋体" w:hAnsi="宋体" w:eastAsia="宋体" w:cs="宋体"/>
          <w:color w:val="auto"/>
          <w:highlight w:val="none"/>
        </w:rPr>
      </w:pPr>
    </w:p>
    <w:p w14:paraId="6AC887E2">
      <w:pPr>
        <w:pStyle w:val="4"/>
        <w:spacing w:line="251" w:lineRule="auto"/>
        <w:rPr>
          <w:rFonts w:hint="eastAsia" w:ascii="宋体" w:hAnsi="宋体" w:eastAsia="宋体" w:cs="宋体"/>
          <w:color w:val="auto"/>
          <w:highlight w:val="none"/>
        </w:rPr>
      </w:pPr>
    </w:p>
    <w:p w14:paraId="6B2DF041">
      <w:pPr>
        <w:spacing w:before="179" w:line="225" w:lineRule="auto"/>
        <w:ind w:left="1794"/>
        <w:outlineLvl w:val="0"/>
        <w:rPr>
          <w:rFonts w:hint="eastAsia" w:ascii="宋体" w:hAnsi="宋体" w:eastAsia="宋体" w:cs="宋体"/>
          <w:color w:val="auto"/>
          <w:sz w:val="55"/>
          <w:szCs w:val="55"/>
          <w:highlight w:val="none"/>
        </w:rPr>
      </w:pPr>
      <w:bookmarkStart w:id="798" w:name="_Toc11650"/>
      <w:bookmarkStart w:id="799" w:name="_Toc17007"/>
      <w:bookmarkStart w:id="800" w:name="_Toc23265"/>
      <w:bookmarkStart w:id="801" w:name="_Toc18746"/>
      <w:bookmarkStart w:id="802" w:name="_Toc27126"/>
      <w:r>
        <w:rPr>
          <w:rFonts w:hint="eastAsia" w:ascii="宋体" w:hAnsi="宋体" w:eastAsia="宋体" w:cs="宋体"/>
          <w:color w:val="auto"/>
          <w:spacing w:val="6"/>
          <w:sz w:val="55"/>
          <w:szCs w:val="55"/>
          <w:highlight w:val="none"/>
        </w:rPr>
        <w:t>第六章图纸（另册）</w:t>
      </w:r>
      <w:bookmarkEnd w:id="798"/>
      <w:bookmarkEnd w:id="799"/>
      <w:bookmarkEnd w:id="800"/>
      <w:bookmarkEnd w:id="801"/>
      <w:bookmarkEnd w:id="802"/>
    </w:p>
    <w:p w14:paraId="10F83C1A">
      <w:pPr>
        <w:spacing w:line="225" w:lineRule="auto"/>
        <w:rPr>
          <w:rFonts w:hint="eastAsia" w:ascii="宋体" w:hAnsi="宋体" w:eastAsia="宋体" w:cs="宋体"/>
          <w:color w:val="auto"/>
          <w:sz w:val="55"/>
          <w:szCs w:val="55"/>
          <w:highlight w:val="none"/>
        </w:rPr>
        <w:sectPr>
          <w:footerReference r:id="rId219" w:type="default"/>
          <w:pgSz w:w="11907" w:h="16840"/>
          <w:pgMar w:top="1182" w:right="1290" w:bottom="1014" w:left="1786" w:header="849" w:footer="852" w:gutter="0"/>
          <w:pgNumType w:fmt="decimal"/>
          <w:cols w:space="720" w:num="1"/>
        </w:sectPr>
      </w:pPr>
    </w:p>
    <w:p w14:paraId="1AEE5F6A">
      <w:pPr>
        <w:pStyle w:val="4"/>
        <w:spacing w:line="242" w:lineRule="auto"/>
        <w:rPr>
          <w:rFonts w:hint="eastAsia" w:ascii="宋体" w:hAnsi="宋体" w:eastAsia="宋体" w:cs="宋体"/>
          <w:color w:val="auto"/>
          <w:highlight w:val="none"/>
        </w:rPr>
      </w:pPr>
    </w:p>
    <w:p w14:paraId="37BFFF1B">
      <w:pPr>
        <w:pStyle w:val="4"/>
        <w:spacing w:line="242" w:lineRule="auto"/>
        <w:rPr>
          <w:rFonts w:hint="eastAsia" w:ascii="宋体" w:hAnsi="宋体" w:eastAsia="宋体" w:cs="宋体"/>
          <w:color w:val="auto"/>
          <w:highlight w:val="none"/>
        </w:rPr>
      </w:pPr>
    </w:p>
    <w:p w14:paraId="195BBB02">
      <w:pPr>
        <w:pStyle w:val="4"/>
        <w:spacing w:line="242" w:lineRule="auto"/>
        <w:rPr>
          <w:rFonts w:hint="eastAsia" w:ascii="宋体" w:hAnsi="宋体" w:eastAsia="宋体" w:cs="宋体"/>
          <w:color w:val="auto"/>
          <w:highlight w:val="none"/>
        </w:rPr>
      </w:pPr>
    </w:p>
    <w:p w14:paraId="599CBC58">
      <w:pPr>
        <w:pStyle w:val="4"/>
        <w:spacing w:line="242" w:lineRule="auto"/>
        <w:rPr>
          <w:rFonts w:hint="eastAsia" w:ascii="宋体" w:hAnsi="宋体" w:eastAsia="宋体" w:cs="宋体"/>
          <w:color w:val="auto"/>
          <w:highlight w:val="none"/>
        </w:rPr>
      </w:pPr>
    </w:p>
    <w:p w14:paraId="0CDF056E">
      <w:pPr>
        <w:pStyle w:val="4"/>
        <w:spacing w:line="243" w:lineRule="auto"/>
        <w:rPr>
          <w:rFonts w:hint="eastAsia" w:ascii="宋体" w:hAnsi="宋体" w:eastAsia="宋体" w:cs="宋体"/>
          <w:color w:val="auto"/>
          <w:highlight w:val="none"/>
        </w:rPr>
      </w:pPr>
    </w:p>
    <w:p w14:paraId="07AF7F03">
      <w:pPr>
        <w:pStyle w:val="4"/>
        <w:spacing w:line="243" w:lineRule="auto"/>
        <w:rPr>
          <w:rFonts w:hint="eastAsia" w:ascii="宋体" w:hAnsi="宋体" w:eastAsia="宋体" w:cs="宋体"/>
          <w:color w:val="auto"/>
          <w:highlight w:val="none"/>
        </w:rPr>
      </w:pPr>
    </w:p>
    <w:p w14:paraId="4E97DA26">
      <w:pPr>
        <w:pStyle w:val="4"/>
        <w:spacing w:line="243" w:lineRule="auto"/>
        <w:rPr>
          <w:rFonts w:hint="eastAsia" w:ascii="宋体" w:hAnsi="宋体" w:eastAsia="宋体" w:cs="宋体"/>
          <w:color w:val="auto"/>
          <w:highlight w:val="none"/>
        </w:rPr>
      </w:pPr>
    </w:p>
    <w:p w14:paraId="0BF16D64">
      <w:pPr>
        <w:pStyle w:val="4"/>
        <w:spacing w:line="243" w:lineRule="auto"/>
        <w:rPr>
          <w:rFonts w:hint="eastAsia" w:ascii="宋体" w:hAnsi="宋体" w:eastAsia="宋体" w:cs="宋体"/>
          <w:color w:val="auto"/>
          <w:highlight w:val="none"/>
        </w:rPr>
      </w:pPr>
    </w:p>
    <w:p w14:paraId="585DDB6F">
      <w:pPr>
        <w:pStyle w:val="4"/>
        <w:spacing w:line="243" w:lineRule="auto"/>
        <w:rPr>
          <w:rFonts w:hint="eastAsia" w:ascii="宋体" w:hAnsi="宋体" w:eastAsia="宋体" w:cs="宋体"/>
          <w:color w:val="auto"/>
          <w:highlight w:val="none"/>
        </w:rPr>
      </w:pPr>
    </w:p>
    <w:p w14:paraId="57EA1AB8">
      <w:pPr>
        <w:pStyle w:val="4"/>
        <w:spacing w:line="243" w:lineRule="auto"/>
        <w:rPr>
          <w:rFonts w:hint="eastAsia" w:ascii="宋体" w:hAnsi="宋体" w:eastAsia="宋体" w:cs="宋体"/>
          <w:color w:val="auto"/>
          <w:highlight w:val="none"/>
        </w:rPr>
      </w:pPr>
    </w:p>
    <w:p w14:paraId="22E34DA8">
      <w:pPr>
        <w:pStyle w:val="4"/>
        <w:spacing w:line="243" w:lineRule="auto"/>
        <w:rPr>
          <w:rFonts w:hint="eastAsia" w:ascii="宋体" w:hAnsi="宋体" w:eastAsia="宋体" w:cs="宋体"/>
          <w:color w:val="auto"/>
          <w:highlight w:val="none"/>
        </w:rPr>
      </w:pPr>
    </w:p>
    <w:p w14:paraId="4AE834DF">
      <w:pPr>
        <w:pStyle w:val="4"/>
        <w:spacing w:line="243" w:lineRule="auto"/>
        <w:rPr>
          <w:rFonts w:hint="eastAsia" w:ascii="宋体" w:hAnsi="宋体" w:eastAsia="宋体" w:cs="宋体"/>
          <w:color w:val="auto"/>
          <w:highlight w:val="none"/>
        </w:rPr>
      </w:pPr>
    </w:p>
    <w:p w14:paraId="619FD383">
      <w:pPr>
        <w:pStyle w:val="4"/>
        <w:spacing w:line="243" w:lineRule="auto"/>
        <w:rPr>
          <w:rFonts w:hint="eastAsia" w:ascii="宋体" w:hAnsi="宋体" w:eastAsia="宋体" w:cs="宋体"/>
          <w:color w:val="auto"/>
          <w:highlight w:val="none"/>
        </w:rPr>
      </w:pPr>
    </w:p>
    <w:p w14:paraId="0735E1BC">
      <w:pPr>
        <w:pStyle w:val="4"/>
        <w:spacing w:line="243" w:lineRule="auto"/>
        <w:rPr>
          <w:rFonts w:hint="eastAsia" w:ascii="宋体" w:hAnsi="宋体" w:eastAsia="宋体" w:cs="宋体"/>
          <w:color w:val="auto"/>
          <w:highlight w:val="none"/>
        </w:rPr>
      </w:pPr>
    </w:p>
    <w:p w14:paraId="172343E7">
      <w:pPr>
        <w:pStyle w:val="4"/>
        <w:spacing w:line="243" w:lineRule="auto"/>
        <w:rPr>
          <w:rFonts w:hint="eastAsia" w:ascii="宋体" w:hAnsi="宋体" w:eastAsia="宋体" w:cs="宋体"/>
          <w:color w:val="auto"/>
          <w:highlight w:val="none"/>
        </w:rPr>
      </w:pPr>
    </w:p>
    <w:p w14:paraId="272E64BD">
      <w:pPr>
        <w:pStyle w:val="4"/>
        <w:spacing w:line="243" w:lineRule="auto"/>
        <w:rPr>
          <w:rFonts w:hint="eastAsia" w:ascii="宋体" w:hAnsi="宋体" w:eastAsia="宋体" w:cs="宋体"/>
          <w:color w:val="auto"/>
          <w:highlight w:val="none"/>
        </w:rPr>
      </w:pPr>
    </w:p>
    <w:p w14:paraId="17D76FFA">
      <w:pPr>
        <w:pStyle w:val="4"/>
        <w:spacing w:line="243" w:lineRule="auto"/>
        <w:rPr>
          <w:rFonts w:hint="eastAsia" w:ascii="宋体" w:hAnsi="宋体" w:eastAsia="宋体" w:cs="宋体"/>
          <w:color w:val="auto"/>
          <w:highlight w:val="none"/>
        </w:rPr>
      </w:pPr>
    </w:p>
    <w:p w14:paraId="30BB8BA6">
      <w:pPr>
        <w:spacing w:before="247" w:line="222" w:lineRule="auto"/>
        <w:ind w:left="2705"/>
        <w:outlineLvl w:val="0"/>
        <w:rPr>
          <w:rFonts w:hint="eastAsia" w:ascii="宋体" w:hAnsi="宋体" w:eastAsia="宋体" w:cs="宋体"/>
          <w:color w:val="auto"/>
          <w:sz w:val="76"/>
          <w:szCs w:val="76"/>
          <w:highlight w:val="none"/>
        </w:rPr>
      </w:pPr>
      <w:bookmarkStart w:id="803" w:name="_Toc4696"/>
      <w:bookmarkStart w:id="804" w:name="_Toc22646"/>
      <w:bookmarkStart w:id="805" w:name="_Toc9478"/>
      <w:bookmarkStart w:id="806" w:name="_Toc8334"/>
      <w:bookmarkStart w:id="807" w:name="_Toc8200"/>
      <w:r>
        <w:rPr>
          <w:rFonts w:hint="eastAsia" w:ascii="宋体" w:hAnsi="宋体" w:eastAsia="宋体" w:cs="宋体"/>
          <w:color w:val="auto"/>
          <w:spacing w:val="-10"/>
          <w:sz w:val="76"/>
          <w:szCs w:val="76"/>
          <w:highlight w:val="none"/>
        </w:rPr>
        <w:t>第三卷</w:t>
      </w:r>
      <w:bookmarkEnd w:id="803"/>
      <w:bookmarkEnd w:id="804"/>
      <w:bookmarkEnd w:id="805"/>
      <w:bookmarkEnd w:id="806"/>
      <w:bookmarkEnd w:id="807"/>
    </w:p>
    <w:p w14:paraId="2DB3BA82">
      <w:pPr>
        <w:spacing w:line="222" w:lineRule="auto"/>
        <w:rPr>
          <w:rFonts w:hint="eastAsia" w:ascii="宋体" w:hAnsi="宋体" w:eastAsia="宋体" w:cs="宋体"/>
          <w:color w:val="auto"/>
          <w:sz w:val="76"/>
          <w:szCs w:val="76"/>
          <w:highlight w:val="none"/>
        </w:rPr>
        <w:sectPr>
          <w:footerReference r:id="rId220" w:type="default"/>
          <w:pgSz w:w="11907" w:h="16840"/>
          <w:pgMar w:top="1182" w:right="1290" w:bottom="1014" w:left="1786" w:header="849" w:footer="852" w:gutter="0"/>
          <w:pgNumType w:fmt="decimal"/>
          <w:cols w:space="720" w:num="1"/>
        </w:sectPr>
      </w:pPr>
    </w:p>
    <w:p w14:paraId="1B675609">
      <w:pPr>
        <w:pStyle w:val="4"/>
        <w:spacing w:line="246" w:lineRule="auto"/>
        <w:rPr>
          <w:rFonts w:hint="eastAsia" w:ascii="宋体" w:hAnsi="宋体" w:eastAsia="宋体" w:cs="宋体"/>
          <w:color w:val="auto"/>
          <w:highlight w:val="none"/>
        </w:rPr>
      </w:pPr>
    </w:p>
    <w:p w14:paraId="72F682C1">
      <w:pPr>
        <w:pStyle w:val="4"/>
        <w:spacing w:line="246" w:lineRule="auto"/>
        <w:rPr>
          <w:rFonts w:hint="eastAsia" w:ascii="宋体" w:hAnsi="宋体" w:eastAsia="宋体" w:cs="宋体"/>
          <w:color w:val="auto"/>
          <w:highlight w:val="none"/>
        </w:rPr>
      </w:pPr>
    </w:p>
    <w:p w14:paraId="55BE0602">
      <w:pPr>
        <w:pStyle w:val="4"/>
        <w:spacing w:line="246" w:lineRule="auto"/>
        <w:rPr>
          <w:rFonts w:hint="eastAsia" w:ascii="宋体" w:hAnsi="宋体" w:eastAsia="宋体" w:cs="宋体"/>
          <w:color w:val="auto"/>
          <w:highlight w:val="none"/>
        </w:rPr>
      </w:pPr>
    </w:p>
    <w:p w14:paraId="4331FA2F">
      <w:pPr>
        <w:pStyle w:val="4"/>
        <w:spacing w:line="246" w:lineRule="auto"/>
        <w:rPr>
          <w:rFonts w:hint="eastAsia" w:ascii="宋体" w:hAnsi="宋体" w:eastAsia="宋体" w:cs="宋体"/>
          <w:color w:val="auto"/>
          <w:highlight w:val="none"/>
        </w:rPr>
      </w:pPr>
    </w:p>
    <w:p w14:paraId="6C709A2B">
      <w:pPr>
        <w:pStyle w:val="4"/>
        <w:spacing w:line="246" w:lineRule="auto"/>
        <w:rPr>
          <w:rFonts w:hint="eastAsia" w:ascii="宋体" w:hAnsi="宋体" w:eastAsia="宋体" w:cs="宋体"/>
          <w:color w:val="auto"/>
          <w:highlight w:val="none"/>
        </w:rPr>
      </w:pPr>
    </w:p>
    <w:p w14:paraId="0AE9F81D">
      <w:pPr>
        <w:pStyle w:val="4"/>
        <w:spacing w:line="246" w:lineRule="auto"/>
        <w:rPr>
          <w:rFonts w:hint="eastAsia" w:ascii="宋体" w:hAnsi="宋体" w:eastAsia="宋体" w:cs="宋体"/>
          <w:color w:val="auto"/>
          <w:highlight w:val="none"/>
        </w:rPr>
      </w:pPr>
    </w:p>
    <w:p w14:paraId="794A0539">
      <w:pPr>
        <w:pStyle w:val="4"/>
        <w:spacing w:line="246" w:lineRule="auto"/>
        <w:rPr>
          <w:rFonts w:hint="eastAsia" w:ascii="宋体" w:hAnsi="宋体" w:eastAsia="宋体" w:cs="宋体"/>
          <w:color w:val="auto"/>
          <w:highlight w:val="none"/>
        </w:rPr>
      </w:pPr>
    </w:p>
    <w:p w14:paraId="5C59DBF4">
      <w:pPr>
        <w:pStyle w:val="4"/>
        <w:spacing w:line="246" w:lineRule="auto"/>
        <w:rPr>
          <w:rFonts w:hint="eastAsia" w:ascii="宋体" w:hAnsi="宋体" w:eastAsia="宋体" w:cs="宋体"/>
          <w:color w:val="auto"/>
          <w:highlight w:val="none"/>
        </w:rPr>
      </w:pPr>
    </w:p>
    <w:p w14:paraId="2A7CF7D3">
      <w:pPr>
        <w:pStyle w:val="4"/>
        <w:spacing w:line="246" w:lineRule="auto"/>
        <w:rPr>
          <w:rFonts w:hint="eastAsia" w:ascii="宋体" w:hAnsi="宋体" w:eastAsia="宋体" w:cs="宋体"/>
          <w:color w:val="auto"/>
          <w:highlight w:val="none"/>
        </w:rPr>
      </w:pPr>
    </w:p>
    <w:p w14:paraId="40790E72">
      <w:pPr>
        <w:pStyle w:val="4"/>
        <w:spacing w:line="246" w:lineRule="auto"/>
        <w:rPr>
          <w:rFonts w:hint="eastAsia" w:ascii="宋体" w:hAnsi="宋体" w:eastAsia="宋体" w:cs="宋体"/>
          <w:color w:val="auto"/>
          <w:highlight w:val="none"/>
        </w:rPr>
      </w:pPr>
    </w:p>
    <w:p w14:paraId="785DF5D6">
      <w:pPr>
        <w:pStyle w:val="4"/>
        <w:spacing w:line="246" w:lineRule="auto"/>
        <w:rPr>
          <w:rFonts w:hint="eastAsia" w:ascii="宋体" w:hAnsi="宋体" w:eastAsia="宋体" w:cs="宋体"/>
          <w:color w:val="auto"/>
          <w:highlight w:val="none"/>
        </w:rPr>
      </w:pPr>
    </w:p>
    <w:p w14:paraId="4008562F">
      <w:pPr>
        <w:pStyle w:val="4"/>
        <w:spacing w:line="246" w:lineRule="auto"/>
        <w:rPr>
          <w:rFonts w:hint="eastAsia" w:ascii="宋体" w:hAnsi="宋体" w:eastAsia="宋体" w:cs="宋体"/>
          <w:color w:val="auto"/>
          <w:highlight w:val="none"/>
        </w:rPr>
      </w:pPr>
    </w:p>
    <w:p w14:paraId="0550FB9C">
      <w:pPr>
        <w:pStyle w:val="4"/>
        <w:spacing w:line="247" w:lineRule="auto"/>
        <w:rPr>
          <w:rFonts w:hint="eastAsia" w:ascii="宋体" w:hAnsi="宋体" w:eastAsia="宋体" w:cs="宋体"/>
          <w:color w:val="auto"/>
          <w:highlight w:val="none"/>
        </w:rPr>
      </w:pPr>
    </w:p>
    <w:p w14:paraId="18C16B50">
      <w:pPr>
        <w:pStyle w:val="4"/>
        <w:spacing w:line="247" w:lineRule="auto"/>
        <w:rPr>
          <w:rFonts w:hint="eastAsia" w:ascii="宋体" w:hAnsi="宋体" w:eastAsia="宋体" w:cs="宋体"/>
          <w:color w:val="auto"/>
          <w:highlight w:val="none"/>
        </w:rPr>
      </w:pPr>
    </w:p>
    <w:p w14:paraId="60EF8947">
      <w:pPr>
        <w:pStyle w:val="4"/>
        <w:spacing w:line="247" w:lineRule="auto"/>
        <w:rPr>
          <w:rFonts w:hint="eastAsia" w:ascii="宋体" w:hAnsi="宋体" w:eastAsia="宋体" w:cs="宋体"/>
          <w:color w:val="auto"/>
          <w:highlight w:val="none"/>
        </w:rPr>
      </w:pPr>
    </w:p>
    <w:p w14:paraId="2AEC1C27">
      <w:pPr>
        <w:pStyle w:val="4"/>
        <w:spacing w:line="247" w:lineRule="auto"/>
        <w:rPr>
          <w:rFonts w:hint="eastAsia" w:ascii="宋体" w:hAnsi="宋体" w:eastAsia="宋体" w:cs="宋体"/>
          <w:color w:val="auto"/>
          <w:highlight w:val="none"/>
        </w:rPr>
      </w:pPr>
    </w:p>
    <w:p w14:paraId="0D918A48">
      <w:pPr>
        <w:pStyle w:val="4"/>
        <w:spacing w:line="247" w:lineRule="auto"/>
        <w:rPr>
          <w:rFonts w:hint="eastAsia" w:ascii="宋体" w:hAnsi="宋体" w:eastAsia="宋体" w:cs="宋体"/>
          <w:color w:val="auto"/>
          <w:highlight w:val="none"/>
        </w:rPr>
      </w:pPr>
    </w:p>
    <w:p w14:paraId="70B114F9">
      <w:pPr>
        <w:pStyle w:val="4"/>
        <w:spacing w:line="247" w:lineRule="auto"/>
        <w:rPr>
          <w:rFonts w:hint="eastAsia" w:ascii="宋体" w:hAnsi="宋体" w:eastAsia="宋体" w:cs="宋体"/>
          <w:color w:val="auto"/>
          <w:highlight w:val="none"/>
        </w:rPr>
      </w:pPr>
    </w:p>
    <w:p w14:paraId="4B8F7318">
      <w:pPr>
        <w:pStyle w:val="4"/>
        <w:spacing w:line="247" w:lineRule="auto"/>
        <w:rPr>
          <w:rFonts w:hint="eastAsia" w:ascii="宋体" w:hAnsi="宋体" w:eastAsia="宋体" w:cs="宋体"/>
          <w:color w:val="auto"/>
          <w:highlight w:val="none"/>
        </w:rPr>
      </w:pPr>
    </w:p>
    <w:p w14:paraId="73E6E61C">
      <w:pPr>
        <w:spacing w:before="179" w:line="225" w:lineRule="auto"/>
        <w:ind w:left="1235"/>
        <w:outlineLvl w:val="0"/>
        <w:rPr>
          <w:rFonts w:hint="eastAsia" w:ascii="宋体" w:hAnsi="宋体" w:eastAsia="宋体" w:cs="宋体"/>
          <w:color w:val="auto"/>
          <w:sz w:val="55"/>
          <w:szCs w:val="55"/>
          <w:highlight w:val="none"/>
        </w:rPr>
      </w:pPr>
      <w:bookmarkStart w:id="808" w:name="_Toc2274"/>
      <w:bookmarkStart w:id="809" w:name="_Toc29705"/>
      <w:bookmarkStart w:id="810" w:name="_Toc14395"/>
      <w:bookmarkStart w:id="811" w:name="_Toc8185"/>
      <w:bookmarkStart w:id="812" w:name="_Toc6505"/>
      <w:r>
        <w:rPr>
          <w:rFonts w:hint="eastAsia" w:ascii="宋体" w:hAnsi="宋体" w:eastAsia="宋体" w:cs="宋体"/>
          <w:color w:val="auto"/>
          <w:spacing w:val="7"/>
          <w:sz w:val="55"/>
          <w:szCs w:val="55"/>
          <w:highlight w:val="none"/>
        </w:rPr>
        <w:t>第七章技术规范（另册）</w:t>
      </w:r>
      <w:bookmarkEnd w:id="808"/>
      <w:bookmarkEnd w:id="809"/>
      <w:bookmarkEnd w:id="810"/>
      <w:bookmarkEnd w:id="811"/>
      <w:bookmarkEnd w:id="812"/>
    </w:p>
    <w:p w14:paraId="0C1EB96E">
      <w:pPr>
        <w:spacing w:line="225" w:lineRule="auto"/>
        <w:rPr>
          <w:rFonts w:hint="eastAsia" w:ascii="宋体" w:hAnsi="宋体" w:eastAsia="宋体" w:cs="宋体"/>
          <w:color w:val="auto"/>
          <w:sz w:val="55"/>
          <w:szCs w:val="55"/>
          <w:highlight w:val="none"/>
        </w:rPr>
        <w:sectPr>
          <w:footerReference r:id="rId221" w:type="default"/>
          <w:pgSz w:w="11907" w:h="16840"/>
          <w:pgMar w:top="1182" w:right="1290" w:bottom="1014" w:left="1786" w:header="849" w:footer="852" w:gutter="0"/>
          <w:pgNumType w:fmt="decimal"/>
          <w:cols w:space="720" w:num="1"/>
        </w:sectPr>
      </w:pPr>
    </w:p>
    <w:p w14:paraId="4D58DB5B">
      <w:pPr>
        <w:pStyle w:val="4"/>
        <w:spacing w:line="243" w:lineRule="auto"/>
        <w:rPr>
          <w:rFonts w:hint="eastAsia" w:ascii="宋体" w:hAnsi="宋体" w:eastAsia="宋体" w:cs="宋体"/>
          <w:color w:val="auto"/>
          <w:highlight w:val="none"/>
        </w:rPr>
      </w:pPr>
    </w:p>
    <w:p w14:paraId="63790662">
      <w:pPr>
        <w:pStyle w:val="4"/>
        <w:spacing w:line="243" w:lineRule="auto"/>
        <w:rPr>
          <w:rFonts w:hint="eastAsia" w:ascii="宋体" w:hAnsi="宋体" w:eastAsia="宋体" w:cs="宋体"/>
          <w:color w:val="auto"/>
          <w:highlight w:val="none"/>
        </w:rPr>
      </w:pPr>
    </w:p>
    <w:p w14:paraId="511DF9E8">
      <w:pPr>
        <w:pStyle w:val="4"/>
        <w:spacing w:line="243" w:lineRule="auto"/>
        <w:rPr>
          <w:rFonts w:hint="eastAsia" w:ascii="宋体" w:hAnsi="宋体" w:eastAsia="宋体" w:cs="宋体"/>
          <w:color w:val="auto"/>
          <w:highlight w:val="none"/>
        </w:rPr>
      </w:pPr>
    </w:p>
    <w:p w14:paraId="26DFAD63">
      <w:pPr>
        <w:pStyle w:val="4"/>
        <w:spacing w:line="243" w:lineRule="auto"/>
        <w:rPr>
          <w:rFonts w:hint="eastAsia" w:ascii="宋体" w:hAnsi="宋体" w:eastAsia="宋体" w:cs="宋体"/>
          <w:color w:val="auto"/>
          <w:highlight w:val="none"/>
        </w:rPr>
      </w:pPr>
    </w:p>
    <w:p w14:paraId="5CD3F1A6">
      <w:pPr>
        <w:pStyle w:val="4"/>
        <w:spacing w:line="243" w:lineRule="auto"/>
        <w:rPr>
          <w:rFonts w:hint="eastAsia" w:ascii="宋体" w:hAnsi="宋体" w:eastAsia="宋体" w:cs="宋体"/>
          <w:color w:val="auto"/>
          <w:highlight w:val="none"/>
        </w:rPr>
      </w:pPr>
    </w:p>
    <w:p w14:paraId="3C6254ED">
      <w:pPr>
        <w:pStyle w:val="4"/>
        <w:spacing w:line="243" w:lineRule="auto"/>
        <w:rPr>
          <w:rFonts w:hint="eastAsia" w:ascii="宋体" w:hAnsi="宋体" w:eastAsia="宋体" w:cs="宋体"/>
          <w:color w:val="auto"/>
          <w:highlight w:val="none"/>
        </w:rPr>
      </w:pPr>
    </w:p>
    <w:p w14:paraId="02F34219">
      <w:pPr>
        <w:pStyle w:val="4"/>
        <w:spacing w:line="243" w:lineRule="auto"/>
        <w:rPr>
          <w:rFonts w:hint="eastAsia" w:ascii="宋体" w:hAnsi="宋体" w:eastAsia="宋体" w:cs="宋体"/>
          <w:color w:val="auto"/>
          <w:highlight w:val="none"/>
        </w:rPr>
      </w:pPr>
    </w:p>
    <w:p w14:paraId="70724A29">
      <w:pPr>
        <w:pStyle w:val="4"/>
        <w:spacing w:line="243" w:lineRule="auto"/>
        <w:rPr>
          <w:rFonts w:hint="eastAsia" w:ascii="宋体" w:hAnsi="宋体" w:eastAsia="宋体" w:cs="宋体"/>
          <w:color w:val="auto"/>
          <w:highlight w:val="none"/>
        </w:rPr>
      </w:pPr>
    </w:p>
    <w:p w14:paraId="501B6D9C">
      <w:pPr>
        <w:pStyle w:val="4"/>
        <w:spacing w:line="243" w:lineRule="auto"/>
        <w:rPr>
          <w:rFonts w:hint="eastAsia" w:ascii="宋体" w:hAnsi="宋体" w:eastAsia="宋体" w:cs="宋体"/>
          <w:color w:val="auto"/>
          <w:highlight w:val="none"/>
        </w:rPr>
      </w:pPr>
    </w:p>
    <w:p w14:paraId="2F1126BE">
      <w:pPr>
        <w:pStyle w:val="4"/>
        <w:spacing w:line="243" w:lineRule="auto"/>
        <w:rPr>
          <w:rFonts w:hint="eastAsia" w:ascii="宋体" w:hAnsi="宋体" w:eastAsia="宋体" w:cs="宋体"/>
          <w:color w:val="auto"/>
          <w:highlight w:val="none"/>
        </w:rPr>
      </w:pPr>
    </w:p>
    <w:p w14:paraId="16541E59">
      <w:pPr>
        <w:pStyle w:val="4"/>
        <w:spacing w:line="243" w:lineRule="auto"/>
        <w:rPr>
          <w:rFonts w:hint="eastAsia" w:ascii="宋体" w:hAnsi="宋体" w:eastAsia="宋体" w:cs="宋体"/>
          <w:color w:val="auto"/>
          <w:highlight w:val="none"/>
        </w:rPr>
      </w:pPr>
    </w:p>
    <w:p w14:paraId="04EAC3EC">
      <w:pPr>
        <w:pStyle w:val="4"/>
        <w:spacing w:line="243" w:lineRule="auto"/>
        <w:rPr>
          <w:rFonts w:hint="eastAsia" w:ascii="宋体" w:hAnsi="宋体" w:eastAsia="宋体" w:cs="宋体"/>
          <w:color w:val="auto"/>
          <w:highlight w:val="none"/>
        </w:rPr>
      </w:pPr>
    </w:p>
    <w:p w14:paraId="64E1B181">
      <w:pPr>
        <w:pStyle w:val="4"/>
        <w:spacing w:line="243" w:lineRule="auto"/>
        <w:rPr>
          <w:rFonts w:hint="eastAsia" w:ascii="宋体" w:hAnsi="宋体" w:eastAsia="宋体" w:cs="宋体"/>
          <w:color w:val="auto"/>
          <w:highlight w:val="none"/>
        </w:rPr>
      </w:pPr>
    </w:p>
    <w:p w14:paraId="2B6212BF">
      <w:pPr>
        <w:pStyle w:val="4"/>
        <w:spacing w:line="243" w:lineRule="auto"/>
        <w:rPr>
          <w:rFonts w:hint="eastAsia" w:ascii="宋体" w:hAnsi="宋体" w:eastAsia="宋体" w:cs="宋体"/>
          <w:color w:val="auto"/>
          <w:highlight w:val="none"/>
        </w:rPr>
      </w:pPr>
    </w:p>
    <w:p w14:paraId="3F823C25">
      <w:pPr>
        <w:pStyle w:val="4"/>
        <w:spacing w:line="243" w:lineRule="auto"/>
        <w:rPr>
          <w:rFonts w:hint="eastAsia" w:ascii="宋体" w:hAnsi="宋体" w:eastAsia="宋体" w:cs="宋体"/>
          <w:color w:val="auto"/>
          <w:highlight w:val="none"/>
        </w:rPr>
      </w:pPr>
    </w:p>
    <w:p w14:paraId="652CF06C">
      <w:pPr>
        <w:pStyle w:val="4"/>
        <w:spacing w:line="243" w:lineRule="auto"/>
        <w:rPr>
          <w:rFonts w:hint="eastAsia" w:ascii="宋体" w:hAnsi="宋体" w:eastAsia="宋体" w:cs="宋体"/>
          <w:color w:val="auto"/>
          <w:highlight w:val="none"/>
        </w:rPr>
      </w:pPr>
    </w:p>
    <w:p w14:paraId="20CEEF68">
      <w:pPr>
        <w:pStyle w:val="4"/>
        <w:spacing w:line="243" w:lineRule="auto"/>
        <w:rPr>
          <w:rFonts w:hint="eastAsia" w:ascii="宋体" w:hAnsi="宋体" w:eastAsia="宋体" w:cs="宋体"/>
          <w:color w:val="auto"/>
          <w:highlight w:val="none"/>
        </w:rPr>
      </w:pPr>
    </w:p>
    <w:p w14:paraId="12919343">
      <w:pPr>
        <w:pStyle w:val="4"/>
        <w:spacing w:line="243" w:lineRule="auto"/>
        <w:rPr>
          <w:rFonts w:hint="eastAsia" w:ascii="宋体" w:hAnsi="宋体" w:eastAsia="宋体" w:cs="宋体"/>
          <w:color w:val="auto"/>
          <w:highlight w:val="none"/>
        </w:rPr>
      </w:pPr>
    </w:p>
    <w:p w14:paraId="5604B9CC">
      <w:pPr>
        <w:pStyle w:val="4"/>
        <w:spacing w:line="243" w:lineRule="auto"/>
        <w:rPr>
          <w:rFonts w:hint="eastAsia" w:ascii="宋体" w:hAnsi="宋体" w:eastAsia="宋体" w:cs="宋体"/>
          <w:color w:val="auto"/>
          <w:highlight w:val="none"/>
        </w:rPr>
      </w:pPr>
    </w:p>
    <w:p w14:paraId="524BC896">
      <w:pPr>
        <w:pStyle w:val="4"/>
        <w:spacing w:line="243" w:lineRule="auto"/>
        <w:rPr>
          <w:rFonts w:hint="eastAsia" w:ascii="宋体" w:hAnsi="宋体" w:eastAsia="宋体" w:cs="宋体"/>
          <w:color w:val="auto"/>
          <w:highlight w:val="none"/>
        </w:rPr>
      </w:pPr>
    </w:p>
    <w:p w14:paraId="7478F6A2">
      <w:pPr>
        <w:spacing w:before="179" w:line="225" w:lineRule="auto"/>
        <w:ind w:left="1050"/>
        <w:outlineLvl w:val="0"/>
        <w:rPr>
          <w:rFonts w:hint="eastAsia" w:ascii="宋体" w:hAnsi="宋体" w:eastAsia="宋体" w:cs="宋体"/>
          <w:color w:val="auto"/>
          <w:sz w:val="55"/>
          <w:szCs w:val="55"/>
          <w:highlight w:val="none"/>
        </w:rPr>
      </w:pPr>
      <w:bookmarkStart w:id="813" w:name="_Toc18579"/>
      <w:bookmarkStart w:id="814" w:name="_Toc10390"/>
      <w:bookmarkStart w:id="815" w:name="_Toc1062"/>
      <w:bookmarkStart w:id="816" w:name="_Toc23646"/>
      <w:bookmarkStart w:id="817" w:name="_Toc17836"/>
      <w:r>
        <w:rPr>
          <w:rFonts w:hint="eastAsia" w:ascii="宋体" w:hAnsi="宋体" w:eastAsia="宋体" w:cs="宋体"/>
          <w:color w:val="auto"/>
          <w:spacing w:val="8"/>
          <w:sz w:val="55"/>
          <w:szCs w:val="55"/>
          <w:highlight w:val="none"/>
        </w:rPr>
        <w:t>第八章工程量清单计量规则</w:t>
      </w:r>
      <w:bookmarkEnd w:id="813"/>
      <w:bookmarkEnd w:id="814"/>
      <w:bookmarkEnd w:id="815"/>
      <w:bookmarkEnd w:id="816"/>
      <w:bookmarkEnd w:id="817"/>
    </w:p>
    <w:p w14:paraId="4C22AA68">
      <w:pPr>
        <w:pStyle w:val="4"/>
        <w:spacing w:line="246" w:lineRule="auto"/>
        <w:rPr>
          <w:rFonts w:hint="eastAsia" w:ascii="宋体" w:hAnsi="宋体" w:eastAsia="宋体" w:cs="宋体"/>
          <w:color w:val="auto"/>
          <w:highlight w:val="none"/>
        </w:rPr>
      </w:pPr>
    </w:p>
    <w:p w14:paraId="3817567A">
      <w:pPr>
        <w:spacing w:before="178" w:line="225" w:lineRule="auto"/>
        <w:ind w:left="2913"/>
        <w:rPr>
          <w:rFonts w:hint="eastAsia" w:ascii="宋体" w:hAnsi="宋体" w:eastAsia="宋体" w:cs="宋体"/>
          <w:color w:val="auto"/>
          <w:sz w:val="55"/>
          <w:szCs w:val="55"/>
          <w:highlight w:val="none"/>
        </w:rPr>
      </w:pPr>
      <w:r>
        <w:rPr>
          <w:rFonts w:hint="eastAsia" w:ascii="宋体" w:hAnsi="宋体" w:eastAsia="宋体" w:cs="宋体"/>
          <w:color w:val="auto"/>
          <w:spacing w:val="-16"/>
          <w:sz w:val="55"/>
          <w:szCs w:val="55"/>
          <w:highlight w:val="none"/>
        </w:rPr>
        <w:t>（另册）</w:t>
      </w:r>
    </w:p>
    <w:p w14:paraId="132BB0F0">
      <w:pPr>
        <w:spacing w:line="225" w:lineRule="auto"/>
        <w:rPr>
          <w:rFonts w:hint="eastAsia" w:ascii="宋体" w:hAnsi="宋体" w:eastAsia="宋体" w:cs="宋体"/>
          <w:color w:val="auto"/>
          <w:sz w:val="55"/>
          <w:szCs w:val="55"/>
          <w:highlight w:val="none"/>
        </w:rPr>
        <w:sectPr>
          <w:footerReference r:id="rId222" w:type="default"/>
          <w:pgSz w:w="11907" w:h="16840"/>
          <w:pgMar w:top="1182" w:right="1290" w:bottom="1014" w:left="1786" w:header="849" w:footer="852" w:gutter="0"/>
          <w:pgNumType w:fmt="decimal"/>
          <w:cols w:space="720" w:num="1"/>
        </w:sectPr>
      </w:pPr>
    </w:p>
    <w:p w14:paraId="44A0B391">
      <w:pPr>
        <w:pStyle w:val="4"/>
        <w:spacing w:line="242" w:lineRule="auto"/>
        <w:rPr>
          <w:rFonts w:hint="eastAsia" w:ascii="宋体" w:hAnsi="宋体" w:eastAsia="宋体" w:cs="宋体"/>
          <w:color w:val="auto"/>
          <w:highlight w:val="none"/>
        </w:rPr>
      </w:pPr>
    </w:p>
    <w:p w14:paraId="2F3C4295">
      <w:pPr>
        <w:pStyle w:val="4"/>
        <w:spacing w:line="242" w:lineRule="auto"/>
        <w:rPr>
          <w:rFonts w:hint="eastAsia" w:ascii="宋体" w:hAnsi="宋体" w:eastAsia="宋体" w:cs="宋体"/>
          <w:color w:val="auto"/>
          <w:highlight w:val="none"/>
        </w:rPr>
      </w:pPr>
    </w:p>
    <w:p w14:paraId="4546E0B6">
      <w:pPr>
        <w:pStyle w:val="4"/>
        <w:spacing w:line="243" w:lineRule="auto"/>
        <w:rPr>
          <w:rFonts w:hint="eastAsia" w:ascii="宋体" w:hAnsi="宋体" w:eastAsia="宋体" w:cs="宋体"/>
          <w:color w:val="auto"/>
          <w:highlight w:val="none"/>
        </w:rPr>
      </w:pPr>
    </w:p>
    <w:p w14:paraId="47DA46A3">
      <w:pPr>
        <w:pStyle w:val="4"/>
        <w:spacing w:line="243" w:lineRule="auto"/>
        <w:rPr>
          <w:rFonts w:hint="eastAsia" w:ascii="宋体" w:hAnsi="宋体" w:eastAsia="宋体" w:cs="宋体"/>
          <w:color w:val="auto"/>
          <w:highlight w:val="none"/>
        </w:rPr>
      </w:pPr>
    </w:p>
    <w:p w14:paraId="737C9F73">
      <w:pPr>
        <w:pStyle w:val="4"/>
        <w:spacing w:line="243" w:lineRule="auto"/>
        <w:rPr>
          <w:rFonts w:hint="eastAsia" w:ascii="宋体" w:hAnsi="宋体" w:eastAsia="宋体" w:cs="宋体"/>
          <w:color w:val="auto"/>
          <w:highlight w:val="none"/>
        </w:rPr>
      </w:pPr>
    </w:p>
    <w:p w14:paraId="2E9E4E3D">
      <w:pPr>
        <w:pStyle w:val="4"/>
        <w:spacing w:line="243" w:lineRule="auto"/>
        <w:rPr>
          <w:rFonts w:hint="eastAsia" w:ascii="宋体" w:hAnsi="宋体" w:eastAsia="宋体" w:cs="宋体"/>
          <w:color w:val="auto"/>
          <w:highlight w:val="none"/>
        </w:rPr>
      </w:pPr>
    </w:p>
    <w:p w14:paraId="5BC839F9">
      <w:pPr>
        <w:pStyle w:val="4"/>
        <w:spacing w:line="243" w:lineRule="auto"/>
        <w:rPr>
          <w:rFonts w:hint="eastAsia" w:ascii="宋体" w:hAnsi="宋体" w:eastAsia="宋体" w:cs="宋体"/>
          <w:color w:val="auto"/>
          <w:highlight w:val="none"/>
        </w:rPr>
      </w:pPr>
    </w:p>
    <w:p w14:paraId="39491D5E">
      <w:pPr>
        <w:pStyle w:val="4"/>
        <w:spacing w:line="243" w:lineRule="auto"/>
        <w:rPr>
          <w:rFonts w:hint="eastAsia" w:ascii="宋体" w:hAnsi="宋体" w:eastAsia="宋体" w:cs="宋体"/>
          <w:color w:val="auto"/>
          <w:highlight w:val="none"/>
        </w:rPr>
      </w:pPr>
    </w:p>
    <w:p w14:paraId="52E4C4B4">
      <w:pPr>
        <w:pStyle w:val="4"/>
        <w:spacing w:line="243" w:lineRule="auto"/>
        <w:rPr>
          <w:rFonts w:hint="eastAsia" w:ascii="宋体" w:hAnsi="宋体" w:eastAsia="宋体" w:cs="宋体"/>
          <w:color w:val="auto"/>
          <w:highlight w:val="none"/>
        </w:rPr>
      </w:pPr>
    </w:p>
    <w:p w14:paraId="3B8FD690">
      <w:pPr>
        <w:pStyle w:val="4"/>
        <w:spacing w:line="243" w:lineRule="auto"/>
        <w:rPr>
          <w:rFonts w:hint="eastAsia" w:ascii="宋体" w:hAnsi="宋体" w:eastAsia="宋体" w:cs="宋体"/>
          <w:color w:val="auto"/>
          <w:highlight w:val="none"/>
        </w:rPr>
      </w:pPr>
    </w:p>
    <w:p w14:paraId="400501C1">
      <w:pPr>
        <w:pStyle w:val="4"/>
        <w:spacing w:line="243" w:lineRule="auto"/>
        <w:rPr>
          <w:rFonts w:hint="eastAsia" w:ascii="宋体" w:hAnsi="宋体" w:eastAsia="宋体" w:cs="宋体"/>
          <w:color w:val="auto"/>
          <w:highlight w:val="none"/>
        </w:rPr>
      </w:pPr>
    </w:p>
    <w:p w14:paraId="10B67008">
      <w:pPr>
        <w:pStyle w:val="4"/>
        <w:spacing w:line="243" w:lineRule="auto"/>
        <w:rPr>
          <w:rFonts w:hint="eastAsia" w:ascii="宋体" w:hAnsi="宋体" w:eastAsia="宋体" w:cs="宋体"/>
          <w:color w:val="auto"/>
          <w:highlight w:val="none"/>
        </w:rPr>
      </w:pPr>
    </w:p>
    <w:p w14:paraId="10832B61">
      <w:pPr>
        <w:pStyle w:val="4"/>
        <w:spacing w:line="243" w:lineRule="auto"/>
        <w:rPr>
          <w:rFonts w:hint="eastAsia" w:ascii="宋体" w:hAnsi="宋体" w:eastAsia="宋体" w:cs="宋体"/>
          <w:color w:val="auto"/>
          <w:highlight w:val="none"/>
        </w:rPr>
      </w:pPr>
    </w:p>
    <w:p w14:paraId="5A5C8BD8">
      <w:pPr>
        <w:pStyle w:val="4"/>
        <w:spacing w:line="243" w:lineRule="auto"/>
        <w:rPr>
          <w:rFonts w:hint="eastAsia" w:ascii="宋体" w:hAnsi="宋体" w:eastAsia="宋体" w:cs="宋体"/>
          <w:color w:val="auto"/>
          <w:highlight w:val="none"/>
        </w:rPr>
      </w:pPr>
    </w:p>
    <w:p w14:paraId="1B2B281E">
      <w:pPr>
        <w:pStyle w:val="4"/>
        <w:spacing w:line="243" w:lineRule="auto"/>
        <w:rPr>
          <w:rFonts w:hint="eastAsia" w:ascii="宋体" w:hAnsi="宋体" w:eastAsia="宋体" w:cs="宋体"/>
          <w:color w:val="auto"/>
          <w:highlight w:val="none"/>
        </w:rPr>
      </w:pPr>
    </w:p>
    <w:p w14:paraId="52AB485F">
      <w:pPr>
        <w:pStyle w:val="4"/>
        <w:spacing w:line="243" w:lineRule="auto"/>
        <w:rPr>
          <w:rFonts w:hint="eastAsia" w:ascii="宋体" w:hAnsi="宋体" w:eastAsia="宋体" w:cs="宋体"/>
          <w:color w:val="auto"/>
          <w:highlight w:val="none"/>
        </w:rPr>
      </w:pPr>
    </w:p>
    <w:p w14:paraId="6A3A231D">
      <w:pPr>
        <w:spacing w:before="247" w:line="222" w:lineRule="auto"/>
        <w:ind w:left="2705"/>
        <w:outlineLvl w:val="0"/>
        <w:rPr>
          <w:rFonts w:hint="eastAsia" w:ascii="宋体" w:hAnsi="宋体" w:eastAsia="宋体" w:cs="宋体"/>
          <w:color w:val="auto"/>
          <w:sz w:val="76"/>
          <w:szCs w:val="76"/>
          <w:highlight w:val="none"/>
        </w:rPr>
      </w:pPr>
      <w:bookmarkStart w:id="818" w:name="_Toc25536"/>
      <w:bookmarkStart w:id="819" w:name="_Toc2162"/>
      <w:bookmarkStart w:id="820" w:name="_Toc5611"/>
      <w:bookmarkStart w:id="821" w:name="_Toc21598"/>
      <w:bookmarkStart w:id="822" w:name="_Toc13145"/>
      <w:r>
        <w:rPr>
          <w:rFonts w:hint="eastAsia" w:ascii="宋体" w:hAnsi="宋体" w:eastAsia="宋体" w:cs="宋体"/>
          <w:color w:val="auto"/>
          <w:spacing w:val="-10"/>
          <w:sz w:val="76"/>
          <w:szCs w:val="76"/>
          <w:highlight w:val="none"/>
        </w:rPr>
        <w:t>第四卷</w:t>
      </w:r>
      <w:bookmarkEnd w:id="818"/>
      <w:bookmarkEnd w:id="819"/>
      <w:bookmarkEnd w:id="820"/>
      <w:bookmarkEnd w:id="821"/>
      <w:bookmarkEnd w:id="822"/>
    </w:p>
    <w:p w14:paraId="3E4BE395">
      <w:pPr>
        <w:spacing w:line="222" w:lineRule="auto"/>
        <w:rPr>
          <w:rFonts w:hint="eastAsia" w:ascii="宋体" w:hAnsi="宋体" w:eastAsia="宋体" w:cs="宋体"/>
          <w:color w:val="auto"/>
          <w:sz w:val="76"/>
          <w:szCs w:val="76"/>
          <w:highlight w:val="none"/>
        </w:rPr>
        <w:sectPr>
          <w:footerReference r:id="rId223" w:type="default"/>
          <w:pgSz w:w="11907" w:h="16840"/>
          <w:pgMar w:top="1182" w:right="1290" w:bottom="1014" w:left="1786" w:header="849" w:footer="852" w:gutter="0"/>
          <w:pgNumType w:fmt="decimal"/>
          <w:cols w:space="720" w:num="1"/>
        </w:sectPr>
      </w:pPr>
    </w:p>
    <w:p w14:paraId="559977F2">
      <w:pPr>
        <w:pStyle w:val="4"/>
        <w:spacing w:line="241" w:lineRule="auto"/>
        <w:rPr>
          <w:rFonts w:hint="eastAsia" w:ascii="宋体" w:hAnsi="宋体" w:eastAsia="宋体" w:cs="宋体"/>
          <w:color w:val="auto"/>
          <w:highlight w:val="none"/>
        </w:rPr>
      </w:pPr>
    </w:p>
    <w:p w14:paraId="1F9FBA4C">
      <w:pPr>
        <w:pStyle w:val="4"/>
        <w:spacing w:line="241" w:lineRule="auto"/>
        <w:rPr>
          <w:rFonts w:hint="eastAsia" w:ascii="宋体" w:hAnsi="宋体" w:eastAsia="宋体" w:cs="宋体"/>
          <w:color w:val="auto"/>
          <w:highlight w:val="none"/>
        </w:rPr>
      </w:pPr>
    </w:p>
    <w:p w14:paraId="13D6B32C">
      <w:pPr>
        <w:pStyle w:val="4"/>
        <w:spacing w:line="241" w:lineRule="auto"/>
        <w:rPr>
          <w:rFonts w:hint="eastAsia" w:ascii="宋体" w:hAnsi="宋体" w:eastAsia="宋体" w:cs="宋体"/>
          <w:color w:val="auto"/>
          <w:highlight w:val="none"/>
        </w:rPr>
      </w:pPr>
    </w:p>
    <w:p w14:paraId="38D72E70">
      <w:pPr>
        <w:pStyle w:val="4"/>
        <w:spacing w:line="241" w:lineRule="auto"/>
        <w:rPr>
          <w:rFonts w:hint="eastAsia" w:ascii="宋体" w:hAnsi="宋体" w:eastAsia="宋体" w:cs="宋体"/>
          <w:color w:val="auto"/>
          <w:highlight w:val="none"/>
        </w:rPr>
      </w:pPr>
    </w:p>
    <w:p w14:paraId="08C41D96">
      <w:pPr>
        <w:pStyle w:val="4"/>
        <w:spacing w:line="241" w:lineRule="auto"/>
        <w:rPr>
          <w:rFonts w:hint="eastAsia" w:ascii="宋体" w:hAnsi="宋体" w:eastAsia="宋体" w:cs="宋体"/>
          <w:color w:val="auto"/>
          <w:highlight w:val="none"/>
        </w:rPr>
      </w:pPr>
    </w:p>
    <w:p w14:paraId="3A2CD0FE">
      <w:pPr>
        <w:pStyle w:val="4"/>
        <w:spacing w:line="242" w:lineRule="auto"/>
        <w:rPr>
          <w:rFonts w:hint="eastAsia" w:ascii="宋体" w:hAnsi="宋体" w:eastAsia="宋体" w:cs="宋体"/>
          <w:color w:val="auto"/>
          <w:highlight w:val="none"/>
        </w:rPr>
      </w:pPr>
    </w:p>
    <w:p w14:paraId="67D049ED">
      <w:pPr>
        <w:pStyle w:val="4"/>
        <w:spacing w:line="242" w:lineRule="auto"/>
        <w:rPr>
          <w:rFonts w:hint="eastAsia" w:ascii="宋体" w:hAnsi="宋体" w:eastAsia="宋体" w:cs="宋体"/>
          <w:color w:val="auto"/>
          <w:highlight w:val="none"/>
        </w:rPr>
      </w:pPr>
    </w:p>
    <w:p w14:paraId="40D5A3F2">
      <w:pPr>
        <w:pStyle w:val="4"/>
        <w:spacing w:line="242" w:lineRule="auto"/>
        <w:rPr>
          <w:rFonts w:hint="eastAsia" w:ascii="宋体" w:hAnsi="宋体" w:eastAsia="宋体" w:cs="宋体"/>
          <w:color w:val="auto"/>
          <w:highlight w:val="none"/>
        </w:rPr>
      </w:pPr>
    </w:p>
    <w:p w14:paraId="086DFE49">
      <w:pPr>
        <w:pStyle w:val="4"/>
        <w:spacing w:line="242" w:lineRule="auto"/>
        <w:rPr>
          <w:rFonts w:hint="eastAsia" w:ascii="宋体" w:hAnsi="宋体" w:eastAsia="宋体" w:cs="宋体"/>
          <w:color w:val="auto"/>
          <w:highlight w:val="none"/>
        </w:rPr>
      </w:pPr>
    </w:p>
    <w:p w14:paraId="2E377468">
      <w:pPr>
        <w:pStyle w:val="4"/>
        <w:spacing w:line="242" w:lineRule="auto"/>
        <w:rPr>
          <w:rFonts w:hint="eastAsia" w:ascii="宋体" w:hAnsi="宋体" w:eastAsia="宋体" w:cs="宋体"/>
          <w:color w:val="auto"/>
          <w:highlight w:val="none"/>
        </w:rPr>
      </w:pPr>
    </w:p>
    <w:p w14:paraId="40BDA8DD">
      <w:pPr>
        <w:pStyle w:val="4"/>
        <w:spacing w:line="242" w:lineRule="auto"/>
        <w:rPr>
          <w:rFonts w:hint="eastAsia" w:ascii="宋体" w:hAnsi="宋体" w:eastAsia="宋体" w:cs="宋体"/>
          <w:color w:val="auto"/>
          <w:highlight w:val="none"/>
        </w:rPr>
      </w:pPr>
    </w:p>
    <w:p w14:paraId="63ABAD32">
      <w:pPr>
        <w:spacing w:before="179" w:line="228" w:lineRule="auto"/>
        <w:ind w:left="1790"/>
        <w:outlineLvl w:val="0"/>
        <w:rPr>
          <w:rFonts w:hint="eastAsia" w:ascii="宋体" w:hAnsi="宋体" w:eastAsia="宋体" w:cs="宋体"/>
          <w:color w:val="auto"/>
          <w:sz w:val="28"/>
          <w:szCs w:val="28"/>
          <w:highlight w:val="none"/>
        </w:rPr>
      </w:pPr>
      <w:bookmarkStart w:id="823" w:name="bookmark30"/>
      <w:bookmarkEnd w:id="823"/>
      <w:bookmarkStart w:id="824" w:name="_Toc17138"/>
      <w:bookmarkStart w:id="825" w:name="_Toc6595"/>
      <w:bookmarkStart w:id="826" w:name="_Toc31511"/>
      <w:bookmarkStart w:id="827" w:name="_Toc17999"/>
      <w:bookmarkStart w:id="828" w:name="_Toc10795"/>
      <w:r>
        <w:rPr>
          <w:rFonts w:hint="eastAsia" w:ascii="宋体" w:hAnsi="宋体" w:eastAsia="宋体" w:cs="宋体"/>
          <w:color w:val="auto"/>
          <w:spacing w:val="6"/>
          <w:sz w:val="55"/>
          <w:szCs w:val="55"/>
          <w:highlight w:val="none"/>
        </w:rPr>
        <w:t>第九章投标文件格式</w:t>
      </w:r>
      <w:r>
        <w:rPr>
          <w:rFonts w:hint="eastAsia" w:ascii="宋体" w:hAnsi="宋体" w:eastAsia="宋体" w:cs="宋体"/>
          <w:b/>
          <w:bCs/>
          <w:color w:val="auto"/>
          <w:spacing w:val="6"/>
          <w:position w:val="24"/>
          <w:sz w:val="28"/>
          <w:szCs w:val="28"/>
          <w:highlight w:val="none"/>
        </w:rPr>
        <w:t>①</w:t>
      </w:r>
      <w:bookmarkEnd w:id="824"/>
      <w:bookmarkEnd w:id="825"/>
      <w:bookmarkEnd w:id="826"/>
      <w:bookmarkEnd w:id="827"/>
      <w:bookmarkEnd w:id="828"/>
    </w:p>
    <w:p w14:paraId="593AB88B">
      <w:pPr>
        <w:pStyle w:val="4"/>
        <w:spacing w:line="245" w:lineRule="auto"/>
        <w:rPr>
          <w:rFonts w:hint="eastAsia" w:ascii="宋体" w:hAnsi="宋体" w:eastAsia="宋体" w:cs="宋体"/>
          <w:color w:val="auto"/>
          <w:highlight w:val="none"/>
        </w:rPr>
      </w:pPr>
    </w:p>
    <w:p w14:paraId="01CE707C">
      <w:pPr>
        <w:pStyle w:val="4"/>
        <w:spacing w:line="245" w:lineRule="auto"/>
        <w:rPr>
          <w:rFonts w:hint="eastAsia" w:ascii="宋体" w:hAnsi="宋体" w:eastAsia="宋体" w:cs="宋体"/>
          <w:color w:val="auto"/>
          <w:highlight w:val="none"/>
        </w:rPr>
      </w:pPr>
    </w:p>
    <w:p w14:paraId="5C671A11">
      <w:pPr>
        <w:pStyle w:val="4"/>
        <w:spacing w:line="245" w:lineRule="auto"/>
        <w:rPr>
          <w:rFonts w:hint="eastAsia" w:ascii="宋体" w:hAnsi="宋体" w:eastAsia="宋体" w:cs="宋体"/>
          <w:color w:val="auto"/>
          <w:highlight w:val="none"/>
        </w:rPr>
      </w:pPr>
    </w:p>
    <w:p w14:paraId="4FFEF844">
      <w:pPr>
        <w:pStyle w:val="4"/>
        <w:spacing w:line="245" w:lineRule="auto"/>
        <w:rPr>
          <w:rFonts w:hint="eastAsia" w:ascii="宋体" w:hAnsi="宋体" w:eastAsia="宋体" w:cs="宋体"/>
          <w:color w:val="auto"/>
          <w:highlight w:val="none"/>
        </w:rPr>
      </w:pPr>
    </w:p>
    <w:p w14:paraId="0A72C4FD">
      <w:pPr>
        <w:pStyle w:val="4"/>
        <w:spacing w:line="245" w:lineRule="auto"/>
        <w:rPr>
          <w:rFonts w:hint="eastAsia" w:ascii="宋体" w:hAnsi="宋体" w:eastAsia="宋体" w:cs="宋体"/>
          <w:color w:val="auto"/>
          <w:highlight w:val="none"/>
        </w:rPr>
      </w:pPr>
    </w:p>
    <w:p w14:paraId="4313971B">
      <w:pPr>
        <w:pStyle w:val="4"/>
        <w:spacing w:line="245" w:lineRule="auto"/>
        <w:rPr>
          <w:rFonts w:hint="eastAsia" w:ascii="宋体" w:hAnsi="宋体" w:eastAsia="宋体" w:cs="宋体"/>
          <w:color w:val="auto"/>
          <w:highlight w:val="none"/>
        </w:rPr>
      </w:pPr>
    </w:p>
    <w:p w14:paraId="46F4C2A7">
      <w:pPr>
        <w:pStyle w:val="4"/>
        <w:spacing w:line="245" w:lineRule="auto"/>
        <w:rPr>
          <w:rFonts w:hint="eastAsia" w:ascii="宋体" w:hAnsi="宋体" w:eastAsia="宋体" w:cs="宋体"/>
          <w:color w:val="auto"/>
          <w:highlight w:val="none"/>
        </w:rPr>
      </w:pPr>
    </w:p>
    <w:p w14:paraId="4C1BB9AF">
      <w:pPr>
        <w:pStyle w:val="4"/>
        <w:spacing w:line="245" w:lineRule="auto"/>
        <w:rPr>
          <w:rFonts w:hint="eastAsia" w:ascii="宋体" w:hAnsi="宋体" w:eastAsia="宋体" w:cs="宋体"/>
          <w:color w:val="auto"/>
          <w:highlight w:val="none"/>
        </w:rPr>
      </w:pPr>
    </w:p>
    <w:p w14:paraId="27094305">
      <w:pPr>
        <w:pStyle w:val="4"/>
        <w:spacing w:line="245" w:lineRule="auto"/>
        <w:rPr>
          <w:rFonts w:hint="eastAsia" w:ascii="宋体" w:hAnsi="宋体" w:eastAsia="宋体" w:cs="宋体"/>
          <w:color w:val="auto"/>
          <w:highlight w:val="none"/>
        </w:rPr>
      </w:pPr>
    </w:p>
    <w:p w14:paraId="63A4F652">
      <w:pPr>
        <w:pStyle w:val="4"/>
        <w:spacing w:line="245" w:lineRule="auto"/>
        <w:rPr>
          <w:rFonts w:hint="eastAsia" w:ascii="宋体" w:hAnsi="宋体" w:eastAsia="宋体" w:cs="宋体"/>
          <w:color w:val="auto"/>
          <w:highlight w:val="none"/>
        </w:rPr>
      </w:pPr>
    </w:p>
    <w:p w14:paraId="0784235A">
      <w:pPr>
        <w:pStyle w:val="4"/>
        <w:spacing w:line="245" w:lineRule="auto"/>
        <w:rPr>
          <w:rFonts w:hint="eastAsia" w:ascii="宋体" w:hAnsi="宋体" w:eastAsia="宋体" w:cs="宋体"/>
          <w:color w:val="auto"/>
          <w:highlight w:val="none"/>
        </w:rPr>
      </w:pPr>
    </w:p>
    <w:p w14:paraId="50A175F0">
      <w:pPr>
        <w:pStyle w:val="4"/>
        <w:spacing w:line="245" w:lineRule="auto"/>
        <w:rPr>
          <w:rFonts w:hint="eastAsia" w:ascii="宋体" w:hAnsi="宋体" w:eastAsia="宋体" w:cs="宋体"/>
          <w:color w:val="auto"/>
          <w:highlight w:val="none"/>
        </w:rPr>
      </w:pPr>
    </w:p>
    <w:p w14:paraId="2770F12D">
      <w:pPr>
        <w:pStyle w:val="4"/>
        <w:spacing w:line="245" w:lineRule="auto"/>
        <w:rPr>
          <w:rFonts w:hint="eastAsia" w:ascii="宋体" w:hAnsi="宋体" w:eastAsia="宋体" w:cs="宋体"/>
          <w:color w:val="auto"/>
          <w:highlight w:val="none"/>
        </w:rPr>
      </w:pPr>
    </w:p>
    <w:p w14:paraId="3C7DF546">
      <w:pPr>
        <w:pStyle w:val="4"/>
        <w:spacing w:line="245" w:lineRule="auto"/>
        <w:rPr>
          <w:rFonts w:hint="eastAsia" w:ascii="宋体" w:hAnsi="宋体" w:eastAsia="宋体" w:cs="宋体"/>
          <w:color w:val="auto"/>
          <w:highlight w:val="none"/>
        </w:rPr>
      </w:pPr>
    </w:p>
    <w:p w14:paraId="3DAD5238">
      <w:pPr>
        <w:pStyle w:val="4"/>
        <w:spacing w:line="245" w:lineRule="auto"/>
        <w:rPr>
          <w:rFonts w:hint="eastAsia" w:ascii="宋体" w:hAnsi="宋体" w:eastAsia="宋体" w:cs="宋体"/>
          <w:color w:val="auto"/>
          <w:highlight w:val="none"/>
        </w:rPr>
      </w:pPr>
    </w:p>
    <w:p w14:paraId="279C03C3">
      <w:pPr>
        <w:pStyle w:val="4"/>
        <w:spacing w:line="245" w:lineRule="auto"/>
        <w:rPr>
          <w:rFonts w:hint="eastAsia" w:ascii="宋体" w:hAnsi="宋体" w:eastAsia="宋体" w:cs="宋体"/>
          <w:color w:val="auto"/>
          <w:highlight w:val="none"/>
        </w:rPr>
      </w:pPr>
    </w:p>
    <w:p w14:paraId="791AEE63">
      <w:pPr>
        <w:pStyle w:val="4"/>
        <w:spacing w:line="245" w:lineRule="auto"/>
        <w:rPr>
          <w:rFonts w:hint="eastAsia" w:ascii="宋体" w:hAnsi="宋体" w:eastAsia="宋体" w:cs="宋体"/>
          <w:color w:val="auto"/>
          <w:highlight w:val="none"/>
        </w:rPr>
      </w:pPr>
    </w:p>
    <w:p w14:paraId="3ED53520">
      <w:pPr>
        <w:pStyle w:val="4"/>
        <w:spacing w:line="246" w:lineRule="auto"/>
        <w:rPr>
          <w:rFonts w:hint="eastAsia" w:ascii="宋体" w:hAnsi="宋体" w:eastAsia="宋体" w:cs="宋体"/>
          <w:color w:val="auto"/>
          <w:highlight w:val="none"/>
        </w:rPr>
      </w:pPr>
    </w:p>
    <w:p w14:paraId="43B6D546">
      <w:pPr>
        <w:pStyle w:val="4"/>
        <w:spacing w:line="246" w:lineRule="auto"/>
        <w:rPr>
          <w:rFonts w:hint="eastAsia" w:ascii="宋体" w:hAnsi="宋体" w:eastAsia="宋体" w:cs="宋体"/>
          <w:color w:val="auto"/>
          <w:highlight w:val="none"/>
        </w:rPr>
      </w:pPr>
    </w:p>
    <w:p w14:paraId="7642F669">
      <w:pPr>
        <w:pStyle w:val="4"/>
        <w:spacing w:line="246" w:lineRule="auto"/>
        <w:rPr>
          <w:rFonts w:hint="eastAsia" w:ascii="宋体" w:hAnsi="宋体" w:eastAsia="宋体" w:cs="宋体"/>
          <w:color w:val="auto"/>
          <w:highlight w:val="none"/>
        </w:rPr>
      </w:pPr>
    </w:p>
    <w:p w14:paraId="51390970">
      <w:pPr>
        <w:pStyle w:val="4"/>
        <w:spacing w:line="246" w:lineRule="auto"/>
        <w:rPr>
          <w:rFonts w:hint="eastAsia" w:ascii="宋体" w:hAnsi="宋体" w:eastAsia="宋体" w:cs="宋体"/>
          <w:color w:val="auto"/>
          <w:highlight w:val="none"/>
        </w:rPr>
      </w:pPr>
    </w:p>
    <w:p w14:paraId="4C062D02">
      <w:pPr>
        <w:pStyle w:val="4"/>
        <w:spacing w:line="246" w:lineRule="auto"/>
        <w:rPr>
          <w:rFonts w:hint="eastAsia" w:ascii="宋体" w:hAnsi="宋体" w:eastAsia="宋体" w:cs="宋体"/>
          <w:color w:val="auto"/>
          <w:highlight w:val="none"/>
        </w:rPr>
      </w:pPr>
    </w:p>
    <w:p w14:paraId="4D10B922">
      <w:pPr>
        <w:pStyle w:val="4"/>
        <w:spacing w:line="246" w:lineRule="auto"/>
        <w:rPr>
          <w:rFonts w:hint="eastAsia" w:ascii="宋体" w:hAnsi="宋体" w:eastAsia="宋体" w:cs="宋体"/>
          <w:color w:val="auto"/>
          <w:highlight w:val="none"/>
        </w:rPr>
      </w:pPr>
    </w:p>
    <w:p w14:paraId="4CFF2E14">
      <w:pPr>
        <w:pStyle w:val="4"/>
        <w:spacing w:line="246" w:lineRule="auto"/>
        <w:rPr>
          <w:rFonts w:hint="eastAsia" w:ascii="宋体" w:hAnsi="宋体" w:eastAsia="宋体" w:cs="宋体"/>
          <w:color w:val="auto"/>
          <w:highlight w:val="none"/>
        </w:rPr>
      </w:pPr>
    </w:p>
    <w:p w14:paraId="56AAF4A3">
      <w:pPr>
        <w:pStyle w:val="4"/>
        <w:spacing w:line="246" w:lineRule="auto"/>
        <w:rPr>
          <w:rFonts w:hint="eastAsia" w:ascii="宋体" w:hAnsi="宋体" w:eastAsia="宋体" w:cs="宋体"/>
          <w:color w:val="auto"/>
          <w:highlight w:val="none"/>
        </w:rPr>
      </w:pPr>
    </w:p>
    <w:p w14:paraId="6B957D03">
      <w:pPr>
        <w:pStyle w:val="4"/>
        <w:spacing w:line="246" w:lineRule="auto"/>
        <w:rPr>
          <w:rFonts w:hint="eastAsia" w:ascii="宋体" w:hAnsi="宋体" w:eastAsia="宋体" w:cs="宋体"/>
          <w:color w:val="auto"/>
          <w:highlight w:val="none"/>
        </w:rPr>
      </w:pPr>
    </w:p>
    <w:p w14:paraId="4C810F65">
      <w:pPr>
        <w:pStyle w:val="4"/>
        <w:spacing w:line="246" w:lineRule="auto"/>
        <w:rPr>
          <w:rFonts w:hint="eastAsia" w:ascii="宋体" w:hAnsi="宋体" w:eastAsia="宋体" w:cs="宋体"/>
          <w:color w:val="auto"/>
          <w:highlight w:val="none"/>
        </w:rPr>
      </w:pPr>
    </w:p>
    <w:p w14:paraId="4009D604">
      <w:pPr>
        <w:pStyle w:val="4"/>
        <w:spacing w:line="246" w:lineRule="auto"/>
        <w:rPr>
          <w:rFonts w:hint="eastAsia" w:ascii="宋体" w:hAnsi="宋体" w:eastAsia="宋体" w:cs="宋体"/>
          <w:color w:val="auto"/>
          <w:highlight w:val="none"/>
        </w:rPr>
      </w:pPr>
    </w:p>
    <w:p w14:paraId="26CF2431">
      <w:pPr>
        <w:pStyle w:val="4"/>
        <w:spacing w:line="246" w:lineRule="auto"/>
        <w:rPr>
          <w:rFonts w:hint="eastAsia" w:ascii="宋体" w:hAnsi="宋体" w:eastAsia="宋体" w:cs="宋体"/>
          <w:color w:val="auto"/>
          <w:highlight w:val="none"/>
        </w:rPr>
      </w:pPr>
    </w:p>
    <w:p w14:paraId="5FB1AEBC">
      <w:pPr>
        <w:pStyle w:val="4"/>
        <w:spacing w:line="246" w:lineRule="auto"/>
        <w:rPr>
          <w:rFonts w:hint="eastAsia" w:ascii="宋体" w:hAnsi="宋体" w:eastAsia="宋体" w:cs="宋体"/>
          <w:color w:val="auto"/>
          <w:highlight w:val="none"/>
        </w:rPr>
      </w:pPr>
      <w:r>
        <w:rPr>
          <w:rFonts w:hint="eastAsia" w:ascii="宋体" w:hAnsi="宋体" w:eastAsia="宋体" w:cs="宋体"/>
          <w:color w:val="auto"/>
          <w:highlight w:val="none"/>
        </w:rPr>
        <w:drawing>
          <wp:anchor distT="0" distB="0" distL="0" distR="0" simplePos="0" relativeHeight="251707392" behindDoc="0" locked="0" layoutInCell="1" allowOverlap="1">
            <wp:simplePos x="0" y="0"/>
            <wp:positionH relativeFrom="column">
              <wp:posOffset>0</wp:posOffset>
            </wp:positionH>
            <wp:positionV relativeFrom="paragraph">
              <wp:posOffset>93980</wp:posOffset>
            </wp:positionV>
            <wp:extent cx="1829435" cy="7620"/>
            <wp:effectExtent l="0" t="0" r="0" b="0"/>
            <wp:wrapNone/>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r:embed="rId316"/>
                    <a:stretch>
                      <a:fillRect/>
                    </a:stretch>
                  </pic:blipFill>
                  <pic:spPr>
                    <a:xfrm>
                      <a:off x="0" y="0"/>
                      <a:ext cx="1829435" cy="7619"/>
                    </a:xfrm>
                    <a:prstGeom prst="rect">
                      <a:avLst/>
                    </a:prstGeom>
                  </pic:spPr>
                </pic:pic>
              </a:graphicData>
            </a:graphic>
          </wp:anchor>
        </w:drawing>
      </w:r>
    </w:p>
    <w:p w14:paraId="24573B2E">
      <w:pPr>
        <w:pStyle w:val="4"/>
        <w:spacing w:line="246" w:lineRule="auto"/>
        <w:rPr>
          <w:rFonts w:hint="eastAsia" w:ascii="宋体" w:hAnsi="宋体" w:eastAsia="宋体" w:cs="宋体"/>
          <w:color w:val="auto"/>
          <w:highlight w:val="none"/>
        </w:rPr>
      </w:pPr>
    </w:p>
    <w:p w14:paraId="4D11C109">
      <w:pPr>
        <w:pStyle w:val="4"/>
        <w:spacing w:line="246" w:lineRule="auto"/>
        <w:rPr>
          <w:rFonts w:hint="eastAsia" w:ascii="宋体" w:hAnsi="宋体" w:eastAsia="宋体" w:cs="宋体"/>
          <w:color w:val="auto"/>
          <w:highlight w:val="none"/>
        </w:rPr>
      </w:pPr>
    </w:p>
    <w:p w14:paraId="4FEED4FE">
      <w:pPr>
        <w:pStyle w:val="4"/>
        <w:spacing w:line="246" w:lineRule="auto"/>
        <w:rPr>
          <w:rFonts w:hint="eastAsia" w:ascii="宋体" w:hAnsi="宋体" w:eastAsia="宋体" w:cs="宋体"/>
          <w:color w:val="auto"/>
          <w:highlight w:val="none"/>
        </w:rPr>
      </w:pPr>
    </w:p>
    <w:p w14:paraId="572B9519">
      <w:pPr>
        <w:spacing w:before="58" w:line="219" w:lineRule="auto"/>
        <w:ind w:left="1129"/>
        <w:rPr>
          <w:rFonts w:hint="eastAsia" w:ascii="宋体" w:hAnsi="宋体" w:eastAsia="宋体" w:cs="宋体"/>
          <w:color w:val="auto"/>
          <w:sz w:val="18"/>
          <w:szCs w:val="18"/>
          <w:highlight w:val="none"/>
        </w:rPr>
      </w:pPr>
      <w:r>
        <w:rPr>
          <w:rFonts w:hint="eastAsia" w:ascii="宋体" w:hAnsi="宋体" w:eastAsia="宋体" w:cs="宋体"/>
          <w:color w:val="auto"/>
          <w:highlight w:val="none"/>
        </w:rPr>
        <w:pict>
          <v:shape id="_x0000_s1035" o:spid="_x0000_s1035" style="position:absolute;left:0pt;margin-left:54.8pt;margin-top:6.5pt;height:4.6pt;width:4.55pt;z-index:251708416;mso-width-relative:page;mso-height-relative:page;" filled="f" stroked="t" coordsize="91,91" path="m90,45c90,70,70,90,45,90c20,90,0,70,0,45c0,20,20,0,45,0c70,0,90,20,90,45e">
            <v:fill on="f" focussize="0,0"/>
            <v:stroke weight="0.05pt" color="#000000" miterlimit="2" joinstyle="bevel" endcap="square"/>
            <v:imagedata o:title=""/>
            <o:lock v:ext="edit"/>
          </v:shape>
        </w:pict>
      </w:r>
      <w:r>
        <w:rPr>
          <w:rFonts w:hint="eastAsia" w:ascii="宋体" w:hAnsi="宋体" w:eastAsia="宋体" w:cs="宋体"/>
          <w:color w:val="auto"/>
          <w:sz w:val="7"/>
          <w:szCs w:val="7"/>
          <w:highlight w:val="none"/>
        </w:rPr>
        <w:t>1</w:t>
      </w:r>
      <w:r>
        <w:rPr>
          <w:rFonts w:hint="eastAsia" w:ascii="宋体" w:hAnsi="宋体" w:eastAsia="宋体" w:cs="宋体"/>
          <w:color w:val="auto"/>
          <w:sz w:val="18"/>
          <w:szCs w:val="18"/>
          <w:highlight w:val="none"/>
        </w:rPr>
        <w:t>招标人可结合招标项目具体特点和实际需要，对本章内容进行补充、细化。</w:t>
      </w:r>
    </w:p>
    <w:p w14:paraId="102177A9">
      <w:pPr>
        <w:spacing w:line="219" w:lineRule="auto"/>
        <w:rPr>
          <w:rFonts w:hint="eastAsia" w:ascii="宋体" w:hAnsi="宋体" w:eastAsia="宋体" w:cs="宋体"/>
          <w:color w:val="auto"/>
          <w:sz w:val="18"/>
          <w:szCs w:val="18"/>
          <w:highlight w:val="none"/>
        </w:rPr>
        <w:sectPr>
          <w:headerReference r:id="rId224" w:type="default"/>
          <w:footerReference r:id="rId225" w:type="default"/>
          <w:pgSz w:w="11907" w:h="16840"/>
          <w:pgMar w:top="1182" w:right="1290" w:bottom="1014" w:left="1643" w:header="849" w:footer="852" w:gutter="0"/>
          <w:pgNumType w:fmt="decimal"/>
          <w:cols w:space="720" w:num="1"/>
        </w:sectPr>
      </w:pPr>
    </w:p>
    <w:p w14:paraId="7D5039E6">
      <w:pPr>
        <w:pStyle w:val="4"/>
        <w:spacing w:line="331" w:lineRule="auto"/>
        <w:rPr>
          <w:rFonts w:hint="eastAsia" w:ascii="宋体" w:hAnsi="宋体" w:eastAsia="宋体" w:cs="宋体"/>
          <w:color w:val="auto"/>
          <w:highlight w:val="none"/>
        </w:rPr>
      </w:pPr>
    </w:p>
    <w:p w14:paraId="71E8F9F7">
      <w:pPr>
        <w:pStyle w:val="4"/>
        <w:spacing w:line="332" w:lineRule="auto"/>
        <w:rPr>
          <w:rFonts w:hint="eastAsia" w:ascii="宋体" w:hAnsi="宋体" w:eastAsia="宋体" w:cs="宋体"/>
          <w:color w:val="auto"/>
          <w:highlight w:val="none"/>
        </w:rPr>
      </w:pPr>
    </w:p>
    <w:p w14:paraId="69D72CA9">
      <w:pPr>
        <w:spacing w:before="98" w:line="227" w:lineRule="auto"/>
        <w:ind w:left="3346"/>
        <w:rPr>
          <w:rFonts w:hint="eastAsia" w:ascii="宋体" w:hAnsi="宋体" w:eastAsia="宋体" w:cs="宋体"/>
          <w:color w:val="auto"/>
          <w:sz w:val="30"/>
          <w:szCs w:val="30"/>
          <w:highlight w:val="none"/>
        </w:rPr>
      </w:pPr>
      <w:r>
        <w:rPr>
          <w:rFonts w:hint="eastAsia" w:ascii="宋体" w:hAnsi="宋体" w:eastAsia="宋体" w:cs="宋体"/>
          <w:color w:val="auto"/>
          <w:spacing w:val="8"/>
          <w:sz w:val="30"/>
          <w:szCs w:val="30"/>
          <w:highlight w:val="none"/>
        </w:rPr>
        <w:t>广西壮族自治区</w:t>
      </w:r>
    </w:p>
    <w:p w14:paraId="33E550F7">
      <w:pPr>
        <w:pStyle w:val="4"/>
        <w:spacing w:line="260" w:lineRule="auto"/>
        <w:rPr>
          <w:rFonts w:hint="eastAsia" w:ascii="宋体" w:hAnsi="宋体" w:eastAsia="宋体" w:cs="宋体"/>
          <w:color w:val="auto"/>
          <w:highlight w:val="none"/>
        </w:rPr>
      </w:pPr>
    </w:p>
    <w:p w14:paraId="51CF60B5">
      <w:pPr>
        <w:pStyle w:val="4"/>
        <w:spacing w:line="260" w:lineRule="auto"/>
        <w:rPr>
          <w:rFonts w:hint="eastAsia" w:ascii="宋体" w:hAnsi="宋体" w:eastAsia="宋体" w:cs="宋体"/>
          <w:color w:val="auto"/>
          <w:highlight w:val="none"/>
        </w:rPr>
      </w:pPr>
    </w:p>
    <w:p w14:paraId="1E3C5D34">
      <w:pPr>
        <w:pStyle w:val="4"/>
        <w:spacing w:line="260" w:lineRule="auto"/>
        <w:rPr>
          <w:rFonts w:hint="eastAsia" w:ascii="宋体" w:hAnsi="宋体" w:eastAsia="宋体" w:cs="宋体"/>
          <w:color w:val="auto"/>
          <w:highlight w:val="none"/>
        </w:rPr>
      </w:pPr>
    </w:p>
    <w:p w14:paraId="6CE6A95D">
      <w:pPr>
        <w:pStyle w:val="4"/>
        <w:spacing w:line="261" w:lineRule="auto"/>
        <w:rPr>
          <w:rFonts w:hint="eastAsia" w:ascii="宋体" w:hAnsi="宋体" w:eastAsia="宋体" w:cs="宋体"/>
          <w:color w:val="auto"/>
          <w:highlight w:val="none"/>
        </w:rPr>
      </w:pPr>
    </w:p>
    <w:p w14:paraId="2A3FEF07">
      <w:pPr>
        <w:tabs>
          <w:tab w:val="left" w:pos="3365"/>
        </w:tabs>
        <w:spacing w:before="78" w:line="222" w:lineRule="auto"/>
        <w:ind w:left="115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auto"/>
        </w:rPr>
        <w:tab/>
      </w:r>
      <w:r>
        <w:rPr>
          <w:rFonts w:hint="eastAsia" w:ascii="宋体" w:hAnsi="宋体" w:eastAsia="宋体" w:cs="宋体"/>
          <w:color w:val="auto"/>
          <w:spacing w:val="-1"/>
          <w:sz w:val="24"/>
          <w:szCs w:val="24"/>
          <w:highlight w:val="none"/>
        </w:rPr>
        <w:t>（项目名称）标段施工招标</w:t>
      </w:r>
    </w:p>
    <w:p w14:paraId="2B0DA8F9">
      <w:pPr>
        <w:pStyle w:val="4"/>
        <w:spacing w:line="262" w:lineRule="auto"/>
        <w:rPr>
          <w:rFonts w:hint="eastAsia" w:ascii="宋体" w:hAnsi="宋体" w:eastAsia="宋体" w:cs="宋体"/>
          <w:color w:val="auto"/>
          <w:highlight w:val="none"/>
        </w:rPr>
      </w:pPr>
    </w:p>
    <w:p w14:paraId="4BB4E523">
      <w:pPr>
        <w:pStyle w:val="4"/>
        <w:spacing w:line="262" w:lineRule="auto"/>
        <w:rPr>
          <w:rFonts w:hint="eastAsia" w:ascii="宋体" w:hAnsi="宋体" w:eastAsia="宋体" w:cs="宋体"/>
          <w:color w:val="auto"/>
          <w:highlight w:val="none"/>
        </w:rPr>
      </w:pPr>
    </w:p>
    <w:p w14:paraId="3BD287DA">
      <w:pPr>
        <w:pStyle w:val="4"/>
        <w:spacing w:line="262" w:lineRule="auto"/>
        <w:rPr>
          <w:rFonts w:hint="eastAsia" w:ascii="宋体" w:hAnsi="宋体" w:eastAsia="宋体" w:cs="宋体"/>
          <w:color w:val="auto"/>
          <w:highlight w:val="none"/>
        </w:rPr>
      </w:pPr>
    </w:p>
    <w:p w14:paraId="4A63FCEB">
      <w:pPr>
        <w:pStyle w:val="4"/>
        <w:spacing w:line="262" w:lineRule="auto"/>
        <w:rPr>
          <w:rFonts w:hint="eastAsia" w:ascii="宋体" w:hAnsi="宋体" w:eastAsia="宋体" w:cs="宋体"/>
          <w:color w:val="auto"/>
          <w:highlight w:val="none"/>
        </w:rPr>
      </w:pPr>
    </w:p>
    <w:p w14:paraId="027C869D">
      <w:pPr>
        <w:pStyle w:val="4"/>
        <w:spacing w:line="262" w:lineRule="auto"/>
        <w:rPr>
          <w:rFonts w:hint="eastAsia" w:ascii="宋体" w:hAnsi="宋体" w:eastAsia="宋体" w:cs="宋体"/>
          <w:color w:val="auto"/>
          <w:highlight w:val="none"/>
        </w:rPr>
      </w:pPr>
    </w:p>
    <w:p w14:paraId="571AA054">
      <w:pPr>
        <w:pStyle w:val="4"/>
        <w:spacing w:line="262" w:lineRule="auto"/>
        <w:rPr>
          <w:rFonts w:hint="eastAsia" w:ascii="宋体" w:hAnsi="宋体" w:eastAsia="宋体" w:cs="宋体"/>
          <w:color w:val="auto"/>
          <w:highlight w:val="none"/>
        </w:rPr>
      </w:pPr>
    </w:p>
    <w:p w14:paraId="0B1F3DDD">
      <w:pPr>
        <w:pStyle w:val="4"/>
        <w:spacing w:line="262" w:lineRule="auto"/>
        <w:rPr>
          <w:rFonts w:hint="eastAsia" w:ascii="宋体" w:hAnsi="宋体" w:eastAsia="宋体" w:cs="宋体"/>
          <w:color w:val="auto"/>
          <w:highlight w:val="none"/>
        </w:rPr>
      </w:pPr>
    </w:p>
    <w:p w14:paraId="005EC3E7">
      <w:pPr>
        <w:pStyle w:val="4"/>
        <w:spacing w:line="263" w:lineRule="auto"/>
        <w:rPr>
          <w:rFonts w:hint="eastAsia" w:ascii="宋体" w:hAnsi="宋体" w:eastAsia="宋体" w:cs="宋体"/>
          <w:color w:val="auto"/>
          <w:highlight w:val="none"/>
        </w:rPr>
      </w:pPr>
    </w:p>
    <w:p w14:paraId="27DB0777">
      <w:pPr>
        <w:spacing w:before="231" w:line="224" w:lineRule="auto"/>
        <w:ind w:left="1891"/>
        <w:rPr>
          <w:rFonts w:hint="eastAsia" w:ascii="宋体" w:hAnsi="宋体" w:eastAsia="宋体" w:cs="宋体"/>
          <w:color w:val="auto"/>
          <w:sz w:val="71"/>
          <w:szCs w:val="71"/>
          <w:highlight w:val="none"/>
        </w:rPr>
      </w:pPr>
      <w:r>
        <w:rPr>
          <w:rFonts w:hint="eastAsia" w:ascii="宋体" w:hAnsi="宋体" w:eastAsia="宋体" w:cs="宋体"/>
          <w:color w:val="auto"/>
          <w:spacing w:val="-11"/>
          <w:sz w:val="71"/>
          <w:szCs w:val="71"/>
          <w:highlight w:val="none"/>
        </w:rPr>
        <w:t>投标文件</w:t>
      </w:r>
    </w:p>
    <w:p w14:paraId="47090C84">
      <w:pPr>
        <w:spacing w:before="15" w:line="226" w:lineRule="auto"/>
        <w:ind w:left="2219"/>
        <w:outlineLvl w:val="1"/>
        <w:rPr>
          <w:rFonts w:hint="eastAsia" w:ascii="宋体" w:hAnsi="宋体" w:eastAsia="宋体" w:cs="宋体"/>
          <w:color w:val="auto"/>
          <w:sz w:val="31"/>
          <w:szCs w:val="31"/>
          <w:highlight w:val="none"/>
        </w:rPr>
      </w:pPr>
      <w:bookmarkStart w:id="829" w:name="bookmark66"/>
      <w:bookmarkEnd w:id="829"/>
      <w:bookmarkStart w:id="830" w:name="_Toc10811"/>
      <w:bookmarkStart w:id="831" w:name="_Toc30782"/>
      <w:bookmarkStart w:id="832" w:name="_Toc74"/>
      <w:bookmarkStart w:id="833" w:name="_Toc5485"/>
      <w:bookmarkStart w:id="834" w:name="_Toc15624"/>
      <w:r>
        <w:rPr>
          <w:rFonts w:hint="eastAsia" w:ascii="宋体" w:hAnsi="宋体" w:eastAsia="宋体" w:cs="宋体"/>
          <w:color w:val="auto"/>
          <w:spacing w:val="6"/>
          <w:sz w:val="31"/>
          <w:szCs w:val="31"/>
          <w:highlight w:val="none"/>
        </w:rPr>
        <w:t>（第一信封商务及技术文件）</w:t>
      </w:r>
      <w:bookmarkEnd w:id="830"/>
      <w:bookmarkEnd w:id="831"/>
      <w:bookmarkEnd w:id="832"/>
      <w:bookmarkEnd w:id="833"/>
      <w:bookmarkEnd w:id="834"/>
    </w:p>
    <w:p w14:paraId="629DDE07">
      <w:pPr>
        <w:pStyle w:val="4"/>
        <w:spacing w:line="251" w:lineRule="auto"/>
        <w:rPr>
          <w:rFonts w:hint="eastAsia" w:ascii="宋体" w:hAnsi="宋体" w:eastAsia="宋体" w:cs="宋体"/>
          <w:color w:val="auto"/>
          <w:highlight w:val="none"/>
        </w:rPr>
      </w:pPr>
    </w:p>
    <w:p w14:paraId="427AA364">
      <w:pPr>
        <w:pStyle w:val="4"/>
        <w:spacing w:line="251" w:lineRule="auto"/>
        <w:rPr>
          <w:rFonts w:hint="eastAsia" w:ascii="宋体" w:hAnsi="宋体" w:eastAsia="宋体" w:cs="宋体"/>
          <w:color w:val="auto"/>
          <w:highlight w:val="none"/>
        </w:rPr>
      </w:pPr>
    </w:p>
    <w:p w14:paraId="29442E04">
      <w:pPr>
        <w:pStyle w:val="4"/>
        <w:spacing w:line="251" w:lineRule="auto"/>
        <w:rPr>
          <w:rFonts w:hint="eastAsia" w:ascii="宋体" w:hAnsi="宋体" w:eastAsia="宋体" w:cs="宋体"/>
          <w:color w:val="auto"/>
          <w:highlight w:val="none"/>
        </w:rPr>
      </w:pPr>
    </w:p>
    <w:p w14:paraId="3B1670E0">
      <w:pPr>
        <w:pStyle w:val="4"/>
        <w:spacing w:line="251" w:lineRule="auto"/>
        <w:rPr>
          <w:rFonts w:hint="eastAsia" w:ascii="宋体" w:hAnsi="宋体" w:eastAsia="宋体" w:cs="宋体"/>
          <w:color w:val="auto"/>
          <w:highlight w:val="none"/>
        </w:rPr>
      </w:pPr>
    </w:p>
    <w:p w14:paraId="73250377">
      <w:pPr>
        <w:pStyle w:val="4"/>
        <w:spacing w:line="251" w:lineRule="auto"/>
        <w:rPr>
          <w:rFonts w:hint="eastAsia" w:ascii="宋体" w:hAnsi="宋体" w:eastAsia="宋体" w:cs="宋体"/>
          <w:color w:val="auto"/>
          <w:highlight w:val="none"/>
        </w:rPr>
      </w:pPr>
    </w:p>
    <w:p w14:paraId="74FF73FC">
      <w:pPr>
        <w:pStyle w:val="4"/>
        <w:spacing w:line="251" w:lineRule="auto"/>
        <w:rPr>
          <w:rFonts w:hint="eastAsia" w:ascii="宋体" w:hAnsi="宋体" w:eastAsia="宋体" w:cs="宋体"/>
          <w:color w:val="auto"/>
          <w:highlight w:val="none"/>
        </w:rPr>
      </w:pPr>
    </w:p>
    <w:p w14:paraId="78D0F975">
      <w:pPr>
        <w:pStyle w:val="4"/>
        <w:spacing w:line="251" w:lineRule="auto"/>
        <w:rPr>
          <w:rFonts w:hint="eastAsia" w:ascii="宋体" w:hAnsi="宋体" w:eastAsia="宋体" w:cs="宋体"/>
          <w:color w:val="auto"/>
          <w:highlight w:val="none"/>
        </w:rPr>
      </w:pPr>
    </w:p>
    <w:p w14:paraId="66923F6E">
      <w:pPr>
        <w:pStyle w:val="4"/>
        <w:spacing w:line="251" w:lineRule="auto"/>
        <w:rPr>
          <w:rFonts w:hint="eastAsia" w:ascii="宋体" w:hAnsi="宋体" w:eastAsia="宋体" w:cs="宋体"/>
          <w:color w:val="auto"/>
          <w:highlight w:val="none"/>
        </w:rPr>
      </w:pPr>
    </w:p>
    <w:p w14:paraId="79DC1C2B">
      <w:pPr>
        <w:pStyle w:val="4"/>
        <w:spacing w:line="251" w:lineRule="auto"/>
        <w:rPr>
          <w:rFonts w:hint="eastAsia" w:ascii="宋体" w:hAnsi="宋体" w:eastAsia="宋体" w:cs="宋体"/>
          <w:color w:val="auto"/>
          <w:highlight w:val="none"/>
        </w:rPr>
      </w:pPr>
    </w:p>
    <w:p w14:paraId="424E5D99">
      <w:pPr>
        <w:pStyle w:val="4"/>
        <w:spacing w:line="251" w:lineRule="auto"/>
        <w:rPr>
          <w:rFonts w:hint="eastAsia" w:ascii="宋体" w:hAnsi="宋体" w:eastAsia="宋体" w:cs="宋体"/>
          <w:color w:val="auto"/>
          <w:highlight w:val="none"/>
        </w:rPr>
      </w:pPr>
    </w:p>
    <w:p w14:paraId="31552980">
      <w:pPr>
        <w:pStyle w:val="4"/>
        <w:spacing w:line="251" w:lineRule="auto"/>
        <w:rPr>
          <w:rFonts w:hint="eastAsia" w:ascii="宋体" w:hAnsi="宋体" w:eastAsia="宋体" w:cs="宋体"/>
          <w:color w:val="auto"/>
          <w:highlight w:val="none"/>
        </w:rPr>
      </w:pPr>
    </w:p>
    <w:p w14:paraId="3957E469">
      <w:pPr>
        <w:pStyle w:val="4"/>
        <w:spacing w:line="251" w:lineRule="auto"/>
        <w:rPr>
          <w:rFonts w:hint="eastAsia" w:ascii="宋体" w:hAnsi="宋体" w:eastAsia="宋体" w:cs="宋体"/>
          <w:color w:val="auto"/>
          <w:highlight w:val="none"/>
        </w:rPr>
      </w:pPr>
    </w:p>
    <w:p w14:paraId="3DEF4252">
      <w:pPr>
        <w:pStyle w:val="4"/>
        <w:spacing w:line="251" w:lineRule="auto"/>
        <w:rPr>
          <w:rFonts w:hint="eastAsia" w:ascii="宋体" w:hAnsi="宋体" w:eastAsia="宋体" w:cs="宋体"/>
          <w:color w:val="auto"/>
          <w:highlight w:val="none"/>
        </w:rPr>
      </w:pPr>
    </w:p>
    <w:p w14:paraId="0C0088CE">
      <w:pPr>
        <w:pStyle w:val="4"/>
        <w:spacing w:line="251" w:lineRule="auto"/>
        <w:rPr>
          <w:rFonts w:hint="eastAsia" w:ascii="宋体" w:hAnsi="宋体" w:eastAsia="宋体" w:cs="宋体"/>
          <w:color w:val="auto"/>
          <w:highlight w:val="none"/>
        </w:rPr>
      </w:pPr>
    </w:p>
    <w:p w14:paraId="76571515">
      <w:pPr>
        <w:pStyle w:val="4"/>
        <w:spacing w:line="251" w:lineRule="auto"/>
        <w:rPr>
          <w:rFonts w:hint="eastAsia" w:ascii="宋体" w:hAnsi="宋体" w:eastAsia="宋体" w:cs="宋体"/>
          <w:color w:val="auto"/>
          <w:highlight w:val="none"/>
        </w:rPr>
      </w:pPr>
    </w:p>
    <w:p w14:paraId="106FBE88">
      <w:pPr>
        <w:spacing w:before="91" w:line="222" w:lineRule="auto"/>
        <w:ind w:left="622"/>
        <w:rPr>
          <w:rFonts w:hint="eastAsia" w:ascii="宋体" w:hAnsi="宋体" w:eastAsia="宋体" w:cs="宋体"/>
          <w:color w:val="auto"/>
          <w:sz w:val="28"/>
          <w:szCs w:val="28"/>
          <w:highlight w:val="none"/>
        </w:rPr>
      </w:pPr>
      <w:r>
        <w:rPr>
          <w:rFonts w:hint="eastAsia" w:ascii="宋体" w:hAnsi="宋体" w:eastAsia="宋体" w:cs="宋体"/>
          <w:color w:val="auto"/>
          <w:spacing w:val="2"/>
          <w:sz w:val="28"/>
          <w:szCs w:val="28"/>
          <w:highlight w:val="none"/>
        </w:rPr>
        <w:t>投标人</w:t>
      </w:r>
      <w:r>
        <w:rPr>
          <w:rFonts w:hint="eastAsia" w:ascii="宋体" w:hAnsi="宋体" w:eastAsia="宋体" w:cs="宋体"/>
          <w:color w:val="auto"/>
          <w:spacing w:val="-15"/>
          <w:sz w:val="28"/>
          <w:szCs w:val="28"/>
          <w:highlight w:val="none"/>
        </w:rPr>
        <w:t>：（</w:t>
      </w:r>
      <w:r>
        <w:rPr>
          <w:rFonts w:hint="eastAsia" w:ascii="宋体" w:hAnsi="宋体" w:eastAsia="宋体" w:cs="宋体"/>
          <w:color w:val="auto"/>
          <w:spacing w:val="2"/>
          <w:sz w:val="28"/>
          <w:szCs w:val="28"/>
          <w:highlight w:val="none"/>
        </w:rPr>
        <w:t>盖单位章）</w:t>
      </w:r>
    </w:p>
    <w:p w14:paraId="18C1BF1A">
      <w:pPr>
        <w:pStyle w:val="4"/>
        <w:spacing w:line="459" w:lineRule="auto"/>
        <w:rPr>
          <w:rFonts w:hint="eastAsia" w:ascii="宋体" w:hAnsi="宋体" w:eastAsia="宋体" w:cs="宋体"/>
          <w:color w:val="auto"/>
          <w:highlight w:val="none"/>
        </w:rPr>
      </w:pPr>
    </w:p>
    <w:p w14:paraId="1740B642">
      <w:pPr>
        <w:tabs>
          <w:tab w:val="left" w:pos="3518"/>
        </w:tabs>
        <w:spacing w:before="91" w:line="224" w:lineRule="auto"/>
        <w:ind w:left="2401"/>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u w:val="single" w:color="auto"/>
        </w:rPr>
        <w:tab/>
      </w:r>
      <w:r>
        <w:rPr>
          <w:rFonts w:hint="eastAsia" w:ascii="宋体" w:hAnsi="宋体" w:eastAsia="宋体" w:cs="宋体"/>
          <w:color w:val="auto"/>
          <w:spacing w:val="-10"/>
          <w:sz w:val="28"/>
          <w:szCs w:val="28"/>
          <w:highlight w:val="none"/>
        </w:rPr>
        <w:t>年月日</w:t>
      </w:r>
    </w:p>
    <w:p w14:paraId="138400E4">
      <w:pPr>
        <w:spacing w:line="224" w:lineRule="auto"/>
        <w:rPr>
          <w:rFonts w:hint="eastAsia" w:ascii="宋体" w:hAnsi="宋体" w:eastAsia="宋体" w:cs="宋体"/>
          <w:color w:val="auto"/>
          <w:sz w:val="28"/>
          <w:szCs w:val="28"/>
          <w:highlight w:val="none"/>
        </w:rPr>
        <w:sectPr>
          <w:headerReference r:id="rId226" w:type="default"/>
          <w:footerReference r:id="rId227" w:type="default"/>
          <w:pgSz w:w="11907" w:h="16840"/>
          <w:pgMar w:top="1182" w:right="1290" w:bottom="1014" w:left="1786" w:header="849" w:footer="852" w:gutter="0"/>
          <w:pgNumType w:fmt="decimal"/>
          <w:cols w:space="720" w:num="1"/>
        </w:sectPr>
      </w:pPr>
    </w:p>
    <w:sdt>
      <w:sdtPr>
        <w:rPr>
          <w:rFonts w:ascii="宋体" w:hAnsi="宋体" w:eastAsia="宋体" w:cs="Arial"/>
          <w:snapToGrid w:val="0"/>
          <w:color w:val="auto"/>
          <w:kern w:val="0"/>
          <w:sz w:val="21"/>
          <w:szCs w:val="21"/>
          <w:highlight w:val="none"/>
          <w:lang w:val="en-US" w:eastAsia="en-US" w:bidi="ar-SA"/>
        </w:rPr>
        <w:id w:val="147468065"/>
        <w15:color w:val="DBDBDB"/>
        <w:docPartObj>
          <w:docPartGallery w:val="Table of Contents"/>
          <w:docPartUnique/>
        </w:docPartObj>
      </w:sdtPr>
      <w:sdtEndPr>
        <w:rPr>
          <w:rFonts w:ascii="宋体" w:hAnsi="宋体" w:eastAsia="宋体" w:cs="Arial"/>
          <w:snapToGrid w:val="0"/>
          <w:color w:val="auto"/>
          <w:kern w:val="0"/>
          <w:sz w:val="21"/>
          <w:szCs w:val="21"/>
          <w:highlight w:val="none"/>
          <w:lang w:val="en-US" w:eastAsia="en-US" w:bidi="ar-SA"/>
        </w:rPr>
      </w:sdtEndPr>
      <w:sdtContent>
        <w:p w14:paraId="48567B93">
          <w:pPr>
            <w:spacing w:before="0" w:beforeLines="0" w:after="0" w:afterLines="0" w:line="240" w:lineRule="auto"/>
            <w:ind w:left="0" w:leftChars="0" w:right="0" w:rightChars="0" w:firstLine="0" w:firstLineChars="0"/>
            <w:jc w:val="center"/>
            <w:rPr>
              <w:color w:val="auto"/>
              <w:highlight w:val="none"/>
            </w:rPr>
          </w:pPr>
          <w:r>
            <w:rPr>
              <w:rFonts w:ascii="宋体" w:hAnsi="宋体" w:eastAsia="宋体"/>
              <w:color w:val="auto"/>
              <w:sz w:val="21"/>
              <w:highlight w:val="none"/>
            </w:rPr>
            <w:t>目录</w:t>
          </w:r>
        </w:p>
        <w:p w14:paraId="7F663DD2">
          <w:pPr>
            <w:pStyle w:val="7"/>
            <w:tabs>
              <w:tab w:val="right" w:leader="dot" w:pos="8831"/>
            </w:tabs>
          </w:pPr>
          <w:r>
            <w:rPr>
              <w:color w:val="auto"/>
              <w:highlight w:val="none"/>
            </w:rPr>
            <w:fldChar w:fldCharType="begin"/>
          </w:r>
          <w:r>
            <w:rPr>
              <w:color w:val="auto"/>
              <w:highlight w:val="none"/>
            </w:rPr>
            <w:instrText xml:space="preserve">TOC \o "1-3" \h \u </w:instrText>
          </w:r>
          <w:r>
            <w:rPr>
              <w:color w:val="auto"/>
              <w:highlight w:val="none"/>
            </w:rPr>
            <w:fldChar w:fldCharType="separate"/>
          </w:r>
          <w:r>
            <w:rPr>
              <w:color w:val="auto"/>
              <w:highlight w:val="none"/>
            </w:rPr>
            <w:fldChar w:fldCharType="begin"/>
          </w:r>
          <w:r>
            <w:rPr>
              <w:highlight w:val="none"/>
            </w:rPr>
            <w:instrText xml:space="preserve"> HYPERLINK \l _Toc26385 </w:instrText>
          </w:r>
          <w:r>
            <w:rPr>
              <w:highlight w:val="none"/>
            </w:rPr>
            <w:fldChar w:fldCharType="separate"/>
          </w:r>
          <w:r>
            <w:rPr>
              <w:rFonts w:hint="eastAsia" w:ascii="宋体" w:hAnsi="宋体" w:eastAsia="宋体" w:cs="宋体"/>
              <w:bCs/>
              <w:szCs w:val="47"/>
              <w:highlight w:val="none"/>
            </w:rPr>
            <w:t>第一卷</w:t>
          </w:r>
          <w:r>
            <w:tab/>
          </w:r>
          <w:r>
            <w:fldChar w:fldCharType="begin"/>
          </w:r>
          <w:r>
            <w:instrText xml:space="preserve"> PAGEREF _Toc26385 \h </w:instrText>
          </w:r>
          <w:r>
            <w:fldChar w:fldCharType="separate"/>
          </w:r>
          <w:r>
            <w:t>3</w:t>
          </w:r>
          <w:r>
            <w:fldChar w:fldCharType="end"/>
          </w:r>
          <w:r>
            <w:rPr>
              <w:color w:val="auto"/>
              <w:highlight w:val="none"/>
            </w:rPr>
            <w:fldChar w:fldCharType="end"/>
          </w:r>
        </w:p>
        <w:p w14:paraId="6F75D161">
          <w:pPr>
            <w:pStyle w:val="7"/>
            <w:tabs>
              <w:tab w:val="right" w:leader="dot" w:pos="8831"/>
            </w:tabs>
          </w:pPr>
          <w:r>
            <w:rPr>
              <w:color w:val="auto"/>
              <w:highlight w:val="none"/>
            </w:rPr>
            <w:fldChar w:fldCharType="begin"/>
          </w:r>
          <w:r>
            <w:rPr>
              <w:highlight w:val="none"/>
            </w:rPr>
            <w:instrText xml:space="preserve"> HYPERLINK \l _Toc9962 </w:instrText>
          </w:r>
          <w:r>
            <w:rPr>
              <w:highlight w:val="none"/>
            </w:rPr>
            <w:fldChar w:fldCharType="separate"/>
          </w:r>
          <w:r>
            <w:rPr>
              <w:rFonts w:hint="eastAsia" w:ascii="宋体" w:hAnsi="宋体" w:eastAsia="宋体" w:cs="宋体"/>
              <w:bCs/>
              <w:spacing w:val="5"/>
              <w:szCs w:val="35"/>
              <w:highlight w:val="none"/>
            </w:rPr>
            <w:t>第一章招标公告</w:t>
          </w:r>
          <w:r>
            <w:tab/>
          </w:r>
          <w:r>
            <w:fldChar w:fldCharType="begin"/>
          </w:r>
          <w:r>
            <w:instrText xml:space="preserve"> PAGEREF _Toc9962 \h </w:instrText>
          </w:r>
          <w:r>
            <w:fldChar w:fldCharType="separate"/>
          </w:r>
          <w:r>
            <w:t>4</w:t>
          </w:r>
          <w:r>
            <w:fldChar w:fldCharType="end"/>
          </w:r>
          <w:r>
            <w:rPr>
              <w:color w:val="auto"/>
              <w:highlight w:val="none"/>
            </w:rPr>
            <w:fldChar w:fldCharType="end"/>
          </w:r>
        </w:p>
        <w:p w14:paraId="4AF397B7">
          <w:pPr>
            <w:pStyle w:val="8"/>
            <w:tabs>
              <w:tab w:val="right" w:leader="dot" w:pos="8831"/>
            </w:tabs>
          </w:pPr>
          <w:r>
            <w:rPr>
              <w:color w:val="auto"/>
              <w:highlight w:val="none"/>
            </w:rPr>
            <w:fldChar w:fldCharType="begin"/>
          </w:r>
          <w:r>
            <w:rPr>
              <w:highlight w:val="none"/>
            </w:rPr>
            <w:instrText xml:space="preserve"> HYPERLINK \l _Toc17504 </w:instrText>
          </w:r>
          <w:r>
            <w:rPr>
              <w:highlight w:val="none"/>
            </w:rPr>
            <w:fldChar w:fldCharType="separate"/>
          </w:r>
          <w:r>
            <w:rPr>
              <w:rFonts w:hint="eastAsia" w:ascii="宋体" w:hAnsi="宋体" w:eastAsia="宋体" w:cs="宋体"/>
              <w:bCs/>
              <w:spacing w:val="4"/>
              <w:szCs w:val="24"/>
              <w:highlight w:val="none"/>
            </w:rPr>
            <w:t>1.招标条件</w:t>
          </w:r>
          <w:r>
            <w:tab/>
          </w:r>
          <w:r>
            <w:fldChar w:fldCharType="begin"/>
          </w:r>
          <w:r>
            <w:instrText xml:space="preserve"> PAGEREF _Toc17504 \h </w:instrText>
          </w:r>
          <w:r>
            <w:fldChar w:fldCharType="separate"/>
          </w:r>
          <w:r>
            <w:t>4</w:t>
          </w:r>
          <w:r>
            <w:fldChar w:fldCharType="end"/>
          </w:r>
          <w:r>
            <w:rPr>
              <w:color w:val="auto"/>
              <w:highlight w:val="none"/>
            </w:rPr>
            <w:fldChar w:fldCharType="end"/>
          </w:r>
        </w:p>
        <w:p w14:paraId="0A178606">
          <w:pPr>
            <w:pStyle w:val="8"/>
            <w:tabs>
              <w:tab w:val="right" w:leader="dot" w:pos="8831"/>
            </w:tabs>
          </w:pPr>
          <w:r>
            <w:rPr>
              <w:color w:val="auto"/>
              <w:highlight w:val="none"/>
            </w:rPr>
            <w:fldChar w:fldCharType="begin"/>
          </w:r>
          <w:r>
            <w:rPr>
              <w:highlight w:val="none"/>
            </w:rPr>
            <w:instrText xml:space="preserve"> HYPERLINK \l _Toc17771 </w:instrText>
          </w:r>
          <w:r>
            <w:rPr>
              <w:highlight w:val="none"/>
            </w:rPr>
            <w:fldChar w:fldCharType="separate"/>
          </w:r>
          <w:r>
            <w:rPr>
              <w:rFonts w:hint="eastAsia" w:ascii="宋体" w:hAnsi="宋体" w:eastAsia="宋体" w:cs="宋体"/>
              <w:spacing w:val="6"/>
              <w:szCs w:val="24"/>
              <w:highlight w:val="none"/>
            </w:rPr>
            <w:t>2</w:t>
          </w:r>
          <w:r>
            <w:rPr>
              <w:rFonts w:hint="eastAsia" w:ascii="宋体" w:hAnsi="宋体" w:eastAsia="宋体" w:cs="宋体"/>
              <w:bCs/>
              <w:spacing w:val="6"/>
              <w:szCs w:val="24"/>
              <w:highlight w:val="none"/>
            </w:rPr>
            <w:t>.项目概况与招标范围</w:t>
          </w:r>
          <w:r>
            <w:tab/>
          </w:r>
          <w:r>
            <w:fldChar w:fldCharType="begin"/>
          </w:r>
          <w:r>
            <w:instrText xml:space="preserve"> PAGEREF _Toc17771 \h </w:instrText>
          </w:r>
          <w:r>
            <w:fldChar w:fldCharType="separate"/>
          </w:r>
          <w:r>
            <w:t>4</w:t>
          </w:r>
          <w:r>
            <w:fldChar w:fldCharType="end"/>
          </w:r>
          <w:r>
            <w:rPr>
              <w:color w:val="auto"/>
              <w:highlight w:val="none"/>
            </w:rPr>
            <w:fldChar w:fldCharType="end"/>
          </w:r>
        </w:p>
        <w:p w14:paraId="53957D56">
          <w:pPr>
            <w:pStyle w:val="8"/>
            <w:tabs>
              <w:tab w:val="right" w:leader="dot" w:pos="8831"/>
            </w:tabs>
          </w:pPr>
          <w:r>
            <w:rPr>
              <w:color w:val="auto"/>
              <w:highlight w:val="none"/>
            </w:rPr>
            <w:fldChar w:fldCharType="begin"/>
          </w:r>
          <w:r>
            <w:rPr>
              <w:highlight w:val="none"/>
            </w:rPr>
            <w:instrText xml:space="preserve"> HYPERLINK \l _Toc9399 </w:instrText>
          </w:r>
          <w:r>
            <w:rPr>
              <w:highlight w:val="none"/>
            </w:rPr>
            <w:fldChar w:fldCharType="separate"/>
          </w:r>
          <w:r>
            <w:rPr>
              <w:rFonts w:hint="eastAsia" w:ascii="宋体" w:hAnsi="宋体" w:eastAsia="宋体" w:cs="宋体"/>
              <w:bCs/>
              <w:spacing w:val="5"/>
              <w:szCs w:val="24"/>
              <w:highlight w:val="none"/>
            </w:rPr>
            <w:t>3.投标人资格要求</w:t>
          </w:r>
          <w:r>
            <w:tab/>
          </w:r>
          <w:r>
            <w:fldChar w:fldCharType="begin"/>
          </w:r>
          <w:r>
            <w:instrText xml:space="preserve"> PAGEREF _Toc9399 \h </w:instrText>
          </w:r>
          <w:r>
            <w:fldChar w:fldCharType="separate"/>
          </w:r>
          <w:r>
            <w:t>5</w:t>
          </w:r>
          <w:r>
            <w:fldChar w:fldCharType="end"/>
          </w:r>
          <w:r>
            <w:rPr>
              <w:color w:val="auto"/>
              <w:highlight w:val="none"/>
            </w:rPr>
            <w:fldChar w:fldCharType="end"/>
          </w:r>
        </w:p>
        <w:p w14:paraId="5044D739">
          <w:pPr>
            <w:pStyle w:val="8"/>
            <w:tabs>
              <w:tab w:val="right" w:leader="dot" w:pos="8831"/>
            </w:tabs>
          </w:pPr>
          <w:r>
            <w:rPr>
              <w:color w:val="auto"/>
              <w:highlight w:val="none"/>
            </w:rPr>
            <w:fldChar w:fldCharType="begin"/>
          </w:r>
          <w:r>
            <w:rPr>
              <w:highlight w:val="none"/>
            </w:rPr>
            <w:instrText xml:space="preserve"> HYPERLINK \l _Toc21375 </w:instrText>
          </w:r>
          <w:r>
            <w:rPr>
              <w:highlight w:val="none"/>
            </w:rPr>
            <w:fldChar w:fldCharType="separate"/>
          </w:r>
          <w:r>
            <w:rPr>
              <w:rFonts w:hint="eastAsia" w:ascii="宋体" w:hAnsi="宋体" w:eastAsia="宋体" w:cs="宋体"/>
              <w:bCs/>
              <w:spacing w:val="5"/>
              <w:szCs w:val="24"/>
              <w:highlight w:val="none"/>
            </w:rPr>
            <w:t>4.评标办法</w:t>
          </w:r>
          <w:r>
            <w:tab/>
          </w:r>
          <w:r>
            <w:fldChar w:fldCharType="begin"/>
          </w:r>
          <w:r>
            <w:instrText xml:space="preserve"> PAGEREF _Toc21375 \h </w:instrText>
          </w:r>
          <w:r>
            <w:fldChar w:fldCharType="separate"/>
          </w:r>
          <w:r>
            <w:t>6</w:t>
          </w:r>
          <w:r>
            <w:fldChar w:fldCharType="end"/>
          </w:r>
          <w:r>
            <w:rPr>
              <w:color w:val="auto"/>
              <w:highlight w:val="none"/>
            </w:rPr>
            <w:fldChar w:fldCharType="end"/>
          </w:r>
        </w:p>
        <w:p w14:paraId="1F373998">
          <w:pPr>
            <w:pStyle w:val="8"/>
            <w:tabs>
              <w:tab w:val="right" w:leader="dot" w:pos="8831"/>
            </w:tabs>
          </w:pPr>
          <w:r>
            <w:rPr>
              <w:color w:val="auto"/>
              <w:highlight w:val="none"/>
            </w:rPr>
            <w:fldChar w:fldCharType="begin"/>
          </w:r>
          <w:r>
            <w:rPr>
              <w:highlight w:val="none"/>
            </w:rPr>
            <w:instrText xml:space="preserve"> HYPERLINK \l _Toc17748 </w:instrText>
          </w:r>
          <w:r>
            <w:rPr>
              <w:highlight w:val="none"/>
            </w:rPr>
            <w:fldChar w:fldCharType="separate"/>
          </w:r>
          <w:r>
            <w:rPr>
              <w:rFonts w:hint="eastAsia" w:ascii="宋体" w:hAnsi="宋体" w:eastAsia="宋体" w:cs="宋体"/>
              <w:bCs/>
              <w:spacing w:val="5"/>
              <w:szCs w:val="24"/>
              <w:highlight w:val="none"/>
            </w:rPr>
            <w:t>5.招标文件获取</w:t>
          </w:r>
          <w:r>
            <w:tab/>
          </w:r>
          <w:r>
            <w:fldChar w:fldCharType="begin"/>
          </w:r>
          <w:r>
            <w:instrText xml:space="preserve"> PAGEREF _Toc17748 \h </w:instrText>
          </w:r>
          <w:r>
            <w:fldChar w:fldCharType="separate"/>
          </w:r>
          <w:r>
            <w:t>6</w:t>
          </w:r>
          <w:r>
            <w:fldChar w:fldCharType="end"/>
          </w:r>
          <w:r>
            <w:rPr>
              <w:color w:val="auto"/>
              <w:highlight w:val="none"/>
            </w:rPr>
            <w:fldChar w:fldCharType="end"/>
          </w:r>
        </w:p>
        <w:p w14:paraId="63B7938A">
          <w:pPr>
            <w:pStyle w:val="8"/>
            <w:tabs>
              <w:tab w:val="right" w:leader="dot" w:pos="8831"/>
            </w:tabs>
          </w:pPr>
          <w:r>
            <w:rPr>
              <w:color w:val="auto"/>
              <w:highlight w:val="none"/>
            </w:rPr>
            <w:fldChar w:fldCharType="begin"/>
          </w:r>
          <w:r>
            <w:rPr>
              <w:highlight w:val="none"/>
            </w:rPr>
            <w:instrText xml:space="preserve"> HYPERLINK \l _Toc2233 </w:instrText>
          </w:r>
          <w:r>
            <w:rPr>
              <w:highlight w:val="none"/>
            </w:rPr>
            <w:fldChar w:fldCharType="separate"/>
          </w:r>
          <w:r>
            <w:rPr>
              <w:rFonts w:hint="eastAsia" w:ascii="宋体" w:hAnsi="宋体" w:eastAsia="宋体" w:cs="宋体"/>
              <w:bCs/>
              <w:spacing w:val="7"/>
              <w:szCs w:val="24"/>
              <w:highlight w:val="none"/>
            </w:rPr>
            <w:t>6.投标文件的递交及电子化开标说明</w:t>
          </w:r>
          <w:r>
            <w:tab/>
          </w:r>
          <w:r>
            <w:fldChar w:fldCharType="begin"/>
          </w:r>
          <w:r>
            <w:instrText xml:space="preserve"> PAGEREF _Toc2233 \h </w:instrText>
          </w:r>
          <w:r>
            <w:fldChar w:fldCharType="separate"/>
          </w:r>
          <w:r>
            <w:t>6</w:t>
          </w:r>
          <w:r>
            <w:fldChar w:fldCharType="end"/>
          </w:r>
          <w:r>
            <w:rPr>
              <w:color w:val="auto"/>
              <w:highlight w:val="none"/>
            </w:rPr>
            <w:fldChar w:fldCharType="end"/>
          </w:r>
        </w:p>
        <w:p w14:paraId="0DC4912D">
          <w:pPr>
            <w:pStyle w:val="8"/>
            <w:tabs>
              <w:tab w:val="right" w:leader="dot" w:pos="8831"/>
            </w:tabs>
          </w:pPr>
          <w:r>
            <w:rPr>
              <w:color w:val="auto"/>
              <w:highlight w:val="none"/>
            </w:rPr>
            <w:fldChar w:fldCharType="begin"/>
          </w:r>
          <w:r>
            <w:rPr>
              <w:highlight w:val="none"/>
            </w:rPr>
            <w:instrText xml:space="preserve"> HYPERLINK \l _Toc31115 </w:instrText>
          </w:r>
          <w:r>
            <w:rPr>
              <w:highlight w:val="none"/>
            </w:rPr>
            <w:fldChar w:fldCharType="separate"/>
          </w:r>
          <w:r>
            <w:rPr>
              <w:rFonts w:hint="eastAsia" w:ascii="宋体" w:hAnsi="宋体" w:eastAsia="宋体" w:cs="宋体"/>
              <w:bCs/>
              <w:spacing w:val="5"/>
              <w:szCs w:val="24"/>
              <w:highlight w:val="none"/>
            </w:rPr>
            <w:t>7.发布公告的媒介</w:t>
          </w:r>
          <w:r>
            <w:tab/>
          </w:r>
          <w:r>
            <w:fldChar w:fldCharType="begin"/>
          </w:r>
          <w:r>
            <w:instrText xml:space="preserve"> PAGEREF _Toc31115 \h </w:instrText>
          </w:r>
          <w:r>
            <w:fldChar w:fldCharType="separate"/>
          </w:r>
          <w:r>
            <w:t>7</w:t>
          </w:r>
          <w:r>
            <w:fldChar w:fldCharType="end"/>
          </w:r>
          <w:r>
            <w:rPr>
              <w:color w:val="auto"/>
              <w:highlight w:val="none"/>
            </w:rPr>
            <w:fldChar w:fldCharType="end"/>
          </w:r>
        </w:p>
        <w:p w14:paraId="2A60A741">
          <w:pPr>
            <w:pStyle w:val="8"/>
            <w:tabs>
              <w:tab w:val="right" w:leader="dot" w:pos="8831"/>
            </w:tabs>
          </w:pPr>
          <w:r>
            <w:rPr>
              <w:color w:val="auto"/>
              <w:highlight w:val="none"/>
            </w:rPr>
            <w:fldChar w:fldCharType="begin"/>
          </w:r>
          <w:r>
            <w:rPr>
              <w:highlight w:val="none"/>
            </w:rPr>
            <w:instrText xml:space="preserve"> HYPERLINK \l _Toc9480 </w:instrText>
          </w:r>
          <w:r>
            <w:rPr>
              <w:highlight w:val="none"/>
            </w:rPr>
            <w:fldChar w:fldCharType="separate"/>
          </w:r>
          <w:r>
            <w:rPr>
              <w:rFonts w:hint="eastAsia" w:ascii="宋体" w:hAnsi="宋体" w:eastAsia="宋体" w:cs="宋体"/>
              <w:bCs/>
              <w:spacing w:val="5"/>
              <w:szCs w:val="24"/>
              <w:highlight w:val="none"/>
            </w:rPr>
            <w:t>8.联系方式</w:t>
          </w:r>
          <w:r>
            <w:tab/>
          </w:r>
          <w:r>
            <w:fldChar w:fldCharType="begin"/>
          </w:r>
          <w:r>
            <w:instrText xml:space="preserve"> PAGEREF _Toc9480 \h </w:instrText>
          </w:r>
          <w:r>
            <w:fldChar w:fldCharType="separate"/>
          </w:r>
          <w:r>
            <w:t>7</w:t>
          </w:r>
          <w:r>
            <w:fldChar w:fldCharType="end"/>
          </w:r>
          <w:r>
            <w:rPr>
              <w:color w:val="auto"/>
              <w:highlight w:val="none"/>
            </w:rPr>
            <w:fldChar w:fldCharType="end"/>
          </w:r>
        </w:p>
        <w:p w14:paraId="116A592E">
          <w:pPr>
            <w:pStyle w:val="7"/>
            <w:tabs>
              <w:tab w:val="right" w:leader="dot" w:pos="8831"/>
            </w:tabs>
          </w:pPr>
          <w:r>
            <w:rPr>
              <w:color w:val="auto"/>
              <w:highlight w:val="none"/>
            </w:rPr>
            <w:fldChar w:fldCharType="begin"/>
          </w:r>
          <w:r>
            <w:rPr>
              <w:highlight w:val="none"/>
            </w:rPr>
            <w:instrText xml:space="preserve"> HYPERLINK \l _Toc23527 </w:instrText>
          </w:r>
          <w:r>
            <w:rPr>
              <w:highlight w:val="none"/>
            </w:rPr>
            <w:fldChar w:fldCharType="separate"/>
          </w:r>
          <w:r>
            <w:rPr>
              <w:rFonts w:hint="eastAsia" w:ascii="宋体" w:hAnsi="宋体" w:eastAsia="宋体" w:cs="宋体"/>
              <w:bCs/>
              <w:spacing w:val="4"/>
              <w:szCs w:val="43"/>
              <w:highlight w:val="none"/>
            </w:rPr>
            <w:t>第二章投标人须知</w:t>
          </w:r>
          <w:r>
            <w:tab/>
          </w:r>
          <w:r>
            <w:fldChar w:fldCharType="begin"/>
          </w:r>
          <w:r>
            <w:instrText xml:space="preserve"> PAGEREF _Toc23527 \h </w:instrText>
          </w:r>
          <w:r>
            <w:fldChar w:fldCharType="separate"/>
          </w:r>
          <w:r>
            <w:t>9</w:t>
          </w:r>
          <w:r>
            <w:fldChar w:fldCharType="end"/>
          </w:r>
          <w:r>
            <w:rPr>
              <w:color w:val="auto"/>
              <w:highlight w:val="none"/>
            </w:rPr>
            <w:fldChar w:fldCharType="end"/>
          </w:r>
        </w:p>
        <w:p w14:paraId="5417FEAA">
          <w:pPr>
            <w:pStyle w:val="7"/>
            <w:tabs>
              <w:tab w:val="right" w:leader="dot" w:pos="8831"/>
            </w:tabs>
          </w:pPr>
          <w:r>
            <w:rPr>
              <w:color w:val="auto"/>
              <w:highlight w:val="none"/>
            </w:rPr>
            <w:fldChar w:fldCharType="begin"/>
          </w:r>
          <w:r>
            <w:rPr>
              <w:highlight w:val="none"/>
            </w:rPr>
            <w:instrText xml:space="preserve"> HYPERLINK \l _Toc12726 </w:instrText>
          </w:r>
          <w:r>
            <w:rPr>
              <w:highlight w:val="none"/>
            </w:rPr>
            <w:fldChar w:fldCharType="separate"/>
          </w:r>
          <w:r>
            <w:rPr>
              <w:rFonts w:hint="eastAsia" w:ascii="宋体" w:hAnsi="宋体" w:eastAsia="宋体" w:cs="宋体"/>
              <w:bCs/>
              <w:spacing w:val="5"/>
              <w:szCs w:val="43"/>
              <w:highlight w:val="none"/>
            </w:rPr>
            <w:t>投标人须知前附表</w:t>
          </w:r>
          <w:r>
            <w:tab/>
          </w:r>
          <w:r>
            <w:fldChar w:fldCharType="begin"/>
          </w:r>
          <w:r>
            <w:instrText xml:space="preserve"> PAGEREF _Toc12726 \h </w:instrText>
          </w:r>
          <w:r>
            <w:fldChar w:fldCharType="separate"/>
          </w:r>
          <w:r>
            <w:t>9</w:t>
          </w:r>
          <w:r>
            <w:fldChar w:fldCharType="end"/>
          </w:r>
          <w:r>
            <w:rPr>
              <w:color w:val="auto"/>
              <w:highlight w:val="none"/>
            </w:rPr>
            <w:fldChar w:fldCharType="end"/>
          </w:r>
        </w:p>
        <w:p w14:paraId="0275949D">
          <w:pPr>
            <w:pStyle w:val="8"/>
            <w:tabs>
              <w:tab w:val="right" w:leader="dot" w:pos="8831"/>
            </w:tabs>
          </w:pPr>
          <w:r>
            <w:rPr>
              <w:color w:val="auto"/>
              <w:highlight w:val="none"/>
            </w:rPr>
            <w:fldChar w:fldCharType="begin"/>
          </w:r>
          <w:r>
            <w:rPr>
              <w:highlight w:val="none"/>
            </w:rPr>
            <w:instrText xml:space="preserve"> HYPERLINK \l _Toc3511 </w:instrText>
          </w:r>
          <w:r>
            <w:rPr>
              <w:highlight w:val="none"/>
            </w:rPr>
            <w:fldChar w:fldCharType="separate"/>
          </w:r>
          <w:r>
            <w:rPr>
              <w:rFonts w:hint="eastAsia" w:ascii="宋体" w:hAnsi="宋体" w:eastAsia="宋体" w:cs="宋体"/>
              <w:bCs/>
              <w:spacing w:val="-8"/>
              <w:szCs w:val="28"/>
              <w:highlight w:val="none"/>
            </w:rPr>
            <w:t>1.总则</w:t>
          </w:r>
          <w:r>
            <w:tab/>
          </w:r>
          <w:r>
            <w:fldChar w:fldCharType="begin"/>
          </w:r>
          <w:r>
            <w:instrText xml:space="preserve"> PAGEREF _Toc3511 \h </w:instrText>
          </w:r>
          <w:r>
            <w:fldChar w:fldCharType="separate"/>
          </w:r>
          <w:r>
            <w:t>34</w:t>
          </w:r>
          <w:r>
            <w:fldChar w:fldCharType="end"/>
          </w:r>
          <w:r>
            <w:rPr>
              <w:color w:val="auto"/>
              <w:highlight w:val="none"/>
            </w:rPr>
            <w:fldChar w:fldCharType="end"/>
          </w:r>
        </w:p>
        <w:p w14:paraId="1E956ECF">
          <w:pPr>
            <w:pStyle w:val="5"/>
            <w:tabs>
              <w:tab w:val="right" w:leader="dot" w:pos="8831"/>
            </w:tabs>
          </w:pPr>
          <w:r>
            <w:rPr>
              <w:color w:val="auto"/>
              <w:highlight w:val="none"/>
            </w:rPr>
            <w:fldChar w:fldCharType="begin"/>
          </w:r>
          <w:r>
            <w:rPr>
              <w:highlight w:val="none"/>
            </w:rPr>
            <w:instrText xml:space="preserve"> HYPERLINK \l _Toc15193 </w:instrText>
          </w:r>
          <w:r>
            <w:rPr>
              <w:highlight w:val="none"/>
            </w:rPr>
            <w:fldChar w:fldCharType="separate"/>
          </w:r>
          <w:r>
            <w:rPr>
              <w:rFonts w:hint="eastAsia" w:ascii="宋体" w:hAnsi="宋体" w:eastAsia="宋体" w:cs="宋体"/>
              <w:bCs/>
              <w:spacing w:val="-5"/>
              <w:szCs w:val="24"/>
              <w:highlight w:val="none"/>
            </w:rPr>
            <w:t>1.1项目概况</w:t>
          </w:r>
          <w:r>
            <w:tab/>
          </w:r>
          <w:r>
            <w:fldChar w:fldCharType="begin"/>
          </w:r>
          <w:r>
            <w:instrText xml:space="preserve"> PAGEREF _Toc15193 \h </w:instrText>
          </w:r>
          <w:r>
            <w:fldChar w:fldCharType="separate"/>
          </w:r>
          <w:r>
            <w:t>34</w:t>
          </w:r>
          <w:r>
            <w:fldChar w:fldCharType="end"/>
          </w:r>
          <w:r>
            <w:rPr>
              <w:color w:val="auto"/>
              <w:highlight w:val="none"/>
            </w:rPr>
            <w:fldChar w:fldCharType="end"/>
          </w:r>
        </w:p>
        <w:p w14:paraId="27DC7EE5">
          <w:pPr>
            <w:pStyle w:val="5"/>
            <w:tabs>
              <w:tab w:val="right" w:leader="dot" w:pos="8831"/>
            </w:tabs>
          </w:pPr>
          <w:r>
            <w:rPr>
              <w:color w:val="auto"/>
              <w:highlight w:val="none"/>
            </w:rPr>
            <w:fldChar w:fldCharType="begin"/>
          </w:r>
          <w:r>
            <w:rPr>
              <w:highlight w:val="none"/>
            </w:rPr>
            <w:instrText xml:space="preserve"> HYPERLINK \l _Toc8112 </w:instrText>
          </w:r>
          <w:r>
            <w:rPr>
              <w:highlight w:val="none"/>
            </w:rPr>
            <w:fldChar w:fldCharType="separate"/>
          </w:r>
          <w:r>
            <w:rPr>
              <w:rFonts w:hint="eastAsia" w:ascii="宋体" w:hAnsi="宋体" w:eastAsia="宋体" w:cs="宋体"/>
              <w:bCs/>
              <w:spacing w:val="-3"/>
              <w:szCs w:val="24"/>
              <w:highlight w:val="none"/>
            </w:rPr>
            <w:t>1.2招标项目的资金来源和落实情况</w:t>
          </w:r>
          <w:r>
            <w:tab/>
          </w:r>
          <w:r>
            <w:fldChar w:fldCharType="begin"/>
          </w:r>
          <w:r>
            <w:instrText xml:space="preserve"> PAGEREF _Toc8112 \h </w:instrText>
          </w:r>
          <w:r>
            <w:fldChar w:fldCharType="separate"/>
          </w:r>
          <w:r>
            <w:t>34</w:t>
          </w:r>
          <w:r>
            <w:fldChar w:fldCharType="end"/>
          </w:r>
          <w:r>
            <w:rPr>
              <w:color w:val="auto"/>
              <w:highlight w:val="none"/>
            </w:rPr>
            <w:fldChar w:fldCharType="end"/>
          </w:r>
        </w:p>
        <w:p w14:paraId="507337E1">
          <w:pPr>
            <w:pStyle w:val="5"/>
            <w:tabs>
              <w:tab w:val="right" w:leader="dot" w:pos="8831"/>
            </w:tabs>
          </w:pPr>
          <w:r>
            <w:rPr>
              <w:color w:val="auto"/>
              <w:highlight w:val="none"/>
            </w:rPr>
            <w:fldChar w:fldCharType="begin"/>
          </w:r>
          <w:r>
            <w:rPr>
              <w:highlight w:val="none"/>
            </w:rPr>
            <w:instrText xml:space="preserve"> HYPERLINK \l _Toc21608 </w:instrText>
          </w:r>
          <w:r>
            <w:rPr>
              <w:highlight w:val="none"/>
            </w:rPr>
            <w:fldChar w:fldCharType="separate"/>
          </w:r>
          <w:r>
            <w:rPr>
              <w:rFonts w:hint="eastAsia" w:ascii="宋体" w:hAnsi="宋体" w:eastAsia="宋体" w:cs="宋体"/>
              <w:bCs/>
              <w:spacing w:val="-3"/>
              <w:szCs w:val="24"/>
              <w:highlight w:val="none"/>
            </w:rPr>
            <w:t>1.3招标范围、计划工期、质量要求、安全目标</w:t>
          </w:r>
          <w:r>
            <w:tab/>
          </w:r>
          <w:r>
            <w:fldChar w:fldCharType="begin"/>
          </w:r>
          <w:r>
            <w:instrText xml:space="preserve"> PAGEREF _Toc21608 \h </w:instrText>
          </w:r>
          <w:r>
            <w:fldChar w:fldCharType="separate"/>
          </w:r>
          <w:r>
            <w:t>34</w:t>
          </w:r>
          <w:r>
            <w:fldChar w:fldCharType="end"/>
          </w:r>
          <w:r>
            <w:rPr>
              <w:color w:val="auto"/>
              <w:highlight w:val="none"/>
            </w:rPr>
            <w:fldChar w:fldCharType="end"/>
          </w:r>
        </w:p>
        <w:p w14:paraId="1CDC8686">
          <w:pPr>
            <w:pStyle w:val="5"/>
            <w:tabs>
              <w:tab w:val="right" w:leader="dot" w:pos="8831"/>
            </w:tabs>
          </w:pPr>
          <w:r>
            <w:rPr>
              <w:color w:val="auto"/>
              <w:highlight w:val="none"/>
            </w:rPr>
            <w:fldChar w:fldCharType="begin"/>
          </w:r>
          <w:r>
            <w:rPr>
              <w:highlight w:val="none"/>
            </w:rPr>
            <w:instrText xml:space="preserve"> HYPERLINK \l _Toc21689 </w:instrText>
          </w:r>
          <w:r>
            <w:rPr>
              <w:highlight w:val="none"/>
            </w:rPr>
            <w:fldChar w:fldCharType="separate"/>
          </w:r>
          <w:r>
            <w:rPr>
              <w:rFonts w:hint="eastAsia" w:ascii="宋体" w:hAnsi="宋体" w:eastAsia="宋体" w:cs="宋体"/>
              <w:bCs/>
              <w:spacing w:val="-3"/>
              <w:szCs w:val="24"/>
              <w:highlight w:val="none"/>
            </w:rPr>
            <w:t>1.4投标人资格要求（适用于未进行资格预审的）</w:t>
          </w:r>
          <w:r>
            <w:tab/>
          </w:r>
          <w:r>
            <w:fldChar w:fldCharType="begin"/>
          </w:r>
          <w:r>
            <w:instrText xml:space="preserve"> PAGEREF _Toc21689 \h </w:instrText>
          </w:r>
          <w:r>
            <w:fldChar w:fldCharType="separate"/>
          </w:r>
          <w:r>
            <w:t>34</w:t>
          </w:r>
          <w:r>
            <w:fldChar w:fldCharType="end"/>
          </w:r>
          <w:r>
            <w:rPr>
              <w:color w:val="auto"/>
              <w:highlight w:val="none"/>
            </w:rPr>
            <w:fldChar w:fldCharType="end"/>
          </w:r>
        </w:p>
        <w:p w14:paraId="61BA3815">
          <w:pPr>
            <w:pStyle w:val="5"/>
            <w:tabs>
              <w:tab w:val="right" w:leader="dot" w:pos="8831"/>
            </w:tabs>
          </w:pPr>
          <w:r>
            <w:rPr>
              <w:color w:val="auto"/>
              <w:highlight w:val="none"/>
            </w:rPr>
            <w:fldChar w:fldCharType="begin"/>
          </w:r>
          <w:r>
            <w:rPr>
              <w:highlight w:val="none"/>
            </w:rPr>
            <w:instrText xml:space="preserve"> HYPERLINK \l _Toc27981 </w:instrText>
          </w:r>
          <w:r>
            <w:rPr>
              <w:highlight w:val="none"/>
            </w:rPr>
            <w:fldChar w:fldCharType="separate"/>
          </w:r>
          <w:r>
            <w:rPr>
              <w:rFonts w:hint="eastAsia" w:ascii="宋体" w:hAnsi="宋体" w:eastAsia="宋体" w:cs="宋体"/>
              <w:spacing w:val="14"/>
              <w:szCs w:val="24"/>
              <w:highlight w:val="none"/>
            </w:rPr>
            <w:t>1.4.5投标人（包括联合体各成员）应进</w:t>
          </w:r>
          <w:r>
            <w:rPr>
              <w:rFonts w:hint="eastAsia" w:ascii="宋体" w:hAnsi="宋体" w:eastAsia="宋体" w:cs="宋体"/>
              <w:spacing w:val="13"/>
              <w:szCs w:val="24"/>
              <w:highlight w:val="none"/>
            </w:rPr>
            <w:t>入交通运输部“全国公路建设市场信用信息管理系统</w:t>
          </w:r>
          <w:r>
            <w:rPr>
              <w:rFonts w:hint="eastAsia" w:ascii="宋体" w:hAnsi="宋体" w:eastAsia="宋体" w:cs="宋体"/>
              <w:spacing w:val="8"/>
              <w:szCs w:val="24"/>
              <w:highlight w:val="none"/>
            </w:rPr>
            <w:t>（</w:t>
          </w:r>
          <w:r>
            <w:rPr>
              <w:rFonts w:hint="eastAsia" w:ascii="宋体" w:hAnsi="宋体" w:eastAsia="宋体" w:cs="宋体"/>
              <w:szCs w:val="24"/>
              <w:highlight w:val="none"/>
            </w:rPr>
            <w:t>http</w:t>
          </w:r>
          <w:r>
            <w:rPr>
              <w:rFonts w:hint="eastAsia" w:ascii="宋体" w:hAnsi="宋体" w:eastAsia="宋体" w:cs="宋体"/>
              <w:spacing w:val="8"/>
              <w:szCs w:val="24"/>
              <w:highlight w:val="none"/>
            </w:rPr>
            <w:t>：//</w:t>
          </w:r>
          <w:r>
            <w:rPr>
              <w:rFonts w:hint="eastAsia" w:ascii="宋体" w:hAnsi="宋体" w:eastAsia="宋体" w:cs="宋体"/>
              <w:szCs w:val="24"/>
              <w:highlight w:val="none"/>
            </w:rPr>
            <w:t>glxy</w:t>
          </w:r>
          <w:r>
            <w:rPr>
              <w:rFonts w:hint="eastAsia" w:ascii="宋体" w:hAnsi="宋体" w:eastAsia="宋体" w:cs="宋体"/>
              <w:spacing w:val="8"/>
              <w:szCs w:val="24"/>
              <w:highlight w:val="none"/>
            </w:rPr>
            <w:t>.</w:t>
          </w:r>
          <w:r>
            <w:rPr>
              <w:rFonts w:hint="eastAsia" w:ascii="宋体" w:hAnsi="宋体" w:eastAsia="宋体" w:cs="宋体"/>
              <w:szCs w:val="24"/>
              <w:highlight w:val="none"/>
            </w:rPr>
            <w:t>mot</w:t>
          </w:r>
          <w:r>
            <w:rPr>
              <w:rFonts w:hint="eastAsia" w:ascii="宋体" w:hAnsi="宋体" w:eastAsia="宋体" w:cs="宋体"/>
              <w:spacing w:val="8"/>
              <w:szCs w:val="24"/>
              <w:highlight w:val="none"/>
            </w:rPr>
            <w:t>.</w:t>
          </w:r>
          <w:r>
            <w:rPr>
              <w:rFonts w:hint="eastAsia" w:ascii="宋体" w:hAnsi="宋体" w:eastAsia="宋体" w:cs="宋体"/>
              <w:szCs w:val="24"/>
              <w:highlight w:val="none"/>
            </w:rPr>
            <w:t>gov</w:t>
          </w:r>
          <w:r>
            <w:rPr>
              <w:rFonts w:hint="eastAsia" w:ascii="宋体" w:hAnsi="宋体" w:eastAsia="宋体" w:cs="宋体"/>
              <w:spacing w:val="8"/>
              <w:szCs w:val="24"/>
              <w:highlight w:val="none"/>
            </w:rPr>
            <w:t>.</w:t>
          </w:r>
          <w:r>
            <w:rPr>
              <w:rFonts w:hint="eastAsia" w:ascii="宋体" w:hAnsi="宋体" w:eastAsia="宋体" w:cs="宋体"/>
              <w:szCs w:val="24"/>
              <w:highlight w:val="none"/>
            </w:rPr>
            <w:t>cn</w:t>
          </w:r>
          <w:r>
            <w:rPr>
              <w:rFonts w:hint="eastAsia" w:ascii="宋体" w:hAnsi="宋体" w:eastAsia="宋体" w:cs="宋体"/>
              <w:spacing w:val="8"/>
              <w:szCs w:val="24"/>
              <w:highlight w:val="none"/>
            </w:rPr>
            <w:t>）”中的公路工程施工资质企业名录，且投标人名称和资质与该名录</w:t>
          </w:r>
          <w:r>
            <w:rPr>
              <w:rFonts w:hint="eastAsia" w:ascii="宋体" w:hAnsi="宋体" w:eastAsia="宋体" w:cs="宋体"/>
              <w:spacing w:val="10"/>
              <w:szCs w:val="24"/>
              <w:highlight w:val="none"/>
            </w:rPr>
            <w:t>中的相应企业名称和资质完全一致。投标人不满足本项规定条件的，将</w:t>
          </w:r>
          <w:r>
            <w:rPr>
              <w:rFonts w:hint="eastAsia" w:ascii="宋体" w:hAnsi="宋体" w:eastAsia="宋体" w:cs="宋体"/>
              <w:spacing w:val="9"/>
              <w:szCs w:val="24"/>
              <w:highlight w:val="none"/>
            </w:rPr>
            <w:t>被否决投标。</w:t>
          </w:r>
          <w:r>
            <w:tab/>
          </w:r>
          <w:r>
            <w:fldChar w:fldCharType="begin"/>
          </w:r>
          <w:r>
            <w:instrText xml:space="preserve"> PAGEREF _Toc27981 \h </w:instrText>
          </w:r>
          <w:r>
            <w:fldChar w:fldCharType="separate"/>
          </w:r>
          <w:r>
            <w:t>36</w:t>
          </w:r>
          <w:r>
            <w:fldChar w:fldCharType="end"/>
          </w:r>
          <w:r>
            <w:rPr>
              <w:color w:val="auto"/>
              <w:highlight w:val="none"/>
            </w:rPr>
            <w:fldChar w:fldCharType="end"/>
          </w:r>
        </w:p>
        <w:p w14:paraId="626B1689">
          <w:pPr>
            <w:pStyle w:val="5"/>
            <w:tabs>
              <w:tab w:val="right" w:leader="dot" w:pos="8831"/>
            </w:tabs>
          </w:pPr>
          <w:r>
            <w:rPr>
              <w:color w:val="auto"/>
              <w:highlight w:val="none"/>
            </w:rPr>
            <w:fldChar w:fldCharType="begin"/>
          </w:r>
          <w:r>
            <w:rPr>
              <w:highlight w:val="none"/>
            </w:rPr>
            <w:instrText xml:space="preserve"> HYPERLINK \l _Toc14380 </w:instrText>
          </w:r>
          <w:r>
            <w:rPr>
              <w:highlight w:val="none"/>
            </w:rPr>
            <w:fldChar w:fldCharType="separate"/>
          </w:r>
          <w:r>
            <w:rPr>
              <w:rFonts w:hint="eastAsia" w:ascii="宋体" w:hAnsi="宋体" w:eastAsia="宋体" w:cs="宋体"/>
              <w:bCs/>
              <w:spacing w:val="-6"/>
              <w:szCs w:val="24"/>
              <w:highlight w:val="none"/>
            </w:rPr>
            <w:t>1.5费用承担</w:t>
          </w:r>
          <w:r>
            <w:tab/>
          </w:r>
          <w:r>
            <w:fldChar w:fldCharType="begin"/>
          </w:r>
          <w:r>
            <w:instrText xml:space="preserve"> PAGEREF _Toc14380 \h </w:instrText>
          </w:r>
          <w:r>
            <w:fldChar w:fldCharType="separate"/>
          </w:r>
          <w:r>
            <w:t>36</w:t>
          </w:r>
          <w:r>
            <w:fldChar w:fldCharType="end"/>
          </w:r>
          <w:r>
            <w:rPr>
              <w:color w:val="auto"/>
              <w:highlight w:val="none"/>
            </w:rPr>
            <w:fldChar w:fldCharType="end"/>
          </w:r>
        </w:p>
        <w:p w14:paraId="4CF65292">
          <w:pPr>
            <w:pStyle w:val="5"/>
            <w:tabs>
              <w:tab w:val="right" w:leader="dot" w:pos="8831"/>
            </w:tabs>
          </w:pPr>
          <w:r>
            <w:rPr>
              <w:color w:val="auto"/>
              <w:highlight w:val="none"/>
            </w:rPr>
            <w:fldChar w:fldCharType="begin"/>
          </w:r>
          <w:r>
            <w:rPr>
              <w:highlight w:val="none"/>
            </w:rPr>
            <w:instrText xml:space="preserve"> HYPERLINK \l _Toc13866 </w:instrText>
          </w:r>
          <w:r>
            <w:rPr>
              <w:highlight w:val="none"/>
            </w:rPr>
            <w:fldChar w:fldCharType="separate"/>
          </w:r>
          <w:r>
            <w:rPr>
              <w:rFonts w:hint="eastAsia" w:ascii="宋体" w:hAnsi="宋体" w:eastAsia="宋体" w:cs="宋体"/>
              <w:bCs/>
              <w:spacing w:val="-7"/>
              <w:szCs w:val="24"/>
              <w:highlight w:val="none"/>
            </w:rPr>
            <w:t>1.6保密</w:t>
          </w:r>
          <w:r>
            <w:tab/>
          </w:r>
          <w:r>
            <w:fldChar w:fldCharType="begin"/>
          </w:r>
          <w:r>
            <w:instrText xml:space="preserve"> PAGEREF _Toc13866 \h </w:instrText>
          </w:r>
          <w:r>
            <w:fldChar w:fldCharType="separate"/>
          </w:r>
          <w:r>
            <w:t>36</w:t>
          </w:r>
          <w:r>
            <w:fldChar w:fldCharType="end"/>
          </w:r>
          <w:r>
            <w:rPr>
              <w:color w:val="auto"/>
              <w:highlight w:val="none"/>
            </w:rPr>
            <w:fldChar w:fldCharType="end"/>
          </w:r>
        </w:p>
        <w:p w14:paraId="4F27BD4A">
          <w:pPr>
            <w:pStyle w:val="5"/>
            <w:tabs>
              <w:tab w:val="right" w:leader="dot" w:pos="8831"/>
            </w:tabs>
          </w:pPr>
          <w:r>
            <w:rPr>
              <w:color w:val="auto"/>
              <w:highlight w:val="none"/>
            </w:rPr>
            <w:fldChar w:fldCharType="begin"/>
          </w:r>
          <w:r>
            <w:rPr>
              <w:highlight w:val="none"/>
            </w:rPr>
            <w:instrText xml:space="preserve"> HYPERLINK \l _Toc2833 </w:instrText>
          </w:r>
          <w:r>
            <w:rPr>
              <w:highlight w:val="none"/>
            </w:rPr>
            <w:fldChar w:fldCharType="separate"/>
          </w:r>
          <w:r>
            <w:rPr>
              <w:rFonts w:hint="eastAsia" w:ascii="宋体" w:hAnsi="宋体" w:eastAsia="宋体" w:cs="宋体"/>
              <w:bCs/>
              <w:spacing w:val="-5"/>
              <w:szCs w:val="24"/>
              <w:highlight w:val="none"/>
            </w:rPr>
            <w:t>1.7语言文字</w:t>
          </w:r>
          <w:r>
            <w:tab/>
          </w:r>
          <w:r>
            <w:fldChar w:fldCharType="begin"/>
          </w:r>
          <w:r>
            <w:instrText xml:space="preserve"> PAGEREF _Toc2833 \h </w:instrText>
          </w:r>
          <w:r>
            <w:fldChar w:fldCharType="separate"/>
          </w:r>
          <w:r>
            <w:t>36</w:t>
          </w:r>
          <w:r>
            <w:fldChar w:fldCharType="end"/>
          </w:r>
          <w:r>
            <w:rPr>
              <w:color w:val="auto"/>
              <w:highlight w:val="none"/>
            </w:rPr>
            <w:fldChar w:fldCharType="end"/>
          </w:r>
        </w:p>
        <w:p w14:paraId="12E0CFA2">
          <w:pPr>
            <w:pStyle w:val="5"/>
            <w:tabs>
              <w:tab w:val="right" w:leader="dot" w:pos="8831"/>
            </w:tabs>
          </w:pPr>
          <w:r>
            <w:rPr>
              <w:color w:val="auto"/>
              <w:highlight w:val="none"/>
            </w:rPr>
            <w:fldChar w:fldCharType="begin"/>
          </w:r>
          <w:r>
            <w:rPr>
              <w:highlight w:val="none"/>
            </w:rPr>
            <w:instrText xml:space="preserve"> HYPERLINK \l _Toc8109 </w:instrText>
          </w:r>
          <w:r>
            <w:rPr>
              <w:highlight w:val="none"/>
            </w:rPr>
            <w:fldChar w:fldCharType="separate"/>
          </w:r>
          <w:r>
            <w:rPr>
              <w:rFonts w:hint="eastAsia" w:ascii="宋体" w:hAnsi="宋体" w:eastAsia="宋体" w:cs="宋体"/>
              <w:bCs/>
              <w:spacing w:val="-6"/>
              <w:szCs w:val="24"/>
              <w:highlight w:val="none"/>
            </w:rPr>
            <w:t>1.8计量单位</w:t>
          </w:r>
          <w:r>
            <w:tab/>
          </w:r>
          <w:r>
            <w:fldChar w:fldCharType="begin"/>
          </w:r>
          <w:r>
            <w:instrText xml:space="preserve"> PAGEREF _Toc8109 \h </w:instrText>
          </w:r>
          <w:r>
            <w:fldChar w:fldCharType="separate"/>
          </w:r>
          <w:r>
            <w:t>36</w:t>
          </w:r>
          <w:r>
            <w:fldChar w:fldCharType="end"/>
          </w:r>
          <w:r>
            <w:rPr>
              <w:color w:val="auto"/>
              <w:highlight w:val="none"/>
            </w:rPr>
            <w:fldChar w:fldCharType="end"/>
          </w:r>
        </w:p>
        <w:p w14:paraId="33A64D21">
          <w:pPr>
            <w:pStyle w:val="5"/>
            <w:tabs>
              <w:tab w:val="right" w:leader="dot" w:pos="8831"/>
            </w:tabs>
          </w:pPr>
          <w:r>
            <w:rPr>
              <w:color w:val="auto"/>
              <w:highlight w:val="none"/>
            </w:rPr>
            <w:fldChar w:fldCharType="begin"/>
          </w:r>
          <w:r>
            <w:rPr>
              <w:highlight w:val="none"/>
            </w:rPr>
            <w:instrText xml:space="preserve"> HYPERLINK \l _Toc26641 </w:instrText>
          </w:r>
          <w:r>
            <w:rPr>
              <w:highlight w:val="none"/>
            </w:rPr>
            <w:fldChar w:fldCharType="separate"/>
          </w:r>
          <w:r>
            <w:rPr>
              <w:rFonts w:hint="eastAsia" w:ascii="宋体" w:hAnsi="宋体" w:eastAsia="宋体" w:cs="宋体"/>
              <w:bCs/>
              <w:spacing w:val="-6"/>
              <w:szCs w:val="24"/>
              <w:highlight w:val="none"/>
            </w:rPr>
            <w:t>1.9踏勘现场</w:t>
          </w:r>
          <w:r>
            <w:tab/>
          </w:r>
          <w:r>
            <w:fldChar w:fldCharType="begin"/>
          </w:r>
          <w:r>
            <w:instrText xml:space="preserve"> PAGEREF _Toc26641 \h </w:instrText>
          </w:r>
          <w:r>
            <w:fldChar w:fldCharType="separate"/>
          </w:r>
          <w:r>
            <w:t>36</w:t>
          </w:r>
          <w:r>
            <w:fldChar w:fldCharType="end"/>
          </w:r>
          <w:r>
            <w:rPr>
              <w:color w:val="auto"/>
              <w:highlight w:val="none"/>
            </w:rPr>
            <w:fldChar w:fldCharType="end"/>
          </w:r>
        </w:p>
        <w:p w14:paraId="32F859F3">
          <w:pPr>
            <w:pStyle w:val="5"/>
            <w:tabs>
              <w:tab w:val="right" w:leader="dot" w:pos="8831"/>
            </w:tabs>
          </w:pPr>
          <w:r>
            <w:rPr>
              <w:color w:val="auto"/>
              <w:highlight w:val="none"/>
            </w:rPr>
            <w:fldChar w:fldCharType="begin"/>
          </w:r>
          <w:r>
            <w:rPr>
              <w:highlight w:val="none"/>
            </w:rPr>
            <w:instrText xml:space="preserve"> HYPERLINK \l _Toc31660 </w:instrText>
          </w:r>
          <w:r>
            <w:rPr>
              <w:highlight w:val="none"/>
            </w:rPr>
            <w:fldChar w:fldCharType="separate"/>
          </w:r>
          <w:r>
            <w:rPr>
              <w:rFonts w:hint="eastAsia" w:ascii="宋体" w:hAnsi="宋体" w:eastAsia="宋体" w:cs="宋体"/>
              <w:spacing w:val="8"/>
              <w:szCs w:val="24"/>
              <w:highlight w:val="none"/>
            </w:rPr>
            <w:t>1.9.1第一章“招标公告”或“投标邀请书”规定组织踏</w:t>
          </w:r>
          <w:r>
            <w:rPr>
              <w:rFonts w:hint="eastAsia" w:ascii="宋体" w:hAnsi="宋体" w:eastAsia="宋体" w:cs="宋体"/>
              <w:spacing w:val="7"/>
              <w:szCs w:val="24"/>
              <w:highlight w:val="none"/>
            </w:rPr>
            <w:t>勘现场的，招标人按</w:t>
          </w:r>
          <w:r>
            <w:rPr>
              <w:rFonts w:hint="eastAsia" w:ascii="宋体" w:hAnsi="宋体" w:eastAsia="宋体" w:cs="宋体"/>
              <w:spacing w:val="-6"/>
              <w:szCs w:val="24"/>
              <w:highlight w:val="none"/>
            </w:rPr>
            <w:t>规定的时间、地点组织投标人踏勘项目现场。部分投标人未按时参加踏勘现场的，不影响踏勘现场的正常进行。招标人不得组织单个或部分投标人踏勘项目现场。</w:t>
          </w:r>
          <w:r>
            <w:tab/>
          </w:r>
          <w:r>
            <w:fldChar w:fldCharType="begin"/>
          </w:r>
          <w:r>
            <w:instrText xml:space="preserve"> PAGEREF _Toc31660 \h </w:instrText>
          </w:r>
          <w:r>
            <w:fldChar w:fldCharType="separate"/>
          </w:r>
          <w:r>
            <w:t>36</w:t>
          </w:r>
          <w:r>
            <w:fldChar w:fldCharType="end"/>
          </w:r>
          <w:r>
            <w:rPr>
              <w:color w:val="auto"/>
              <w:highlight w:val="none"/>
            </w:rPr>
            <w:fldChar w:fldCharType="end"/>
          </w:r>
        </w:p>
        <w:p w14:paraId="11C57F94">
          <w:pPr>
            <w:pStyle w:val="5"/>
            <w:tabs>
              <w:tab w:val="right" w:leader="dot" w:pos="8831"/>
            </w:tabs>
          </w:pPr>
          <w:r>
            <w:rPr>
              <w:color w:val="auto"/>
              <w:highlight w:val="none"/>
            </w:rPr>
            <w:fldChar w:fldCharType="begin"/>
          </w:r>
          <w:r>
            <w:rPr>
              <w:highlight w:val="none"/>
            </w:rPr>
            <w:instrText xml:space="preserve"> HYPERLINK \l _Toc15420 </w:instrText>
          </w:r>
          <w:r>
            <w:rPr>
              <w:highlight w:val="none"/>
            </w:rPr>
            <w:fldChar w:fldCharType="separate"/>
          </w:r>
          <w:r>
            <w:rPr>
              <w:rFonts w:hint="eastAsia" w:ascii="宋体" w:hAnsi="宋体" w:eastAsia="宋体" w:cs="宋体"/>
              <w:bCs/>
              <w:spacing w:val="-4"/>
              <w:szCs w:val="24"/>
              <w:highlight w:val="none"/>
            </w:rPr>
            <w:t>1.10投标预备会</w:t>
          </w:r>
          <w:r>
            <w:tab/>
          </w:r>
          <w:r>
            <w:fldChar w:fldCharType="begin"/>
          </w:r>
          <w:r>
            <w:instrText xml:space="preserve"> PAGEREF _Toc15420 \h </w:instrText>
          </w:r>
          <w:r>
            <w:fldChar w:fldCharType="separate"/>
          </w:r>
          <w:r>
            <w:t>37</w:t>
          </w:r>
          <w:r>
            <w:fldChar w:fldCharType="end"/>
          </w:r>
          <w:r>
            <w:rPr>
              <w:color w:val="auto"/>
              <w:highlight w:val="none"/>
            </w:rPr>
            <w:fldChar w:fldCharType="end"/>
          </w:r>
        </w:p>
        <w:p w14:paraId="4B1E897B">
          <w:pPr>
            <w:pStyle w:val="5"/>
            <w:tabs>
              <w:tab w:val="right" w:leader="dot" w:pos="8831"/>
            </w:tabs>
          </w:pPr>
          <w:r>
            <w:rPr>
              <w:color w:val="auto"/>
              <w:highlight w:val="none"/>
            </w:rPr>
            <w:fldChar w:fldCharType="begin"/>
          </w:r>
          <w:r>
            <w:rPr>
              <w:highlight w:val="none"/>
            </w:rPr>
            <w:instrText xml:space="preserve"> HYPERLINK \l _Toc852 </w:instrText>
          </w:r>
          <w:r>
            <w:rPr>
              <w:highlight w:val="none"/>
            </w:rPr>
            <w:fldChar w:fldCharType="separate"/>
          </w:r>
          <w:r>
            <w:rPr>
              <w:rFonts w:hint="eastAsia" w:ascii="宋体" w:hAnsi="宋体" w:eastAsia="宋体" w:cs="宋体"/>
              <w:bCs/>
              <w:spacing w:val="-7"/>
              <w:szCs w:val="24"/>
              <w:highlight w:val="none"/>
            </w:rPr>
            <w:t>1.11分包</w:t>
          </w:r>
          <w:r>
            <w:tab/>
          </w:r>
          <w:r>
            <w:fldChar w:fldCharType="begin"/>
          </w:r>
          <w:r>
            <w:instrText xml:space="preserve"> PAGEREF _Toc852 \h </w:instrText>
          </w:r>
          <w:r>
            <w:fldChar w:fldCharType="separate"/>
          </w:r>
          <w:r>
            <w:t>37</w:t>
          </w:r>
          <w:r>
            <w:fldChar w:fldCharType="end"/>
          </w:r>
          <w:r>
            <w:rPr>
              <w:color w:val="auto"/>
              <w:highlight w:val="none"/>
            </w:rPr>
            <w:fldChar w:fldCharType="end"/>
          </w:r>
        </w:p>
        <w:p w14:paraId="40524262">
          <w:pPr>
            <w:pStyle w:val="5"/>
            <w:tabs>
              <w:tab w:val="right" w:leader="dot" w:pos="8831"/>
            </w:tabs>
          </w:pPr>
          <w:r>
            <w:rPr>
              <w:color w:val="auto"/>
              <w:highlight w:val="none"/>
            </w:rPr>
            <w:fldChar w:fldCharType="begin"/>
          </w:r>
          <w:r>
            <w:rPr>
              <w:highlight w:val="none"/>
            </w:rPr>
            <w:instrText xml:space="preserve"> HYPERLINK \l _Toc25310 </w:instrText>
          </w:r>
          <w:r>
            <w:rPr>
              <w:highlight w:val="none"/>
            </w:rPr>
            <w:fldChar w:fldCharType="separate"/>
          </w:r>
          <w:r>
            <w:rPr>
              <w:rFonts w:hint="eastAsia" w:ascii="宋体" w:hAnsi="宋体" w:eastAsia="宋体" w:cs="宋体"/>
              <w:bCs/>
              <w:spacing w:val="-4"/>
              <w:szCs w:val="24"/>
              <w:highlight w:val="none"/>
            </w:rPr>
            <w:t>1.12响应和偏差</w:t>
          </w:r>
          <w:r>
            <w:tab/>
          </w:r>
          <w:r>
            <w:fldChar w:fldCharType="begin"/>
          </w:r>
          <w:r>
            <w:instrText xml:space="preserve"> PAGEREF _Toc25310 \h </w:instrText>
          </w:r>
          <w:r>
            <w:fldChar w:fldCharType="separate"/>
          </w:r>
          <w:r>
            <w:t>37</w:t>
          </w:r>
          <w:r>
            <w:fldChar w:fldCharType="end"/>
          </w:r>
          <w:r>
            <w:rPr>
              <w:color w:val="auto"/>
              <w:highlight w:val="none"/>
            </w:rPr>
            <w:fldChar w:fldCharType="end"/>
          </w:r>
        </w:p>
        <w:p w14:paraId="2BB8E72A">
          <w:pPr>
            <w:pStyle w:val="8"/>
            <w:tabs>
              <w:tab w:val="right" w:leader="dot" w:pos="8831"/>
            </w:tabs>
          </w:pPr>
          <w:r>
            <w:rPr>
              <w:color w:val="auto"/>
              <w:highlight w:val="none"/>
            </w:rPr>
            <w:fldChar w:fldCharType="begin"/>
          </w:r>
          <w:r>
            <w:rPr>
              <w:highlight w:val="none"/>
            </w:rPr>
            <w:instrText xml:space="preserve"> HYPERLINK \l _Toc30779 </w:instrText>
          </w:r>
          <w:r>
            <w:rPr>
              <w:highlight w:val="none"/>
            </w:rPr>
            <w:fldChar w:fldCharType="separate"/>
          </w:r>
          <w:r>
            <w:rPr>
              <w:rFonts w:hint="eastAsia" w:ascii="宋体" w:hAnsi="宋体" w:eastAsia="宋体" w:cs="宋体"/>
              <w:bCs/>
              <w:spacing w:val="-5"/>
              <w:szCs w:val="28"/>
              <w:highlight w:val="none"/>
            </w:rPr>
            <w:t>2.招标文件</w:t>
          </w:r>
          <w:r>
            <w:tab/>
          </w:r>
          <w:r>
            <w:fldChar w:fldCharType="begin"/>
          </w:r>
          <w:r>
            <w:instrText xml:space="preserve"> PAGEREF _Toc30779 \h </w:instrText>
          </w:r>
          <w:r>
            <w:fldChar w:fldCharType="separate"/>
          </w:r>
          <w:r>
            <w:t>38</w:t>
          </w:r>
          <w:r>
            <w:fldChar w:fldCharType="end"/>
          </w:r>
          <w:r>
            <w:rPr>
              <w:color w:val="auto"/>
              <w:highlight w:val="none"/>
            </w:rPr>
            <w:fldChar w:fldCharType="end"/>
          </w:r>
        </w:p>
        <w:p w14:paraId="1FB4C3BF">
          <w:pPr>
            <w:pStyle w:val="5"/>
            <w:tabs>
              <w:tab w:val="right" w:leader="dot" w:pos="8831"/>
            </w:tabs>
          </w:pPr>
          <w:r>
            <w:rPr>
              <w:color w:val="auto"/>
              <w:highlight w:val="none"/>
            </w:rPr>
            <w:fldChar w:fldCharType="begin"/>
          </w:r>
          <w:r>
            <w:rPr>
              <w:highlight w:val="none"/>
            </w:rPr>
            <w:instrText xml:space="preserve"> HYPERLINK \l _Toc25830 </w:instrText>
          </w:r>
          <w:r>
            <w:rPr>
              <w:highlight w:val="none"/>
            </w:rPr>
            <w:fldChar w:fldCharType="separate"/>
          </w:r>
          <w:r>
            <w:rPr>
              <w:rFonts w:hint="eastAsia" w:ascii="宋体" w:hAnsi="宋体" w:eastAsia="宋体" w:cs="宋体"/>
              <w:bCs/>
              <w:spacing w:val="-3"/>
              <w:szCs w:val="24"/>
              <w:highlight w:val="none"/>
            </w:rPr>
            <w:t>2.1招标文件的组成</w:t>
          </w:r>
          <w:r>
            <w:tab/>
          </w:r>
          <w:r>
            <w:fldChar w:fldCharType="begin"/>
          </w:r>
          <w:r>
            <w:instrText xml:space="preserve"> PAGEREF _Toc25830 \h </w:instrText>
          </w:r>
          <w:r>
            <w:fldChar w:fldCharType="separate"/>
          </w:r>
          <w:r>
            <w:t>38</w:t>
          </w:r>
          <w:r>
            <w:fldChar w:fldCharType="end"/>
          </w:r>
          <w:r>
            <w:rPr>
              <w:color w:val="auto"/>
              <w:highlight w:val="none"/>
            </w:rPr>
            <w:fldChar w:fldCharType="end"/>
          </w:r>
        </w:p>
        <w:p w14:paraId="3CFEABC9">
          <w:pPr>
            <w:pStyle w:val="5"/>
            <w:tabs>
              <w:tab w:val="right" w:leader="dot" w:pos="8831"/>
            </w:tabs>
          </w:pPr>
          <w:r>
            <w:rPr>
              <w:color w:val="auto"/>
              <w:highlight w:val="none"/>
            </w:rPr>
            <w:fldChar w:fldCharType="begin"/>
          </w:r>
          <w:r>
            <w:rPr>
              <w:highlight w:val="none"/>
            </w:rPr>
            <w:instrText xml:space="preserve"> HYPERLINK \l _Toc32401 </w:instrText>
          </w:r>
          <w:r>
            <w:rPr>
              <w:highlight w:val="none"/>
            </w:rPr>
            <w:fldChar w:fldCharType="separate"/>
          </w:r>
          <w:r>
            <w:rPr>
              <w:rFonts w:hint="eastAsia" w:ascii="宋体" w:hAnsi="宋体" w:eastAsia="宋体" w:cs="宋体"/>
              <w:bCs/>
              <w:spacing w:val="-3"/>
              <w:szCs w:val="24"/>
              <w:highlight w:val="none"/>
            </w:rPr>
            <w:t>2.2招标文件的澄清</w:t>
          </w:r>
          <w:r>
            <w:tab/>
          </w:r>
          <w:r>
            <w:fldChar w:fldCharType="begin"/>
          </w:r>
          <w:r>
            <w:instrText xml:space="preserve"> PAGEREF _Toc32401 \h </w:instrText>
          </w:r>
          <w:r>
            <w:fldChar w:fldCharType="separate"/>
          </w:r>
          <w:r>
            <w:t>39</w:t>
          </w:r>
          <w:r>
            <w:fldChar w:fldCharType="end"/>
          </w:r>
          <w:r>
            <w:rPr>
              <w:color w:val="auto"/>
              <w:highlight w:val="none"/>
            </w:rPr>
            <w:fldChar w:fldCharType="end"/>
          </w:r>
        </w:p>
        <w:p w14:paraId="0E36B1A4">
          <w:pPr>
            <w:pStyle w:val="5"/>
            <w:tabs>
              <w:tab w:val="right" w:leader="dot" w:pos="8831"/>
            </w:tabs>
          </w:pPr>
          <w:r>
            <w:rPr>
              <w:color w:val="auto"/>
              <w:highlight w:val="none"/>
            </w:rPr>
            <w:fldChar w:fldCharType="begin"/>
          </w:r>
          <w:r>
            <w:rPr>
              <w:highlight w:val="none"/>
            </w:rPr>
            <w:instrText xml:space="preserve"> HYPERLINK \l _Toc8375 </w:instrText>
          </w:r>
          <w:r>
            <w:rPr>
              <w:highlight w:val="none"/>
            </w:rPr>
            <w:fldChar w:fldCharType="separate"/>
          </w:r>
          <w:r>
            <w:rPr>
              <w:rFonts w:hint="eastAsia" w:ascii="宋体" w:hAnsi="宋体" w:eastAsia="宋体" w:cs="宋体"/>
              <w:bCs/>
              <w:spacing w:val="-3"/>
              <w:szCs w:val="24"/>
              <w:highlight w:val="none"/>
            </w:rPr>
            <w:t>2.3招标文件的修改</w:t>
          </w:r>
          <w:r>
            <w:tab/>
          </w:r>
          <w:r>
            <w:fldChar w:fldCharType="begin"/>
          </w:r>
          <w:r>
            <w:instrText xml:space="preserve"> PAGEREF _Toc8375 \h </w:instrText>
          </w:r>
          <w:r>
            <w:fldChar w:fldCharType="separate"/>
          </w:r>
          <w:r>
            <w:t>39</w:t>
          </w:r>
          <w:r>
            <w:fldChar w:fldCharType="end"/>
          </w:r>
          <w:r>
            <w:rPr>
              <w:color w:val="auto"/>
              <w:highlight w:val="none"/>
            </w:rPr>
            <w:fldChar w:fldCharType="end"/>
          </w:r>
        </w:p>
        <w:p w14:paraId="43879231">
          <w:pPr>
            <w:pStyle w:val="5"/>
            <w:tabs>
              <w:tab w:val="right" w:leader="dot" w:pos="8831"/>
            </w:tabs>
          </w:pPr>
          <w:r>
            <w:rPr>
              <w:color w:val="auto"/>
              <w:highlight w:val="none"/>
            </w:rPr>
            <w:fldChar w:fldCharType="begin"/>
          </w:r>
          <w:r>
            <w:rPr>
              <w:highlight w:val="none"/>
            </w:rPr>
            <w:instrText xml:space="preserve"> HYPERLINK \l _Toc578 </w:instrText>
          </w:r>
          <w:r>
            <w:rPr>
              <w:highlight w:val="none"/>
            </w:rPr>
            <w:fldChar w:fldCharType="separate"/>
          </w:r>
          <w:r>
            <w:rPr>
              <w:rFonts w:hint="eastAsia" w:ascii="宋体" w:hAnsi="宋体" w:eastAsia="宋体" w:cs="宋体"/>
              <w:bCs/>
              <w:spacing w:val="-3"/>
              <w:szCs w:val="24"/>
              <w:highlight w:val="none"/>
            </w:rPr>
            <w:t>2.4招标文件的异议</w:t>
          </w:r>
          <w:r>
            <w:tab/>
          </w:r>
          <w:r>
            <w:fldChar w:fldCharType="begin"/>
          </w:r>
          <w:r>
            <w:instrText xml:space="preserve"> PAGEREF _Toc578 \h </w:instrText>
          </w:r>
          <w:r>
            <w:fldChar w:fldCharType="separate"/>
          </w:r>
          <w:r>
            <w:t>39</w:t>
          </w:r>
          <w:r>
            <w:fldChar w:fldCharType="end"/>
          </w:r>
          <w:r>
            <w:rPr>
              <w:color w:val="auto"/>
              <w:highlight w:val="none"/>
            </w:rPr>
            <w:fldChar w:fldCharType="end"/>
          </w:r>
        </w:p>
        <w:p w14:paraId="1F0A3397">
          <w:pPr>
            <w:pStyle w:val="8"/>
            <w:tabs>
              <w:tab w:val="right" w:leader="dot" w:pos="8831"/>
            </w:tabs>
          </w:pPr>
          <w:r>
            <w:rPr>
              <w:color w:val="auto"/>
              <w:highlight w:val="none"/>
            </w:rPr>
            <w:fldChar w:fldCharType="begin"/>
          </w:r>
          <w:r>
            <w:rPr>
              <w:highlight w:val="none"/>
            </w:rPr>
            <w:instrText xml:space="preserve"> HYPERLINK \l _Toc1372 </w:instrText>
          </w:r>
          <w:r>
            <w:rPr>
              <w:highlight w:val="none"/>
            </w:rPr>
            <w:fldChar w:fldCharType="separate"/>
          </w:r>
          <w:r>
            <w:rPr>
              <w:rFonts w:hint="eastAsia" w:ascii="宋体" w:hAnsi="宋体" w:eastAsia="宋体" w:cs="宋体"/>
              <w:bCs/>
              <w:spacing w:val="-5"/>
              <w:szCs w:val="28"/>
              <w:highlight w:val="none"/>
            </w:rPr>
            <w:t>3.投标文件</w:t>
          </w:r>
          <w:r>
            <w:tab/>
          </w:r>
          <w:r>
            <w:fldChar w:fldCharType="begin"/>
          </w:r>
          <w:r>
            <w:instrText xml:space="preserve"> PAGEREF _Toc1372 \h </w:instrText>
          </w:r>
          <w:r>
            <w:fldChar w:fldCharType="separate"/>
          </w:r>
          <w:r>
            <w:t>40</w:t>
          </w:r>
          <w:r>
            <w:fldChar w:fldCharType="end"/>
          </w:r>
          <w:r>
            <w:rPr>
              <w:color w:val="auto"/>
              <w:highlight w:val="none"/>
            </w:rPr>
            <w:fldChar w:fldCharType="end"/>
          </w:r>
        </w:p>
        <w:p w14:paraId="3CBA9280">
          <w:pPr>
            <w:pStyle w:val="5"/>
            <w:tabs>
              <w:tab w:val="right" w:leader="dot" w:pos="8831"/>
            </w:tabs>
          </w:pPr>
          <w:r>
            <w:rPr>
              <w:color w:val="auto"/>
              <w:highlight w:val="none"/>
            </w:rPr>
            <w:fldChar w:fldCharType="begin"/>
          </w:r>
          <w:r>
            <w:rPr>
              <w:highlight w:val="none"/>
            </w:rPr>
            <w:instrText xml:space="preserve"> HYPERLINK \l _Toc17869 </w:instrText>
          </w:r>
          <w:r>
            <w:rPr>
              <w:highlight w:val="none"/>
            </w:rPr>
            <w:fldChar w:fldCharType="separate"/>
          </w:r>
          <w:r>
            <w:rPr>
              <w:rFonts w:hint="eastAsia" w:ascii="宋体" w:hAnsi="宋体" w:eastAsia="宋体" w:cs="宋体"/>
              <w:bCs/>
              <w:spacing w:val="-3"/>
              <w:szCs w:val="24"/>
              <w:highlight w:val="none"/>
            </w:rPr>
            <w:t>3.1投标文件的组成</w:t>
          </w:r>
          <w:r>
            <w:tab/>
          </w:r>
          <w:r>
            <w:fldChar w:fldCharType="begin"/>
          </w:r>
          <w:r>
            <w:instrText xml:space="preserve"> PAGEREF _Toc17869 \h </w:instrText>
          </w:r>
          <w:r>
            <w:fldChar w:fldCharType="separate"/>
          </w:r>
          <w:r>
            <w:t>40</w:t>
          </w:r>
          <w:r>
            <w:fldChar w:fldCharType="end"/>
          </w:r>
          <w:r>
            <w:rPr>
              <w:color w:val="auto"/>
              <w:highlight w:val="none"/>
            </w:rPr>
            <w:fldChar w:fldCharType="end"/>
          </w:r>
        </w:p>
        <w:p w14:paraId="34F2563B">
          <w:pPr>
            <w:pStyle w:val="5"/>
            <w:tabs>
              <w:tab w:val="right" w:leader="dot" w:pos="8831"/>
            </w:tabs>
          </w:pPr>
          <w:r>
            <w:rPr>
              <w:color w:val="auto"/>
              <w:highlight w:val="none"/>
            </w:rPr>
            <w:fldChar w:fldCharType="begin"/>
          </w:r>
          <w:r>
            <w:rPr>
              <w:highlight w:val="none"/>
            </w:rPr>
            <w:instrText xml:space="preserve"> HYPERLINK \l _Toc9328 </w:instrText>
          </w:r>
          <w:r>
            <w:rPr>
              <w:highlight w:val="none"/>
            </w:rPr>
            <w:fldChar w:fldCharType="separate"/>
          </w:r>
          <w:r>
            <w:rPr>
              <w:rFonts w:hint="eastAsia" w:ascii="宋体" w:hAnsi="宋体" w:eastAsia="宋体" w:cs="宋体"/>
              <w:bCs/>
              <w:spacing w:val="-4"/>
              <w:szCs w:val="24"/>
              <w:highlight w:val="none"/>
            </w:rPr>
            <w:t>3.2投标报价</w:t>
          </w:r>
          <w:r>
            <w:tab/>
          </w:r>
          <w:r>
            <w:fldChar w:fldCharType="begin"/>
          </w:r>
          <w:r>
            <w:instrText xml:space="preserve"> PAGEREF _Toc9328 \h </w:instrText>
          </w:r>
          <w:r>
            <w:fldChar w:fldCharType="separate"/>
          </w:r>
          <w:r>
            <w:t>40</w:t>
          </w:r>
          <w:r>
            <w:fldChar w:fldCharType="end"/>
          </w:r>
          <w:r>
            <w:rPr>
              <w:color w:val="auto"/>
              <w:highlight w:val="none"/>
            </w:rPr>
            <w:fldChar w:fldCharType="end"/>
          </w:r>
        </w:p>
        <w:p w14:paraId="4BD4BC0E">
          <w:pPr>
            <w:pStyle w:val="5"/>
            <w:tabs>
              <w:tab w:val="right" w:leader="dot" w:pos="8831"/>
            </w:tabs>
          </w:pPr>
          <w:r>
            <w:rPr>
              <w:color w:val="auto"/>
              <w:highlight w:val="none"/>
            </w:rPr>
            <w:fldChar w:fldCharType="begin"/>
          </w:r>
          <w:r>
            <w:rPr>
              <w:highlight w:val="none"/>
            </w:rPr>
            <w:instrText xml:space="preserve"> HYPERLINK \l _Toc28945 </w:instrText>
          </w:r>
          <w:r>
            <w:rPr>
              <w:highlight w:val="none"/>
            </w:rPr>
            <w:fldChar w:fldCharType="separate"/>
          </w:r>
          <w:r>
            <w:rPr>
              <w:rFonts w:hint="eastAsia" w:ascii="宋体" w:hAnsi="宋体" w:eastAsia="宋体" w:cs="宋体"/>
              <w:bCs/>
              <w:spacing w:val="-3"/>
              <w:szCs w:val="24"/>
              <w:highlight w:val="none"/>
            </w:rPr>
            <w:t>3.3投标有效期</w:t>
          </w:r>
          <w:r>
            <w:tab/>
          </w:r>
          <w:r>
            <w:fldChar w:fldCharType="begin"/>
          </w:r>
          <w:r>
            <w:instrText xml:space="preserve"> PAGEREF _Toc28945 \h </w:instrText>
          </w:r>
          <w:r>
            <w:fldChar w:fldCharType="separate"/>
          </w:r>
          <w:r>
            <w:t>42</w:t>
          </w:r>
          <w:r>
            <w:fldChar w:fldCharType="end"/>
          </w:r>
          <w:r>
            <w:rPr>
              <w:color w:val="auto"/>
              <w:highlight w:val="none"/>
            </w:rPr>
            <w:fldChar w:fldCharType="end"/>
          </w:r>
        </w:p>
        <w:p w14:paraId="45EAABBD">
          <w:pPr>
            <w:pStyle w:val="5"/>
            <w:tabs>
              <w:tab w:val="right" w:leader="dot" w:pos="8831"/>
            </w:tabs>
          </w:pPr>
          <w:r>
            <w:rPr>
              <w:color w:val="auto"/>
              <w:highlight w:val="none"/>
            </w:rPr>
            <w:fldChar w:fldCharType="begin"/>
          </w:r>
          <w:r>
            <w:rPr>
              <w:highlight w:val="none"/>
            </w:rPr>
            <w:instrText xml:space="preserve"> HYPERLINK \l _Toc14400 </w:instrText>
          </w:r>
          <w:r>
            <w:rPr>
              <w:highlight w:val="none"/>
            </w:rPr>
            <w:fldChar w:fldCharType="separate"/>
          </w:r>
          <w:r>
            <w:rPr>
              <w:rFonts w:hint="eastAsia" w:ascii="宋体" w:hAnsi="宋体" w:eastAsia="宋体" w:cs="宋体"/>
              <w:bCs/>
              <w:spacing w:val="-3"/>
              <w:szCs w:val="24"/>
              <w:highlight w:val="none"/>
            </w:rPr>
            <w:t>3.4投标保证金</w:t>
          </w:r>
          <w:r>
            <w:tab/>
          </w:r>
          <w:r>
            <w:fldChar w:fldCharType="begin"/>
          </w:r>
          <w:r>
            <w:instrText xml:space="preserve"> PAGEREF _Toc14400 \h </w:instrText>
          </w:r>
          <w:r>
            <w:fldChar w:fldCharType="separate"/>
          </w:r>
          <w:r>
            <w:t>43</w:t>
          </w:r>
          <w:r>
            <w:fldChar w:fldCharType="end"/>
          </w:r>
          <w:r>
            <w:rPr>
              <w:color w:val="auto"/>
              <w:highlight w:val="none"/>
            </w:rPr>
            <w:fldChar w:fldCharType="end"/>
          </w:r>
        </w:p>
        <w:p w14:paraId="18EAF351">
          <w:pPr>
            <w:pStyle w:val="8"/>
            <w:tabs>
              <w:tab w:val="right" w:leader="dot" w:pos="8831"/>
            </w:tabs>
          </w:pPr>
          <w:r>
            <w:rPr>
              <w:color w:val="auto"/>
              <w:highlight w:val="none"/>
            </w:rPr>
            <w:fldChar w:fldCharType="begin"/>
          </w:r>
          <w:r>
            <w:rPr>
              <w:highlight w:val="none"/>
            </w:rPr>
            <w:instrText xml:space="preserve"> HYPERLINK \l _Toc26478 </w:instrText>
          </w:r>
          <w:r>
            <w:rPr>
              <w:highlight w:val="none"/>
            </w:rPr>
            <w:fldChar w:fldCharType="separate"/>
          </w:r>
          <w:r>
            <w:rPr>
              <w:rFonts w:hint="eastAsia" w:ascii="宋体" w:hAnsi="宋体" w:eastAsia="宋体" w:cs="宋体"/>
              <w:bCs/>
              <w:spacing w:val="-3"/>
              <w:szCs w:val="28"/>
              <w:highlight w:val="none"/>
            </w:rPr>
            <w:t>3.5资格审查资料（适用于已进行资格预审的）</w:t>
          </w:r>
          <w:r>
            <w:tab/>
          </w:r>
          <w:r>
            <w:fldChar w:fldCharType="begin"/>
          </w:r>
          <w:r>
            <w:instrText xml:space="preserve"> PAGEREF _Toc26478 \h </w:instrText>
          </w:r>
          <w:r>
            <w:fldChar w:fldCharType="separate"/>
          </w:r>
          <w:r>
            <w:t>45</w:t>
          </w:r>
          <w:r>
            <w:fldChar w:fldCharType="end"/>
          </w:r>
          <w:r>
            <w:rPr>
              <w:color w:val="auto"/>
              <w:highlight w:val="none"/>
            </w:rPr>
            <w:fldChar w:fldCharType="end"/>
          </w:r>
        </w:p>
        <w:p w14:paraId="21ECA95E">
          <w:pPr>
            <w:pStyle w:val="8"/>
            <w:tabs>
              <w:tab w:val="right" w:leader="dot" w:pos="8831"/>
            </w:tabs>
          </w:pPr>
          <w:r>
            <w:rPr>
              <w:color w:val="auto"/>
              <w:highlight w:val="none"/>
            </w:rPr>
            <w:fldChar w:fldCharType="begin"/>
          </w:r>
          <w:r>
            <w:rPr>
              <w:highlight w:val="none"/>
            </w:rPr>
            <w:instrText xml:space="preserve"> HYPERLINK \l _Toc26600 </w:instrText>
          </w:r>
          <w:r>
            <w:rPr>
              <w:highlight w:val="none"/>
            </w:rPr>
            <w:fldChar w:fldCharType="separate"/>
          </w:r>
          <w:r>
            <w:rPr>
              <w:rFonts w:hint="eastAsia" w:ascii="宋体" w:hAnsi="宋体" w:eastAsia="宋体" w:cs="宋体"/>
              <w:bCs/>
              <w:spacing w:val="-3"/>
              <w:szCs w:val="28"/>
              <w:highlight w:val="none"/>
            </w:rPr>
            <w:t>3.5资格审查资料（适用于未进行资格预审的）</w:t>
          </w:r>
          <w:r>
            <w:tab/>
          </w:r>
          <w:r>
            <w:fldChar w:fldCharType="begin"/>
          </w:r>
          <w:r>
            <w:instrText xml:space="preserve"> PAGEREF _Toc26600 \h </w:instrText>
          </w:r>
          <w:r>
            <w:fldChar w:fldCharType="separate"/>
          </w:r>
          <w:r>
            <w:t>45</w:t>
          </w:r>
          <w:r>
            <w:fldChar w:fldCharType="end"/>
          </w:r>
          <w:r>
            <w:rPr>
              <w:color w:val="auto"/>
              <w:highlight w:val="none"/>
            </w:rPr>
            <w:fldChar w:fldCharType="end"/>
          </w:r>
        </w:p>
        <w:p w14:paraId="4978997C">
          <w:pPr>
            <w:pStyle w:val="5"/>
            <w:tabs>
              <w:tab w:val="right" w:leader="dot" w:pos="8831"/>
            </w:tabs>
          </w:pPr>
          <w:r>
            <w:rPr>
              <w:color w:val="auto"/>
              <w:highlight w:val="none"/>
            </w:rPr>
            <w:fldChar w:fldCharType="begin"/>
          </w:r>
          <w:r>
            <w:rPr>
              <w:highlight w:val="none"/>
            </w:rPr>
            <w:instrText xml:space="preserve"> HYPERLINK \l _Toc10206 </w:instrText>
          </w:r>
          <w:r>
            <w:rPr>
              <w:highlight w:val="none"/>
            </w:rPr>
            <w:fldChar w:fldCharType="separate"/>
          </w:r>
          <w:r>
            <w:rPr>
              <w:rFonts w:hint="eastAsia" w:ascii="宋体" w:hAnsi="宋体" w:eastAsia="宋体" w:cs="宋体"/>
              <w:bCs/>
              <w:spacing w:val="-4"/>
              <w:szCs w:val="24"/>
              <w:highlight w:val="none"/>
            </w:rPr>
            <w:t>3.6备选投标方案</w:t>
          </w:r>
          <w:r>
            <w:tab/>
          </w:r>
          <w:r>
            <w:fldChar w:fldCharType="begin"/>
          </w:r>
          <w:r>
            <w:instrText xml:space="preserve"> PAGEREF _Toc10206 \h </w:instrText>
          </w:r>
          <w:r>
            <w:fldChar w:fldCharType="separate"/>
          </w:r>
          <w:r>
            <w:t>49</w:t>
          </w:r>
          <w:r>
            <w:fldChar w:fldCharType="end"/>
          </w:r>
          <w:r>
            <w:rPr>
              <w:color w:val="auto"/>
              <w:highlight w:val="none"/>
            </w:rPr>
            <w:fldChar w:fldCharType="end"/>
          </w:r>
        </w:p>
        <w:p w14:paraId="03E4E6AF">
          <w:pPr>
            <w:pStyle w:val="8"/>
            <w:tabs>
              <w:tab w:val="right" w:leader="dot" w:pos="8831"/>
            </w:tabs>
          </w:pPr>
          <w:r>
            <w:rPr>
              <w:color w:val="auto"/>
              <w:highlight w:val="none"/>
            </w:rPr>
            <w:fldChar w:fldCharType="begin"/>
          </w:r>
          <w:r>
            <w:rPr>
              <w:highlight w:val="none"/>
            </w:rPr>
            <w:instrText xml:space="preserve"> HYPERLINK \l _Toc8576 </w:instrText>
          </w:r>
          <w:r>
            <w:rPr>
              <w:highlight w:val="none"/>
            </w:rPr>
            <w:fldChar w:fldCharType="separate"/>
          </w:r>
          <w:r>
            <w:rPr>
              <w:rFonts w:hint="eastAsia" w:ascii="宋体" w:hAnsi="宋体" w:eastAsia="宋体" w:cs="宋体"/>
              <w:bCs/>
              <w:spacing w:val="-5"/>
              <w:szCs w:val="28"/>
              <w:highlight w:val="none"/>
            </w:rPr>
            <w:t>4.投标</w:t>
          </w:r>
          <w:r>
            <w:tab/>
          </w:r>
          <w:r>
            <w:fldChar w:fldCharType="begin"/>
          </w:r>
          <w:r>
            <w:instrText xml:space="preserve"> PAGEREF _Toc8576 \h </w:instrText>
          </w:r>
          <w:r>
            <w:fldChar w:fldCharType="separate"/>
          </w:r>
          <w:r>
            <w:t>50</w:t>
          </w:r>
          <w:r>
            <w:fldChar w:fldCharType="end"/>
          </w:r>
          <w:r>
            <w:rPr>
              <w:color w:val="auto"/>
              <w:highlight w:val="none"/>
            </w:rPr>
            <w:fldChar w:fldCharType="end"/>
          </w:r>
        </w:p>
        <w:p w14:paraId="28FA8A1D">
          <w:pPr>
            <w:pStyle w:val="5"/>
            <w:tabs>
              <w:tab w:val="right" w:leader="dot" w:pos="8831"/>
            </w:tabs>
          </w:pPr>
          <w:r>
            <w:rPr>
              <w:color w:val="auto"/>
              <w:highlight w:val="none"/>
            </w:rPr>
            <w:fldChar w:fldCharType="begin"/>
          </w:r>
          <w:r>
            <w:rPr>
              <w:highlight w:val="none"/>
            </w:rPr>
            <w:instrText xml:space="preserve"> HYPERLINK \l _Toc20219 </w:instrText>
          </w:r>
          <w:r>
            <w:rPr>
              <w:highlight w:val="none"/>
            </w:rPr>
            <w:fldChar w:fldCharType="separate"/>
          </w:r>
          <w:r>
            <w:rPr>
              <w:rFonts w:hint="eastAsia" w:ascii="宋体" w:hAnsi="宋体" w:eastAsia="宋体" w:cs="宋体"/>
              <w:bCs/>
              <w:spacing w:val="-3"/>
              <w:szCs w:val="24"/>
              <w:highlight w:val="none"/>
            </w:rPr>
            <w:t>4.1电子投标文件的加密</w:t>
          </w:r>
          <w:r>
            <w:tab/>
          </w:r>
          <w:r>
            <w:fldChar w:fldCharType="begin"/>
          </w:r>
          <w:r>
            <w:instrText xml:space="preserve"> PAGEREF _Toc20219 \h </w:instrText>
          </w:r>
          <w:r>
            <w:fldChar w:fldCharType="separate"/>
          </w:r>
          <w:r>
            <w:t>50</w:t>
          </w:r>
          <w:r>
            <w:fldChar w:fldCharType="end"/>
          </w:r>
          <w:r>
            <w:rPr>
              <w:color w:val="auto"/>
              <w:highlight w:val="none"/>
            </w:rPr>
            <w:fldChar w:fldCharType="end"/>
          </w:r>
        </w:p>
        <w:p w14:paraId="1A3218E5">
          <w:pPr>
            <w:pStyle w:val="5"/>
            <w:tabs>
              <w:tab w:val="right" w:leader="dot" w:pos="8831"/>
            </w:tabs>
          </w:pPr>
          <w:r>
            <w:rPr>
              <w:color w:val="auto"/>
              <w:highlight w:val="none"/>
            </w:rPr>
            <w:fldChar w:fldCharType="begin"/>
          </w:r>
          <w:r>
            <w:rPr>
              <w:highlight w:val="none"/>
            </w:rPr>
            <w:instrText xml:space="preserve"> HYPERLINK \l _Toc25240 </w:instrText>
          </w:r>
          <w:r>
            <w:rPr>
              <w:highlight w:val="none"/>
            </w:rPr>
            <w:fldChar w:fldCharType="separate"/>
          </w:r>
          <w:r>
            <w:rPr>
              <w:rFonts w:hint="eastAsia" w:ascii="宋体" w:hAnsi="宋体" w:eastAsia="宋体" w:cs="宋体"/>
              <w:bCs/>
              <w:spacing w:val="-3"/>
              <w:szCs w:val="24"/>
              <w:highlight w:val="none"/>
            </w:rPr>
            <w:t>4.2不加密的电子投标文件的密封和标识</w:t>
          </w:r>
          <w:r>
            <w:tab/>
          </w:r>
          <w:r>
            <w:fldChar w:fldCharType="begin"/>
          </w:r>
          <w:r>
            <w:instrText xml:space="preserve"> PAGEREF _Toc25240 \h </w:instrText>
          </w:r>
          <w:r>
            <w:fldChar w:fldCharType="separate"/>
          </w:r>
          <w:r>
            <w:t>50</w:t>
          </w:r>
          <w:r>
            <w:fldChar w:fldCharType="end"/>
          </w:r>
          <w:r>
            <w:rPr>
              <w:color w:val="auto"/>
              <w:highlight w:val="none"/>
            </w:rPr>
            <w:fldChar w:fldCharType="end"/>
          </w:r>
        </w:p>
        <w:p w14:paraId="703B24FA">
          <w:pPr>
            <w:pStyle w:val="5"/>
            <w:tabs>
              <w:tab w:val="right" w:leader="dot" w:pos="8831"/>
            </w:tabs>
          </w:pPr>
          <w:r>
            <w:rPr>
              <w:color w:val="auto"/>
              <w:highlight w:val="none"/>
            </w:rPr>
            <w:fldChar w:fldCharType="begin"/>
          </w:r>
          <w:r>
            <w:rPr>
              <w:highlight w:val="none"/>
            </w:rPr>
            <w:instrText xml:space="preserve"> HYPERLINK \l _Toc21001 </w:instrText>
          </w:r>
          <w:r>
            <w:rPr>
              <w:highlight w:val="none"/>
            </w:rPr>
            <w:fldChar w:fldCharType="separate"/>
          </w:r>
          <w:r>
            <w:rPr>
              <w:rFonts w:hint="eastAsia" w:ascii="宋体" w:hAnsi="宋体" w:eastAsia="宋体" w:cs="宋体"/>
              <w:bCs/>
              <w:spacing w:val="-3"/>
              <w:szCs w:val="24"/>
              <w:highlight w:val="none"/>
            </w:rPr>
            <w:t>4.3电子投标文件的递交</w:t>
          </w:r>
          <w:r>
            <w:tab/>
          </w:r>
          <w:r>
            <w:fldChar w:fldCharType="begin"/>
          </w:r>
          <w:r>
            <w:instrText xml:space="preserve"> PAGEREF _Toc21001 \h </w:instrText>
          </w:r>
          <w:r>
            <w:fldChar w:fldCharType="separate"/>
          </w:r>
          <w:r>
            <w:t>51</w:t>
          </w:r>
          <w:r>
            <w:fldChar w:fldCharType="end"/>
          </w:r>
          <w:r>
            <w:rPr>
              <w:color w:val="auto"/>
              <w:highlight w:val="none"/>
            </w:rPr>
            <w:fldChar w:fldCharType="end"/>
          </w:r>
        </w:p>
        <w:p w14:paraId="65D15F27">
          <w:pPr>
            <w:pStyle w:val="5"/>
            <w:tabs>
              <w:tab w:val="right" w:leader="dot" w:pos="8831"/>
            </w:tabs>
          </w:pPr>
          <w:r>
            <w:rPr>
              <w:color w:val="auto"/>
              <w:highlight w:val="none"/>
            </w:rPr>
            <w:fldChar w:fldCharType="begin"/>
          </w:r>
          <w:r>
            <w:rPr>
              <w:highlight w:val="none"/>
            </w:rPr>
            <w:instrText xml:space="preserve"> HYPERLINK \l _Toc18824 </w:instrText>
          </w:r>
          <w:r>
            <w:rPr>
              <w:highlight w:val="none"/>
            </w:rPr>
            <w:fldChar w:fldCharType="separate"/>
          </w:r>
          <w:r>
            <w:rPr>
              <w:rFonts w:hint="eastAsia" w:ascii="宋体" w:hAnsi="宋体" w:eastAsia="宋体" w:cs="宋体"/>
              <w:bCs/>
              <w:spacing w:val="-3"/>
              <w:szCs w:val="24"/>
              <w:highlight w:val="none"/>
            </w:rPr>
            <w:t>4.4不加密的电子投标文件的递交</w:t>
          </w:r>
          <w:r>
            <w:tab/>
          </w:r>
          <w:r>
            <w:fldChar w:fldCharType="begin"/>
          </w:r>
          <w:r>
            <w:instrText xml:space="preserve"> PAGEREF _Toc18824 \h </w:instrText>
          </w:r>
          <w:r>
            <w:fldChar w:fldCharType="separate"/>
          </w:r>
          <w:r>
            <w:t>51</w:t>
          </w:r>
          <w:r>
            <w:fldChar w:fldCharType="end"/>
          </w:r>
          <w:r>
            <w:rPr>
              <w:color w:val="auto"/>
              <w:highlight w:val="none"/>
            </w:rPr>
            <w:fldChar w:fldCharType="end"/>
          </w:r>
        </w:p>
        <w:p w14:paraId="5AEED236">
          <w:pPr>
            <w:pStyle w:val="5"/>
            <w:tabs>
              <w:tab w:val="right" w:leader="dot" w:pos="8831"/>
            </w:tabs>
          </w:pPr>
          <w:r>
            <w:rPr>
              <w:color w:val="auto"/>
              <w:highlight w:val="none"/>
            </w:rPr>
            <w:fldChar w:fldCharType="begin"/>
          </w:r>
          <w:r>
            <w:rPr>
              <w:highlight w:val="none"/>
            </w:rPr>
            <w:instrText xml:space="preserve"> HYPERLINK \l _Toc896 </w:instrText>
          </w:r>
          <w:r>
            <w:rPr>
              <w:highlight w:val="none"/>
            </w:rPr>
            <w:fldChar w:fldCharType="separate"/>
          </w:r>
          <w:r>
            <w:rPr>
              <w:rFonts w:hint="eastAsia" w:ascii="宋体" w:hAnsi="宋体" w:eastAsia="宋体" w:cs="宋体"/>
              <w:bCs/>
              <w:spacing w:val="-3"/>
              <w:szCs w:val="24"/>
              <w:highlight w:val="none"/>
            </w:rPr>
            <w:t>4.5投标文件的修改与撤回</w:t>
          </w:r>
          <w:r>
            <w:tab/>
          </w:r>
          <w:r>
            <w:fldChar w:fldCharType="begin"/>
          </w:r>
          <w:r>
            <w:instrText xml:space="preserve"> PAGEREF _Toc896 \h </w:instrText>
          </w:r>
          <w:r>
            <w:fldChar w:fldCharType="separate"/>
          </w:r>
          <w:r>
            <w:t>51</w:t>
          </w:r>
          <w:r>
            <w:fldChar w:fldCharType="end"/>
          </w:r>
          <w:r>
            <w:rPr>
              <w:color w:val="auto"/>
              <w:highlight w:val="none"/>
            </w:rPr>
            <w:fldChar w:fldCharType="end"/>
          </w:r>
        </w:p>
        <w:p w14:paraId="0A811D78">
          <w:pPr>
            <w:pStyle w:val="8"/>
            <w:tabs>
              <w:tab w:val="right" w:leader="dot" w:pos="8831"/>
            </w:tabs>
          </w:pPr>
          <w:r>
            <w:rPr>
              <w:color w:val="auto"/>
              <w:highlight w:val="none"/>
            </w:rPr>
            <w:fldChar w:fldCharType="begin"/>
          </w:r>
          <w:r>
            <w:rPr>
              <w:highlight w:val="none"/>
            </w:rPr>
            <w:instrText xml:space="preserve"> HYPERLINK \l _Toc24171 </w:instrText>
          </w:r>
          <w:r>
            <w:rPr>
              <w:highlight w:val="none"/>
            </w:rPr>
            <w:fldChar w:fldCharType="separate"/>
          </w:r>
          <w:r>
            <w:rPr>
              <w:rFonts w:hint="eastAsia" w:ascii="宋体" w:hAnsi="宋体" w:eastAsia="宋体" w:cs="宋体"/>
              <w:bCs/>
              <w:spacing w:val="-6"/>
              <w:szCs w:val="28"/>
              <w:highlight w:val="none"/>
            </w:rPr>
            <w:t>5.开标</w:t>
          </w:r>
          <w:r>
            <w:tab/>
          </w:r>
          <w:r>
            <w:fldChar w:fldCharType="begin"/>
          </w:r>
          <w:r>
            <w:instrText xml:space="preserve"> PAGEREF _Toc24171 \h </w:instrText>
          </w:r>
          <w:r>
            <w:fldChar w:fldCharType="separate"/>
          </w:r>
          <w:r>
            <w:t>52</w:t>
          </w:r>
          <w:r>
            <w:fldChar w:fldCharType="end"/>
          </w:r>
          <w:r>
            <w:rPr>
              <w:color w:val="auto"/>
              <w:highlight w:val="none"/>
            </w:rPr>
            <w:fldChar w:fldCharType="end"/>
          </w:r>
        </w:p>
        <w:p w14:paraId="44EF92C5">
          <w:pPr>
            <w:pStyle w:val="5"/>
            <w:tabs>
              <w:tab w:val="right" w:leader="dot" w:pos="8831"/>
            </w:tabs>
          </w:pPr>
          <w:r>
            <w:rPr>
              <w:color w:val="auto"/>
              <w:highlight w:val="none"/>
            </w:rPr>
            <w:fldChar w:fldCharType="begin"/>
          </w:r>
          <w:r>
            <w:rPr>
              <w:highlight w:val="none"/>
            </w:rPr>
            <w:instrText xml:space="preserve"> HYPERLINK \l _Toc13477 </w:instrText>
          </w:r>
          <w:r>
            <w:rPr>
              <w:highlight w:val="none"/>
            </w:rPr>
            <w:fldChar w:fldCharType="separate"/>
          </w:r>
          <w:r>
            <w:rPr>
              <w:rFonts w:hint="eastAsia" w:ascii="宋体" w:hAnsi="宋体" w:eastAsia="宋体" w:cs="宋体"/>
              <w:bCs/>
              <w:spacing w:val="-4"/>
              <w:szCs w:val="24"/>
              <w:highlight w:val="none"/>
            </w:rPr>
            <w:t>5.1开标时间和地点</w:t>
          </w:r>
          <w:r>
            <w:tab/>
          </w:r>
          <w:r>
            <w:fldChar w:fldCharType="begin"/>
          </w:r>
          <w:r>
            <w:instrText xml:space="preserve"> PAGEREF _Toc13477 \h </w:instrText>
          </w:r>
          <w:r>
            <w:fldChar w:fldCharType="separate"/>
          </w:r>
          <w:r>
            <w:t>52</w:t>
          </w:r>
          <w:r>
            <w:fldChar w:fldCharType="end"/>
          </w:r>
          <w:r>
            <w:rPr>
              <w:color w:val="auto"/>
              <w:highlight w:val="none"/>
            </w:rPr>
            <w:fldChar w:fldCharType="end"/>
          </w:r>
        </w:p>
        <w:p w14:paraId="4AB5F6C5">
          <w:pPr>
            <w:pStyle w:val="5"/>
            <w:tabs>
              <w:tab w:val="right" w:leader="dot" w:pos="8831"/>
            </w:tabs>
          </w:pPr>
          <w:r>
            <w:rPr>
              <w:color w:val="auto"/>
              <w:highlight w:val="none"/>
            </w:rPr>
            <w:fldChar w:fldCharType="begin"/>
          </w:r>
          <w:r>
            <w:rPr>
              <w:highlight w:val="none"/>
            </w:rPr>
            <w:instrText xml:space="preserve"> HYPERLINK \l _Toc14519 </w:instrText>
          </w:r>
          <w:r>
            <w:rPr>
              <w:highlight w:val="none"/>
            </w:rPr>
            <w:fldChar w:fldCharType="separate"/>
          </w:r>
          <w:r>
            <w:rPr>
              <w:rFonts w:hint="eastAsia" w:ascii="宋体" w:hAnsi="宋体" w:eastAsia="宋体" w:cs="宋体"/>
              <w:bCs/>
              <w:spacing w:val="-5"/>
              <w:szCs w:val="24"/>
              <w:highlight w:val="none"/>
            </w:rPr>
            <w:t>5.2开标程序</w:t>
          </w:r>
          <w:r>
            <w:tab/>
          </w:r>
          <w:r>
            <w:fldChar w:fldCharType="begin"/>
          </w:r>
          <w:r>
            <w:instrText xml:space="preserve"> PAGEREF _Toc14519 \h </w:instrText>
          </w:r>
          <w:r>
            <w:fldChar w:fldCharType="separate"/>
          </w:r>
          <w:r>
            <w:t>52</w:t>
          </w:r>
          <w:r>
            <w:fldChar w:fldCharType="end"/>
          </w:r>
          <w:r>
            <w:rPr>
              <w:color w:val="auto"/>
              <w:highlight w:val="none"/>
            </w:rPr>
            <w:fldChar w:fldCharType="end"/>
          </w:r>
        </w:p>
        <w:p w14:paraId="31B818B5">
          <w:pPr>
            <w:pStyle w:val="5"/>
            <w:tabs>
              <w:tab w:val="right" w:leader="dot" w:pos="8831"/>
            </w:tabs>
          </w:pPr>
          <w:r>
            <w:rPr>
              <w:color w:val="auto"/>
              <w:highlight w:val="none"/>
            </w:rPr>
            <w:fldChar w:fldCharType="begin"/>
          </w:r>
          <w:r>
            <w:rPr>
              <w:highlight w:val="none"/>
            </w:rPr>
            <w:instrText xml:space="preserve"> HYPERLINK \l _Toc9524 </w:instrText>
          </w:r>
          <w:r>
            <w:rPr>
              <w:highlight w:val="none"/>
            </w:rPr>
            <w:fldChar w:fldCharType="separate"/>
          </w:r>
          <w:r>
            <w:rPr>
              <w:rFonts w:hint="eastAsia" w:ascii="宋体" w:hAnsi="宋体" w:eastAsia="宋体" w:cs="宋体"/>
              <w:bCs/>
              <w:spacing w:val="-3"/>
              <w:szCs w:val="24"/>
              <w:highlight w:val="none"/>
            </w:rPr>
            <w:t>5.3电子开标的应急措施</w:t>
          </w:r>
          <w:r>
            <w:tab/>
          </w:r>
          <w:r>
            <w:fldChar w:fldCharType="begin"/>
          </w:r>
          <w:r>
            <w:instrText xml:space="preserve"> PAGEREF _Toc9524 \h </w:instrText>
          </w:r>
          <w:r>
            <w:fldChar w:fldCharType="separate"/>
          </w:r>
          <w:r>
            <w:t>54</w:t>
          </w:r>
          <w:r>
            <w:fldChar w:fldCharType="end"/>
          </w:r>
          <w:r>
            <w:rPr>
              <w:color w:val="auto"/>
              <w:highlight w:val="none"/>
            </w:rPr>
            <w:fldChar w:fldCharType="end"/>
          </w:r>
        </w:p>
        <w:p w14:paraId="6E21E038">
          <w:pPr>
            <w:pStyle w:val="5"/>
            <w:tabs>
              <w:tab w:val="right" w:leader="dot" w:pos="8831"/>
            </w:tabs>
          </w:pPr>
          <w:r>
            <w:rPr>
              <w:color w:val="auto"/>
              <w:highlight w:val="none"/>
            </w:rPr>
            <w:fldChar w:fldCharType="begin"/>
          </w:r>
          <w:r>
            <w:rPr>
              <w:highlight w:val="none"/>
            </w:rPr>
            <w:instrText xml:space="preserve"> HYPERLINK \l _Toc3792 </w:instrText>
          </w:r>
          <w:r>
            <w:rPr>
              <w:highlight w:val="none"/>
            </w:rPr>
            <w:fldChar w:fldCharType="separate"/>
          </w:r>
          <w:r>
            <w:rPr>
              <w:rFonts w:hint="eastAsia" w:ascii="宋体" w:hAnsi="宋体" w:eastAsia="宋体" w:cs="宋体"/>
              <w:bCs/>
              <w:spacing w:val="-5"/>
              <w:szCs w:val="24"/>
              <w:highlight w:val="none"/>
            </w:rPr>
            <w:t>5.4不予开标</w:t>
          </w:r>
          <w:r>
            <w:tab/>
          </w:r>
          <w:r>
            <w:fldChar w:fldCharType="begin"/>
          </w:r>
          <w:r>
            <w:instrText xml:space="preserve"> PAGEREF _Toc3792 \h </w:instrText>
          </w:r>
          <w:r>
            <w:fldChar w:fldCharType="separate"/>
          </w:r>
          <w:r>
            <w:t>55</w:t>
          </w:r>
          <w:r>
            <w:fldChar w:fldCharType="end"/>
          </w:r>
          <w:r>
            <w:rPr>
              <w:color w:val="auto"/>
              <w:highlight w:val="none"/>
            </w:rPr>
            <w:fldChar w:fldCharType="end"/>
          </w:r>
        </w:p>
        <w:p w14:paraId="7CA6DE56">
          <w:pPr>
            <w:pStyle w:val="5"/>
            <w:tabs>
              <w:tab w:val="right" w:leader="dot" w:pos="8831"/>
            </w:tabs>
          </w:pPr>
          <w:r>
            <w:rPr>
              <w:color w:val="auto"/>
              <w:highlight w:val="none"/>
            </w:rPr>
            <w:fldChar w:fldCharType="begin"/>
          </w:r>
          <w:r>
            <w:rPr>
              <w:highlight w:val="none"/>
            </w:rPr>
            <w:instrText xml:space="preserve"> HYPERLINK \l _Toc14643 </w:instrText>
          </w:r>
          <w:r>
            <w:rPr>
              <w:highlight w:val="none"/>
            </w:rPr>
            <w:fldChar w:fldCharType="separate"/>
          </w:r>
          <w:r>
            <w:rPr>
              <w:rFonts w:hint="eastAsia" w:ascii="宋体" w:hAnsi="宋体" w:eastAsia="宋体" w:cs="宋体"/>
              <w:bCs/>
              <w:spacing w:val="-5"/>
              <w:szCs w:val="24"/>
              <w:highlight w:val="none"/>
            </w:rPr>
            <w:t>5.4开标异议</w:t>
          </w:r>
          <w:r>
            <w:tab/>
          </w:r>
          <w:r>
            <w:fldChar w:fldCharType="begin"/>
          </w:r>
          <w:r>
            <w:instrText xml:space="preserve"> PAGEREF _Toc14643 \h </w:instrText>
          </w:r>
          <w:r>
            <w:fldChar w:fldCharType="separate"/>
          </w:r>
          <w:r>
            <w:t>55</w:t>
          </w:r>
          <w:r>
            <w:fldChar w:fldCharType="end"/>
          </w:r>
          <w:r>
            <w:rPr>
              <w:color w:val="auto"/>
              <w:highlight w:val="none"/>
            </w:rPr>
            <w:fldChar w:fldCharType="end"/>
          </w:r>
        </w:p>
        <w:p w14:paraId="36A7B457">
          <w:pPr>
            <w:pStyle w:val="5"/>
            <w:tabs>
              <w:tab w:val="right" w:leader="dot" w:pos="8831"/>
            </w:tabs>
          </w:pPr>
          <w:r>
            <w:rPr>
              <w:color w:val="auto"/>
              <w:highlight w:val="none"/>
            </w:rPr>
            <w:fldChar w:fldCharType="begin"/>
          </w:r>
          <w:r>
            <w:rPr>
              <w:highlight w:val="none"/>
            </w:rPr>
            <w:instrText xml:space="preserve"> HYPERLINK \l _Toc26384 </w:instrText>
          </w:r>
          <w:r>
            <w:rPr>
              <w:highlight w:val="none"/>
            </w:rPr>
            <w:fldChar w:fldCharType="separate"/>
          </w:r>
          <w:r>
            <w:rPr>
              <w:rFonts w:hint="eastAsia" w:ascii="宋体" w:hAnsi="宋体" w:eastAsia="宋体" w:cs="宋体"/>
              <w:spacing w:val="9"/>
              <w:szCs w:val="24"/>
              <w:highlight w:val="none"/>
            </w:rPr>
            <w:t>投标人对开标有异议的，应当在开标现场提出，招标人应当场作出答复，并记录。</w:t>
          </w:r>
          <w:r>
            <w:tab/>
          </w:r>
          <w:r>
            <w:fldChar w:fldCharType="begin"/>
          </w:r>
          <w:r>
            <w:instrText xml:space="preserve"> PAGEREF _Toc26384 \h </w:instrText>
          </w:r>
          <w:r>
            <w:fldChar w:fldCharType="separate"/>
          </w:r>
          <w:r>
            <w:t>55</w:t>
          </w:r>
          <w:r>
            <w:fldChar w:fldCharType="end"/>
          </w:r>
          <w:r>
            <w:rPr>
              <w:color w:val="auto"/>
              <w:highlight w:val="none"/>
            </w:rPr>
            <w:fldChar w:fldCharType="end"/>
          </w:r>
        </w:p>
        <w:p w14:paraId="5E2ECB76">
          <w:pPr>
            <w:pStyle w:val="8"/>
            <w:tabs>
              <w:tab w:val="right" w:leader="dot" w:pos="8831"/>
            </w:tabs>
          </w:pPr>
          <w:r>
            <w:rPr>
              <w:color w:val="auto"/>
              <w:highlight w:val="none"/>
            </w:rPr>
            <w:fldChar w:fldCharType="begin"/>
          </w:r>
          <w:r>
            <w:rPr>
              <w:highlight w:val="none"/>
            </w:rPr>
            <w:instrText xml:space="preserve"> HYPERLINK \l _Toc28249 </w:instrText>
          </w:r>
          <w:r>
            <w:rPr>
              <w:highlight w:val="none"/>
            </w:rPr>
            <w:fldChar w:fldCharType="separate"/>
          </w:r>
          <w:r>
            <w:rPr>
              <w:rFonts w:hint="eastAsia" w:ascii="宋体" w:hAnsi="宋体" w:eastAsia="宋体" w:cs="宋体"/>
              <w:bCs/>
              <w:spacing w:val="-7"/>
              <w:szCs w:val="28"/>
              <w:highlight w:val="none"/>
            </w:rPr>
            <w:t>6.评标</w:t>
          </w:r>
          <w:r>
            <w:tab/>
          </w:r>
          <w:r>
            <w:fldChar w:fldCharType="begin"/>
          </w:r>
          <w:r>
            <w:instrText xml:space="preserve"> PAGEREF _Toc28249 \h </w:instrText>
          </w:r>
          <w:r>
            <w:fldChar w:fldCharType="separate"/>
          </w:r>
          <w:r>
            <w:t>55</w:t>
          </w:r>
          <w:r>
            <w:fldChar w:fldCharType="end"/>
          </w:r>
          <w:r>
            <w:rPr>
              <w:color w:val="auto"/>
              <w:highlight w:val="none"/>
            </w:rPr>
            <w:fldChar w:fldCharType="end"/>
          </w:r>
        </w:p>
        <w:p w14:paraId="3E4F6787">
          <w:pPr>
            <w:pStyle w:val="5"/>
            <w:tabs>
              <w:tab w:val="right" w:leader="dot" w:pos="8831"/>
            </w:tabs>
          </w:pPr>
          <w:r>
            <w:rPr>
              <w:color w:val="auto"/>
              <w:highlight w:val="none"/>
            </w:rPr>
            <w:fldChar w:fldCharType="begin"/>
          </w:r>
          <w:r>
            <w:rPr>
              <w:highlight w:val="none"/>
            </w:rPr>
            <w:instrText xml:space="preserve"> HYPERLINK \l _Toc7694 </w:instrText>
          </w:r>
          <w:r>
            <w:rPr>
              <w:highlight w:val="none"/>
            </w:rPr>
            <w:fldChar w:fldCharType="separate"/>
          </w:r>
          <w:r>
            <w:rPr>
              <w:rFonts w:hint="eastAsia" w:ascii="宋体" w:hAnsi="宋体" w:eastAsia="宋体" w:cs="宋体"/>
              <w:bCs/>
              <w:spacing w:val="-4"/>
              <w:szCs w:val="24"/>
              <w:highlight w:val="none"/>
            </w:rPr>
            <w:t>6.1评标委员会</w:t>
          </w:r>
          <w:r>
            <w:tab/>
          </w:r>
          <w:r>
            <w:fldChar w:fldCharType="begin"/>
          </w:r>
          <w:r>
            <w:instrText xml:space="preserve"> PAGEREF _Toc7694 \h </w:instrText>
          </w:r>
          <w:r>
            <w:fldChar w:fldCharType="separate"/>
          </w:r>
          <w:r>
            <w:t>55</w:t>
          </w:r>
          <w:r>
            <w:fldChar w:fldCharType="end"/>
          </w:r>
          <w:r>
            <w:rPr>
              <w:color w:val="auto"/>
              <w:highlight w:val="none"/>
            </w:rPr>
            <w:fldChar w:fldCharType="end"/>
          </w:r>
        </w:p>
        <w:p w14:paraId="2EC2A940">
          <w:pPr>
            <w:pStyle w:val="5"/>
            <w:tabs>
              <w:tab w:val="right" w:leader="dot" w:pos="8831"/>
            </w:tabs>
          </w:pPr>
          <w:r>
            <w:rPr>
              <w:color w:val="auto"/>
              <w:highlight w:val="none"/>
            </w:rPr>
            <w:fldChar w:fldCharType="begin"/>
          </w:r>
          <w:r>
            <w:rPr>
              <w:highlight w:val="none"/>
            </w:rPr>
            <w:instrText xml:space="preserve"> HYPERLINK \l _Toc5552 </w:instrText>
          </w:r>
          <w:r>
            <w:rPr>
              <w:highlight w:val="none"/>
            </w:rPr>
            <w:fldChar w:fldCharType="separate"/>
          </w:r>
          <w:r>
            <w:rPr>
              <w:rFonts w:hint="eastAsia" w:ascii="宋体" w:hAnsi="宋体" w:eastAsia="宋体" w:cs="宋体"/>
              <w:bCs/>
              <w:spacing w:val="-4"/>
              <w:szCs w:val="24"/>
              <w:highlight w:val="none"/>
            </w:rPr>
            <w:t>6.2评标原则</w:t>
          </w:r>
          <w:r>
            <w:tab/>
          </w:r>
          <w:r>
            <w:fldChar w:fldCharType="begin"/>
          </w:r>
          <w:r>
            <w:instrText xml:space="preserve"> PAGEREF _Toc5552 \h </w:instrText>
          </w:r>
          <w:r>
            <w:fldChar w:fldCharType="separate"/>
          </w:r>
          <w:r>
            <w:t>56</w:t>
          </w:r>
          <w:r>
            <w:fldChar w:fldCharType="end"/>
          </w:r>
          <w:r>
            <w:rPr>
              <w:color w:val="auto"/>
              <w:highlight w:val="none"/>
            </w:rPr>
            <w:fldChar w:fldCharType="end"/>
          </w:r>
        </w:p>
        <w:p w14:paraId="078D58E2">
          <w:pPr>
            <w:pStyle w:val="5"/>
            <w:tabs>
              <w:tab w:val="right" w:leader="dot" w:pos="8831"/>
            </w:tabs>
          </w:pPr>
          <w:r>
            <w:rPr>
              <w:color w:val="auto"/>
              <w:highlight w:val="none"/>
            </w:rPr>
            <w:fldChar w:fldCharType="begin"/>
          </w:r>
          <w:r>
            <w:rPr>
              <w:highlight w:val="none"/>
            </w:rPr>
            <w:instrText xml:space="preserve"> HYPERLINK \l _Toc21555 </w:instrText>
          </w:r>
          <w:r>
            <w:rPr>
              <w:highlight w:val="none"/>
            </w:rPr>
            <w:fldChar w:fldCharType="separate"/>
          </w:r>
          <w:r>
            <w:rPr>
              <w:rFonts w:hint="eastAsia" w:ascii="宋体" w:hAnsi="宋体" w:eastAsia="宋体" w:cs="宋体"/>
              <w:bCs/>
              <w:spacing w:val="-5"/>
              <w:szCs w:val="24"/>
              <w:highlight w:val="none"/>
            </w:rPr>
            <w:t>6.3评标</w:t>
          </w:r>
          <w:r>
            <w:tab/>
          </w:r>
          <w:r>
            <w:fldChar w:fldCharType="begin"/>
          </w:r>
          <w:r>
            <w:instrText xml:space="preserve"> PAGEREF _Toc21555 \h </w:instrText>
          </w:r>
          <w:r>
            <w:fldChar w:fldCharType="separate"/>
          </w:r>
          <w:r>
            <w:t>56</w:t>
          </w:r>
          <w:r>
            <w:fldChar w:fldCharType="end"/>
          </w:r>
          <w:r>
            <w:rPr>
              <w:color w:val="auto"/>
              <w:highlight w:val="none"/>
            </w:rPr>
            <w:fldChar w:fldCharType="end"/>
          </w:r>
        </w:p>
        <w:p w14:paraId="3DFF622B">
          <w:pPr>
            <w:pStyle w:val="8"/>
            <w:tabs>
              <w:tab w:val="right" w:leader="dot" w:pos="8831"/>
            </w:tabs>
          </w:pPr>
          <w:r>
            <w:rPr>
              <w:color w:val="auto"/>
              <w:highlight w:val="none"/>
            </w:rPr>
            <w:fldChar w:fldCharType="begin"/>
          </w:r>
          <w:r>
            <w:rPr>
              <w:highlight w:val="none"/>
            </w:rPr>
            <w:instrText xml:space="preserve"> HYPERLINK \l _Toc15204 </w:instrText>
          </w:r>
          <w:r>
            <w:rPr>
              <w:highlight w:val="none"/>
            </w:rPr>
            <w:fldChar w:fldCharType="separate"/>
          </w:r>
          <w:r>
            <w:rPr>
              <w:rFonts w:hint="eastAsia" w:ascii="宋体" w:hAnsi="宋体" w:eastAsia="宋体" w:cs="宋体"/>
              <w:bCs/>
              <w:spacing w:val="-6"/>
              <w:szCs w:val="28"/>
              <w:highlight w:val="none"/>
            </w:rPr>
            <w:t>7.合同授予</w:t>
          </w:r>
          <w:r>
            <w:tab/>
          </w:r>
          <w:r>
            <w:fldChar w:fldCharType="begin"/>
          </w:r>
          <w:r>
            <w:instrText xml:space="preserve"> PAGEREF _Toc15204 \h </w:instrText>
          </w:r>
          <w:r>
            <w:fldChar w:fldCharType="separate"/>
          </w:r>
          <w:r>
            <w:t>56</w:t>
          </w:r>
          <w:r>
            <w:fldChar w:fldCharType="end"/>
          </w:r>
          <w:r>
            <w:rPr>
              <w:color w:val="auto"/>
              <w:highlight w:val="none"/>
            </w:rPr>
            <w:fldChar w:fldCharType="end"/>
          </w:r>
        </w:p>
        <w:p w14:paraId="7854B95A">
          <w:pPr>
            <w:pStyle w:val="5"/>
            <w:tabs>
              <w:tab w:val="right" w:leader="dot" w:pos="8831"/>
            </w:tabs>
          </w:pPr>
          <w:r>
            <w:rPr>
              <w:color w:val="auto"/>
              <w:highlight w:val="none"/>
            </w:rPr>
            <w:fldChar w:fldCharType="begin"/>
          </w:r>
          <w:r>
            <w:rPr>
              <w:highlight w:val="none"/>
            </w:rPr>
            <w:instrText xml:space="preserve"> HYPERLINK \l _Toc9433 </w:instrText>
          </w:r>
          <w:r>
            <w:rPr>
              <w:highlight w:val="none"/>
            </w:rPr>
            <w:fldChar w:fldCharType="separate"/>
          </w:r>
          <w:r>
            <w:rPr>
              <w:rFonts w:hint="eastAsia" w:ascii="宋体" w:hAnsi="宋体" w:eastAsia="宋体" w:cs="宋体"/>
              <w:bCs/>
              <w:spacing w:val="-4"/>
              <w:szCs w:val="24"/>
              <w:highlight w:val="none"/>
            </w:rPr>
            <w:t>7.1中标候选人公示</w:t>
          </w:r>
          <w:r>
            <w:tab/>
          </w:r>
          <w:r>
            <w:fldChar w:fldCharType="begin"/>
          </w:r>
          <w:r>
            <w:instrText xml:space="preserve"> PAGEREF _Toc9433 \h </w:instrText>
          </w:r>
          <w:r>
            <w:fldChar w:fldCharType="separate"/>
          </w:r>
          <w:r>
            <w:t>56</w:t>
          </w:r>
          <w:r>
            <w:fldChar w:fldCharType="end"/>
          </w:r>
          <w:r>
            <w:rPr>
              <w:color w:val="auto"/>
              <w:highlight w:val="none"/>
            </w:rPr>
            <w:fldChar w:fldCharType="end"/>
          </w:r>
        </w:p>
        <w:p w14:paraId="30077233">
          <w:pPr>
            <w:pStyle w:val="5"/>
            <w:tabs>
              <w:tab w:val="right" w:leader="dot" w:pos="8831"/>
            </w:tabs>
          </w:pPr>
          <w:r>
            <w:rPr>
              <w:color w:val="auto"/>
              <w:highlight w:val="none"/>
            </w:rPr>
            <w:fldChar w:fldCharType="begin"/>
          </w:r>
          <w:r>
            <w:rPr>
              <w:highlight w:val="none"/>
            </w:rPr>
            <w:instrText xml:space="preserve"> HYPERLINK \l _Toc13779 </w:instrText>
          </w:r>
          <w:r>
            <w:rPr>
              <w:highlight w:val="none"/>
            </w:rPr>
            <w:fldChar w:fldCharType="separate"/>
          </w:r>
          <w:r>
            <w:rPr>
              <w:rFonts w:hint="eastAsia" w:ascii="宋体" w:hAnsi="宋体" w:eastAsia="宋体" w:cs="宋体"/>
              <w:bCs/>
              <w:spacing w:val="-4"/>
              <w:szCs w:val="24"/>
              <w:highlight w:val="none"/>
            </w:rPr>
            <w:t>7.2评标结果异议</w:t>
          </w:r>
          <w:r>
            <w:tab/>
          </w:r>
          <w:r>
            <w:fldChar w:fldCharType="begin"/>
          </w:r>
          <w:r>
            <w:instrText xml:space="preserve"> PAGEREF _Toc13779 \h </w:instrText>
          </w:r>
          <w:r>
            <w:fldChar w:fldCharType="separate"/>
          </w:r>
          <w:r>
            <w:t>57</w:t>
          </w:r>
          <w:r>
            <w:fldChar w:fldCharType="end"/>
          </w:r>
          <w:r>
            <w:rPr>
              <w:color w:val="auto"/>
              <w:highlight w:val="none"/>
            </w:rPr>
            <w:fldChar w:fldCharType="end"/>
          </w:r>
        </w:p>
        <w:p w14:paraId="49AE0BA8">
          <w:pPr>
            <w:pStyle w:val="5"/>
            <w:tabs>
              <w:tab w:val="right" w:leader="dot" w:pos="8831"/>
            </w:tabs>
          </w:pPr>
          <w:r>
            <w:rPr>
              <w:color w:val="auto"/>
              <w:highlight w:val="none"/>
            </w:rPr>
            <w:fldChar w:fldCharType="begin"/>
          </w:r>
          <w:r>
            <w:rPr>
              <w:highlight w:val="none"/>
            </w:rPr>
            <w:instrText xml:space="preserve"> HYPERLINK \l _Toc23435 </w:instrText>
          </w:r>
          <w:r>
            <w:rPr>
              <w:highlight w:val="none"/>
            </w:rPr>
            <w:fldChar w:fldCharType="separate"/>
          </w:r>
          <w:r>
            <w:rPr>
              <w:rFonts w:hint="eastAsia" w:ascii="宋体" w:hAnsi="宋体" w:eastAsia="宋体" w:cs="宋体"/>
              <w:bCs/>
              <w:spacing w:val="-3"/>
              <w:szCs w:val="24"/>
              <w:highlight w:val="none"/>
            </w:rPr>
            <w:t>7.3中标候选人履约能力审查</w:t>
          </w:r>
          <w:r>
            <w:tab/>
          </w:r>
          <w:r>
            <w:fldChar w:fldCharType="begin"/>
          </w:r>
          <w:r>
            <w:instrText xml:space="preserve"> PAGEREF _Toc23435 \h </w:instrText>
          </w:r>
          <w:r>
            <w:fldChar w:fldCharType="separate"/>
          </w:r>
          <w:r>
            <w:t>57</w:t>
          </w:r>
          <w:r>
            <w:fldChar w:fldCharType="end"/>
          </w:r>
          <w:r>
            <w:rPr>
              <w:color w:val="auto"/>
              <w:highlight w:val="none"/>
            </w:rPr>
            <w:fldChar w:fldCharType="end"/>
          </w:r>
        </w:p>
        <w:p w14:paraId="01DCC14A">
          <w:pPr>
            <w:pStyle w:val="5"/>
            <w:tabs>
              <w:tab w:val="right" w:leader="dot" w:pos="8831"/>
            </w:tabs>
          </w:pPr>
          <w:r>
            <w:rPr>
              <w:color w:val="auto"/>
              <w:highlight w:val="none"/>
            </w:rPr>
            <w:fldChar w:fldCharType="begin"/>
          </w:r>
          <w:r>
            <w:rPr>
              <w:highlight w:val="none"/>
            </w:rPr>
            <w:instrText xml:space="preserve"> HYPERLINK \l _Toc24158 </w:instrText>
          </w:r>
          <w:r>
            <w:rPr>
              <w:highlight w:val="none"/>
            </w:rPr>
            <w:fldChar w:fldCharType="separate"/>
          </w:r>
          <w:r>
            <w:rPr>
              <w:rFonts w:hint="eastAsia" w:ascii="宋体" w:hAnsi="宋体" w:eastAsia="宋体" w:cs="宋体"/>
              <w:bCs/>
              <w:spacing w:val="-5"/>
              <w:szCs w:val="24"/>
              <w:highlight w:val="none"/>
            </w:rPr>
            <w:t>7.4定标</w:t>
          </w:r>
          <w:r>
            <w:tab/>
          </w:r>
          <w:r>
            <w:fldChar w:fldCharType="begin"/>
          </w:r>
          <w:r>
            <w:instrText xml:space="preserve"> PAGEREF _Toc24158 \h </w:instrText>
          </w:r>
          <w:r>
            <w:fldChar w:fldCharType="separate"/>
          </w:r>
          <w:r>
            <w:t>57</w:t>
          </w:r>
          <w:r>
            <w:fldChar w:fldCharType="end"/>
          </w:r>
          <w:r>
            <w:rPr>
              <w:color w:val="auto"/>
              <w:highlight w:val="none"/>
            </w:rPr>
            <w:fldChar w:fldCharType="end"/>
          </w:r>
        </w:p>
        <w:p w14:paraId="272CFB98">
          <w:pPr>
            <w:pStyle w:val="5"/>
            <w:tabs>
              <w:tab w:val="right" w:leader="dot" w:pos="8831"/>
            </w:tabs>
          </w:pPr>
          <w:r>
            <w:rPr>
              <w:color w:val="auto"/>
              <w:highlight w:val="none"/>
            </w:rPr>
            <w:fldChar w:fldCharType="begin"/>
          </w:r>
          <w:r>
            <w:rPr>
              <w:highlight w:val="none"/>
            </w:rPr>
            <w:instrText xml:space="preserve"> HYPERLINK \l _Toc16418 </w:instrText>
          </w:r>
          <w:r>
            <w:rPr>
              <w:highlight w:val="none"/>
            </w:rPr>
            <w:fldChar w:fldCharType="separate"/>
          </w:r>
          <w:r>
            <w:rPr>
              <w:rFonts w:hint="eastAsia" w:ascii="宋体" w:hAnsi="宋体" w:eastAsia="宋体" w:cs="宋体"/>
              <w:bCs/>
              <w:spacing w:val="-7"/>
              <w:szCs w:val="24"/>
              <w:highlight w:val="none"/>
            </w:rPr>
            <w:t>7.5中标通知</w:t>
          </w:r>
          <w:r>
            <w:tab/>
          </w:r>
          <w:r>
            <w:fldChar w:fldCharType="begin"/>
          </w:r>
          <w:r>
            <w:instrText xml:space="preserve"> PAGEREF _Toc16418 \h </w:instrText>
          </w:r>
          <w:r>
            <w:fldChar w:fldCharType="separate"/>
          </w:r>
          <w:r>
            <w:t>57</w:t>
          </w:r>
          <w:r>
            <w:fldChar w:fldCharType="end"/>
          </w:r>
          <w:r>
            <w:rPr>
              <w:color w:val="auto"/>
              <w:highlight w:val="none"/>
            </w:rPr>
            <w:fldChar w:fldCharType="end"/>
          </w:r>
        </w:p>
        <w:p w14:paraId="627FE57B">
          <w:pPr>
            <w:pStyle w:val="5"/>
            <w:tabs>
              <w:tab w:val="right" w:leader="dot" w:pos="8831"/>
            </w:tabs>
          </w:pPr>
          <w:r>
            <w:rPr>
              <w:color w:val="auto"/>
              <w:highlight w:val="none"/>
            </w:rPr>
            <w:fldChar w:fldCharType="begin"/>
          </w:r>
          <w:r>
            <w:rPr>
              <w:highlight w:val="none"/>
            </w:rPr>
            <w:instrText xml:space="preserve"> HYPERLINK \l _Toc18832 </w:instrText>
          </w:r>
          <w:r>
            <w:rPr>
              <w:highlight w:val="none"/>
            </w:rPr>
            <w:fldChar w:fldCharType="separate"/>
          </w:r>
          <w:r>
            <w:rPr>
              <w:rFonts w:hint="eastAsia" w:ascii="宋体" w:hAnsi="宋体" w:eastAsia="宋体" w:cs="宋体"/>
              <w:bCs/>
              <w:spacing w:val="-4"/>
              <w:szCs w:val="24"/>
              <w:highlight w:val="none"/>
            </w:rPr>
            <w:t>7.6中标结果公告</w:t>
          </w:r>
          <w:r>
            <w:tab/>
          </w:r>
          <w:r>
            <w:fldChar w:fldCharType="begin"/>
          </w:r>
          <w:r>
            <w:instrText xml:space="preserve"> PAGEREF _Toc18832 \h </w:instrText>
          </w:r>
          <w:r>
            <w:fldChar w:fldCharType="separate"/>
          </w:r>
          <w:r>
            <w:t>57</w:t>
          </w:r>
          <w:r>
            <w:fldChar w:fldCharType="end"/>
          </w:r>
          <w:r>
            <w:rPr>
              <w:color w:val="auto"/>
              <w:highlight w:val="none"/>
            </w:rPr>
            <w:fldChar w:fldCharType="end"/>
          </w:r>
        </w:p>
        <w:p w14:paraId="3924BA1E">
          <w:pPr>
            <w:pStyle w:val="5"/>
            <w:tabs>
              <w:tab w:val="right" w:leader="dot" w:pos="8831"/>
            </w:tabs>
          </w:pPr>
          <w:r>
            <w:rPr>
              <w:color w:val="auto"/>
              <w:highlight w:val="none"/>
            </w:rPr>
            <w:fldChar w:fldCharType="begin"/>
          </w:r>
          <w:r>
            <w:rPr>
              <w:highlight w:val="none"/>
            </w:rPr>
            <w:instrText xml:space="preserve"> HYPERLINK \l _Toc6344 </w:instrText>
          </w:r>
          <w:r>
            <w:rPr>
              <w:highlight w:val="none"/>
            </w:rPr>
            <w:fldChar w:fldCharType="separate"/>
          </w:r>
          <w:r>
            <w:rPr>
              <w:rFonts w:hint="eastAsia" w:ascii="宋体" w:hAnsi="宋体" w:eastAsia="宋体" w:cs="宋体"/>
              <w:bCs/>
              <w:spacing w:val="-4"/>
              <w:szCs w:val="24"/>
              <w:highlight w:val="none"/>
            </w:rPr>
            <w:t>7.7履约保证金</w:t>
          </w:r>
          <w:r>
            <w:tab/>
          </w:r>
          <w:r>
            <w:fldChar w:fldCharType="begin"/>
          </w:r>
          <w:r>
            <w:instrText xml:space="preserve"> PAGEREF _Toc6344 \h </w:instrText>
          </w:r>
          <w:r>
            <w:fldChar w:fldCharType="separate"/>
          </w:r>
          <w:r>
            <w:t>57</w:t>
          </w:r>
          <w:r>
            <w:fldChar w:fldCharType="end"/>
          </w:r>
          <w:r>
            <w:rPr>
              <w:color w:val="auto"/>
              <w:highlight w:val="none"/>
            </w:rPr>
            <w:fldChar w:fldCharType="end"/>
          </w:r>
        </w:p>
        <w:p w14:paraId="3EA3FA66">
          <w:pPr>
            <w:pStyle w:val="5"/>
            <w:tabs>
              <w:tab w:val="right" w:leader="dot" w:pos="8831"/>
            </w:tabs>
          </w:pPr>
          <w:r>
            <w:rPr>
              <w:color w:val="auto"/>
              <w:highlight w:val="none"/>
            </w:rPr>
            <w:fldChar w:fldCharType="begin"/>
          </w:r>
          <w:r>
            <w:rPr>
              <w:highlight w:val="none"/>
            </w:rPr>
            <w:instrText xml:space="preserve"> HYPERLINK \l _Toc16778 </w:instrText>
          </w:r>
          <w:r>
            <w:rPr>
              <w:highlight w:val="none"/>
            </w:rPr>
            <w:fldChar w:fldCharType="separate"/>
          </w:r>
          <w:r>
            <w:rPr>
              <w:rFonts w:hint="eastAsia" w:ascii="宋体" w:hAnsi="宋体" w:eastAsia="宋体" w:cs="宋体"/>
              <w:bCs/>
              <w:spacing w:val="-4"/>
              <w:szCs w:val="24"/>
              <w:highlight w:val="none"/>
            </w:rPr>
            <w:t>7.8签订合同</w:t>
          </w:r>
          <w:r>
            <w:tab/>
          </w:r>
          <w:r>
            <w:fldChar w:fldCharType="begin"/>
          </w:r>
          <w:r>
            <w:instrText xml:space="preserve"> PAGEREF _Toc16778 \h </w:instrText>
          </w:r>
          <w:r>
            <w:fldChar w:fldCharType="separate"/>
          </w:r>
          <w:r>
            <w:t>58</w:t>
          </w:r>
          <w:r>
            <w:fldChar w:fldCharType="end"/>
          </w:r>
          <w:r>
            <w:rPr>
              <w:color w:val="auto"/>
              <w:highlight w:val="none"/>
            </w:rPr>
            <w:fldChar w:fldCharType="end"/>
          </w:r>
        </w:p>
        <w:p w14:paraId="4ED1A7D7">
          <w:pPr>
            <w:pStyle w:val="8"/>
            <w:tabs>
              <w:tab w:val="right" w:leader="dot" w:pos="8831"/>
            </w:tabs>
          </w:pPr>
          <w:r>
            <w:rPr>
              <w:color w:val="auto"/>
              <w:highlight w:val="none"/>
            </w:rPr>
            <w:fldChar w:fldCharType="begin"/>
          </w:r>
          <w:r>
            <w:rPr>
              <w:highlight w:val="none"/>
            </w:rPr>
            <w:instrText xml:space="preserve"> HYPERLINK \l _Toc7392 </w:instrText>
          </w:r>
          <w:r>
            <w:rPr>
              <w:highlight w:val="none"/>
            </w:rPr>
            <w:fldChar w:fldCharType="separate"/>
          </w:r>
          <w:r>
            <w:rPr>
              <w:rFonts w:hint="eastAsia" w:ascii="宋体" w:hAnsi="宋体" w:eastAsia="宋体" w:cs="宋体"/>
              <w:bCs/>
              <w:spacing w:val="-5"/>
              <w:szCs w:val="28"/>
              <w:highlight w:val="none"/>
            </w:rPr>
            <w:t>8.纪律和监督</w:t>
          </w:r>
          <w:r>
            <w:tab/>
          </w:r>
          <w:r>
            <w:fldChar w:fldCharType="begin"/>
          </w:r>
          <w:r>
            <w:instrText xml:space="preserve"> PAGEREF _Toc7392 \h </w:instrText>
          </w:r>
          <w:r>
            <w:fldChar w:fldCharType="separate"/>
          </w:r>
          <w:r>
            <w:t>58</w:t>
          </w:r>
          <w:r>
            <w:fldChar w:fldCharType="end"/>
          </w:r>
          <w:r>
            <w:rPr>
              <w:color w:val="auto"/>
              <w:highlight w:val="none"/>
            </w:rPr>
            <w:fldChar w:fldCharType="end"/>
          </w:r>
        </w:p>
        <w:p w14:paraId="50BC67A6">
          <w:pPr>
            <w:pStyle w:val="5"/>
            <w:tabs>
              <w:tab w:val="right" w:leader="dot" w:pos="8831"/>
            </w:tabs>
          </w:pPr>
          <w:r>
            <w:rPr>
              <w:color w:val="auto"/>
              <w:highlight w:val="none"/>
            </w:rPr>
            <w:fldChar w:fldCharType="begin"/>
          </w:r>
          <w:r>
            <w:rPr>
              <w:highlight w:val="none"/>
            </w:rPr>
            <w:instrText xml:space="preserve"> HYPERLINK \l _Toc28816 </w:instrText>
          </w:r>
          <w:r>
            <w:rPr>
              <w:highlight w:val="none"/>
            </w:rPr>
            <w:fldChar w:fldCharType="separate"/>
          </w:r>
          <w:r>
            <w:rPr>
              <w:rFonts w:hint="eastAsia" w:ascii="宋体" w:hAnsi="宋体" w:eastAsia="宋体" w:cs="宋体"/>
              <w:bCs/>
              <w:spacing w:val="-3"/>
              <w:szCs w:val="24"/>
              <w:highlight w:val="none"/>
            </w:rPr>
            <w:t>8.1对招标人的纪律要求</w:t>
          </w:r>
          <w:r>
            <w:tab/>
          </w:r>
          <w:r>
            <w:fldChar w:fldCharType="begin"/>
          </w:r>
          <w:r>
            <w:instrText xml:space="preserve"> PAGEREF _Toc28816 \h </w:instrText>
          </w:r>
          <w:r>
            <w:fldChar w:fldCharType="separate"/>
          </w:r>
          <w:r>
            <w:t>58</w:t>
          </w:r>
          <w:r>
            <w:fldChar w:fldCharType="end"/>
          </w:r>
          <w:r>
            <w:rPr>
              <w:color w:val="auto"/>
              <w:highlight w:val="none"/>
            </w:rPr>
            <w:fldChar w:fldCharType="end"/>
          </w:r>
        </w:p>
        <w:p w14:paraId="0697E187">
          <w:pPr>
            <w:pStyle w:val="5"/>
            <w:tabs>
              <w:tab w:val="right" w:leader="dot" w:pos="8831"/>
            </w:tabs>
          </w:pPr>
          <w:r>
            <w:rPr>
              <w:color w:val="auto"/>
              <w:highlight w:val="none"/>
            </w:rPr>
            <w:fldChar w:fldCharType="begin"/>
          </w:r>
          <w:r>
            <w:rPr>
              <w:highlight w:val="none"/>
            </w:rPr>
            <w:instrText xml:space="preserve"> HYPERLINK \l _Toc7496 </w:instrText>
          </w:r>
          <w:r>
            <w:rPr>
              <w:highlight w:val="none"/>
            </w:rPr>
            <w:fldChar w:fldCharType="separate"/>
          </w:r>
          <w:r>
            <w:rPr>
              <w:rFonts w:hint="eastAsia" w:ascii="宋体" w:hAnsi="宋体" w:eastAsia="宋体" w:cs="宋体"/>
              <w:bCs/>
              <w:spacing w:val="-3"/>
              <w:szCs w:val="24"/>
              <w:highlight w:val="none"/>
            </w:rPr>
            <w:t>8.2对投标人的纪律要求</w:t>
          </w:r>
          <w:r>
            <w:tab/>
          </w:r>
          <w:r>
            <w:fldChar w:fldCharType="begin"/>
          </w:r>
          <w:r>
            <w:instrText xml:space="preserve"> PAGEREF _Toc7496 \h </w:instrText>
          </w:r>
          <w:r>
            <w:fldChar w:fldCharType="separate"/>
          </w:r>
          <w:r>
            <w:t>58</w:t>
          </w:r>
          <w:r>
            <w:fldChar w:fldCharType="end"/>
          </w:r>
          <w:r>
            <w:rPr>
              <w:color w:val="auto"/>
              <w:highlight w:val="none"/>
            </w:rPr>
            <w:fldChar w:fldCharType="end"/>
          </w:r>
        </w:p>
        <w:p w14:paraId="261D06E4">
          <w:pPr>
            <w:pStyle w:val="5"/>
            <w:tabs>
              <w:tab w:val="right" w:leader="dot" w:pos="8831"/>
            </w:tabs>
          </w:pPr>
          <w:r>
            <w:rPr>
              <w:color w:val="auto"/>
              <w:highlight w:val="none"/>
            </w:rPr>
            <w:fldChar w:fldCharType="begin"/>
          </w:r>
          <w:r>
            <w:rPr>
              <w:highlight w:val="none"/>
            </w:rPr>
            <w:instrText xml:space="preserve"> HYPERLINK \l _Toc29690 </w:instrText>
          </w:r>
          <w:r>
            <w:rPr>
              <w:highlight w:val="none"/>
            </w:rPr>
            <w:fldChar w:fldCharType="separate"/>
          </w:r>
          <w:r>
            <w:rPr>
              <w:rFonts w:hint="eastAsia" w:ascii="宋体" w:hAnsi="宋体" w:eastAsia="宋体" w:cs="宋体"/>
              <w:bCs/>
              <w:spacing w:val="-3"/>
              <w:szCs w:val="24"/>
              <w:highlight w:val="none"/>
            </w:rPr>
            <w:t>8.3对评标委员会成员的纪律要求</w:t>
          </w:r>
          <w:r>
            <w:tab/>
          </w:r>
          <w:r>
            <w:fldChar w:fldCharType="begin"/>
          </w:r>
          <w:r>
            <w:instrText xml:space="preserve"> PAGEREF _Toc29690 \h </w:instrText>
          </w:r>
          <w:r>
            <w:fldChar w:fldCharType="separate"/>
          </w:r>
          <w:r>
            <w:t>59</w:t>
          </w:r>
          <w:r>
            <w:fldChar w:fldCharType="end"/>
          </w:r>
          <w:r>
            <w:rPr>
              <w:color w:val="auto"/>
              <w:highlight w:val="none"/>
            </w:rPr>
            <w:fldChar w:fldCharType="end"/>
          </w:r>
        </w:p>
        <w:p w14:paraId="5D7BC8F0">
          <w:pPr>
            <w:pStyle w:val="5"/>
            <w:tabs>
              <w:tab w:val="right" w:leader="dot" w:pos="8831"/>
            </w:tabs>
          </w:pPr>
          <w:r>
            <w:rPr>
              <w:color w:val="auto"/>
              <w:highlight w:val="none"/>
            </w:rPr>
            <w:fldChar w:fldCharType="begin"/>
          </w:r>
          <w:r>
            <w:rPr>
              <w:highlight w:val="none"/>
            </w:rPr>
            <w:instrText xml:space="preserve"> HYPERLINK \l _Toc7364 </w:instrText>
          </w:r>
          <w:r>
            <w:rPr>
              <w:highlight w:val="none"/>
            </w:rPr>
            <w:fldChar w:fldCharType="separate"/>
          </w:r>
          <w:r>
            <w:rPr>
              <w:rFonts w:hint="eastAsia" w:ascii="宋体" w:hAnsi="宋体" w:eastAsia="宋体" w:cs="宋体"/>
              <w:bCs/>
              <w:spacing w:val="-3"/>
              <w:szCs w:val="24"/>
              <w:highlight w:val="none"/>
            </w:rPr>
            <w:t>8.4对与评标活动有关的工作人员的纪律要求</w:t>
          </w:r>
          <w:r>
            <w:tab/>
          </w:r>
          <w:r>
            <w:fldChar w:fldCharType="begin"/>
          </w:r>
          <w:r>
            <w:instrText xml:space="preserve"> PAGEREF _Toc7364 \h </w:instrText>
          </w:r>
          <w:r>
            <w:fldChar w:fldCharType="separate"/>
          </w:r>
          <w:r>
            <w:t>59</w:t>
          </w:r>
          <w:r>
            <w:fldChar w:fldCharType="end"/>
          </w:r>
          <w:r>
            <w:rPr>
              <w:color w:val="auto"/>
              <w:highlight w:val="none"/>
            </w:rPr>
            <w:fldChar w:fldCharType="end"/>
          </w:r>
        </w:p>
        <w:p w14:paraId="1A9125A3">
          <w:pPr>
            <w:pStyle w:val="5"/>
            <w:tabs>
              <w:tab w:val="right" w:leader="dot" w:pos="8831"/>
            </w:tabs>
          </w:pPr>
          <w:r>
            <w:rPr>
              <w:color w:val="auto"/>
              <w:highlight w:val="none"/>
            </w:rPr>
            <w:fldChar w:fldCharType="begin"/>
          </w:r>
          <w:r>
            <w:rPr>
              <w:highlight w:val="none"/>
            </w:rPr>
            <w:instrText xml:space="preserve"> HYPERLINK \l _Toc4465 </w:instrText>
          </w:r>
          <w:r>
            <w:rPr>
              <w:highlight w:val="none"/>
            </w:rPr>
            <w:fldChar w:fldCharType="separate"/>
          </w:r>
          <w:r>
            <w:rPr>
              <w:rFonts w:hint="eastAsia" w:ascii="宋体" w:hAnsi="宋体" w:eastAsia="宋体" w:cs="宋体"/>
              <w:bCs/>
              <w:spacing w:val="-5"/>
              <w:szCs w:val="24"/>
              <w:highlight w:val="none"/>
            </w:rPr>
            <w:t>8.5投诉</w:t>
          </w:r>
          <w:r>
            <w:tab/>
          </w:r>
          <w:r>
            <w:fldChar w:fldCharType="begin"/>
          </w:r>
          <w:r>
            <w:instrText xml:space="preserve"> PAGEREF _Toc4465 \h </w:instrText>
          </w:r>
          <w:r>
            <w:fldChar w:fldCharType="separate"/>
          </w:r>
          <w:r>
            <w:t>59</w:t>
          </w:r>
          <w:r>
            <w:fldChar w:fldCharType="end"/>
          </w:r>
          <w:r>
            <w:rPr>
              <w:color w:val="auto"/>
              <w:highlight w:val="none"/>
            </w:rPr>
            <w:fldChar w:fldCharType="end"/>
          </w:r>
        </w:p>
        <w:p w14:paraId="74F1C3B4">
          <w:pPr>
            <w:pStyle w:val="8"/>
            <w:tabs>
              <w:tab w:val="right" w:leader="dot" w:pos="8831"/>
            </w:tabs>
          </w:pPr>
          <w:r>
            <w:rPr>
              <w:color w:val="auto"/>
              <w:highlight w:val="none"/>
            </w:rPr>
            <w:fldChar w:fldCharType="begin"/>
          </w:r>
          <w:r>
            <w:rPr>
              <w:highlight w:val="none"/>
            </w:rPr>
            <w:instrText xml:space="preserve"> HYPERLINK \l _Toc17721 </w:instrText>
          </w:r>
          <w:r>
            <w:rPr>
              <w:highlight w:val="none"/>
            </w:rPr>
            <w:fldChar w:fldCharType="separate"/>
          </w:r>
          <w:r>
            <w:rPr>
              <w:rFonts w:hint="eastAsia" w:ascii="宋体" w:hAnsi="宋体" w:eastAsia="宋体" w:cs="宋体"/>
              <w:bCs/>
              <w:spacing w:val="-4"/>
              <w:szCs w:val="24"/>
              <w:highlight w:val="none"/>
            </w:rPr>
            <w:t>9.是否采用电子招标投标</w:t>
          </w:r>
          <w:r>
            <w:tab/>
          </w:r>
          <w:r>
            <w:fldChar w:fldCharType="begin"/>
          </w:r>
          <w:r>
            <w:instrText xml:space="preserve"> PAGEREF _Toc17721 \h </w:instrText>
          </w:r>
          <w:r>
            <w:fldChar w:fldCharType="separate"/>
          </w:r>
          <w:r>
            <w:t>59</w:t>
          </w:r>
          <w:r>
            <w:fldChar w:fldCharType="end"/>
          </w:r>
          <w:r>
            <w:rPr>
              <w:color w:val="auto"/>
              <w:highlight w:val="none"/>
            </w:rPr>
            <w:fldChar w:fldCharType="end"/>
          </w:r>
        </w:p>
        <w:p w14:paraId="78597369">
          <w:pPr>
            <w:pStyle w:val="8"/>
            <w:tabs>
              <w:tab w:val="right" w:leader="dot" w:pos="8831"/>
            </w:tabs>
          </w:pPr>
          <w:r>
            <w:rPr>
              <w:color w:val="auto"/>
              <w:highlight w:val="none"/>
            </w:rPr>
            <w:fldChar w:fldCharType="begin"/>
          </w:r>
          <w:r>
            <w:rPr>
              <w:highlight w:val="none"/>
            </w:rPr>
            <w:instrText xml:space="preserve"> HYPERLINK \l _Toc6053 </w:instrText>
          </w:r>
          <w:r>
            <w:rPr>
              <w:highlight w:val="none"/>
            </w:rPr>
            <w:fldChar w:fldCharType="separate"/>
          </w:r>
          <w:r>
            <w:rPr>
              <w:rFonts w:hint="eastAsia" w:ascii="宋体" w:hAnsi="宋体" w:eastAsia="宋体" w:cs="宋体"/>
              <w:bCs/>
              <w:spacing w:val="4"/>
              <w:szCs w:val="24"/>
              <w:highlight w:val="none"/>
            </w:rPr>
            <w:t>10.需要补充的其他内容</w:t>
          </w:r>
          <w:r>
            <w:tab/>
          </w:r>
          <w:r>
            <w:fldChar w:fldCharType="begin"/>
          </w:r>
          <w:r>
            <w:instrText xml:space="preserve"> PAGEREF _Toc6053 \h </w:instrText>
          </w:r>
          <w:r>
            <w:fldChar w:fldCharType="separate"/>
          </w:r>
          <w:r>
            <w:t>59</w:t>
          </w:r>
          <w:r>
            <w:fldChar w:fldCharType="end"/>
          </w:r>
          <w:r>
            <w:rPr>
              <w:color w:val="auto"/>
              <w:highlight w:val="none"/>
            </w:rPr>
            <w:fldChar w:fldCharType="end"/>
          </w:r>
        </w:p>
        <w:p w14:paraId="26AD3356">
          <w:pPr>
            <w:pStyle w:val="8"/>
            <w:tabs>
              <w:tab w:val="right" w:leader="dot" w:pos="8831"/>
            </w:tabs>
          </w:pPr>
          <w:r>
            <w:rPr>
              <w:color w:val="auto"/>
              <w:highlight w:val="none"/>
            </w:rPr>
            <w:fldChar w:fldCharType="begin"/>
          </w:r>
          <w:r>
            <w:rPr>
              <w:highlight w:val="none"/>
            </w:rPr>
            <w:instrText xml:space="preserve"> HYPERLINK \l _Toc11655 </w:instrText>
          </w:r>
          <w:r>
            <w:rPr>
              <w:highlight w:val="none"/>
            </w:rPr>
            <w:fldChar w:fldCharType="separate"/>
          </w:r>
          <w:r>
            <w:rPr>
              <w:rFonts w:hint="eastAsia" w:ascii="宋体" w:hAnsi="宋体" w:eastAsia="宋体" w:cs="宋体"/>
              <w:spacing w:val="-3"/>
              <w:position w:val="2"/>
              <w:szCs w:val="24"/>
              <w:highlight w:val="none"/>
            </w:rPr>
            <w:t>附件一开标记录表</w:t>
          </w:r>
          <w:r>
            <w:rPr>
              <w:rFonts w:hint="eastAsia" w:ascii="宋体" w:hAnsi="宋体" w:eastAsia="宋体" w:cs="宋体"/>
              <w:spacing w:val="-3"/>
              <w:position w:val="11"/>
              <w:szCs w:val="18"/>
              <w:highlight w:val="none"/>
            </w:rPr>
            <w:t>1</w:t>
          </w:r>
          <w:r>
            <w:tab/>
          </w:r>
          <w:r>
            <w:fldChar w:fldCharType="begin"/>
          </w:r>
          <w:r>
            <w:instrText xml:space="preserve"> PAGEREF _Toc11655 \h </w:instrText>
          </w:r>
          <w:r>
            <w:fldChar w:fldCharType="separate"/>
          </w:r>
          <w:r>
            <w:t>62</w:t>
          </w:r>
          <w:r>
            <w:fldChar w:fldCharType="end"/>
          </w:r>
          <w:r>
            <w:rPr>
              <w:color w:val="auto"/>
              <w:highlight w:val="none"/>
            </w:rPr>
            <w:fldChar w:fldCharType="end"/>
          </w:r>
        </w:p>
        <w:p w14:paraId="1A7B9061">
          <w:pPr>
            <w:pStyle w:val="8"/>
            <w:tabs>
              <w:tab w:val="right" w:leader="dot" w:pos="8831"/>
            </w:tabs>
          </w:pPr>
          <w:r>
            <w:rPr>
              <w:color w:val="auto"/>
              <w:highlight w:val="none"/>
            </w:rPr>
            <w:fldChar w:fldCharType="begin"/>
          </w:r>
          <w:r>
            <w:rPr>
              <w:highlight w:val="none"/>
            </w:rPr>
            <w:instrText xml:space="preserve"> HYPERLINK \l _Toc283 </w:instrText>
          </w:r>
          <w:r>
            <w:rPr>
              <w:highlight w:val="none"/>
            </w:rPr>
            <w:fldChar w:fldCharType="separate"/>
          </w:r>
          <w:r>
            <w:rPr>
              <w:rFonts w:hint="eastAsia" w:ascii="宋体" w:hAnsi="宋体" w:eastAsia="宋体" w:cs="宋体"/>
              <w:spacing w:val="-6"/>
              <w:szCs w:val="24"/>
              <w:highlight w:val="none"/>
            </w:rPr>
            <w:t>附件二问题澄清通知</w:t>
          </w:r>
          <w:r>
            <w:tab/>
          </w:r>
          <w:r>
            <w:fldChar w:fldCharType="begin"/>
          </w:r>
          <w:r>
            <w:instrText xml:space="preserve"> PAGEREF _Toc283 \h </w:instrText>
          </w:r>
          <w:r>
            <w:fldChar w:fldCharType="separate"/>
          </w:r>
          <w:r>
            <w:t>64</w:t>
          </w:r>
          <w:r>
            <w:fldChar w:fldCharType="end"/>
          </w:r>
          <w:r>
            <w:rPr>
              <w:color w:val="auto"/>
              <w:highlight w:val="none"/>
            </w:rPr>
            <w:fldChar w:fldCharType="end"/>
          </w:r>
        </w:p>
        <w:p w14:paraId="16269062">
          <w:pPr>
            <w:pStyle w:val="8"/>
            <w:tabs>
              <w:tab w:val="right" w:leader="dot" w:pos="8831"/>
            </w:tabs>
          </w:pPr>
          <w:r>
            <w:rPr>
              <w:color w:val="auto"/>
              <w:highlight w:val="none"/>
            </w:rPr>
            <w:fldChar w:fldCharType="begin"/>
          </w:r>
          <w:r>
            <w:rPr>
              <w:highlight w:val="none"/>
            </w:rPr>
            <w:instrText xml:space="preserve"> HYPERLINK \l _Toc20644 </w:instrText>
          </w:r>
          <w:r>
            <w:rPr>
              <w:highlight w:val="none"/>
            </w:rPr>
            <w:fldChar w:fldCharType="separate"/>
          </w:r>
          <w:r>
            <w:rPr>
              <w:rFonts w:hint="eastAsia" w:ascii="宋体" w:hAnsi="宋体" w:eastAsia="宋体" w:cs="宋体"/>
              <w:spacing w:val="-9"/>
              <w:szCs w:val="24"/>
              <w:highlight w:val="none"/>
            </w:rPr>
            <w:t>年</w:t>
          </w:r>
          <w:r>
            <w:rPr>
              <w:rFonts w:hint="eastAsia" w:ascii="宋体" w:hAnsi="宋体" w:eastAsia="宋体" w:cs="宋体"/>
              <w:spacing w:val="-9"/>
              <w:szCs w:val="24"/>
              <w:highlight w:val="none"/>
              <w:lang w:val="en-US" w:eastAsia="zh-CN"/>
            </w:rPr>
            <w:t xml:space="preserve">  </w:t>
          </w:r>
          <w:r>
            <w:rPr>
              <w:rFonts w:hint="eastAsia" w:ascii="宋体" w:hAnsi="宋体" w:eastAsia="宋体" w:cs="宋体"/>
              <w:spacing w:val="-9"/>
              <w:szCs w:val="24"/>
              <w:highlight w:val="none"/>
            </w:rPr>
            <w:t>月</w:t>
          </w:r>
          <w:r>
            <w:rPr>
              <w:rFonts w:hint="eastAsia" w:ascii="宋体" w:hAnsi="宋体" w:eastAsia="宋体" w:cs="宋体"/>
              <w:spacing w:val="-9"/>
              <w:szCs w:val="24"/>
              <w:highlight w:val="none"/>
              <w:lang w:val="en-US" w:eastAsia="zh-CN"/>
            </w:rPr>
            <w:t xml:space="preserve">  </w:t>
          </w:r>
          <w:r>
            <w:rPr>
              <w:rFonts w:hint="eastAsia" w:ascii="宋体" w:hAnsi="宋体" w:eastAsia="宋体" w:cs="宋体"/>
              <w:spacing w:val="-9"/>
              <w:szCs w:val="24"/>
              <w:highlight w:val="none"/>
            </w:rPr>
            <w:t>日</w:t>
          </w:r>
          <w:r>
            <w:tab/>
          </w:r>
          <w:r>
            <w:fldChar w:fldCharType="begin"/>
          </w:r>
          <w:r>
            <w:instrText xml:space="preserve"> PAGEREF _Toc20644 \h </w:instrText>
          </w:r>
          <w:r>
            <w:fldChar w:fldCharType="separate"/>
          </w:r>
          <w:r>
            <w:t>64</w:t>
          </w:r>
          <w:r>
            <w:fldChar w:fldCharType="end"/>
          </w:r>
          <w:r>
            <w:rPr>
              <w:color w:val="auto"/>
              <w:highlight w:val="none"/>
            </w:rPr>
            <w:fldChar w:fldCharType="end"/>
          </w:r>
        </w:p>
        <w:p w14:paraId="41B23BAF">
          <w:pPr>
            <w:pStyle w:val="8"/>
            <w:tabs>
              <w:tab w:val="right" w:leader="dot" w:pos="8831"/>
            </w:tabs>
          </w:pPr>
          <w:r>
            <w:rPr>
              <w:color w:val="auto"/>
              <w:highlight w:val="none"/>
            </w:rPr>
            <w:fldChar w:fldCharType="begin"/>
          </w:r>
          <w:r>
            <w:rPr>
              <w:highlight w:val="none"/>
            </w:rPr>
            <w:instrText xml:space="preserve"> HYPERLINK \l _Toc9584 </w:instrText>
          </w:r>
          <w:r>
            <w:rPr>
              <w:highlight w:val="none"/>
            </w:rPr>
            <w:fldChar w:fldCharType="separate"/>
          </w:r>
          <w:r>
            <w:rPr>
              <w:rFonts w:hint="eastAsia" w:ascii="宋体" w:hAnsi="宋体" w:eastAsia="宋体" w:cs="宋体"/>
              <w:spacing w:val="-6"/>
              <w:szCs w:val="24"/>
              <w:highlight w:val="none"/>
            </w:rPr>
            <w:t>附件三问题的澄清</w:t>
          </w:r>
          <w:r>
            <w:tab/>
          </w:r>
          <w:r>
            <w:fldChar w:fldCharType="begin"/>
          </w:r>
          <w:r>
            <w:instrText xml:space="preserve"> PAGEREF _Toc9584 \h </w:instrText>
          </w:r>
          <w:r>
            <w:fldChar w:fldCharType="separate"/>
          </w:r>
          <w:r>
            <w:t>65</w:t>
          </w:r>
          <w:r>
            <w:fldChar w:fldCharType="end"/>
          </w:r>
          <w:r>
            <w:rPr>
              <w:color w:val="auto"/>
              <w:highlight w:val="none"/>
            </w:rPr>
            <w:fldChar w:fldCharType="end"/>
          </w:r>
        </w:p>
        <w:p w14:paraId="2C2C5CC0">
          <w:pPr>
            <w:pStyle w:val="8"/>
            <w:tabs>
              <w:tab w:val="right" w:leader="dot" w:pos="8831"/>
            </w:tabs>
          </w:pPr>
          <w:r>
            <w:rPr>
              <w:color w:val="auto"/>
              <w:highlight w:val="none"/>
            </w:rPr>
            <w:fldChar w:fldCharType="begin"/>
          </w:r>
          <w:r>
            <w:rPr>
              <w:highlight w:val="none"/>
            </w:rPr>
            <w:instrText xml:space="preserve"> HYPERLINK \l _Toc13892 </w:instrText>
          </w:r>
          <w:r>
            <w:rPr>
              <w:highlight w:val="none"/>
            </w:rPr>
            <w:fldChar w:fldCharType="separate"/>
          </w:r>
          <w:r>
            <w:rPr>
              <w:rFonts w:hint="eastAsia" w:ascii="宋体" w:hAnsi="宋体" w:eastAsia="宋体" w:cs="宋体"/>
              <w:spacing w:val="-9"/>
              <w:szCs w:val="24"/>
              <w:highlight w:val="none"/>
            </w:rPr>
            <w:t>年月日</w:t>
          </w:r>
          <w:r>
            <w:tab/>
          </w:r>
          <w:r>
            <w:fldChar w:fldCharType="begin"/>
          </w:r>
          <w:r>
            <w:instrText xml:space="preserve"> PAGEREF _Toc13892 \h </w:instrText>
          </w:r>
          <w:r>
            <w:fldChar w:fldCharType="separate"/>
          </w:r>
          <w:r>
            <w:t>65</w:t>
          </w:r>
          <w:r>
            <w:fldChar w:fldCharType="end"/>
          </w:r>
          <w:r>
            <w:rPr>
              <w:color w:val="auto"/>
              <w:highlight w:val="none"/>
            </w:rPr>
            <w:fldChar w:fldCharType="end"/>
          </w:r>
        </w:p>
        <w:p w14:paraId="7D816BBE">
          <w:pPr>
            <w:pStyle w:val="8"/>
            <w:tabs>
              <w:tab w:val="right" w:leader="dot" w:pos="8831"/>
            </w:tabs>
          </w:pPr>
          <w:r>
            <w:rPr>
              <w:color w:val="auto"/>
              <w:highlight w:val="none"/>
            </w:rPr>
            <w:fldChar w:fldCharType="begin"/>
          </w:r>
          <w:r>
            <w:rPr>
              <w:highlight w:val="none"/>
            </w:rPr>
            <w:instrText xml:space="preserve"> HYPERLINK \l _Toc2508 </w:instrText>
          </w:r>
          <w:r>
            <w:rPr>
              <w:highlight w:val="none"/>
            </w:rPr>
            <w:fldChar w:fldCharType="separate"/>
          </w:r>
          <w:r>
            <w:rPr>
              <w:rFonts w:hint="eastAsia" w:ascii="宋体" w:hAnsi="宋体" w:eastAsia="宋体" w:cs="宋体"/>
              <w:spacing w:val="-7"/>
              <w:szCs w:val="24"/>
              <w:highlight w:val="none"/>
            </w:rPr>
            <w:t>附件四中标通知书</w:t>
          </w:r>
          <w:r>
            <w:tab/>
          </w:r>
          <w:r>
            <w:fldChar w:fldCharType="begin"/>
          </w:r>
          <w:r>
            <w:instrText xml:space="preserve"> PAGEREF _Toc2508 \h </w:instrText>
          </w:r>
          <w:r>
            <w:fldChar w:fldCharType="separate"/>
          </w:r>
          <w:r>
            <w:t>67</w:t>
          </w:r>
          <w:r>
            <w:fldChar w:fldCharType="end"/>
          </w:r>
          <w:r>
            <w:rPr>
              <w:color w:val="auto"/>
              <w:highlight w:val="none"/>
            </w:rPr>
            <w:fldChar w:fldCharType="end"/>
          </w:r>
        </w:p>
        <w:p w14:paraId="7848B7C6">
          <w:pPr>
            <w:pStyle w:val="8"/>
            <w:tabs>
              <w:tab w:val="right" w:leader="dot" w:pos="8831"/>
            </w:tabs>
          </w:pPr>
          <w:r>
            <w:rPr>
              <w:color w:val="auto"/>
              <w:highlight w:val="none"/>
            </w:rPr>
            <w:fldChar w:fldCharType="begin"/>
          </w:r>
          <w:r>
            <w:rPr>
              <w:highlight w:val="none"/>
            </w:rPr>
            <w:instrText xml:space="preserve"> HYPERLINK \l _Toc8728 </w:instrText>
          </w:r>
          <w:r>
            <w:rPr>
              <w:highlight w:val="none"/>
            </w:rPr>
            <w:fldChar w:fldCharType="separate"/>
          </w:r>
          <w:r>
            <w:rPr>
              <w:rFonts w:hint="eastAsia" w:ascii="宋体" w:hAnsi="宋体" w:eastAsia="宋体" w:cs="宋体"/>
              <w:spacing w:val="-6"/>
              <w:szCs w:val="24"/>
              <w:highlight w:val="none"/>
            </w:rPr>
            <w:t>附件五中标结果通知书</w:t>
          </w:r>
          <w:r>
            <w:tab/>
          </w:r>
          <w:r>
            <w:fldChar w:fldCharType="begin"/>
          </w:r>
          <w:r>
            <w:instrText xml:space="preserve"> PAGEREF _Toc8728 \h </w:instrText>
          </w:r>
          <w:r>
            <w:fldChar w:fldCharType="separate"/>
          </w:r>
          <w:r>
            <w:t>68</w:t>
          </w:r>
          <w:r>
            <w:fldChar w:fldCharType="end"/>
          </w:r>
          <w:r>
            <w:rPr>
              <w:color w:val="auto"/>
              <w:highlight w:val="none"/>
            </w:rPr>
            <w:fldChar w:fldCharType="end"/>
          </w:r>
        </w:p>
        <w:p w14:paraId="2F2FD89C">
          <w:pPr>
            <w:pStyle w:val="7"/>
            <w:tabs>
              <w:tab w:val="right" w:leader="dot" w:pos="8831"/>
            </w:tabs>
          </w:pPr>
          <w:r>
            <w:rPr>
              <w:color w:val="auto"/>
              <w:highlight w:val="none"/>
            </w:rPr>
            <w:fldChar w:fldCharType="begin"/>
          </w:r>
          <w:r>
            <w:rPr>
              <w:highlight w:val="none"/>
            </w:rPr>
            <w:instrText xml:space="preserve"> HYPERLINK \l _Toc29115 </w:instrText>
          </w:r>
          <w:r>
            <w:rPr>
              <w:highlight w:val="none"/>
            </w:rPr>
            <w:fldChar w:fldCharType="separate"/>
          </w:r>
          <w:r>
            <w:rPr>
              <w:rFonts w:hint="eastAsia" w:ascii="宋体" w:hAnsi="宋体" w:eastAsia="宋体" w:cs="宋体"/>
              <w:bCs/>
              <w:spacing w:val="5"/>
              <w:szCs w:val="43"/>
              <w:highlight w:val="none"/>
            </w:rPr>
            <w:t>第三章评标办法（技术评分最低标价法）</w:t>
          </w:r>
          <w:r>
            <w:tab/>
          </w:r>
          <w:r>
            <w:fldChar w:fldCharType="begin"/>
          </w:r>
          <w:r>
            <w:instrText xml:space="preserve"> PAGEREF _Toc29115 \h </w:instrText>
          </w:r>
          <w:r>
            <w:fldChar w:fldCharType="separate"/>
          </w:r>
          <w:r>
            <w:t>70</w:t>
          </w:r>
          <w:r>
            <w:fldChar w:fldCharType="end"/>
          </w:r>
          <w:r>
            <w:rPr>
              <w:color w:val="auto"/>
              <w:highlight w:val="none"/>
            </w:rPr>
            <w:fldChar w:fldCharType="end"/>
          </w:r>
        </w:p>
        <w:p w14:paraId="38586F89">
          <w:pPr>
            <w:pStyle w:val="8"/>
            <w:tabs>
              <w:tab w:val="right" w:leader="dot" w:pos="8831"/>
            </w:tabs>
          </w:pPr>
          <w:r>
            <w:rPr>
              <w:color w:val="auto"/>
              <w:highlight w:val="none"/>
            </w:rPr>
            <w:fldChar w:fldCharType="begin"/>
          </w:r>
          <w:r>
            <w:rPr>
              <w:highlight w:val="none"/>
            </w:rPr>
            <w:instrText xml:space="preserve"> HYPERLINK \l _Toc1449 </w:instrText>
          </w:r>
          <w:r>
            <w:rPr>
              <w:highlight w:val="none"/>
            </w:rPr>
            <w:fldChar w:fldCharType="separate"/>
          </w:r>
          <w:r>
            <w:rPr>
              <w:rFonts w:hint="eastAsia" w:ascii="宋体" w:hAnsi="宋体" w:eastAsia="宋体" w:cs="宋体"/>
              <w:bCs/>
              <w:spacing w:val="6"/>
              <w:position w:val="2"/>
              <w:szCs w:val="31"/>
              <w:highlight w:val="none"/>
            </w:rPr>
            <w:t>评标办法前附表①</w:t>
          </w:r>
          <w:r>
            <w:tab/>
          </w:r>
          <w:r>
            <w:fldChar w:fldCharType="begin"/>
          </w:r>
          <w:r>
            <w:instrText xml:space="preserve"> PAGEREF _Toc1449 \h </w:instrText>
          </w:r>
          <w:r>
            <w:fldChar w:fldCharType="separate"/>
          </w:r>
          <w:r>
            <w:t>70</w:t>
          </w:r>
          <w:r>
            <w:fldChar w:fldCharType="end"/>
          </w:r>
          <w:r>
            <w:rPr>
              <w:color w:val="auto"/>
              <w:highlight w:val="none"/>
            </w:rPr>
            <w:fldChar w:fldCharType="end"/>
          </w:r>
        </w:p>
        <w:p w14:paraId="23D5CC36">
          <w:pPr>
            <w:pStyle w:val="5"/>
            <w:tabs>
              <w:tab w:val="right" w:leader="dot" w:pos="8831"/>
            </w:tabs>
          </w:pPr>
          <w:r>
            <w:rPr>
              <w:color w:val="auto"/>
              <w:highlight w:val="none"/>
            </w:rPr>
            <w:fldChar w:fldCharType="begin"/>
          </w:r>
          <w:r>
            <w:rPr>
              <w:highlight w:val="none"/>
            </w:rPr>
            <w:instrText xml:space="preserve"> HYPERLINK \l _Toc7179 </w:instrText>
          </w:r>
          <w:r>
            <w:rPr>
              <w:highlight w:val="none"/>
            </w:rPr>
            <w:fldChar w:fldCharType="separate"/>
          </w:r>
          <w:r>
            <w:rPr>
              <w:rFonts w:hint="eastAsia" w:ascii="宋体" w:hAnsi="宋体" w:eastAsia="宋体" w:cs="宋体"/>
              <w:bCs/>
              <w:spacing w:val="-7"/>
              <w:szCs w:val="28"/>
              <w:highlight w:val="none"/>
            </w:rPr>
            <w:t>1.评标方法</w:t>
          </w:r>
          <w:r>
            <w:tab/>
          </w:r>
          <w:r>
            <w:fldChar w:fldCharType="begin"/>
          </w:r>
          <w:r>
            <w:instrText xml:space="preserve"> PAGEREF _Toc7179 \h </w:instrText>
          </w:r>
          <w:r>
            <w:fldChar w:fldCharType="separate"/>
          </w:r>
          <w:r>
            <w:t>81</w:t>
          </w:r>
          <w:r>
            <w:fldChar w:fldCharType="end"/>
          </w:r>
          <w:r>
            <w:rPr>
              <w:color w:val="auto"/>
              <w:highlight w:val="none"/>
            </w:rPr>
            <w:fldChar w:fldCharType="end"/>
          </w:r>
        </w:p>
        <w:p w14:paraId="71DCB3B8">
          <w:pPr>
            <w:pStyle w:val="5"/>
            <w:tabs>
              <w:tab w:val="right" w:leader="dot" w:pos="8831"/>
            </w:tabs>
          </w:pPr>
          <w:r>
            <w:rPr>
              <w:color w:val="auto"/>
              <w:highlight w:val="none"/>
            </w:rPr>
            <w:fldChar w:fldCharType="begin"/>
          </w:r>
          <w:r>
            <w:rPr>
              <w:highlight w:val="none"/>
            </w:rPr>
            <w:instrText xml:space="preserve"> HYPERLINK \l _Toc4691 </w:instrText>
          </w:r>
          <w:r>
            <w:rPr>
              <w:highlight w:val="none"/>
            </w:rPr>
            <w:fldChar w:fldCharType="separate"/>
          </w:r>
          <w:r>
            <w:rPr>
              <w:rFonts w:hint="eastAsia" w:ascii="宋体" w:hAnsi="宋体" w:eastAsia="宋体" w:cs="宋体"/>
              <w:bCs/>
              <w:spacing w:val="-5"/>
              <w:szCs w:val="28"/>
              <w:highlight w:val="none"/>
            </w:rPr>
            <w:t>2.评审标准</w:t>
          </w:r>
          <w:r>
            <w:tab/>
          </w:r>
          <w:r>
            <w:fldChar w:fldCharType="begin"/>
          </w:r>
          <w:r>
            <w:instrText xml:space="preserve"> PAGEREF _Toc4691 \h </w:instrText>
          </w:r>
          <w:r>
            <w:fldChar w:fldCharType="separate"/>
          </w:r>
          <w:r>
            <w:t>81</w:t>
          </w:r>
          <w:r>
            <w:fldChar w:fldCharType="end"/>
          </w:r>
          <w:r>
            <w:rPr>
              <w:color w:val="auto"/>
              <w:highlight w:val="none"/>
            </w:rPr>
            <w:fldChar w:fldCharType="end"/>
          </w:r>
        </w:p>
        <w:p w14:paraId="1ED521CD">
          <w:pPr>
            <w:pStyle w:val="5"/>
            <w:tabs>
              <w:tab w:val="right" w:leader="dot" w:pos="8831"/>
            </w:tabs>
          </w:pPr>
          <w:r>
            <w:rPr>
              <w:color w:val="auto"/>
              <w:highlight w:val="none"/>
            </w:rPr>
            <w:fldChar w:fldCharType="begin"/>
          </w:r>
          <w:r>
            <w:rPr>
              <w:highlight w:val="none"/>
            </w:rPr>
            <w:instrText xml:space="preserve"> HYPERLINK \l _Toc13152 </w:instrText>
          </w:r>
          <w:r>
            <w:rPr>
              <w:highlight w:val="none"/>
            </w:rPr>
            <w:fldChar w:fldCharType="separate"/>
          </w:r>
          <w:r>
            <w:rPr>
              <w:rFonts w:hint="eastAsia" w:ascii="宋体" w:hAnsi="宋体" w:eastAsia="宋体" w:cs="宋体"/>
              <w:bCs/>
              <w:spacing w:val="-5"/>
              <w:szCs w:val="28"/>
              <w:highlight w:val="none"/>
            </w:rPr>
            <w:t>3.评标程序</w:t>
          </w:r>
          <w:r>
            <w:tab/>
          </w:r>
          <w:r>
            <w:fldChar w:fldCharType="begin"/>
          </w:r>
          <w:r>
            <w:instrText xml:space="preserve"> PAGEREF _Toc13152 \h </w:instrText>
          </w:r>
          <w:r>
            <w:fldChar w:fldCharType="separate"/>
          </w:r>
          <w:r>
            <w:t>81</w:t>
          </w:r>
          <w:r>
            <w:fldChar w:fldCharType="end"/>
          </w:r>
          <w:r>
            <w:rPr>
              <w:color w:val="auto"/>
              <w:highlight w:val="none"/>
            </w:rPr>
            <w:fldChar w:fldCharType="end"/>
          </w:r>
        </w:p>
        <w:p w14:paraId="3F557FFE">
          <w:pPr>
            <w:pStyle w:val="7"/>
            <w:tabs>
              <w:tab w:val="right" w:leader="dot" w:pos="8831"/>
            </w:tabs>
          </w:pPr>
          <w:r>
            <w:rPr>
              <w:color w:val="auto"/>
              <w:highlight w:val="none"/>
            </w:rPr>
            <w:fldChar w:fldCharType="begin"/>
          </w:r>
          <w:r>
            <w:rPr>
              <w:highlight w:val="none"/>
            </w:rPr>
            <w:instrText xml:space="preserve"> HYPERLINK \l _Toc30873 </w:instrText>
          </w:r>
          <w:r>
            <w:rPr>
              <w:highlight w:val="none"/>
            </w:rPr>
            <w:fldChar w:fldCharType="separate"/>
          </w:r>
          <w:r>
            <w:rPr>
              <w:rFonts w:hint="eastAsia" w:ascii="宋体" w:hAnsi="宋体" w:eastAsia="宋体" w:cs="宋体"/>
              <w:bCs/>
              <w:spacing w:val="5"/>
              <w:szCs w:val="43"/>
              <w:highlight w:val="none"/>
            </w:rPr>
            <w:t>第四章合同条款及格式</w:t>
          </w:r>
          <w:r>
            <w:tab/>
          </w:r>
          <w:r>
            <w:fldChar w:fldCharType="begin"/>
          </w:r>
          <w:r>
            <w:instrText xml:space="preserve"> PAGEREF _Toc30873 \h </w:instrText>
          </w:r>
          <w:r>
            <w:fldChar w:fldCharType="separate"/>
          </w:r>
          <w:r>
            <w:t>87</w:t>
          </w:r>
          <w:r>
            <w:fldChar w:fldCharType="end"/>
          </w:r>
          <w:r>
            <w:rPr>
              <w:color w:val="auto"/>
              <w:highlight w:val="none"/>
            </w:rPr>
            <w:fldChar w:fldCharType="end"/>
          </w:r>
        </w:p>
        <w:p w14:paraId="3D19884F">
          <w:pPr>
            <w:pStyle w:val="8"/>
            <w:tabs>
              <w:tab w:val="right" w:leader="dot" w:pos="8831"/>
            </w:tabs>
          </w:pPr>
          <w:r>
            <w:rPr>
              <w:color w:val="auto"/>
              <w:highlight w:val="none"/>
            </w:rPr>
            <w:fldChar w:fldCharType="begin"/>
          </w:r>
          <w:r>
            <w:rPr>
              <w:highlight w:val="none"/>
            </w:rPr>
            <w:instrText xml:space="preserve"> HYPERLINK \l _Toc16995 </w:instrText>
          </w:r>
          <w:r>
            <w:rPr>
              <w:highlight w:val="none"/>
            </w:rPr>
            <w:fldChar w:fldCharType="separate"/>
          </w:r>
          <w:r>
            <w:rPr>
              <w:rFonts w:hint="eastAsia" w:ascii="宋体" w:hAnsi="宋体" w:eastAsia="宋体" w:cs="宋体"/>
              <w:bCs/>
              <w:spacing w:val="4"/>
              <w:szCs w:val="43"/>
              <w:highlight w:val="none"/>
            </w:rPr>
            <w:t>第一节通用合同条款</w:t>
          </w:r>
          <w:r>
            <w:rPr>
              <w:rFonts w:hint="eastAsia" w:ascii="宋体" w:hAnsi="宋体" w:eastAsia="宋体" w:cs="宋体"/>
              <w:bCs/>
              <w:spacing w:val="4"/>
              <w:position w:val="15"/>
              <w:szCs w:val="16"/>
              <w:highlight w:val="none"/>
            </w:rPr>
            <w:t>①</w:t>
          </w:r>
          <w:r>
            <w:tab/>
          </w:r>
          <w:r>
            <w:fldChar w:fldCharType="begin"/>
          </w:r>
          <w:r>
            <w:instrText xml:space="preserve"> PAGEREF _Toc16995 \h </w:instrText>
          </w:r>
          <w:r>
            <w:fldChar w:fldCharType="separate"/>
          </w:r>
          <w:r>
            <w:t>88</w:t>
          </w:r>
          <w:r>
            <w:fldChar w:fldCharType="end"/>
          </w:r>
          <w:r>
            <w:rPr>
              <w:color w:val="auto"/>
              <w:highlight w:val="none"/>
            </w:rPr>
            <w:fldChar w:fldCharType="end"/>
          </w:r>
        </w:p>
        <w:p w14:paraId="6D18CADB">
          <w:pPr>
            <w:pStyle w:val="5"/>
            <w:tabs>
              <w:tab w:val="right" w:leader="dot" w:pos="8831"/>
            </w:tabs>
          </w:pPr>
          <w:r>
            <w:rPr>
              <w:color w:val="auto"/>
              <w:highlight w:val="none"/>
            </w:rPr>
            <w:fldChar w:fldCharType="begin"/>
          </w:r>
          <w:r>
            <w:rPr>
              <w:highlight w:val="none"/>
            </w:rPr>
            <w:instrText xml:space="preserve"> HYPERLINK \l _Toc7491 </w:instrText>
          </w:r>
          <w:r>
            <w:rPr>
              <w:highlight w:val="none"/>
            </w:rPr>
            <w:fldChar w:fldCharType="separate"/>
          </w:r>
          <w:r>
            <w:rPr>
              <w:rFonts w:hint="eastAsia" w:ascii="宋体" w:hAnsi="宋体" w:eastAsia="宋体" w:cs="宋体"/>
              <w:spacing w:val="-1"/>
              <w:szCs w:val="28"/>
              <w:highlight w:val="none"/>
            </w:rPr>
            <w:t>2.发包人义务</w:t>
          </w:r>
          <w:r>
            <w:tab/>
          </w:r>
          <w:r>
            <w:fldChar w:fldCharType="begin"/>
          </w:r>
          <w:r>
            <w:instrText xml:space="preserve"> PAGEREF _Toc7491 \h </w:instrText>
          </w:r>
          <w:r>
            <w:fldChar w:fldCharType="separate"/>
          </w:r>
          <w:r>
            <w:t>94</w:t>
          </w:r>
          <w:r>
            <w:fldChar w:fldCharType="end"/>
          </w:r>
          <w:r>
            <w:rPr>
              <w:color w:val="auto"/>
              <w:highlight w:val="none"/>
            </w:rPr>
            <w:fldChar w:fldCharType="end"/>
          </w:r>
        </w:p>
        <w:p w14:paraId="7BE9C2BC">
          <w:pPr>
            <w:pStyle w:val="5"/>
            <w:tabs>
              <w:tab w:val="right" w:leader="dot" w:pos="8831"/>
            </w:tabs>
          </w:pPr>
          <w:r>
            <w:rPr>
              <w:color w:val="auto"/>
              <w:highlight w:val="none"/>
            </w:rPr>
            <w:fldChar w:fldCharType="begin"/>
          </w:r>
          <w:r>
            <w:rPr>
              <w:highlight w:val="none"/>
            </w:rPr>
            <w:instrText xml:space="preserve"> HYPERLINK \l _Toc26201 </w:instrText>
          </w:r>
          <w:r>
            <w:rPr>
              <w:highlight w:val="none"/>
            </w:rPr>
            <w:fldChar w:fldCharType="separate"/>
          </w:r>
          <w:r>
            <w:rPr>
              <w:rFonts w:hint="eastAsia" w:ascii="宋体" w:hAnsi="宋体" w:eastAsia="宋体" w:cs="宋体"/>
              <w:spacing w:val="-4"/>
              <w:szCs w:val="28"/>
              <w:highlight w:val="none"/>
            </w:rPr>
            <w:t>3.监理人</w:t>
          </w:r>
          <w:r>
            <w:tab/>
          </w:r>
          <w:r>
            <w:fldChar w:fldCharType="begin"/>
          </w:r>
          <w:r>
            <w:instrText xml:space="preserve"> PAGEREF _Toc26201 \h </w:instrText>
          </w:r>
          <w:r>
            <w:fldChar w:fldCharType="separate"/>
          </w:r>
          <w:r>
            <w:t>95</w:t>
          </w:r>
          <w:r>
            <w:fldChar w:fldCharType="end"/>
          </w:r>
          <w:r>
            <w:rPr>
              <w:color w:val="auto"/>
              <w:highlight w:val="none"/>
            </w:rPr>
            <w:fldChar w:fldCharType="end"/>
          </w:r>
        </w:p>
        <w:p w14:paraId="5C9C030D">
          <w:pPr>
            <w:pStyle w:val="5"/>
            <w:tabs>
              <w:tab w:val="right" w:leader="dot" w:pos="8831"/>
            </w:tabs>
          </w:pPr>
          <w:r>
            <w:rPr>
              <w:color w:val="auto"/>
              <w:highlight w:val="none"/>
            </w:rPr>
            <w:fldChar w:fldCharType="begin"/>
          </w:r>
          <w:r>
            <w:rPr>
              <w:highlight w:val="none"/>
            </w:rPr>
            <w:instrText xml:space="preserve"> HYPERLINK \l _Toc22795 </w:instrText>
          </w:r>
          <w:r>
            <w:rPr>
              <w:highlight w:val="none"/>
            </w:rPr>
            <w:fldChar w:fldCharType="separate"/>
          </w:r>
          <w:r>
            <w:rPr>
              <w:rFonts w:hint="eastAsia" w:ascii="宋体" w:hAnsi="宋体" w:eastAsia="宋体" w:cs="宋体"/>
              <w:spacing w:val="-1"/>
              <w:szCs w:val="28"/>
              <w:highlight w:val="none"/>
            </w:rPr>
            <w:t>4.承包人</w:t>
          </w:r>
          <w:r>
            <w:tab/>
          </w:r>
          <w:r>
            <w:fldChar w:fldCharType="begin"/>
          </w:r>
          <w:r>
            <w:instrText xml:space="preserve"> PAGEREF _Toc22795 \h </w:instrText>
          </w:r>
          <w:r>
            <w:fldChar w:fldCharType="separate"/>
          </w:r>
          <w:r>
            <w:t>97</w:t>
          </w:r>
          <w:r>
            <w:fldChar w:fldCharType="end"/>
          </w:r>
          <w:r>
            <w:rPr>
              <w:color w:val="auto"/>
              <w:highlight w:val="none"/>
            </w:rPr>
            <w:fldChar w:fldCharType="end"/>
          </w:r>
        </w:p>
        <w:p w14:paraId="5BE0B8DA">
          <w:pPr>
            <w:pStyle w:val="5"/>
            <w:tabs>
              <w:tab w:val="right" w:leader="dot" w:pos="8831"/>
            </w:tabs>
          </w:pPr>
          <w:r>
            <w:rPr>
              <w:color w:val="auto"/>
              <w:highlight w:val="none"/>
            </w:rPr>
            <w:fldChar w:fldCharType="begin"/>
          </w:r>
          <w:r>
            <w:rPr>
              <w:highlight w:val="none"/>
            </w:rPr>
            <w:instrText xml:space="preserve"> HYPERLINK \l _Toc13867 </w:instrText>
          </w:r>
          <w:r>
            <w:rPr>
              <w:highlight w:val="none"/>
            </w:rPr>
            <w:fldChar w:fldCharType="separate"/>
          </w:r>
          <w:r>
            <w:rPr>
              <w:rFonts w:hint="eastAsia" w:ascii="宋体" w:hAnsi="宋体" w:eastAsia="宋体" w:cs="宋体"/>
              <w:spacing w:val="-2"/>
              <w:szCs w:val="28"/>
              <w:highlight w:val="none"/>
            </w:rPr>
            <w:t>5.材料和工程设备</w:t>
          </w:r>
          <w:r>
            <w:tab/>
          </w:r>
          <w:r>
            <w:fldChar w:fldCharType="begin"/>
          </w:r>
          <w:r>
            <w:instrText xml:space="preserve"> PAGEREF _Toc13867 \h </w:instrText>
          </w:r>
          <w:r>
            <w:fldChar w:fldCharType="separate"/>
          </w:r>
          <w:r>
            <w:t>101</w:t>
          </w:r>
          <w:r>
            <w:fldChar w:fldCharType="end"/>
          </w:r>
          <w:r>
            <w:rPr>
              <w:color w:val="auto"/>
              <w:highlight w:val="none"/>
            </w:rPr>
            <w:fldChar w:fldCharType="end"/>
          </w:r>
        </w:p>
        <w:p w14:paraId="6725C8EE">
          <w:pPr>
            <w:pStyle w:val="5"/>
            <w:tabs>
              <w:tab w:val="right" w:leader="dot" w:pos="8831"/>
            </w:tabs>
          </w:pPr>
          <w:r>
            <w:rPr>
              <w:color w:val="auto"/>
              <w:highlight w:val="none"/>
            </w:rPr>
            <w:fldChar w:fldCharType="begin"/>
          </w:r>
          <w:r>
            <w:rPr>
              <w:highlight w:val="none"/>
            </w:rPr>
            <w:instrText xml:space="preserve"> HYPERLINK \l _Toc5956 </w:instrText>
          </w:r>
          <w:r>
            <w:rPr>
              <w:highlight w:val="none"/>
            </w:rPr>
            <w:fldChar w:fldCharType="separate"/>
          </w:r>
          <w:r>
            <w:rPr>
              <w:rFonts w:hint="eastAsia" w:ascii="宋体" w:hAnsi="宋体" w:eastAsia="宋体" w:cs="宋体"/>
              <w:spacing w:val="-1"/>
              <w:szCs w:val="28"/>
              <w:highlight w:val="none"/>
            </w:rPr>
            <w:t>6.施工设备和临时设施</w:t>
          </w:r>
          <w:r>
            <w:tab/>
          </w:r>
          <w:r>
            <w:fldChar w:fldCharType="begin"/>
          </w:r>
          <w:r>
            <w:instrText xml:space="preserve"> PAGEREF _Toc5956 \h </w:instrText>
          </w:r>
          <w:r>
            <w:fldChar w:fldCharType="separate"/>
          </w:r>
          <w:r>
            <w:t>102</w:t>
          </w:r>
          <w:r>
            <w:fldChar w:fldCharType="end"/>
          </w:r>
          <w:r>
            <w:rPr>
              <w:color w:val="auto"/>
              <w:highlight w:val="none"/>
            </w:rPr>
            <w:fldChar w:fldCharType="end"/>
          </w:r>
        </w:p>
        <w:p w14:paraId="4D321984">
          <w:pPr>
            <w:pStyle w:val="5"/>
            <w:tabs>
              <w:tab w:val="right" w:leader="dot" w:pos="8831"/>
            </w:tabs>
          </w:pPr>
          <w:r>
            <w:rPr>
              <w:color w:val="auto"/>
              <w:highlight w:val="none"/>
            </w:rPr>
            <w:fldChar w:fldCharType="begin"/>
          </w:r>
          <w:r>
            <w:rPr>
              <w:highlight w:val="none"/>
            </w:rPr>
            <w:instrText xml:space="preserve"> HYPERLINK \l _Toc31295 </w:instrText>
          </w:r>
          <w:r>
            <w:rPr>
              <w:highlight w:val="none"/>
            </w:rPr>
            <w:fldChar w:fldCharType="separate"/>
          </w:r>
          <w:r>
            <w:rPr>
              <w:rFonts w:hint="eastAsia" w:ascii="宋体" w:hAnsi="宋体" w:eastAsia="宋体" w:cs="宋体"/>
              <w:spacing w:val="-5"/>
              <w:szCs w:val="28"/>
              <w:highlight w:val="none"/>
            </w:rPr>
            <w:t>7.交通运输</w:t>
          </w:r>
          <w:r>
            <w:tab/>
          </w:r>
          <w:r>
            <w:fldChar w:fldCharType="begin"/>
          </w:r>
          <w:r>
            <w:instrText xml:space="preserve"> PAGEREF _Toc31295 \h </w:instrText>
          </w:r>
          <w:r>
            <w:fldChar w:fldCharType="separate"/>
          </w:r>
          <w:r>
            <w:t>103</w:t>
          </w:r>
          <w:r>
            <w:fldChar w:fldCharType="end"/>
          </w:r>
          <w:r>
            <w:rPr>
              <w:color w:val="auto"/>
              <w:highlight w:val="none"/>
            </w:rPr>
            <w:fldChar w:fldCharType="end"/>
          </w:r>
        </w:p>
        <w:p w14:paraId="761D63EE">
          <w:pPr>
            <w:pStyle w:val="5"/>
            <w:tabs>
              <w:tab w:val="right" w:leader="dot" w:pos="8831"/>
            </w:tabs>
          </w:pPr>
          <w:r>
            <w:rPr>
              <w:color w:val="auto"/>
              <w:highlight w:val="none"/>
            </w:rPr>
            <w:fldChar w:fldCharType="begin"/>
          </w:r>
          <w:r>
            <w:rPr>
              <w:highlight w:val="none"/>
            </w:rPr>
            <w:instrText xml:space="preserve"> HYPERLINK \l _Toc12136 </w:instrText>
          </w:r>
          <w:r>
            <w:rPr>
              <w:highlight w:val="none"/>
            </w:rPr>
            <w:fldChar w:fldCharType="separate"/>
          </w:r>
          <w:r>
            <w:rPr>
              <w:rFonts w:hint="eastAsia" w:ascii="宋体" w:hAnsi="宋体" w:eastAsia="宋体" w:cs="宋体"/>
              <w:spacing w:val="-2"/>
              <w:szCs w:val="28"/>
              <w:highlight w:val="none"/>
            </w:rPr>
            <w:t>8.测量放线</w:t>
          </w:r>
          <w:r>
            <w:tab/>
          </w:r>
          <w:r>
            <w:fldChar w:fldCharType="begin"/>
          </w:r>
          <w:r>
            <w:instrText xml:space="preserve"> PAGEREF _Toc12136 \h </w:instrText>
          </w:r>
          <w:r>
            <w:fldChar w:fldCharType="separate"/>
          </w:r>
          <w:r>
            <w:t>104</w:t>
          </w:r>
          <w:r>
            <w:fldChar w:fldCharType="end"/>
          </w:r>
          <w:r>
            <w:rPr>
              <w:color w:val="auto"/>
              <w:highlight w:val="none"/>
            </w:rPr>
            <w:fldChar w:fldCharType="end"/>
          </w:r>
        </w:p>
        <w:p w14:paraId="47592F19">
          <w:pPr>
            <w:pStyle w:val="5"/>
            <w:tabs>
              <w:tab w:val="right" w:leader="dot" w:pos="8831"/>
            </w:tabs>
          </w:pPr>
          <w:r>
            <w:rPr>
              <w:color w:val="auto"/>
              <w:highlight w:val="none"/>
            </w:rPr>
            <w:fldChar w:fldCharType="begin"/>
          </w:r>
          <w:r>
            <w:rPr>
              <w:highlight w:val="none"/>
            </w:rPr>
            <w:instrText xml:space="preserve"> HYPERLINK \l _Toc25296 </w:instrText>
          </w:r>
          <w:r>
            <w:rPr>
              <w:highlight w:val="none"/>
            </w:rPr>
            <w:fldChar w:fldCharType="separate"/>
          </w:r>
          <w:r>
            <w:rPr>
              <w:rFonts w:hint="eastAsia" w:ascii="宋体" w:hAnsi="宋体" w:eastAsia="宋体" w:cs="宋体"/>
              <w:spacing w:val="-1"/>
              <w:szCs w:val="28"/>
              <w:highlight w:val="none"/>
            </w:rPr>
            <w:t>9.施工安全、治安保卫和环境保护</w:t>
          </w:r>
          <w:r>
            <w:tab/>
          </w:r>
          <w:r>
            <w:fldChar w:fldCharType="begin"/>
          </w:r>
          <w:r>
            <w:instrText xml:space="preserve"> PAGEREF _Toc25296 \h </w:instrText>
          </w:r>
          <w:r>
            <w:fldChar w:fldCharType="separate"/>
          </w:r>
          <w:r>
            <w:t>104</w:t>
          </w:r>
          <w:r>
            <w:fldChar w:fldCharType="end"/>
          </w:r>
          <w:r>
            <w:rPr>
              <w:color w:val="auto"/>
              <w:highlight w:val="none"/>
            </w:rPr>
            <w:fldChar w:fldCharType="end"/>
          </w:r>
        </w:p>
        <w:p w14:paraId="00297CB3">
          <w:pPr>
            <w:pStyle w:val="5"/>
            <w:tabs>
              <w:tab w:val="right" w:leader="dot" w:pos="8831"/>
            </w:tabs>
          </w:pPr>
          <w:r>
            <w:rPr>
              <w:color w:val="auto"/>
              <w:highlight w:val="none"/>
            </w:rPr>
            <w:fldChar w:fldCharType="begin"/>
          </w:r>
          <w:r>
            <w:rPr>
              <w:highlight w:val="none"/>
            </w:rPr>
            <w:instrText xml:space="preserve"> HYPERLINK \l _Toc18527 </w:instrText>
          </w:r>
          <w:r>
            <w:rPr>
              <w:highlight w:val="none"/>
            </w:rPr>
            <w:fldChar w:fldCharType="separate"/>
          </w:r>
          <w:r>
            <w:rPr>
              <w:rFonts w:hint="eastAsia" w:ascii="宋体" w:hAnsi="宋体" w:eastAsia="宋体" w:cs="宋体"/>
              <w:spacing w:val="-4"/>
              <w:szCs w:val="28"/>
              <w:highlight w:val="none"/>
            </w:rPr>
            <w:t>10.进度计划</w:t>
          </w:r>
          <w:r>
            <w:tab/>
          </w:r>
          <w:r>
            <w:fldChar w:fldCharType="begin"/>
          </w:r>
          <w:r>
            <w:instrText xml:space="preserve"> PAGEREF _Toc18527 \h </w:instrText>
          </w:r>
          <w:r>
            <w:fldChar w:fldCharType="separate"/>
          </w:r>
          <w:r>
            <w:t>106</w:t>
          </w:r>
          <w:r>
            <w:fldChar w:fldCharType="end"/>
          </w:r>
          <w:r>
            <w:rPr>
              <w:color w:val="auto"/>
              <w:highlight w:val="none"/>
            </w:rPr>
            <w:fldChar w:fldCharType="end"/>
          </w:r>
        </w:p>
        <w:p w14:paraId="32AC9975">
          <w:pPr>
            <w:pStyle w:val="5"/>
            <w:tabs>
              <w:tab w:val="right" w:leader="dot" w:pos="8831"/>
            </w:tabs>
          </w:pPr>
          <w:r>
            <w:rPr>
              <w:color w:val="auto"/>
              <w:highlight w:val="none"/>
            </w:rPr>
            <w:fldChar w:fldCharType="begin"/>
          </w:r>
          <w:r>
            <w:rPr>
              <w:highlight w:val="none"/>
            </w:rPr>
            <w:instrText xml:space="preserve"> HYPERLINK \l _Toc28431 </w:instrText>
          </w:r>
          <w:r>
            <w:rPr>
              <w:highlight w:val="none"/>
            </w:rPr>
            <w:fldChar w:fldCharType="separate"/>
          </w:r>
          <w:r>
            <w:rPr>
              <w:rFonts w:hint="eastAsia" w:ascii="宋体" w:hAnsi="宋体" w:eastAsia="宋体" w:cs="宋体"/>
              <w:spacing w:val="-6"/>
              <w:szCs w:val="28"/>
              <w:highlight w:val="none"/>
            </w:rPr>
            <w:t>11.开工和竣工</w:t>
          </w:r>
          <w:r>
            <w:tab/>
          </w:r>
          <w:r>
            <w:fldChar w:fldCharType="begin"/>
          </w:r>
          <w:r>
            <w:instrText xml:space="preserve"> PAGEREF _Toc28431 \h </w:instrText>
          </w:r>
          <w:r>
            <w:fldChar w:fldCharType="separate"/>
          </w:r>
          <w:r>
            <w:t>107</w:t>
          </w:r>
          <w:r>
            <w:fldChar w:fldCharType="end"/>
          </w:r>
          <w:r>
            <w:rPr>
              <w:color w:val="auto"/>
              <w:highlight w:val="none"/>
            </w:rPr>
            <w:fldChar w:fldCharType="end"/>
          </w:r>
        </w:p>
        <w:p w14:paraId="52141CF9">
          <w:pPr>
            <w:pStyle w:val="5"/>
            <w:tabs>
              <w:tab w:val="right" w:leader="dot" w:pos="8831"/>
            </w:tabs>
          </w:pPr>
          <w:r>
            <w:rPr>
              <w:color w:val="auto"/>
              <w:highlight w:val="none"/>
            </w:rPr>
            <w:fldChar w:fldCharType="begin"/>
          </w:r>
          <w:r>
            <w:rPr>
              <w:highlight w:val="none"/>
            </w:rPr>
            <w:instrText xml:space="preserve"> HYPERLINK \l _Toc12500 </w:instrText>
          </w:r>
          <w:r>
            <w:rPr>
              <w:highlight w:val="none"/>
            </w:rPr>
            <w:fldChar w:fldCharType="separate"/>
          </w:r>
          <w:r>
            <w:rPr>
              <w:rFonts w:hint="eastAsia" w:ascii="宋体" w:hAnsi="宋体" w:eastAsia="宋体" w:cs="宋体"/>
              <w:spacing w:val="-8"/>
              <w:szCs w:val="28"/>
              <w:highlight w:val="none"/>
            </w:rPr>
            <w:t>12.暂停施工</w:t>
          </w:r>
          <w:r>
            <w:tab/>
          </w:r>
          <w:r>
            <w:fldChar w:fldCharType="begin"/>
          </w:r>
          <w:r>
            <w:instrText xml:space="preserve"> PAGEREF _Toc12500 \h </w:instrText>
          </w:r>
          <w:r>
            <w:fldChar w:fldCharType="separate"/>
          </w:r>
          <w:r>
            <w:t>108</w:t>
          </w:r>
          <w:r>
            <w:fldChar w:fldCharType="end"/>
          </w:r>
          <w:r>
            <w:rPr>
              <w:color w:val="auto"/>
              <w:highlight w:val="none"/>
            </w:rPr>
            <w:fldChar w:fldCharType="end"/>
          </w:r>
        </w:p>
        <w:p w14:paraId="461233D5">
          <w:pPr>
            <w:pStyle w:val="5"/>
            <w:tabs>
              <w:tab w:val="right" w:leader="dot" w:pos="8831"/>
            </w:tabs>
          </w:pPr>
          <w:r>
            <w:rPr>
              <w:color w:val="auto"/>
              <w:highlight w:val="none"/>
            </w:rPr>
            <w:fldChar w:fldCharType="begin"/>
          </w:r>
          <w:r>
            <w:rPr>
              <w:highlight w:val="none"/>
            </w:rPr>
            <w:instrText xml:space="preserve"> HYPERLINK \l _Toc22069 </w:instrText>
          </w:r>
          <w:r>
            <w:rPr>
              <w:highlight w:val="none"/>
            </w:rPr>
            <w:fldChar w:fldCharType="separate"/>
          </w:r>
          <w:r>
            <w:rPr>
              <w:rFonts w:hint="eastAsia" w:ascii="宋体" w:hAnsi="宋体" w:eastAsia="宋体" w:cs="宋体"/>
              <w:spacing w:val="-7"/>
              <w:szCs w:val="28"/>
              <w:highlight w:val="none"/>
            </w:rPr>
            <w:t>13.工程质量</w:t>
          </w:r>
          <w:r>
            <w:tab/>
          </w:r>
          <w:r>
            <w:fldChar w:fldCharType="begin"/>
          </w:r>
          <w:r>
            <w:instrText xml:space="preserve"> PAGEREF _Toc22069 \h </w:instrText>
          </w:r>
          <w:r>
            <w:fldChar w:fldCharType="separate"/>
          </w:r>
          <w:r>
            <w:t>109</w:t>
          </w:r>
          <w:r>
            <w:fldChar w:fldCharType="end"/>
          </w:r>
          <w:r>
            <w:rPr>
              <w:color w:val="auto"/>
              <w:highlight w:val="none"/>
            </w:rPr>
            <w:fldChar w:fldCharType="end"/>
          </w:r>
        </w:p>
        <w:p w14:paraId="071496E9">
          <w:pPr>
            <w:pStyle w:val="5"/>
            <w:tabs>
              <w:tab w:val="right" w:leader="dot" w:pos="8831"/>
            </w:tabs>
          </w:pPr>
          <w:r>
            <w:rPr>
              <w:color w:val="auto"/>
              <w:highlight w:val="none"/>
            </w:rPr>
            <w:fldChar w:fldCharType="begin"/>
          </w:r>
          <w:r>
            <w:rPr>
              <w:highlight w:val="none"/>
            </w:rPr>
            <w:instrText xml:space="preserve"> HYPERLINK \l _Toc16756 </w:instrText>
          </w:r>
          <w:r>
            <w:rPr>
              <w:highlight w:val="none"/>
            </w:rPr>
            <w:fldChar w:fldCharType="separate"/>
          </w:r>
          <w:r>
            <w:rPr>
              <w:rFonts w:hint="eastAsia" w:ascii="宋体" w:hAnsi="宋体" w:eastAsia="宋体" w:cs="宋体"/>
              <w:spacing w:val="-4"/>
              <w:szCs w:val="28"/>
              <w:highlight w:val="none"/>
            </w:rPr>
            <w:t>14.试验和检验</w:t>
          </w:r>
          <w:r>
            <w:tab/>
          </w:r>
          <w:r>
            <w:fldChar w:fldCharType="begin"/>
          </w:r>
          <w:r>
            <w:instrText xml:space="preserve"> PAGEREF _Toc16756 \h </w:instrText>
          </w:r>
          <w:r>
            <w:fldChar w:fldCharType="separate"/>
          </w:r>
          <w:r>
            <w:t>111</w:t>
          </w:r>
          <w:r>
            <w:fldChar w:fldCharType="end"/>
          </w:r>
          <w:r>
            <w:rPr>
              <w:color w:val="auto"/>
              <w:highlight w:val="none"/>
            </w:rPr>
            <w:fldChar w:fldCharType="end"/>
          </w:r>
        </w:p>
        <w:p w14:paraId="13C289B3">
          <w:pPr>
            <w:pStyle w:val="5"/>
            <w:tabs>
              <w:tab w:val="right" w:leader="dot" w:pos="8831"/>
            </w:tabs>
          </w:pPr>
          <w:r>
            <w:rPr>
              <w:color w:val="auto"/>
              <w:highlight w:val="none"/>
            </w:rPr>
            <w:fldChar w:fldCharType="begin"/>
          </w:r>
          <w:r>
            <w:rPr>
              <w:highlight w:val="none"/>
            </w:rPr>
            <w:instrText xml:space="preserve"> HYPERLINK \l _Toc29195 </w:instrText>
          </w:r>
          <w:r>
            <w:rPr>
              <w:highlight w:val="none"/>
            </w:rPr>
            <w:fldChar w:fldCharType="separate"/>
          </w:r>
          <w:r>
            <w:rPr>
              <w:rFonts w:hint="eastAsia" w:ascii="宋体" w:hAnsi="宋体" w:eastAsia="宋体" w:cs="宋体"/>
              <w:spacing w:val="-10"/>
              <w:szCs w:val="28"/>
              <w:highlight w:val="none"/>
            </w:rPr>
            <w:t>15.变更</w:t>
          </w:r>
          <w:r>
            <w:tab/>
          </w:r>
          <w:r>
            <w:fldChar w:fldCharType="begin"/>
          </w:r>
          <w:r>
            <w:instrText xml:space="preserve"> PAGEREF _Toc29195 \h </w:instrText>
          </w:r>
          <w:r>
            <w:fldChar w:fldCharType="separate"/>
          </w:r>
          <w:r>
            <w:t>112</w:t>
          </w:r>
          <w:r>
            <w:fldChar w:fldCharType="end"/>
          </w:r>
          <w:r>
            <w:rPr>
              <w:color w:val="auto"/>
              <w:highlight w:val="none"/>
            </w:rPr>
            <w:fldChar w:fldCharType="end"/>
          </w:r>
        </w:p>
        <w:p w14:paraId="54DB4AF9">
          <w:pPr>
            <w:pStyle w:val="5"/>
            <w:tabs>
              <w:tab w:val="right" w:leader="dot" w:pos="8831"/>
            </w:tabs>
          </w:pPr>
          <w:r>
            <w:rPr>
              <w:color w:val="auto"/>
              <w:highlight w:val="none"/>
            </w:rPr>
            <w:fldChar w:fldCharType="begin"/>
          </w:r>
          <w:r>
            <w:rPr>
              <w:highlight w:val="none"/>
            </w:rPr>
            <w:instrText xml:space="preserve"> HYPERLINK \l _Toc23607 </w:instrText>
          </w:r>
          <w:r>
            <w:rPr>
              <w:highlight w:val="none"/>
            </w:rPr>
            <w:fldChar w:fldCharType="separate"/>
          </w:r>
          <w:r>
            <w:rPr>
              <w:rFonts w:hint="eastAsia" w:ascii="宋体" w:hAnsi="宋体" w:eastAsia="宋体" w:cs="宋体"/>
              <w:spacing w:val="-4"/>
              <w:szCs w:val="28"/>
              <w:highlight w:val="none"/>
            </w:rPr>
            <w:t>16.价格调整</w:t>
          </w:r>
          <w:r>
            <w:tab/>
          </w:r>
          <w:r>
            <w:fldChar w:fldCharType="begin"/>
          </w:r>
          <w:r>
            <w:instrText xml:space="preserve"> PAGEREF _Toc23607 \h </w:instrText>
          </w:r>
          <w:r>
            <w:fldChar w:fldCharType="separate"/>
          </w:r>
          <w:r>
            <w:t>115</w:t>
          </w:r>
          <w:r>
            <w:fldChar w:fldCharType="end"/>
          </w:r>
          <w:r>
            <w:rPr>
              <w:color w:val="auto"/>
              <w:highlight w:val="none"/>
            </w:rPr>
            <w:fldChar w:fldCharType="end"/>
          </w:r>
        </w:p>
        <w:p w14:paraId="3C3D0712">
          <w:pPr>
            <w:pStyle w:val="5"/>
            <w:tabs>
              <w:tab w:val="right" w:leader="dot" w:pos="8831"/>
            </w:tabs>
          </w:pPr>
          <w:r>
            <w:rPr>
              <w:color w:val="auto"/>
              <w:highlight w:val="none"/>
            </w:rPr>
            <w:fldChar w:fldCharType="begin"/>
          </w:r>
          <w:r>
            <w:rPr>
              <w:highlight w:val="none"/>
            </w:rPr>
            <w:instrText xml:space="preserve"> HYPERLINK \l _Toc16568 </w:instrText>
          </w:r>
          <w:r>
            <w:rPr>
              <w:highlight w:val="none"/>
            </w:rPr>
            <w:fldChar w:fldCharType="separate"/>
          </w:r>
          <w:r>
            <w:rPr>
              <w:rFonts w:hint="eastAsia" w:ascii="宋体" w:hAnsi="宋体" w:eastAsia="宋体" w:cs="宋体"/>
              <w:spacing w:val="-4"/>
              <w:szCs w:val="28"/>
              <w:highlight w:val="none"/>
            </w:rPr>
            <w:t>17.计量与支付</w:t>
          </w:r>
          <w:r>
            <w:tab/>
          </w:r>
          <w:r>
            <w:fldChar w:fldCharType="begin"/>
          </w:r>
          <w:r>
            <w:instrText xml:space="preserve"> PAGEREF _Toc16568 \h </w:instrText>
          </w:r>
          <w:r>
            <w:fldChar w:fldCharType="separate"/>
          </w:r>
          <w:r>
            <w:t>116</w:t>
          </w:r>
          <w:r>
            <w:fldChar w:fldCharType="end"/>
          </w:r>
          <w:r>
            <w:rPr>
              <w:color w:val="auto"/>
              <w:highlight w:val="none"/>
            </w:rPr>
            <w:fldChar w:fldCharType="end"/>
          </w:r>
        </w:p>
        <w:p w14:paraId="47B5F714">
          <w:pPr>
            <w:pStyle w:val="5"/>
            <w:tabs>
              <w:tab w:val="right" w:leader="dot" w:pos="8831"/>
            </w:tabs>
          </w:pPr>
          <w:r>
            <w:rPr>
              <w:color w:val="auto"/>
              <w:highlight w:val="none"/>
            </w:rPr>
            <w:fldChar w:fldCharType="begin"/>
          </w:r>
          <w:r>
            <w:rPr>
              <w:highlight w:val="none"/>
            </w:rPr>
            <w:instrText xml:space="preserve"> HYPERLINK \l _Toc24278 </w:instrText>
          </w:r>
          <w:r>
            <w:rPr>
              <w:highlight w:val="none"/>
            </w:rPr>
            <w:fldChar w:fldCharType="separate"/>
          </w:r>
          <w:r>
            <w:rPr>
              <w:rFonts w:hint="eastAsia" w:ascii="宋体" w:hAnsi="宋体" w:eastAsia="宋体" w:cs="宋体"/>
              <w:spacing w:val="-4"/>
              <w:szCs w:val="28"/>
              <w:highlight w:val="none"/>
            </w:rPr>
            <w:t>18.竣工验收</w:t>
          </w:r>
          <w:r>
            <w:tab/>
          </w:r>
          <w:r>
            <w:fldChar w:fldCharType="begin"/>
          </w:r>
          <w:r>
            <w:instrText xml:space="preserve"> PAGEREF _Toc24278 \h </w:instrText>
          </w:r>
          <w:r>
            <w:fldChar w:fldCharType="separate"/>
          </w:r>
          <w:r>
            <w:t>120</w:t>
          </w:r>
          <w:r>
            <w:fldChar w:fldCharType="end"/>
          </w:r>
          <w:r>
            <w:rPr>
              <w:color w:val="auto"/>
              <w:highlight w:val="none"/>
            </w:rPr>
            <w:fldChar w:fldCharType="end"/>
          </w:r>
        </w:p>
        <w:p w14:paraId="2866FB38">
          <w:pPr>
            <w:pStyle w:val="5"/>
            <w:tabs>
              <w:tab w:val="right" w:leader="dot" w:pos="8831"/>
            </w:tabs>
          </w:pPr>
          <w:r>
            <w:rPr>
              <w:color w:val="auto"/>
              <w:highlight w:val="none"/>
            </w:rPr>
            <w:fldChar w:fldCharType="begin"/>
          </w:r>
          <w:r>
            <w:rPr>
              <w:highlight w:val="none"/>
            </w:rPr>
            <w:instrText xml:space="preserve"> HYPERLINK \l _Toc17293 </w:instrText>
          </w:r>
          <w:r>
            <w:rPr>
              <w:highlight w:val="none"/>
            </w:rPr>
            <w:fldChar w:fldCharType="separate"/>
          </w:r>
          <w:r>
            <w:rPr>
              <w:rFonts w:hint="eastAsia" w:ascii="宋体" w:hAnsi="宋体" w:eastAsia="宋体" w:cs="宋体"/>
              <w:spacing w:val="-3"/>
              <w:szCs w:val="28"/>
              <w:highlight w:val="none"/>
            </w:rPr>
            <w:t>19.缺陷责任与保修责任</w:t>
          </w:r>
          <w:r>
            <w:tab/>
          </w:r>
          <w:r>
            <w:fldChar w:fldCharType="begin"/>
          </w:r>
          <w:r>
            <w:instrText xml:space="preserve"> PAGEREF _Toc17293 \h </w:instrText>
          </w:r>
          <w:r>
            <w:fldChar w:fldCharType="separate"/>
          </w:r>
          <w:r>
            <w:t>123</w:t>
          </w:r>
          <w:r>
            <w:fldChar w:fldCharType="end"/>
          </w:r>
          <w:r>
            <w:rPr>
              <w:color w:val="auto"/>
              <w:highlight w:val="none"/>
            </w:rPr>
            <w:fldChar w:fldCharType="end"/>
          </w:r>
        </w:p>
        <w:p w14:paraId="65294CA2">
          <w:pPr>
            <w:pStyle w:val="5"/>
            <w:tabs>
              <w:tab w:val="right" w:leader="dot" w:pos="8831"/>
            </w:tabs>
          </w:pPr>
          <w:r>
            <w:rPr>
              <w:color w:val="auto"/>
              <w:highlight w:val="none"/>
            </w:rPr>
            <w:fldChar w:fldCharType="begin"/>
          </w:r>
          <w:r>
            <w:rPr>
              <w:highlight w:val="none"/>
            </w:rPr>
            <w:instrText xml:space="preserve"> HYPERLINK \l _Toc12902 </w:instrText>
          </w:r>
          <w:r>
            <w:rPr>
              <w:highlight w:val="none"/>
            </w:rPr>
            <w:fldChar w:fldCharType="separate"/>
          </w:r>
          <w:r>
            <w:rPr>
              <w:rFonts w:hint="eastAsia" w:ascii="宋体" w:hAnsi="宋体" w:eastAsia="宋体" w:cs="宋体"/>
              <w:spacing w:val="-1"/>
              <w:szCs w:val="28"/>
              <w:highlight w:val="none"/>
            </w:rPr>
            <w:t>20.保险</w:t>
          </w:r>
          <w:r>
            <w:tab/>
          </w:r>
          <w:r>
            <w:fldChar w:fldCharType="begin"/>
          </w:r>
          <w:r>
            <w:instrText xml:space="preserve"> PAGEREF _Toc12902 \h </w:instrText>
          </w:r>
          <w:r>
            <w:fldChar w:fldCharType="separate"/>
          </w:r>
          <w:r>
            <w:t>124</w:t>
          </w:r>
          <w:r>
            <w:fldChar w:fldCharType="end"/>
          </w:r>
          <w:r>
            <w:rPr>
              <w:color w:val="auto"/>
              <w:highlight w:val="none"/>
            </w:rPr>
            <w:fldChar w:fldCharType="end"/>
          </w:r>
        </w:p>
        <w:p w14:paraId="14844BF1">
          <w:pPr>
            <w:pStyle w:val="5"/>
            <w:tabs>
              <w:tab w:val="right" w:leader="dot" w:pos="8831"/>
            </w:tabs>
          </w:pPr>
          <w:r>
            <w:rPr>
              <w:color w:val="auto"/>
              <w:highlight w:val="none"/>
            </w:rPr>
            <w:fldChar w:fldCharType="begin"/>
          </w:r>
          <w:r>
            <w:rPr>
              <w:highlight w:val="none"/>
            </w:rPr>
            <w:instrText xml:space="preserve"> HYPERLINK \l _Toc16464 </w:instrText>
          </w:r>
          <w:r>
            <w:rPr>
              <w:highlight w:val="none"/>
            </w:rPr>
            <w:fldChar w:fldCharType="separate"/>
          </w:r>
          <w:r>
            <w:rPr>
              <w:rFonts w:hint="eastAsia" w:ascii="宋体" w:hAnsi="宋体" w:eastAsia="宋体" w:cs="宋体"/>
              <w:spacing w:val="-3"/>
              <w:szCs w:val="28"/>
              <w:highlight w:val="none"/>
            </w:rPr>
            <w:t>21.不可抗力</w:t>
          </w:r>
          <w:r>
            <w:tab/>
          </w:r>
          <w:r>
            <w:fldChar w:fldCharType="begin"/>
          </w:r>
          <w:r>
            <w:instrText xml:space="preserve"> PAGEREF _Toc16464 \h </w:instrText>
          </w:r>
          <w:r>
            <w:fldChar w:fldCharType="separate"/>
          </w:r>
          <w:r>
            <w:t>126</w:t>
          </w:r>
          <w:r>
            <w:fldChar w:fldCharType="end"/>
          </w:r>
          <w:r>
            <w:rPr>
              <w:color w:val="auto"/>
              <w:highlight w:val="none"/>
            </w:rPr>
            <w:fldChar w:fldCharType="end"/>
          </w:r>
        </w:p>
        <w:p w14:paraId="491A8F5E">
          <w:pPr>
            <w:pStyle w:val="5"/>
            <w:tabs>
              <w:tab w:val="right" w:leader="dot" w:pos="8831"/>
            </w:tabs>
          </w:pPr>
          <w:r>
            <w:rPr>
              <w:color w:val="auto"/>
              <w:highlight w:val="none"/>
            </w:rPr>
            <w:fldChar w:fldCharType="begin"/>
          </w:r>
          <w:r>
            <w:rPr>
              <w:highlight w:val="none"/>
            </w:rPr>
            <w:instrText xml:space="preserve"> HYPERLINK \l _Toc13023 </w:instrText>
          </w:r>
          <w:r>
            <w:rPr>
              <w:highlight w:val="none"/>
            </w:rPr>
            <w:fldChar w:fldCharType="separate"/>
          </w:r>
          <w:r>
            <w:rPr>
              <w:rFonts w:hint="eastAsia" w:ascii="宋体" w:hAnsi="宋体" w:eastAsia="宋体" w:cs="宋体"/>
              <w:spacing w:val="-3"/>
              <w:szCs w:val="28"/>
              <w:highlight w:val="none"/>
            </w:rPr>
            <w:t>22.违约</w:t>
          </w:r>
          <w:r>
            <w:tab/>
          </w:r>
          <w:r>
            <w:fldChar w:fldCharType="begin"/>
          </w:r>
          <w:r>
            <w:instrText xml:space="preserve"> PAGEREF _Toc13023 \h </w:instrText>
          </w:r>
          <w:r>
            <w:fldChar w:fldCharType="separate"/>
          </w:r>
          <w:r>
            <w:t>127</w:t>
          </w:r>
          <w:r>
            <w:fldChar w:fldCharType="end"/>
          </w:r>
          <w:r>
            <w:rPr>
              <w:color w:val="auto"/>
              <w:highlight w:val="none"/>
            </w:rPr>
            <w:fldChar w:fldCharType="end"/>
          </w:r>
        </w:p>
        <w:p w14:paraId="77126188">
          <w:pPr>
            <w:pStyle w:val="5"/>
            <w:tabs>
              <w:tab w:val="right" w:leader="dot" w:pos="8831"/>
            </w:tabs>
          </w:pPr>
          <w:r>
            <w:rPr>
              <w:color w:val="auto"/>
              <w:highlight w:val="none"/>
            </w:rPr>
            <w:fldChar w:fldCharType="begin"/>
          </w:r>
          <w:r>
            <w:rPr>
              <w:highlight w:val="none"/>
            </w:rPr>
            <w:instrText xml:space="preserve"> HYPERLINK \l _Toc17219 </w:instrText>
          </w:r>
          <w:r>
            <w:rPr>
              <w:highlight w:val="none"/>
            </w:rPr>
            <w:fldChar w:fldCharType="separate"/>
          </w:r>
          <w:r>
            <w:rPr>
              <w:rFonts w:hint="eastAsia" w:ascii="宋体" w:hAnsi="宋体" w:eastAsia="宋体" w:cs="宋体"/>
              <w:spacing w:val="-4"/>
              <w:szCs w:val="28"/>
              <w:highlight w:val="none"/>
            </w:rPr>
            <w:t>23.索赔</w:t>
          </w:r>
          <w:r>
            <w:tab/>
          </w:r>
          <w:r>
            <w:fldChar w:fldCharType="begin"/>
          </w:r>
          <w:r>
            <w:instrText xml:space="preserve"> PAGEREF _Toc17219 \h </w:instrText>
          </w:r>
          <w:r>
            <w:fldChar w:fldCharType="separate"/>
          </w:r>
          <w:r>
            <w:t>130</w:t>
          </w:r>
          <w:r>
            <w:fldChar w:fldCharType="end"/>
          </w:r>
          <w:r>
            <w:rPr>
              <w:color w:val="auto"/>
              <w:highlight w:val="none"/>
            </w:rPr>
            <w:fldChar w:fldCharType="end"/>
          </w:r>
        </w:p>
        <w:p w14:paraId="21ED6E0A">
          <w:pPr>
            <w:pStyle w:val="5"/>
            <w:tabs>
              <w:tab w:val="right" w:leader="dot" w:pos="8831"/>
            </w:tabs>
          </w:pPr>
          <w:r>
            <w:rPr>
              <w:color w:val="auto"/>
              <w:highlight w:val="none"/>
            </w:rPr>
            <w:fldChar w:fldCharType="begin"/>
          </w:r>
          <w:r>
            <w:rPr>
              <w:highlight w:val="none"/>
            </w:rPr>
            <w:instrText xml:space="preserve"> HYPERLINK \l _Toc25365 </w:instrText>
          </w:r>
          <w:r>
            <w:rPr>
              <w:highlight w:val="none"/>
            </w:rPr>
            <w:fldChar w:fldCharType="separate"/>
          </w:r>
          <w:r>
            <w:rPr>
              <w:rFonts w:hint="eastAsia" w:ascii="宋体" w:hAnsi="宋体" w:eastAsia="宋体" w:cs="宋体"/>
              <w:spacing w:val="-3"/>
              <w:szCs w:val="28"/>
              <w:highlight w:val="none"/>
            </w:rPr>
            <w:t>24.争议的解决</w:t>
          </w:r>
          <w:r>
            <w:tab/>
          </w:r>
          <w:r>
            <w:fldChar w:fldCharType="begin"/>
          </w:r>
          <w:r>
            <w:instrText xml:space="preserve"> PAGEREF _Toc25365 \h </w:instrText>
          </w:r>
          <w:r>
            <w:fldChar w:fldCharType="separate"/>
          </w:r>
          <w:r>
            <w:t>131</w:t>
          </w:r>
          <w:r>
            <w:fldChar w:fldCharType="end"/>
          </w:r>
          <w:r>
            <w:rPr>
              <w:color w:val="auto"/>
              <w:highlight w:val="none"/>
            </w:rPr>
            <w:fldChar w:fldCharType="end"/>
          </w:r>
        </w:p>
        <w:p w14:paraId="521F9A5B">
          <w:pPr>
            <w:pStyle w:val="8"/>
            <w:tabs>
              <w:tab w:val="right" w:leader="dot" w:pos="8831"/>
            </w:tabs>
          </w:pPr>
          <w:r>
            <w:rPr>
              <w:color w:val="auto"/>
              <w:highlight w:val="none"/>
            </w:rPr>
            <w:fldChar w:fldCharType="begin"/>
          </w:r>
          <w:r>
            <w:rPr>
              <w:highlight w:val="none"/>
            </w:rPr>
            <w:instrText xml:space="preserve"> HYPERLINK \l _Toc13587 </w:instrText>
          </w:r>
          <w:r>
            <w:rPr>
              <w:highlight w:val="none"/>
            </w:rPr>
            <w:fldChar w:fldCharType="separate"/>
          </w:r>
          <w:r>
            <w:rPr>
              <w:rFonts w:hint="eastAsia" w:ascii="宋体" w:hAnsi="宋体" w:eastAsia="宋体" w:cs="宋体"/>
              <w:bCs/>
              <w:spacing w:val="4"/>
              <w:szCs w:val="43"/>
              <w:highlight w:val="none"/>
            </w:rPr>
            <w:t>第二节专用合同条款</w:t>
          </w:r>
          <w:r>
            <w:tab/>
          </w:r>
          <w:r>
            <w:fldChar w:fldCharType="begin"/>
          </w:r>
          <w:r>
            <w:instrText xml:space="preserve"> PAGEREF _Toc13587 \h </w:instrText>
          </w:r>
          <w:r>
            <w:fldChar w:fldCharType="separate"/>
          </w:r>
          <w:r>
            <w:t>133</w:t>
          </w:r>
          <w:r>
            <w:fldChar w:fldCharType="end"/>
          </w:r>
          <w:r>
            <w:rPr>
              <w:color w:val="auto"/>
              <w:highlight w:val="none"/>
            </w:rPr>
            <w:fldChar w:fldCharType="end"/>
          </w:r>
        </w:p>
        <w:p w14:paraId="2CC52429">
          <w:pPr>
            <w:pStyle w:val="5"/>
            <w:tabs>
              <w:tab w:val="right" w:leader="dot" w:pos="8831"/>
            </w:tabs>
          </w:pPr>
          <w:r>
            <w:rPr>
              <w:color w:val="auto"/>
              <w:highlight w:val="none"/>
            </w:rPr>
            <w:fldChar w:fldCharType="begin"/>
          </w:r>
          <w:r>
            <w:rPr>
              <w:highlight w:val="none"/>
            </w:rPr>
            <w:instrText xml:space="preserve"> HYPERLINK \l _Toc32105 </w:instrText>
          </w:r>
          <w:r>
            <w:rPr>
              <w:highlight w:val="none"/>
            </w:rPr>
            <w:fldChar w:fldCharType="separate"/>
          </w:r>
          <w:r>
            <w:rPr>
              <w:rFonts w:hint="eastAsia" w:ascii="宋体" w:hAnsi="宋体" w:eastAsia="宋体" w:cs="宋体"/>
              <w:spacing w:val="8"/>
              <w:szCs w:val="31"/>
              <w:highlight w:val="none"/>
            </w:rPr>
            <w:t>A.公路工程专用合同条款</w:t>
          </w:r>
          <w:r>
            <w:tab/>
          </w:r>
          <w:r>
            <w:fldChar w:fldCharType="begin"/>
          </w:r>
          <w:r>
            <w:instrText xml:space="preserve"> PAGEREF _Toc32105 \h </w:instrText>
          </w:r>
          <w:r>
            <w:fldChar w:fldCharType="separate"/>
          </w:r>
          <w:r>
            <w:t>134</w:t>
          </w:r>
          <w:r>
            <w:fldChar w:fldCharType="end"/>
          </w:r>
          <w:r>
            <w:rPr>
              <w:color w:val="auto"/>
              <w:highlight w:val="none"/>
            </w:rPr>
            <w:fldChar w:fldCharType="end"/>
          </w:r>
        </w:p>
        <w:p w14:paraId="50160A1F">
          <w:pPr>
            <w:pStyle w:val="5"/>
            <w:tabs>
              <w:tab w:val="right" w:leader="dot" w:pos="8831"/>
            </w:tabs>
          </w:pPr>
          <w:r>
            <w:rPr>
              <w:color w:val="auto"/>
              <w:highlight w:val="none"/>
            </w:rPr>
            <w:fldChar w:fldCharType="begin"/>
          </w:r>
          <w:r>
            <w:rPr>
              <w:highlight w:val="none"/>
            </w:rPr>
            <w:instrText xml:space="preserve"> HYPERLINK \l _Toc12644 </w:instrText>
          </w:r>
          <w:r>
            <w:rPr>
              <w:highlight w:val="none"/>
            </w:rPr>
            <w:fldChar w:fldCharType="separate"/>
          </w:r>
          <w:r>
            <w:rPr>
              <w:rFonts w:hint="eastAsia" w:ascii="宋体" w:hAnsi="宋体" w:eastAsia="宋体" w:cs="宋体"/>
              <w:spacing w:val="-7"/>
              <w:szCs w:val="28"/>
              <w:highlight w:val="none"/>
            </w:rPr>
            <w:t>1.一般约定</w:t>
          </w:r>
          <w:r>
            <w:tab/>
          </w:r>
          <w:r>
            <w:fldChar w:fldCharType="begin"/>
          </w:r>
          <w:r>
            <w:instrText xml:space="preserve"> PAGEREF _Toc12644 \h </w:instrText>
          </w:r>
          <w:r>
            <w:fldChar w:fldCharType="separate"/>
          </w:r>
          <w:r>
            <w:t>134</w:t>
          </w:r>
          <w:r>
            <w:fldChar w:fldCharType="end"/>
          </w:r>
          <w:r>
            <w:rPr>
              <w:color w:val="auto"/>
              <w:highlight w:val="none"/>
            </w:rPr>
            <w:fldChar w:fldCharType="end"/>
          </w:r>
        </w:p>
        <w:p w14:paraId="2713EA4B">
          <w:pPr>
            <w:pStyle w:val="5"/>
            <w:tabs>
              <w:tab w:val="right" w:leader="dot" w:pos="8831"/>
            </w:tabs>
          </w:pPr>
          <w:r>
            <w:rPr>
              <w:color w:val="auto"/>
              <w:highlight w:val="none"/>
            </w:rPr>
            <w:fldChar w:fldCharType="begin"/>
          </w:r>
          <w:r>
            <w:rPr>
              <w:highlight w:val="none"/>
            </w:rPr>
            <w:instrText xml:space="preserve"> HYPERLINK \l _Toc22189 </w:instrText>
          </w:r>
          <w:r>
            <w:rPr>
              <w:highlight w:val="none"/>
            </w:rPr>
            <w:fldChar w:fldCharType="separate"/>
          </w:r>
          <w:r>
            <w:rPr>
              <w:rFonts w:hint="eastAsia" w:ascii="宋体" w:hAnsi="宋体" w:eastAsia="宋体" w:cs="宋体"/>
              <w:spacing w:val="-2"/>
              <w:szCs w:val="28"/>
              <w:highlight w:val="none"/>
            </w:rPr>
            <w:t>2.发包人义务</w:t>
          </w:r>
          <w:r>
            <w:tab/>
          </w:r>
          <w:r>
            <w:fldChar w:fldCharType="begin"/>
          </w:r>
          <w:r>
            <w:instrText xml:space="preserve"> PAGEREF _Toc22189 \h </w:instrText>
          </w:r>
          <w:r>
            <w:fldChar w:fldCharType="separate"/>
          </w:r>
          <w:r>
            <w:t>137</w:t>
          </w:r>
          <w:r>
            <w:fldChar w:fldCharType="end"/>
          </w:r>
          <w:r>
            <w:rPr>
              <w:color w:val="auto"/>
              <w:highlight w:val="none"/>
            </w:rPr>
            <w:fldChar w:fldCharType="end"/>
          </w:r>
        </w:p>
        <w:p w14:paraId="4A4AE7A3">
          <w:pPr>
            <w:pStyle w:val="5"/>
            <w:tabs>
              <w:tab w:val="right" w:leader="dot" w:pos="8831"/>
            </w:tabs>
          </w:pPr>
          <w:r>
            <w:rPr>
              <w:color w:val="auto"/>
              <w:highlight w:val="none"/>
            </w:rPr>
            <w:fldChar w:fldCharType="begin"/>
          </w:r>
          <w:r>
            <w:rPr>
              <w:highlight w:val="none"/>
            </w:rPr>
            <w:instrText xml:space="preserve"> HYPERLINK \l _Toc10898 </w:instrText>
          </w:r>
          <w:r>
            <w:rPr>
              <w:highlight w:val="none"/>
            </w:rPr>
            <w:fldChar w:fldCharType="separate"/>
          </w:r>
          <w:r>
            <w:rPr>
              <w:rFonts w:hint="eastAsia" w:ascii="宋体" w:hAnsi="宋体" w:eastAsia="宋体" w:cs="宋体"/>
              <w:spacing w:val="-3"/>
              <w:szCs w:val="28"/>
              <w:highlight w:val="none"/>
            </w:rPr>
            <w:t>3.监理人</w:t>
          </w:r>
          <w:r>
            <w:tab/>
          </w:r>
          <w:r>
            <w:fldChar w:fldCharType="begin"/>
          </w:r>
          <w:r>
            <w:instrText xml:space="preserve"> PAGEREF _Toc10898 \h </w:instrText>
          </w:r>
          <w:r>
            <w:fldChar w:fldCharType="separate"/>
          </w:r>
          <w:r>
            <w:t>138</w:t>
          </w:r>
          <w:r>
            <w:fldChar w:fldCharType="end"/>
          </w:r>
          <w:r>
            <w:rPr>
              <w:color w:val="auto"/>
              <w:highlight w:val="none"/>
            </w:rPr>
            <w:fldChar w:fldCharType="end"/>
          </w:r>
        </w:p>
        <w:p w14:paraId="04CD1E29">
          <w:pPr>
            <w:pStyle w:val="5"/>
            <w:tabs>
              <w:tab w:val="right" w:leader="dot" w:pos="8831"/>
            </w:tabs>
          </w:pPr>
          <w:r>
            <w:rPr>
              <w:color w:val="auto"/>
              <w:highlight w:val="none"/>
            </w:rPr>
            <w:fldChar w:fldCharType="begin"/>
          </w:r>
          <w:r>
            <w:rPr>
              <w:highlight w:val="none"/>
            </w:rPr>
            <w:instrText xml:space="preserve"> HYPERLINK \l _Toc3416 </w:instrText>
          </w:r>
          <w:r>
            <w:rPr>
              <w:highlight w:val="none"/>
            </w:rPr>
            <w:fldChar w:fldCharType="separate"/>
          </w:r>
          <w:r>
            <w:rPr>
              <w:rFonts w:hint="eastAsia" w:ascii="宋体" w:hAnsi="宋体" w:eastAsia="宋体" w:cs="宋体"/>
              <w:spacing w:val="-1"/>
              <w:szCs w:val="28"/>
              <w:highlight w:val="none"/>
            </w:rPr>
            <w:t>4.承包人</w:t>
          </w:r>
          <w:r>
            <w:tab/>
          </w:r>
          <w:r>
            <w:fldChar w:fldCharType="begin"/>
          </w:r>
          <w:r>
            <w:instrText xml:space="preserve"> PAGEREF _Toc3416 \h </w:instrText>
          </w:r>
          <w:r>
            <w:fldChar w:fldCharType="separate"/>
          </w:r>
          <w:r>
            <w:t>139</w:t>
          </w:r>
          <w:r>
            <w:fldChar w:fldCharType="end"/>
          </w:r>
          <w:r>
            <w:rPr>
              <w:color w:val="auto"/>
              <w:highlight w:val="none"/>
            </w:rPr>
            <w:fldChar w:fldCharType="end"/>
          </w:r>
        </w:p>
        <w:p w14:paraId="6B81584F">
          <w:pPr>
            <w:pStyle w:val="5"/>
            <w:tabs>
              <w:tab w:val="right" w:leader="dot" w:pos="8831"/>
            </w:tabs>
          </w:pPr>
          <w:r>
            <w:rPr>
              <w:color w:val="auto"/>
              <w:highlight w:val="none"/>
            </w:rPr>
            <w:fldChar w:fldCharType="begin"/>
          </w:r>
          <w:r>
            <w:rPr>
              <w:highlight w:val="none"/>
            </w:rPr>
            <w:instrText xml:space="preserve"> HYPERLINK \l _Toc3226 </w:instrText>
          </w:r>
          <w:r>
            <w:rPr>
              <w:highlight w:val="none"/>
            </w:rPr>
            <w:fldChar w:fldCharType="separate"/>
          </w:r>
          <w:r>
            <w:rPr>
              <w:rFonts w:hint="eastAsia" w:ascii="宋体" w:hAnsi="宋体" w:eastAsia="宋体" w:cs="宋体"/>
              <w:spacing w:val="-3"/>
              <w:szCs w:val="28"/>
              <w:highlight w:val="none"/>
            </w:rPr>
            <w:t>5.材料和工程设备</w:t>
          </w:r>
          <w:r>
            <w:tab/>
          </w:r>
          <w:r>
            <w:fldChar w:fldCharType="begin"/>
          </w:r>
          <w:r>
            <w:instrText xml:space="preserve"> PAGEREF _Toc3226 \h </w:instrText>
          </w:r>
          <w:r>
            <w:fldChar w:fldCharType="separate"/>
          </w:r>
          <w:r>
            <w:t>144</w:t>
          </w:r>
          <w:r>
            <w:fldChar w:fldCharType="end"/>
          </w:r>
          <w:r>
            <w:rPr>
              <w:color w:val="auto"/>
              <w:highlight w:val="none"/>
            </w:rPr>
            <w:fldChar w:fldCharType="end"/>
          </w:r>
        </w:p>
        <w:p w14:paraId="49C34C43">
          <w:pPr>
            <w:pStyle w:val="5"/>
            <w:tabs>
              <w:tab w:val="right" w:leader="dot" w:pos="8831"/>
            </w:tabs>
          </w:pPr>
          <w:r>
            <w:rPr>
              <w:color w:val="auto"/>
              <w:highlight w:val="none"/>
            </w:rPr>
            <w:fldChar w:fldCharType="begin"/>
          </w:r>
          <w:r>
            <w:rPr>
              <w:highlight w:val="none"/>
            </w:rPr>
            <w:instrText xml:space="preserve"> HYPERLINK \l _Toc3911 </w:instrText>
          </w:r>
          <w:r>
            <w:rPr>
              <w:highlight w:val="none"/>
            </w:rPr>
            <w:fldChar w:fldCharType="separate"/>
          </w:r>
          <w:r>
            <w:rPr>
              <w:rFonts w:hint="eastAsia" w:ascii="宋体" w:hAnsi="宋体" w:eastAsia="宋体" w:cs="宋体"/>
              <w:spacing w:val="-4"/>
              <w:szCs w:val="28"/>
              <w:highlight w:val="none"/>
            </w:rPr>
            <w:t>6.施工设备和临时设施</w:t>
          </w:r>
          <w:r>
            <w:tab/>
          </w:r>
          <w:r>
            <w:fldChar w:fldCharType="begin"/>
          </w:r>
          <w:r>
            <w:instrText xml:space="preserve"> PAGEREF _Toc3911 \h </w:instrText>
          </w:r>
          <w:r>
            <w:fldChar w:fldCharType="separate"/>
          </w:r>
          <w:r>
            <w:t>145</w:t>
          </w:r>
          <w:r>
            <w:fldChar w:fldCharType="end"/>
          </w:r>
          <w:r>
            <w:rPr>
              <w:color w:val="auto"/>
              <w:highlight w:val="none"/>
            </w:rPr>
            <w:fldChar w:fldCharType="end"/>
          </w:r>
        </w:p>
        <w:p w14:paraId="44718530">
          <w:pPr>
            <w:pStyle w:val="5"/>
            <w:tabs>
              <w:tab w:val="right" w:leader="dot" w:pos="8831"/>
            </w:tabs>
          </w:pPr>
          <w:r>
            <w:rPr>
              <w:color w:val="auto"/>
              <w:highlight w:val="none"/>
            </w:rPr>
            <w:fldChar w:fldCharType="begin"/>
          </w:r>
          <w:r>
            <w:rPr>
              <w:highlight w:val="none"/>
            </w:rPr>
            <w:instrText xml:space="preserve"> HYPERLINK \l _Toc24661 </w:instrText>
          </w:r>
          <w:r>
            <w:rPr>
              <w:highlight w:val="none"/>
            </w:rPr>
            <w:fldChar w:fldCharType="separate"/>
          </w:r>
          <w:r>
            <w:rPr>
              <w:rFonts w:hint="eastAsia" w:ascii="宋体" w:hAnsi="宋体" w:eastAsia="宋体" w:cs="宋体"/>
              <w:spacing w:val="-5"/>
              <w:szCs w:val="28"/>
              <w:highlight w:val="none"/>
            </w:rPr>
            <w:t>7.交通运输</w:t>
          </w:r>
          <w:r>
            <w:tab/>
          </w:r>
          <w:r>
            <w:fldChar w:fldCharType="begin"/>
          </w:r>
          <w:r>
            <w:instrText xml:space="preserve"> PAGEREF _Toc24661 \h </w:instrText>
          </w:r>
          <w:r>
            <w:fldChar w:fldCharType="separate"/>
          </w:r>
          <w:r>
            <w:t>145</w:t>
          </w:r>
          <w:r>
            <w:fldChar w:fldCharType="end"/>
          </w:r>
          <w:r>
            <w:rPr>
              <w:color w:val="auto"/>
              <w:highlight w:val="none"/>
            </w:rPr>
            <w:fldChar w:fldCharType="end"/>
          </w:r>
        </w:p>
        <w:p w14:paraId="49CE6B12">
          <w:pPr>
            <w:pStyle w:val="5"/>
            <w:tabs>
              <w:tab w:val="right" w:leader="dot" w:pos="8831"/>
            </w:tabs>
          </w:pPr>
          <w:r>
            <w:rPr>
              <w:color w:val="auto"/>
              <w:highlight w:val="none"/>
            </w:rPr>
            <w:fldChar w:fldCharType="begin"/>
          </w:r>
          <w:r>
            <w:rPr>
              <w:highlight w:val="none"/>
            </w:rPr>
            <w:instrText xml:space="preserve"> HYPERLINK \l _Toc4764 </w:instrText>
          </w:r>
          <w:r>
            <w:rPr>
              <w:highlight w:val="none"/>
            </w:rPr>
            <w:fldChar w:fldCharType="separate"/>
          </w:r>
          <w:r>
            <w:rPr>
              <w:rFonts w:hint="eastAsia" w:ascii="宋体" w:hAnsi="宋体" w:eastAsia="宋体" w:cs="宋体"/>
              <w:spacing w:val="-4"/>
              <w:szCs w:val="28"/>
              <w:highlight w:val="none"/>
            </w:rPr>
            <w:t>8.测量放线</w:t>
          </w:r>
          <w:r>
            <w:tab/>
          </w:r>
          <w:r>
            <w:fldChar w:fldCharType="begin"/>
          </w:r>
          <w:r>
            <w:instrText xml:space="preserve"> PAGEREF _Toc4764 \h </w:instrText>
          </w:r>
          <w:r>
            <w:fldChar w:fldCharType="separate"/>
          </w:r>
          <w:r>
            <w:t>145</w:t>
          </w:r>
          <w:r>
            <w:fldChar w:fldCharType="end"/>
          </w:r>
          <w:r>
            <w:rPr>
              <w:color w:val="auto"/>
              <w:highlight w:val="none"/>
            </w:rPr>
            <w:fldChar w:fldCharType="end"/>
          </w:r>
        </w:p>
        <w:p w14:paraId="49571B73">
          <w:pPr>
            <w:pStyle w:val="5"/>
            <w:tabs>
              <w:tab w:val="right" w:leader="dot" w:pos="8831"/>
            </w:tabs>
          </w:pPr>
          <w:r>
            <w:rPr>
              <w:color w:val="auto"/>
              <w:highlight w:val="none"/>
            </w:rPr>
            <w:fldChar w:fldCharType="begin"/>
          </w:r>
          <w:r>
            <w:rPr>
              <w:highlight w:val="none"/>
            </w:rPr>
            <w:instrText xml:space="preserve"> HYPERLINK \l _Toc14689 </w:instrText>
          </w:r>
          <w:r>
            <w:rPr>
              <w:highlight w:val="none"/>
            </w:rPr>
            <w:fldChar w:fldCharType="separate"/>
          </w:r>
          <w:r>
            <w:rPr>
              <w:rFonts w:hint="eastAsia" w:ascii="宋体" w:hAnsi="宋体" w:eastAsia="宋体" w:cs="宋体"/>
              <w:spacing w:val="-5"/>
              <w:szCs w:val="28"/>
              <w:highlight w:val="none"/>
            </w:rPr>
            <w:t>9.施工安全、治安保卫和环境保护</w:t>
          </w:r>
          <w:r>
            <w:tab/>
          </w:r>
          <w:r>
            <w:fldChar w:fldCharType="begin"/>
          </w:r>
          <w:r>
            <w:instrText xml:space="preserve"> PAGEREF _Toc14689 \h </w:instrText>
          </w:r>
          <w:r>
            <w:fldChar w:fldCharType="separate"/>
          </w:r>
          <w:r>
            <w:t>146</w:t>
          </w:r>
          <w:r>
            <w:fldChar w:fldCharType="end"/>
          </w:r>
          <w:r>
            <w:rPr>
              <w:color w:val="auto"/>
              <w:highlight w:val="none"/>
            </w:rPr>
            <w:fldChar w:fldCharType="end"/>
          </w:r>
        </w:p>
        <w:p w14:paraId="48A94B00">
          <w:pPr>
            <w:pStyle w:val="5"/>
            <w:tabs>
              <w:tab w:val="right" w:leader="dot" w:pos="8831"/>
            </w:tabs>
          </w:pPr>
          <w:r>
            <w:rPr>
              <w:color w:val="auto"/>
              <w:highlight w:val="none"/>
            </w:rPr>
            <w:fldChar w:fldCharType="begin"/>
          </w:r>
          <w:r>
            <w:rPr>
              <w:highlight w:val="none"/>
            </w:rPr>
            <w:instrText xml:space="preserve"> HYPERLINK \l _Toc17017 </w:instrText>
          </w:r>
          <w:r>
            <w:rPr>
              <w:highlight w:val="none"/>
            </w:rPr>
            <w:fldChar w:fldCharType="separate"/>
          </w:r>
          <w:r>
            <w:rPr>
              <w:rFonts w:hint="eastAsia" w:ascii="宋体" w:hAnsi="宋体" w:eastAsia="宋体" w:cs="宋体"/>
              <w:spacing w:val="-7"/>
              <w:szCs w:val="28"/>
              <w:highlight w:val="none"/>
            </w:rPr>
            <w:t>10.进度计划</w:t>
          </w:r>
          <w:r>
            <w:tab/>
          </w:r>
          <w:r>
            <w:fldChar w:fldCharType="begin"/>
          </w:r>
          <w:r>
            <w:instrText xml:space="preserve"> PAGEREF _Toc17017 \h </w:instrText>
          </w:r>
          <w:r>
            <w:fldChar w:fldCharType="separate"/>
          </w:r>
          <w:r>
            <w:t>149</w:t>
          </w:r>
          <w:r>
            <w:fldChar w:fldCharType="end"/>
          </w:r>
          <w:r>
            <w:rPr>
              <w:color w:val="auto"/>
              <w:highlight w:val="none"/>
            </w:rPr>
            <w:fldChar w:fldCharType="end"/>
          </w:r>
        </w:p>
        <w:p w14:paraId="099BC2B4">
          <w:pPr>
            <w:pStyle w:val="5"/>
            <w:tabs>
              <w:tab w:val="right" w:leader="dot" w:pos="8831"/>
            </w:tabs>
          </w:pPr>
          <w:r>
            <w:rPr>
              <w:color w:val="auto"/>
              <w:highlight w:val="none"/>
            </w:rPr>
            <w:fldChar w:fldCharType="begin"/>
          </w:r>
          <w:r>
            <w:rPr>
              <w:highlight w:val="none"/>
            </w:rPr>
            <w:instrText xml:space="preserve"> HYPERLINK \l _Toc19560 </w:instrText>
          </w:r>
          <w:r>
            <w:rPr>
              <w:highlight w:val="none"/>
            </w:rPr>
            <w:fldChar w:fldCharType="separate"/>
          </w:r>
          <w:r>
            <w:rPr>
              <w:rFonts w:hint="eastAsia" w:ascii="宋体" w:hAnsi="宋体" w:eastAsia="宋体" w:cs="宋体"/>
              <w:spacing w:val="-9"/>
              <w:szCs w:val="24"/>
              <w:highlight w:val="none"/>
            </w:rPr>
            <w:t>本款补充：</w:t>
          </w:r>
          <w:r>
            <w:tab/>
          </w:r>
          <w:r>
            <w:fldChar w:fldCharType="begin"/>
          </w:r>
          <w:r>
            <w:instrText xml:space="preserve"> PAGEREF _Toc19560 \h </w:instrText>
          </w:r>
          <w:r>
            <w:fldChar w:fldCharType="separate"/>
          </w:r>
          <w:r>
            <w:t>149</w:t>
          </w:r>
          <w:r>
            <w:fldChar w:fldCharType="end"/>
          </w:r>
          <w:r>
            <w:rPr>
              <w:color w:val="auto"/>
              <w:highlight w:val="none"/>
            </w:rPr>
            <w:fldChar w:fldCharType="end"/>
          </w:r>
        </w:p>
        <w:p w14:paraId="4E99DADD">
          <w:pPr>
            <w:pStyle w:val="5"/>
            <w:tabs>
              <w:tab w:val="right" w:leader="dot" w:pos="8831"/>
            </w:tabs>
          </w:pPr>
          <w:r>
            <w:rPr>
              <w:color w:val="auto"/>
              <w:highlight w:val="none"/>
            </w:rPr>
            <w:fldChar w:fldCharType="begin"/>
          </w:r>
          <w:r>
            <w:rPr>
              <w:highlight w:val="none"/>
            </w:rPr>
            <w:instrText xml:space="preserve"> HYPERLINK \l _Toc9896 </w:instrText>
          </w:r>
          <w:r>
            <w:rPr>
              <w:highlight w:val="none"/>
            </w:rPr>
            <w:fldChar w:fldCharType="separate"/>
          </w:r>
          <w:r>
            <w:rPr>
              <w:rFonts w:hint="eastAsia" w:ascii="宋体" w:hAnsi="宋体" w:eastAsia="宋体" w:cs="宋体"/>
              <w:spacing w:val="-12"/>
              <w:szCs w:val="28"/>
              <w:highlight w:val="none"/>
            </w:rPr>
            <w:t>11.开工和交工</w:t>
          </w:r>
          <w:r>
            <w:tab/>
          </w:r>
          <w:r>
            <w:fldChar w:fldCharType="begin"/>
          </w:r>
          <w:r>
            <w:instrText xml:space="preserve"> PAGEREF _Toc9896 \h </w:instrText>
          </w:r>
          <w:r>
            <w:fldChar w:fldCharType="separate"/>
          </w:r>
          <w:r>
            <w:t>150</w:t>
          </w:r>
          <w:r>
            <w:fldChar w:fldCharType="end"/>
          </w:r>
          <w:r>
            <w:rPr>
              <w:color w:val="auto"/>
              <w:highlight w:val="none"/>
            </w:rPr>
            <w:fldChar w:fldCharType="end"/>
          </w:r>
        </w:p>
        <w:p w14:paraId="078C28E0">
          <w:pPr>
            <w:pStyle w:val="5"/>
            <w:tabs>
              <w:tab w:val="right" w:leader="dot" w:pos="8831"/>
            </w:tabs>
          </w:pPr>
          <w:r>
            <w:rPr>
              <w:color w:val="auto"/>
              <w:highlight w:val="none"/>
            </w:rPr>
            <w:fldChar w:fldCharType="begin"/>
          </w:r>
          <w:r>
            <w:rPr>
              <w:highlight w:val="none"/>
            </w:rPr>
            <w:instrText xml:space="preserve"> HYPERLINK \l _Toc14512 </w:instrText>
          </w:r>
          <w:r>
            <w:rPr>
              <w:highlight w:val="none"/>
            </w:rPr>
            <w:fldChar w:fldCharType="separate"/>
          </w:r>
          <w:r>
            <w:rPr>
              <w:rFonts w:hint="eastAsia" w:ascii="宋体" w:hAnsi="宋体" w:eastAsia="宋体" w:cs="宋体"/>
              <w:spacing w:val="-7"/>
              <w:szCs w:val="28"/>
              <w:highlight w:val="none"/>
            </w:rPr>
            <w:t>12.暂停施工</w:t>
          </w:r>
          <w:r>
            <w:tab/>
          </w:r>
          <w:r>
            <w:fldChar w:fldCharType="begin"/>
          </w:r>
          <w:r>
            <w:instrText xml:space="preserve"> PAGEREF _Toc14512 \h </w:instrText>
          </w:r>
          <w:r>
            <w:fldChar w:fldCharType="separate"/>
          </w:r>
          <w:r>
            <w:t>151</w:t>
          </w:r>
          <w:r>
            <w:fldChar w:fldCharType="end"/>
          </w:r>
          <w:r>
            <w:rPr>
              <w:color w:val="auto"/>
              <w:highlight w:val="none"/>
            </w:rPr>
            <w:fldChar w:fldCharType="end"/>
          </w:r>
        </w:p>
        <w:p w14:paraId="62048198">
          <w:pPr>
            <w:pStyle w:val="5"/>
            <w:tabs>
              <w:tab w:val="right" w:leader="dot" w:pos="8831"/>
            </w:tabs>
          </w:pPr>
          <w:r>
            <w:rPr>
              <w:color w:val="auto"/>
              <w:highlight w:val="none"/>
            </w:rPr>
            <w:fldChar w:fldCharType="begin"/>
          </w:r>
          <w:r>
            <w:rPr>
              <w:highlight w:val="none"/>
            </w:rPr>
            <w:instrText xml:space="preserve"> HYPERLINK \l _Toc17775 </w:instrText>
          </w:r>
          <w:r>
            <w:rPr>
              <w:highlight w:val="none"/>
            </w:rPr>
            <w:fldChar w:fldCharType="separate"/>
          </w:r>
          <w:r>
            <w:rPr>
              <w:rFonts w:hint="eastAsia" w:ascii="宋体" w:hAnsi="宋体" w:eastAsia="宋体" w:cs="宋体"/>
              <w:spacing w:val="-6"/>
              <w:szCs w:val="28"/>
              <w:highlight w:val="none"/>
            </w:rPr>
            <w:t>13.工程质量</w:t>
          </w:r>
          <w:r>
            <w:tab/>
          </w:r>
          <w:r>
            <w:fldChar w:fldCharType="begin"/>
          </w:r>
          <w:r>
            <w:instrText xml:space="preserve"> PAGEREF _Toc17775 \h </w:instrText>
          </w:r>
          <w:r>
            <w:fldChar w:fldCharType="separate"/>
          </w:r>
          <w:r>
            <w:t>152</w:t>
          </w:r>
          <w:r>
            <w:fldChar w:fldCharType="end"/>
          </w:r>
          <w:r>
            <w:rPr>
              <w:color w:val="auto"/>
              <w:highlight w:val="none"/>
            </w:rPr>
            <w:fldChar w:fldCharType="end"/>
          </w:r>
        </w:p>
        <w:p w14:paraId="4A88F96C">
          <w:pPr>
            <w:pStyle w:val="5"/>
            <w:tabs>
              <w:tab w:val="right" w:leader="dot" w:pos="8831"/>
            </w:tabs>
          </w:pPr>
          <w:r>
            <w:rPr>
              <w:color w:val="auto"/>
              <w:highlight w:val="none"/>
            </w:rPr>
            <w:fldChar w:fldCharType="begin"/>
          </w:r>
          <w:r>
            <w:rPr>
              <w:highlight w:val="none"/>
            </w:rPr>
            <w:instrText xml:space="preserve"> HYPERLINK \l _Toc10007 </w:instrText>
          </w:r>
          <w:r>
            <w:rPr>
              <w:highlight w:val="none"/>
            </w:rPr>
            <w:fldChar w:fldCharType="separate"/>
          </w:r>
          <w:r>
            <w:rPr>
              <w:rFonts w:hint="eastAsia" w:ascii="宋体" w:hAnsi="宋体" w:eastAsia="宋体" w:cs="宋体"/>
              <w:spacing w:val="-6"/>
              <w:szCs w:val="28"/>
              <w:highlight w:val="none"/>
            </w:rPr>
            <w:t>14.试验和检验</w:t>
          </w:r>
          <w:r>
            <w:tab/>
          </w:r>
          <w:r>
            <w:fldChar w:fldCharType="begin"/>
          </w:r>
          <w:r>
            <w:instrText xml:space="preserve"> PAGEREF _Toc10007 \h </w:instrText>
          </w:r>
          <w:r>
            <w:fldChar w:fldCharType="separate"/>
          </w:r>
          <w:r>
            <w:t>154</w:t>
          </w:r>
          <w:r>
            <w:fldChar w:fldCharType="end"/>
          </w:r>
          <w:r>
            <w:rPr>
              <w:color w:val="auto"/>
              <w:highlight w:val="none"/>
            </w:rPr>
            <w:fldChar w:fldCharType="end"/>
          </w:r>
        </w:p>
        <w:p w14:paraId="6861FBE6">
          <w:pPr>
            <w:pStyle w:val="5"/>
            <w:tabs>
              <w:tab w:val="right" w:leader="dot" w:pos="8831"/>
            </w:tabs>
          </w:pPr>
          <w:r>
            <w:rPr>
              <w:color w:val="auto"/>
              <w:highlight w:val="none"/>
            </w:rPr>
            <w:fldChar w:fldCharType="begin"/>
          </w:r>
          <w:r>
            <w:rPr>
              <w:highlight w:val="none"/>
            </w:rPr>
            <w:instrText xml:space="preserve"> HYPERLINK \l _Toc14629 </w:instrText>
          </w:r>
          <w:r>
            <w:rPr>
              <w:highlight w:val="none"/>
            </w:rPr>
            <w:fldChar w:fldCharType="separate"/>
          </w:r>
          <w:r>
            <w:rPr>
              <w:rFonts w:hint="eastAsia" w:ascii="宋体" w:hAnsi="宋体" w:eastAsia="宋体" w:cs="宋体"/>
              <w:spacing w:val="-12"/>
              <w:szCs w:val="28"/>
              <w:highlight w:val="none"/>
            </w:rPr>
            <w:t>15.变更</w:t>
          </w:r>
          <w:r>
            <w:tab/>
          </w:r>
          <w:r>
            <w:fldChar w:fldCharType="begin"/>
          </w:r>
          <w:r>
            <w:instrText xml:space="preserve"> PAGEREF _Toc14629 \h </w:instrText>
          </w:r>
          <w:r>
            <w:fldChar w:fldCharType="separate"/>
          </w:r>
          <w:r>
            <w:t>154</w:t>
          </w:r>
          <w:r>
            <w:fldChar w:fldCharType="end"/>
          </w:r>
          <w:r>
            <w:rPr>
              <w:color w:val="auto"/>
              <w:highlight w:val="none"/>
            </w:rPr>
            <w:fldChar w:fldCharType="end"/>
          </w:r>
        </w:p>
        <w:p w14:paraId="43663414">
          <w:pPr>
            <w:pStyle w:val="5"/>
            <w:tabs>
              <w:tab w:val="right" w:leader="dot" w:pos="8831"/>
            </w:tabs>
          </w:pPr>
          <w:r>
            <w:rPr>
              <w:color w:val="auto"/>
              <w:highlight w:val="none"/>
            </w:rPr>
            <w:fldChar w:fldCharType="begin"/>
          </w:r>
          <w:r>
            <w:rPr>
              <w:highlight w:val="none"/>
            </w:rPr>
            <w:instrText xml:space="preserve"> HYPERLINK \l _Toc12764 </w:instrText>
          </w:r>
          <w:r>
            <w:rPr>
              <w:highlight w:val="none"/>
            </w:rPr>
            <w:fldChar w:fldCharType="separate"/>
          </w:r>
          <w:r>
            <w:rPr>
              <w:rFonts w:hint="eastAsia" w:ascii="宋体" w:hAnsi="宋体" w:eastAsia="宋体" w:cs="宋体"/>
              <w:spacing w:val="-7"/>
              <w:szCs w:val="28"/>
              <w:highlight w:val="none"/>
            </w:rPr>
            <w:t>16.价格调整</w:t>
          </w:r>
          <w:r>
            <w:tab/>
          </w:r>
          <w:r>
            <w:fldChar w:fldCharType="begin"/>
          </w:r>
          <w:r>
            <w:instrText xml:space="preserve"> PAGEREF _Toc12764 \h </w:instrText>
          </w:r>
          <w:r>
            <w:fldChar w:fldCharType="separate"/>
          </w:r>
          <w:r>
            <w:t>155</w:t>
          </w:r>
          <w:r>
            <w:fldChar w:fldCharType="end"/>
          </w:r>
          <w:r>
            <w:rPr>
              <w:color w:val="auto"/>
              <w:highlight w:val="none"/>
            </w:rPr>
            <w:fldChar w:fldCharType="end"/>
          </w:r>
        </w:p>
        <w:p w14:paraId="3E25832F">
          <w:pPr>
            <w:pStyle w:val="5"/>
            <w:tabs>
              <w:tab w:val="right" w:leader="dot" w:pos="8831"/>
            </w:tabs>
          </w:pPr>
          <w:r>
            <w:rPr>
              <w:color w:val="auto"/>
              <w:highlight w:val="none"/>
            </w:rPr>
            <w:fldChar w:fldCharType="begin"/>
          </w:r>
          <w:r>
            <w:rPr>
              <w:highlight w:val="none"/>
            </w:rPr>
            <w:instrText xml:space="preserve"> HYPERLINK \l _Toc32574 </w:instrText>
          </w:r>
          <w:r>
            <w:rPr>
              <w:highlight w:val="none"/>
            </w:rPr>
            <w:fldChar w:fldCharType="separate"/>
          </w:r>
          <w:r>
            <w:rPr>
              <w:rFonts w:hint="eastAsia" w:ascii="宋体" w:hAnsi="宋体" w:eastAsia="宋体" w:cs="宋体"/>
              <w:spacing w:val="-7"/>
              <w:szCs w:val="28"/>
              <w:highlight w:val="none"/>
            </w:rPr>
            <w:t>17.计量与支付</w:t>
          </w:r>
          <w:r>
            <w:tab/>
          </w:r>
          <w:r>
            <w:fldChar w:fldCharType="begin"/>
          </w:r>
          <w:r>
            <w:instrText xml:space="preserve"> PAGEREF _Toc32574 \h </w:instrText>
          </w:r>
          <w:r>
            <w:fldChar w:fldCharType="separate"/>
          </w:r>
          <w:r>
            <w:t>156</w:t>
          </w:r>
          <w:r>
            <w:fldChar w:fldCharType="end"/>
          </w:r>
          <w:r>
            <w:rPr>
              <w:color w:val="auto"/>
              <w:highlight w:val="none"/>
            </w:rPr>
            <w:fldChar w:fldCharType="end"/>
          </w:r>
        </w:p>
        <w:p w14:paraId="46B2C257">
          <w:pPr>
            <w:pStyle w:val="5"/>
            <w:tabs>
              <w:tab w:val="right" w:leader="dot" w:pos="8831"/>
            </w:tabs>
          </w:pPr>
          <w:r>
            <w:rPr>
              <w:color w:val="auto"/>
              <w:highlight w:val="none"/>
            </w:rPr>
            <w:fldChar w:fldCharType="begin"/>
          </w:r>
          <w:r>
            <w:rPr>
              <w:highlight w:val="none"/>
            </w:rPr>
            <w:instrText xml:space="preserve"> HYPERLINK \l _Toc25589 </w:instrText>
          </w:r>
          <w:r>
            <w:rPr>
              <w:highlight w:val="none"/>
            </w:rPr>
            <w:fldChar w:fldCharType="separate"/>
          </w:r>
          <w:r>
            <w:rPr>
              <w:rFonts w:hint="eastAsia" w:ascii="宋体" w:hAnsi="宋体" w:eastAsia="宋体" w:cs="宋体"/>
              <w:spacing w:val="-7"/>
              <w:szCs w:val="28"/>
              <w:highlight w:val="none"/>
            </w:rPr>
            <w:t>18.交工验收</w:t>
          </w:r>
          <w:r>
            <w:tab/>
          </w:r>
          <w:r>
            <w:fldChar w:fldCharType="begin"/>
          </w:r>
          <w:r>
            <w:instrText xml:space="preserve"> PAGEREF _Toc25589 \h </w:instrText>
          </w:r>
          <w:r>
            <w:fldChar w:fldCharType="separate"/>
          </w:r>
          <w:r>
            <w:t>159</w:t>
          </w:r>
          <w:r>
            <w:fldChar w:fldCharType="end"/>
          </w:r>
          <w:r>
            <w:rPr>
              <w:color w:val="auto"/>
              <w:highlight w:val="none"/>
            </w:rPr>
            <w:fldChar w:fldCharType="end"/>
          </w:r>
        </w:p>
        <w:p w14:paraId="213AF136">
          <w:pPr>
            <w:pStyle w:val="5"/>
            <w:tabs>
              <w:tab w:val="right" w:leader="dot" w:pos="8831"/>
            </w:tabs>
          </w:pPr>
          <w:r>
            <w:rPr>
              <w:color w:val="auto"/>
              <w:highlight w:val="none"/>
            </w:rPr>
            <w:fldChar w:fldCharType="begin"/>
          </w:r>
          <w:r>
            <w:rPr>
              <w:highlight w:val="none"/>
            </w:rPr>
            <w:instrText xml:space="preserve"> HYPERLINK \l _Toc13544 </w:instrText>
          </w:r>
          <w:r>
            <w:rPr>
              <w:highlight w:val="none"/>
            </w:rPr>
            <w:fldChar w:fldCharType="separate"/>
          </w:r>
          <w:r>
            <w:rPr>
              <w:rFonts w:hint="eastAsia" w:ascii="宋体" w:hAnsi="宋体" w:eastAsia="宋体" w:cs="宋体"/>
              <w:spacing w:val="-8"/>
              <w:szCs w:val="28"/>
              <w:highlight w:val="none"/>
            </w:rPr>
            <w:t>19.缺陷责任与保修责任</w:t>
          </w:r>
          <w:r>
            <w:tab/>
          </w:r>
          <w:r>
            <w:fldChar w:fldCharType="begin"/>
          </w:r>
          <w:r>
            <w:instrText xml:space="preserve"> PAGEREF _Toc13544 \h </w:instrText>
          </w:r>
          <w:r>
            <w:fldChar w:fldCharType="separate"/>
          </w:r>
          <w:r>
            <w:t>160</w:t>
          </w:r>
          <w:r>
            <w:fldChar w:fldCharType="end"/>
          </w:r>
          <w:r>
            <w:rPr>
              <w:color w:val="auto"/>
              <w:highlight w:val="none"/>
            </w:rPr>
            <w:fldChar w:fldCharType="end"/>
          </w:r>
        </w:p>
        <w:p w14:paraId="3E5A6E98">
          <w:pPr>
            <w:pStyle w:val="5"/>
            <w:tabs>
              <w:tab w:val="right" w:leader="dot" w:pos="8831"/>
            </w:tabs>
          </w:pPr>
          <w:r>
            <w:rPr>
              <w:color w:val="auto"/>
              <w:highlight w:val="none"/>
            </w:rPr>
            <w:fldChar w:fldCharType="begin"/>
          </w:r>
          <w:r>
            <w:rPr>
              <w:highlight w:val="none"/>
            </w:rPr>
            <w:instrText xml:space="preserve"> HYPERLINK \l _Toc21433 </w:instrText>
          </w:r>
          <w:r>
            <w:rPr>
              <w:highlight w:val="none"/>
            </w:rPr>
            <w:fldChar w:fldCharType="separate"/>
          </w:r>
          <w:r>
            <w:rPr>
              <w:rFonts w:hint="eastAsia" w:ascii="宋体" w:hAnsi="宋体" w:eastAsia="宋体" w:cs="宋体"/>
              <w:spacing w:val="-4"/>
              <w:szCs w:val="28"/>
              <w:highlight w:val="none"/>
            </w:rPr>
            <w:t>20.保险</w:t>
          </w:r>
          <w:r>
            <w:tab/>
          </w:r>
          <w:r>
            <w:fldChar w:fldCharType="begin"/>
          </w:r>
          <w:r>
            <w:instrText xml:space="preserve"> PAGEREF _Toc21433 \h </w:instrText>
          </w:r>
          <w:r>
            <w:fldChar w:fldCharType="separate"/>
          </w:r>
          <w:r>
            <w:t>161</w:t>
          </w:r>
          <w:r>
            <w:fldChar w:fldCharType="end"/>
          </w:r>
          <w:r>
            <w:rPr>
              <w:color w:val="auto"/>
              <w:highlight w:val="none"/>
            </w:rPr>
            <w:fldChar w:fldCharType="end"/>
          </w:r>
        </w:p>
        <w:p w14:paraId="40984A6D">
          <w:pPr>
            <w:pStyle w:val="5"/>
            <w:tabs>
              <w:tab w:val="right" w:leader="dot" w:pos="8831"/>
            </w:tabs>
          </w:pPr>
          <w:r>
            <w:rPr>
              <w:color w:val="auto"/>
              <w:highlight w:val="none"/>
            </w:rPr>
            <w:fldChar w:fldCharType="begin"/>
          </w:r>
          <w:r>
            <w:rPr>
              <w:highlight w:val="none"/>
            </w:rPr>
            <w:instrText xml:space="preserve"> HYPERLINK \l _Toc21878 </w:instrText>
          </w:r>
          <w:r>
            <w:rPr>
              <w:highlight w:val="none"/>
            </w:rPr>
            <w:fldChar w:fldCharType="separate"/>
          </w:r>
          <w:r>
            <w:rPr>
              <w:rFonts w:hint="eastAsia" w:ascii="宋体" w:hAnsi="宋体" w:eastAsia="宋体" w:cs="宋体"/>
              <w:spacing w:val="-3"/>
              <w:szCs w:val="28"/>
              <w:highlight w:val="none"/>
            </w:rPr>
            <w:t>21.不可抗力</w:t>
          </w:r>
          <w:r>
            <w:tab/>
          </w:r>
          <w:r>
            <w:fldChar w:fldCharType="begin"/>
          </w:r>
          <w:r>
            <w:instrText xml:space="preserve"> PAGEREF _Toc21878 \h </w:instrText>
          </w:r>
          <w:r>
            <w:fldChar w:fldCharType="separate"/>
          </w:r>
          <w:r>
            <w:t>162</w:t>
          </w:r>
          <w:r>
            <w:fldChar w:fldCharType="end"/>
          </w:r>
          <w:r>
            <w:rPr>
              <w:color w:val="auto"/>
              <w:highlight w:val="none"/>
            </w:rPr>
            <w:fldChar w:fldCharType="end"/>
          </w:r>
        </w:p>
        <w:p w14:paraId="3E03B257">
          <w:pPr>
            <w:pStyle w:val="5"/>
            <w:tabs>
              <w:tab w:val="right" w:leader="dot" w:pos="8831"/>
            </w:tabs>
          </w:pPr>
          <w:r>
            <w:rPr>
              <w:color w:val="auto"/>
              <w:highlight w:val="none"/>
            </w:rPr>
            <w:fldChar w:fldCharType="begin"/>
          </w:r>
          <w:r>
            <w:rPr>
              <w:highlight w:val="none"/>
            </w:rPr>
            <w:instrText xml:space="preserve"> HYPERLINK \l _Toc15395 </w:instrText>
          </w:r>
          <w:r>
            <w:rPr>
              <w:highlight w:val="none"/>
            </w:rPr>
            <w:fldChar w:fldCharType="separate"/>
          </w:r>
          <w:r>
            <w:rPr>
              <w:rFonts w:hint="eastAsia" w:ascii="宋体" w:hAnsi="宋体" w:eastAsia="宋体" w:cs="宋体"/>
              <w:spacing w:val="-4"/>
              <w:szCs w:val="28"/>
              <w:highlight w:val="none"/>
            </w:rPr>
            <w:t>22.违约</w:t>
          </w:r>
          <w:r>
            <w:tab/>
          </w:r>
          <w:r>
            <w:fldChar w:fldCharType="begin"/>
          </w:r>
          <w:r>
            <w:instrText xml:space="preserve"> PAGEREF _Toc15395 \h </w:instrText>
          </w:r>
          <w:r>
            <w:fldChar w:fldCharType="separate"/>
          </w:r>
          <w:r>
            <w:t>163</w:t>
          </w:r>
          <w:r>
            <w:fldChar w:fldCharType="end"/>
          </w:r>
          <w:r>
            <w:rPr>
              <w:color w:val="auto"/>
              <w:highlight w:val="none"/>
            </w:rPr>
            <w:fldChar w:fldCharType="end"/>
          </w:r>
        </w:p>
        <w:p w14:paraId="0B332B8F">
          <w:pPr>
            <w:pStyle w:val="5"/>
            <w:tabs>
              <w:tab w:val="right" w:leader="dot" w:pos="8831"/>
            </w:tabs>
          </w:pPr>
          <w:r>
            <w:rPr>
              <w:color w:val="auto"/>
              <w:highlight w:val="none"/>
            </w:rPr>
            <w:fldChar w:fldCharType="begin"/>
          </w:r>
          <w:r>
            <w:rPr>
              <w:highlight w:val="none"/>
            </w:rPr>
            <w:instrText xml:space="preserve"> HYPERLINK \l _Toc28962 </w:instrText>
          </w:r>
          <w:r>
            <w:rPr>
              <w:highlight w:val="none"/>
            </w:rPr>
            <w:fldChar w:fldCharType="separate"/>
          </w:r>
          <w:r>
            <w:rPr>
              <w:rFonts w:hint="eastAsia" w:ascii="宋体" w:hAnsi="宋体" w:eastAsia="宋体" w:cs="宋体"/>
              <w:spacing w:val="-4"/>
              <w:szCs w:val="28"/>
              <w:highlight w:val="none"/>
            </w:rPr>
            <w:t>23.索赔</w:t>
          </w:r>
          <w:r>
            <w:tab/>
          </w:r>
          <w:r>
            <w:fldChar w:fldCharType="begin"/>
          </w:r>
          <w:r>
            <w:instrText xml:space="preserve"> PAGEREF _Toc28962 \h </w:instrText>
          </w:r>
          <w:r>
            <w:fldChar w:fldCharType="separate"/>
          </w:r>
          <w:r>
            <w:t>164</w:t>
          </w:r>
          <w:r>
            <w:fldChar w:fldCharType="end"/>
          </w:r>
          <w:r>
            <w:rPr>
              <w:color w:val="auto"/>
              <w:highlight w:val="none"/>
            </w:rPr>
            <w:fldChar w:fldCharType="end"/>
          </w:r>
        </w:p>
        <w:p w14:paraId="1C6679E5">
          <w:pPr>
            <w:pStyle w:val="5"/>
            <w:tabs>
              <w:tab w:val="right" w:leader="dot" w:pos="8831"/>
            </w:tabs>
          </w:pPr>
          <w:r>
            <w:rPr>
              <w:color w:val="auto"/>
              <w:highlight w:val="none"/>
            </w:rPr>
            <w:fldChar w:fldCharType="begin"/>
          </w:r>
          <w:r>
            <w:rPr>
              <w:highlight w:val="none"/>
            </w:rPr>
            <w:instrText xml:space="preserve"> HYPERLINK \l _Toc20738 </w:instrText>
          </w:r>
          <w:r>
            <w:rPr>
              <w:highlight w:val="none"/>
            </w:rPr>
            <w:fldChar w:fldCharType="separate"/>
          </w:r>
          <w:r>
            <w:rPr>
              <w:rFonts w:hint="eastAsia" w:ascii="宋体" w:hAnsi="宋体" w:eastAsia="宋体" w:cs="宋体"/>
              <w:spacing w:val="-4"/>
              <w:szCs w:val="28"/>
              <w:highlight w:val="none"/>
            </w:rPr>
            <w:t>24.争议的解决</w:t>
          </w:r>
          <w:r>
            <w:tab/>
          </w:r>
          <w:r>
            <w:fldChar w:fldCharType="begin"/>
          </w:r>
          <w:r>
            <w:instrText xml:space="preserve"> PAGEREF _Toc20738 \h </w:instrText>
          </w:r>
          <w:r>
            <w:fldChar w:fldCharType="separate"/>
          </w:r>
          <w:r>
            <w:t>165</w:t>
          </w:r>
          <w:r>
            <w:fldChar w:fldCharType="end"/>
          </w:r>
          <w:r>
            <w:rPr>
              <w:color w:val="auto"/>
              <w:highlight w:val="none"/>
            </w:rPr>
            <w:fldChar w:fldCharType="end"/>
          </w:r>
        </w:p>
        <w:p w14:paraId="1A8D6A14">
          <w:pPr>
            <w:pStyle w:val="5"/>
            <w:tabs>
              <w:tab w:val="right" w:leader="dot" w:pos="8831"/>
            </w:tabs>
          </w:pPr>
          <w:r>
            <w:rPr>
              <w:color w:val="auto"/>
              <w:highlight w:val="none"/>
            </w:rPr>
            <w:fldChar w:fldCharType="begin"/>
          </w:r>
          <w:r>
            <w:rPr>
              <w:highlight w:val="none"/>
            </w:rPr>
            <w:instrText xml:space="preserve"> HYPERLINK \l _Toc18166 </w:instrText>
          </w:r>
          <w:r>
            <w:rPr>
              <w:highlight w:val="none"/>
            </w:rPr>
            <w:fldChar w:fldCharType="separate"/>
          </w:r>
          <w:r>
            <w:rPr>
              <w:rFonts w:hint="eastAsia" w:ascii="宋体" w:hAnsi="宋体" w:eastAsia="宋体" w:cs="宋体"/>
              <w:spacing w:val="7"/>
              <w:szCs w:val="31"/>
              <w:highlight w:val="none"/>
            </w:rPr>
            <w:t>B.项目专用合同条款</w:t>
          </w:r>
          <w:r>
            <w:tab/>
          </w:r>
          <w:r>
            <w:fldChar w:fldCharType="begin"/>
          </w:r>
          <w:r>
            <w:instrText xml:space="preserve"> PAGEREF _Toc18166 \h </w:instrText>
          </w:r>
          <w:r>
            <w:fldChar w:fldCharType="separate"/>
          </w:r>
          <w:r>
            <w:t>167</w:t>
          </w:r>
          <w:r>
            <w:fldChar w:fldCharType="end"/>
          </w:r>
          <w:r>
            <w:rPr>
              <w:color w:val="auto"/>
              <w:highlight w:val="none"/>
            </w:rPr>
            <w:fldChar w:fldCharType="end"/>
          </w:r>
        </w:p>
        <w:p w14:paraId="0FEF1209">
          <w:pPr>
            <w:pStyle w:val="5"/>
            <w:tabs>
              <w:tab w:val="right" w:leader="dot" w:pos="8831"/>
            </w:tabs>
          </w:pPr>
          <w:r>
            <w:rPr>
              <w:color w:val="auto"/>
              <w:highlight w:val="none"/>
            </w:rPr>
            <w:fldChar w:fldCharType="begin"/>
          </w:r>
          <w:r>
            <w:rPr>
              <w:highlight w:val="none"/>
            </w:rPr>
            <w:instrText xml:space="preserve"> HYPERLINK \l _Toc11726 </w:instrText>
          </w:r>
          <w:r>
            <w:rPr>
              <w:highlight w:val="none"/>
            </w:rPr>
            <w:fldChar w:fldCharType="separate"/>
          </w:r>
          <w:r>
            <w:rPr>
              <w:rFonts w:hint="eastAsia" w:ascii="宋体" w:hAnsi="宋体" w:eastAsia="宋体" w:cs="宋体"/>
              <w:spacing w:val="8"/>
              <w:szCs w:val="31"/>
              <w:highlight w:val="none"/>
            </w:rPr>
            <w:t>项目专用合同条款数据表</w:t>
          </w:r>
          <w:r>
            <w:tab/>
          </w:r>
          <w:r>
            <w:fldChar w:fldCharType="begin"/>
          </w:r>
          <w:r>
            <w:instrText xml:space="preserve"> PAGEREF _Toc11726 \h </w:instrText>
          </w:r>
          <w:r>
            <w:fldChar w:fldCharType="separate"/>
          </w:r>
          <w:r>
            <w:t>168</w:t>
          </w:r>
          <w:r>
            <w:fldChar w:fldCharType="end"/>
          </w:r>
          <w:r>
            <w:rPr>
              <w:color w:val="auto"/>
              <w:highlight w:val="none"/>
            </w:rPr>
            <w:fldChar w:fldCharType="end"/>
          </w:r>
        </w:p>
        <w:p w14:paraId="0EE3FB22">
          <w:pPr>
            <w:pStyle w:val="5"/>
            <w:tabs>
              <w:tab w:val="right" w:leader="dot" w:pos="8831"/>
            </w:tabs>
          </w:pPr>
          <w:r>
            <w:rPr>
              <w:color w:val="auto"/>
              <w:highlight w:val="none"/>
            </w:rPr>
            <w:fldChar w:fldCharType="begin"/>
          </w:r>
          <w:r>
            <w:rPr>
              <w:highlight w:val="none"/>
            </w:rPr>
            <w:instrText xml:space="preserve"> HYPERLINK \l _Toc17111 </w:instrText>
          </w:r>
          <w:r>
            <w:rPr>
              <w:highlight w:val="none"/>
            </w:rPr>
            <w:fldChar w:fldCharType="separate"/>
          </w:r>
          <w:r>
            <w:rPr>
              <w:rFonts w:hint="eastAsia" w:ascii="宋体" w:hAnsi="宋体" w:eastAsia="宋体" w:cs="宋体"/>
              <w:spacing w:val="8"/>
              <w:szCs w:val="31"/>
              <w:highlight w:val="none"/>
            </w:rPr>
            <w:t>项目专用合同条款</w:t>
          </w:r>
          <w:r>
            <w:tab/>
          </w:r>
          <w:r>
            <w:fldChar w:fldCharType="begin"/>
          </w:r>
          <w:r>
            <w:instrText xml:space="preserve"> PAGEREF _Toc17111 \h </w:instrText>
          </w:r>
          <w:r>
            <w:fldChar w:fldCharType="separate"/>
          </w:r>
          <w:r>
            <w:t>170</w:t>
          </w:r>
          <w:r>
            <w:fldChar w:fldCharType="end"/>
          </w:r>
          <w:r>
            <w:rPr>
              <w:color w:val="auto"/>
              <w:highlight w:val="none"/>
            </w:rPr>
            <w:fldChar w:fldCharType="end"/>
          </w:r>
        </w:p>
        <w:p w14:paraId="5E020E81">
          <w:pPr>
            <w:pStyle w:val="8"/>
            <w:tabs>
              <w:tab w:val="right" w:leader="dot" w:pos="8831"/>
            </w:tabs>
          </w:pPr>
          <w:r>
            <w:rPr>
              <w:color w:val="auto"/>
              <w:highlight w:val="none"/>
            </w:rPr>
            <w:fldChar w:fldCharType="begin"/>
          </w:r>
          <w:r>
            <w:rPr>
              <w:highlight w:val="none"/>
            </w:rPr>
            <w:instrText xml:space="preserve"> HYPERLINK \l _Toc31739 </w:instrText>
          </w:r>
          <w:r>
            <w:rPr>
              <w:highlight w:val="none"/>
            </w:rPr>
            <w:fldChar w:fldCharType="separate"/>
          </w:r>
          <w:r>
            <w:rPr>
              <w:rFonts w:hint="eastAsia" w:ascii="宋体" w:hAnsi="宋体" w:eastAsia="宋体" w:cs="宋体"/>
              <w:bCs/>
              <w:spacing w:val="4"/>
              <w:szCs w:val="43"/>
              <w:highlight w:val="none"/>
            </w:rPr>
            <w:t>第三节合同附件格式</w:t>
          </w:r>
          <w:r>
            <w:tab/>
          </w:r>
          <w:r>
            <w:fldChar w:fldCharType="begin"/>
          </w:r>
          <w:r>
            <w:instrText xml:space="preserve"> PAGEREF _Toc31739 \h </w:instrText>
          </w:r>
          <w:r>
            <w:fldChar w:fldCharType="separate"/>
          </w:r>
          <w:r>
            <w:t>173</w:t>
          </w:r>
          <w:r>
            <w:fldChar w:fldCharType="end"/>
          </w:r>
          <w:r>
            <w:rPr>
              <w:color w:val="auto"/>
              <w:highlight w:val="none"/>
            </w:rPr>
            <w:fldChar w:fldCharType="end"/>
          </w:r>
        </w:p>
        <w:p w14:paraId="6A794E87">
          <w:pPr>
            <w:pStyle w:val="5"/>
            <w:tabs>
              <w:tab w:val="right" w:leader="dot" w:pos="8831"/>
            </w:tabs>
          </w:pPr>
          <w:r>
            <w:rPr>
              <w:color w:val="auto"/>
              <w:highlight w:val="none"/>
            </w:rPr>
            <w:fldChar w:fldCharType="begin"/>
          </w:r>
          <w:r>
            <w:rPr>
              <w:highlight w:val="none"/>
            </w:rPr>
            <w:instrText xml:space="preserve"> HYPERLINK \l _Toc10501 </w:instrText>
          </w:r>
          <w:r>
            <w:rPr>
              <w:highlight w:val="none"/>
            </w:rPr>
            <w:fldChar w:fldCharType="separate"/>
          </w:r>
          <w:r>
            <w:rPr>
              <w:rFonts w:hint="eastAsia" w:ascii="宋体" w:hAnsi="宋体" w:eastAsia="宋体" w:cs="宋体"/>
              <w:spacing w:val="-3"/>
              <w:szCs w:val="24"/>
              <w:highlight w:val="none"/>
            </w:rPr>
            <w:t>附件一合同协议书</w:t>
          </w:r>
          <w:r>
            <w:tab/>
          </w:r>
          <w:r>
            <w:fldChar w:fldCharType="begin"/>
          </w:r>
          <w:r>
            <w:instrText xml:space="preserve"> PAGEREF _Toc10501 \h </w:instrText>
          </w:r>
          <w:r>
            <w:fldChar w:fldCharType="separate"/>
          </w:r>
          <w:r>
            <w:t>174</w:t>
          </w:r>
          <w:r>
            <w:fldChar w:fldCharType="end"/>
          </w:r>
          <w:r>
            <w:rPr>
              <w:color w:val="auto"/>
              <w:highlight w:val="none"/>
            </w:rPr>
            <w:fldChar w:fldCharType="end"/>
          </w:r>
        </w:p>
        <w:p w14:paraId="2201506C">
          <w:pPr>
            <w:pStyle w:val="7"/>
            <w:tabs>
              <w:tab w:val="right" w:leader="dot" w:pos="8831"/>
            </w:tabs>
          </w:pPr>
          <w:r>
            <w:rPr>
              <w:color w:val="auto"/>
              <w:highlight w:val="none"/>
            </w:rPr>
            <w:fldChar w:fldCharType="begin"/>
          </w:r>
          <w:r>
            <w:rPr>
              <w:highlight w:val="none"/>
            </w:rPr>
            <w:instrText xml:space="preserve"> HYPERLINK \l _Toc5370 </w:instrText>
          </w:r>
          <w:r>
            <w:rPr>
              <w:highlight w:val="none"/>
            </w:rPr>
            <w:fldChar w:fldCharType="separate"/>
          </w:r>
          <w:r>
            <w:rPr>
              <w:rFonts w:hint="eastAsia" w:ascii="宋体" w:hAnsi="宋体" w:eastAsia="宋体" w:cs="宋体"/>
              <w:bCs/>
              <w:kern w:val="44"/>
              <w:szCs w:val="32"/>
              <w:highlight w:val="none"/>
              <w:lang w:val="en-US" w:eastAsia="zh-CN" w:bidi="ar-SA"/>
            </w:rPr>
            <w:t>一、合同协议书</w:t>
          </w:r>
          <w:r>
            <w:tab/>
          </w:r>
          <w:r>
            <w:fldChar w:fldCharType="begin"/>
          </w:r>
          <w:r>
            <w:instrText xml:space="preserve"> PAGEREF _Toc5370 \h </w:instrText>
          </w:r>
          <w:r>
            <w:fldChar w:fldCharType="separate"/>
          </w:r>
          <w:r>
            <w:t>174</w:t>
          </w:r>
          <w:r>
            <w:fldChar w:fldCharType="end"/>
          </w:r>
          <w:r>
            <w:rPr>
              <w:color w:val="auto"/>
              <w:highlight w:val="none"/>
            </w:rPr>
            <w:fldChar w:fldCharType="end"/>
          </w:r>
        </w:p>
        <w:p w14:paraId="059EE8DF">
          <w:pPr>
            <w:pStyle w:val="7"/>
            <w:tabs>
              <w:tab w:val="right" w:leader="dot" w:pos="8831"/>
            </w:tabs>
          </w:pPr>
          <w:r>
            <w:rPr>
              <w:color w:val="auto"/>
              <w:highlight w:val="none"/>
            </w:rPr>
            <w:fldChar w:fldCharType="begin"/>
          </w:r>
          <w:r>
            <w:rPr>
              <w:highlight w:val="none"/>
            </w:rPr>
            <w:instrText xml:space="preserve"> HYPERLINK \l _Toc17042 </w:instrText>
          </w:r>
          <w:r>
            <w:rPr>
              <w:highlight w:val="none"/>
            </w:rPr>
            <w:fldChar w:fldCharType="separate"/>
          </w:r>
          <w:r>
            <w:rPr>
              <w:rFonts w:hint="eastAsia" w:ascii="宋体" w:hAnsi="宋体" w:eastAsia="宋体" w:cs="宋体"/>
              <w:kern w:val="44"/>
              <w:szCs w:val="32"/>
              <w:highlight w:val="none"/>
              <w:lang w:val="en-US" w:eastAsia="zh-CN" w:bidi="ar-SA"/>
            </w:rPr>
            <w:t>二、廉政合同</w:t>
          </w:r>
          <w:r>
            <w:tab/>
          </w:r>
          <w:r>
            <w:fldChar w:fldCharType="begin"/>
          </w:r>
          <w:r>
            <w:instrText xml:space="preserve"> PAGEREF _Toc17042 \h </w:instrText>
          </w:r>
          <w:r>
            <w:fldChar w:fldCharType="separate"/>
          </w:r>
          <w:r>
            <w:t>177</w:t>
          </w:r>
          <w:r>
            <w:fldChar w:fldCharType="end"/>
          </w:r>
          <w:r>
            <w:rPr>
              <w:color w:val="auto"/>
              <w:highlight w:val="none"/>
            </w:rPr>
            <w:fldChar w:fldCharType="end"/>
          </w:r>
        </w:p>
        <w:p w14:paraId="5133E7C8">
          <w:pPr>
            <w:pStyle w:val="7"/>
            <w:tabs>
              <w:tab w:val="right" w:leader="dot" w:pos="8831"/>
            </w:tabs>
          </w:pPr>
          <w:r>
            <w:rPr>
              <w:color w:val="auto"/>
              <w:highlight w:val="none"/>
            </w:rPr>
            <w:fldChar w:fldCharType="begin"/>
          </w:r>
          <w:r>
            <w:rPr>
              <w:highlight w:val="none"/>
            </w:rPr>
            <w:instrText xml:space="preserve"> HYPERLINK \l _Toc15006 </w:instrText>
          </w:r>
          <w:r>
            <w:rPr>
              <w:highlight w:val="none"/>
            </w:rPr>
            <w:fldChar w:fldCharType="separate"/>
          </w:r>
          <w:r>
            <w:rPr>
              <w:rFonts w:hint="eastAsia" w:ascii="宋体" w:hAnsi="宋体" w:eastAsia="宋体" w:cs="宋体"/>
              <w:bCs/>
              <w:kern w:val="44"/>
              <w:szCs w:val="32"/>
              <w:highlight w:val="none"/>
              <w:lang w:val="en-US" w:eastAsia="zh-CN" w:bidi="ar-SA"/>
            </w:rPr>
            <w:t>三、安全生产合同</w:t>
          </w:r>
          <w:r>
            <w:tab/>
          </w:r>
          <w:r>
            <w:fldChar w:fldCharType="begin"/>
          </w:r>
          <w:r>
            <w:instrText xml:space="preserve"> PAGEREF _Toc15006 \h </w:instrText>
          </w:r>
          <w:r>
            <w:fldChar w:fldCharType="separate"/>
          </w:r>
          <w:r>
            <w:t>179</w:t>
          </w:r>
          <w:r>
            <w:fldChar w:fldCharType="end"/>
          </w:r>
          <w:r>
            <w:rPr>
              <w:color w:val="auto"/>
              <w:highlight w:val="none"/>
            </w:rPr>
            <w:fldChar w:fldCharType="end"/>
          </w:r>
        </w:p>
        <w:p w14:paraId="78BBB83F">
          <w:pPr>
            <w:pStyle w:val="5"/>
            <w:tabs>
              <w:tab w:val="right" w:leader="dot" w:pos="8831"/>
            </w:tabs>
          </w:pPr>
          <w:r>
            <w:rPr>
              <w:color w:val="auto"/>
              <w:highlight w:val="none"/>
            </w:rPr>
            <w:fldChar w:fldCharType="begin"/>
          </w:r>
          <w:r>
            <w:rPr>
              <w:highlight w:val="none"/>
            </w:rPr>
            <w:instrText xml:space="preserve"> HYPERLINK \l _Toc16766 </w:instrText>
          </w:r>
          <w:r>
            <w:rPr>
              <w:highlight w:val="none"/>
            </w:rPr>
            <w:fldChar w:fldCharType="separate"/>
          </w:r>
          <w:r>
            <w:rPr>
              <w:rFonts w:hint="eastAsia" w:ascii="宋体" w:hAnsi="宋体" w:eastAsia="宋体" w:cs="宋体"/>
              <w:spacing w:val="-2"/>
              <w:szCs w:val="24"/>
              <w:highlight w:val="none"/>
            </w:rPr>
            <w:t>附件四其他管理和技术人员最低要求</w:t>
          </w:r>
          <w:r>
            <w:rPr>
              <w:rFonts w:hint="eastAsia" w:ascii="宋体" w:hAnsi="宋体" w:eastAsia="宋体" w:cs="宋体"/>
              <w:bCs/>
              <w:spacing w:val="-2"/>
              <w:position w:val="10"/>
              <w:szCs w:val="12"/>
              <w:highlight w:val="none"/>
            </w:rPr>
            <w:t>①</w:t>
          </w:r>
          <w:r>
            <w:tab/>
          </w:r>
          <w:r>
            <w:fldChar w:fldCharType="begin"/>
          </w:r>
          <w:r>
            <w:instrText xml:space="preserve"> PAGEREF _Toc16766 \h </w:instrText>
          </w:r>
          <w:r>
            <w:fldChar w:fldCharType="separate"/>
          </w:r>
          <w:r>
            <w:t>181</w:t>
          </w:r>
          <w:r>
            <w:fldChar w:fldCharType="end"/>
          </w:r>
          <w:r>
            <w:rPr>
              <w:color w:val="auto"/>
              <w:highlight w:val="none"/>
            </w:rPr>
            <w:fldChar w:fldCharType="end"/>
          </w:r>
        </w:p>
        <w:p w14:paraId="1394D398">
          <w:pPr>
            <w:pStyle w:val="5"/>
            <w:tabs>
              <w:tab w:val="right" w:leader="dot" w:pos="8831"/>
            </w:tabs>
          </w:pPr>
          <w:r>
            <w:rPr>
              <w:color w:val="auto"/>
              <w:highlight w:val="none"/>
            </w:rPr>
            <w:fldChar w:fldCharType="begin"/>
          </w:r>
          <w:r>
            <w:rPr>
              <w:highlight w:val="none"/>
            </w:rPr>
            <w:instrText xml:space="preserve"> HYPERLINK \l _Toc6742 </w:instrText>
          </w:r>
          <w:r>
            <w:rPr>
              <w:highlight w:val="none"/>
            </w:rPr>
            <w:fldChar w:fldCharType="separate"/>
          </w:r>
          <w:r>
            <w:rPr>
              <w:rFonts w:hint="eastAsia" w:ascii="宋体" w:hAnsi="宋体" w:eastAsia="宋体" w:cs="宋体"/>
              <w:spacing w:val="-1"/>
              <w:szCs w:val="24"/>
              <w:highlight w:val="none"/>
            </w:rPr>
            <w:t>附件五主要机械设备和试验检测设备最低</w:t>
          </w:r>
          <w:r>
            <w:rPr>
              <w:rFonts w:hint="eastAsia" w:ascii="宋体" w:hAnsi="宋体" w:eastAsia="宋体" w:cs="宋体"/>
              <w:spacing w:val="-2"/>
              <w:szCs w:val="24"/>
              <w:highlight w:val="none"/>
            </w:rPr>
            <w:t>要求</w:t>
          </w:r>
          <w:r>
            <w:rPr>
              <w:rFonts w:hint="eastAsia" w:ascii="宋体" w:hAnsi="宋体" w:eastAsia="宋体" w:cs="宋体"/>
              <w:bCs/>
              <w:spacing w:val="-2"/>
              <w:position w:val="10"/>
              <w:szCs w:val="12"/>
              <w:highlight w:val="none"/>
            </w:rPr>
            <w:t>①</w:t>
          </w:r>
          <w:r>
            <w:tab/>
          </w:r>
          <w:r>
            <w:fldChar w:fldCharType="begin"/>
          </w:r>
          <w:r>
            <w:instrText xml:space="preserve"> PAGEREF _Toc6742 \h </w:instrText>
          </w:r>
          <w:r>
            <w:fldChar w:fldCharType="separate"/>
          </w:r>
          <w:r>
            <w:t>182</w:t>
          </w:r>
          <w:r>
            <w:fldChar w:fldCharType="end"/>
          </w:r>
          <w:r>
            <w:rPr>
              <w:color w:val="auto"/>
              <w:highlight w:val="none"/>
            </w:rPr>
            <w:fldChar w:fldCharType="end"/>
          </w:r>
        </w:p>
        <w:p w14:paraId="5B25B4F0">
          <w:pPr>
            <w:pStyle w:val="5"/>
            <w:tabs>
              <w:tab w:val="right" w:leader="dot" w:pos="8831"/>
            </w:tabs>
          </w:pPr>
          <w:r>
            <w:rPr>
              <w:color w:val="auto"/>
              <w:highlight w:val="none"/>
            </w:rPr>
            <w:fldChar w:fldCharType="begin"/>
          </w:r>
          <w:r>
            <w:rPr>
              <w:highlight w:val="none"/>
            </w:rPr>
            <w:instrText xml:space="preserve"> HYPERLINK \l _Toc8785 </w:instrText>
          </w:r>
          <w:r>
            <w:rPr>
              <w:highlight w:val="none"/>
            </w:rPr>
            <w:fldChar w:fldCharType="separate"/>
          </w:r>
          <w:r>
            <w:rPr>
              <w:rFonts w:hint="eastAsia" w:ascii="宋体" w:hAnsi="宋体" w:eastAsia="宋体" w:cs="宋体"/>
              <w:spacing w:val="-3"/>
              <w:szCs w:val="24"/>
              <w:highlight w:val="none"/>
            </w:rPr>
            <w:t>附件六项目经理委任书</w:t>
          </w:r>
          <w:r>
            <w:tab/>
          </w:r>
          <w:r>
            <w:fldChar w:fldCharType="begin"/>
          </w:r>
          <w:r>
            <w:instrText xml:space="preserve"> PAGEREF _Toc8785 \h </w:instrText>
          </w:r>
          <w:r>
            <w:fldChar w:fldCharType="separate"/>
          </w:r>
          <w:r>
            <w:t>183</w:t>
          </w:r>
          <w:r>
            <w:fldChar w:fldCharType="end"/>
          </w:r>
          <w:r>
            <w:rPr>
              <w:color w:val="auto"/>
              <w:highlight w:val="none"/>
            </w:rPr>
            <w:fldChar w:fldCharType="end"/>
          </w:r>
        </w:p>
        <w:p w14:paraId="5BD4D3F3">
          <w:pPr>
            <w:pStyle w:val="5"/>
            <w:tabs>
              <w:tab w:val="right" w:leader="dot" w:pos="8831"/>
            </w:tabs>
          </w:pPr>
          <w:r>
            <w:rPr>
              <w:color w:val="auto"/>
              <w:highlight w:val="none"/>
            </w:rPr>
            <w:fldChar w:fldCharType="begin"/>
          </w:r>
          <w:r>
            <w:rPr>
              <w:highlight w:val="none"/>
            </w:rPr>
            <w:instrText xml:space="preserve"> HYPERLINK \l _Toc522 </w:instrText>
          </w:r>
          <w:r>
            <w:rPr>
              <w:highlight w:val="none"/>
            </w:rPr>
            <w:fldChar w:fldCharType="separate"/>
          </w:r>
          <w:r>
            <w:rPr>
              <w:rFonts w:hint="eastAsia" w:ascii="宋体" w:hAnsi="宋体" w:eastAsia="宋体" w:cs="宋体"/>
              <w:spacing w:val="-3"/>
              <w:szCs w:val="24"/>
              <w:highlight w:val="none"/>
            </w:rPr>
            <w:t>附件七履约保证金格式</w:t>
          </w:r>
          <w:r>
            <w:tab/>
          </w:r>
          <w:r>
            <w:fldChar w:fldCharType="begin"/>
          </w:r>
          <w:r>
            <w:instrText xml:space="preserve"> PAGEREF _Toc522 \h </w:instrText>
          </w:r>
          <w:r>
            <w:fldChar w:fldCharType="separate"/>
          </w:r>
          <w:r>
            <w:t>184</w:t>
          </w:r>
          <w:r>
            <w:fldChar w:fldCharType="end"/>
          </w:r>
          <w:r>
            <w:rPr>
              <w:color w:val="auto"/>
              <w:highlight w:val="none"/>
            </w:rPr>
            <w:fldChar w:fldCharType="end"/>
          </w:r>
        </w:p>
        <w:p w14:paraId="3DF3EA1C">
          <w:pPr>
            <w:pStyle w:val="5"/>
            <w:tabs>
              <w:tab w:val="right" w:leader="dot" w:pos="8831"/>
            </w:tabs>
          </w:pPr>
          <w:r>
            <w:rPr>
              <w:color w:val="auto"/>
              <w:highlight w:val="none"/>
            </w:rPr>
            <w:fldChar w:fldCharType="begin"/>
          </w:r>
          <w:r>
            <w:rPr>
              <w:highlight w:val="none"/>
            </w:rPr>
            <w:instrText xml:space="preserve"> HYPERLINK \l _Toc11856 </w:instrText>
          </w:r>
          <w:r>
            <w:rPr>
              <w:highlight w:val="none"/>
            </w:rPr>
            <w:fldChar w:fldCharType="separate"/>
          </w:r>
          <w:r>
            <w:rPr>
              <w:rFonts w:hint="eastAsia" w:ascii="宋体" w:hAnsi="宋体" w:eastAsia="宋体" w:cs="宋体"/>
              <w:spacing w:val="-2"/>
              <w:szCs w:val="24"/>
              <w:highlight w:val="none"/>
            </w:rPr>
            <w:t>附件八工程资金监管协议格式</w:t>
          </w:r>
          <w:r>
            <w:tab/>
          </w:r>
          <w:r>
            <w:fldChar w:fldCharType="begin"/>
          </w:r>
          <w:r>
            <w:instrText xml:space="preserve"> PAGEREF _Toc11856 \h </w:instrText>
          </w:r>
          <w:r>
            <w:fldChar w:fldCharType="separate"/>
          </w:r>
          <w:r>
            <w:t>185</w:t>
          </w:r>
          <w:r>
            <w:fldChar w:fldCharType="end"/>
          </w:r>
          <w:r>
            <w:rPr>
              <w:color w:val="auto"/>
              <w:highlight w:val="none"/>
            </w:rPr>
            <w:fldChar w:fldCharType="end"/>
          </w:r>
        </w:p>
        <w:p w14:paraId="7C883D40">
          <w:pPr>
            <w:pStyle w:val="7"/>
            <w:tabs>
              <w:tab w:val="right" w:leader="dot" w:pos="8831"/>
            </w:tabs>
          </w:pPr>
          <w:r>
            <w:rPr>
              <w:color w:val="auto"/>
              <w:highlight w:val="none"/>
            </w:rPr>
            <w:fldChar w:fldCharType="begin"/>
          </w:r>
          <w:r>
            <w:rPr>
              <w:highlight w:val="none"/>
            </w:rPr>
            <w:instrText xml:space="preserve"> HYPERLINK \l _Toc28631 </w:instrText>
          </w:r>
          <w:r>
            <w:rPr>
              <w:highlight w:val="none"/>
            </w:rPr>
            <w:fldChar w:fldCharType="separate"/>
          </w:r>
          <w:r>
            <w:rPr>
              <w:rFonts w:hint="eastAsia" w:ascii="宋体" w:hAnsi="宋体" w:eastAsia="宋体" w:cs="宋体"/>
              <w:spacing w:val="8"/>
              <w:szCs w:val="35"/>
              <w:highlight w:val="none"/>
            </w:rPr>
            <w:t>第五章工程量清单</w:t>
          </w:r>
          <w:r>
            <w:tab/>
          </w:r>
          <w:r>
            <w:fldChar w:fldCharType="begin"/>
          </w:r>
          <w:r>
            <w:instrText xml:space="preserve"> PAGEREF _Toc28631 \h </w:instrText>
          </w:r>
          <w:r>
            <w:fldChar w:fldCharType="separate"/>
          </w:r>
          <w:r>
            <w:t>189</w:t>
          </w:r>
          <w:r>
            <w:fldChar w:fldCharType="end"/>
          </w:r>
          <w:r>
            <w:rPr>
              <w:color w:val="auto"/>
              <w:highlight w:val="none"/>
            </w:rPr>
            <w:fldChar w:fldCharType="end"/>
          </w:r>
        </w:p>
        <w:p w14:paraId="7D5D5736">
          <w:pPr>
            <w:pStyle w:val="8"/>
            <w:tabs>
              <w:tab w:val="right" w:leader="dot" w:pos="8831"/>
            </w:tabs>
          </w:pPr>
          <w:r>
            <w:rPr>
              <w:color w:val="auto"/>
              <w:highlight w:val="none"/>
            </w:rPr>
            <w:fldChar w:fldCharType="begin"/>
          </w:r>
          <w:r>
            <w:rPr>
              <w:highlight w:val="none"/>
            </w:rPr>
            <w:instrText xml:space="preserve"> HYPERLINK \l _Toc7720 </w:instrText>
          </w:r>
          <w:r>
            <w:rPr>
              <w:highlight w:val="none"/>
            </w:rPr>
            <w:fldChar w:fldCharType="separate"/>
          </w:r>
          <w:r>
            <w:rPr>
              <w:rFonts w:hint="eastAsia" w:ascii="宋体" w:hAnsi="宋体" w:eastAsia="宋体" w:cs="宋体"/>
              <w:spacing w:val="-4"/>
              <w:szCs w:val="28"/>
              <w:highlight w:val="none"/>
            </w:rPr>
            <w:t>1.</w:t>
          </w:r>
          <w:r>
            <w:rPr>
              <w:rFonts w:hint="eastAsia" w:ascii="宋体" w:hAnsi="宋体" w:eastAsia="宋体" w:cs="宋体"/>
              <w:spacing w:val="-4"/>
              <w:szCs w:val="24"/>
              <w:highlight w:val="none"/>
            </w:rPr>
            <w:t>工程量清单说明</w:t>
          </w:r>
          <w:r>
            <w:tab/>
          </w:r>
          <w:r>
            <w:fldChar w:fldCharType="begin"/>
          </w:r>
          <w:r>
            <w:instrText xml:space="preserve"> PAGEREF _Toc7720 \h </w:instrText>
          </w:r>
          <w:r>
            <w:fldChar w:fldCharType="separate"/>
          </w:r>
          <w:r>
            <w:t>189</w:t>
          </w:r>
          <w:r>
            <w:fldChar w:fldCharType="end"/>
          </w:r>
          <w:r>
            <w:rPr>
              <w:color w:val="auto"/>
              <w:highlight w:val="none"/>
            </w:rPr>
            <w:fldChar w:fldCharType="end"/>
          </w:r>
        </w:p>
        <w:p w14:paraId="06F10805">
          <w:pPr>
            <w:pStyle w:val="8"/>
            <w:tabs>
              <w:tab w:val="right" w:leader="dot" w:pos="8831"/>
            </w:tabs>
          </w:pPr>
          <w:r>
            <w:rPr>
              <w:color w:val="auto"/>
              <w:highlight w:val="none"/>
            </w:rPr>
            <w:fldChar w:fldCharType="begin"/>
          </w:r>
          <w:r>
            <w:rPr>
              <w:highlight w:val="none"/>
            </w:rPr>
            <w:instrText xml:space="preserve"> HYPERLINK \l _Toc10421 </w:instrText>
          </w:r>
          <w:r>
            <w:rPr>
              <w:highlight w:val="none"/>
            </w:rPr>
            <w:fldChar w:fldCharType="separate"/>
          </w:r>
          <w:r>
            <w:rPr>
              <w:rFonts w:hint="eastAsia" w:ascii="宋体" w:hAnsi="宋体" w:eastAsia="宋体" w:cs="宋体"/>
              <w:spacing w:val="-2"/>
              <w:szCs w:val="28"/>
              <w:highlight w:val="none"/>
            </w:rPr>
            <w:t>2.</w:t>
          </w:r>
          <w:r>
            <w:rPr>
              <w:rFonts w:hint="eastAsia" w:ascii="宋体" w:hAnsi="宋体" w:eastAsia="宋体" w:cs="宋体"/>
              <w:spacing w:val="-2"/>
              <w:szCs w:val="24"/>
              <w:highlight w:val="none"/>
            </w:rPr>
            <w:t>投标报价说明</w:t>
          </w:r>
          <w:r>
            <w:tab/>
          </w:r>
          <w:r>
            <w:fldChar w:fldCharType="begin"/>
          </w:r>
          <w:r>
            <w:instrText xml:space="preserve"> PAGEREF _Toc10421 \h </w:instrText>
          </w:r>
          <w:r>
            <w:fldChar w:fldCharType="separate"/>
          </w:r>
          <w:r>
            <w:t>189</w:t>
          </w:r>
          <w:r>
            <w:fldChar w:fldCharType="end"/>
          </w:r>
          <w:r>
            <w:rPr>
              <w:color w:val="auto"/>
              <w:highlight w:val="none"/>
            </w:rPr>
            <w:fldChar w:fldCharType="end"/>
          </w:r>
        </w:p>
        <w:p w14:paraId="66F88230">
          <w:pPr>
            <w:pStyle w:val="8"/>
            <w:tabs>
              <w:tab w:val="right" w:leader="dot" w:pos="8831"/>
            </w:tabs>
          </w:pPr>
          <w:r>
            <w:rPr>
              <w:color w:val="auto"/>
              <w:highlight w:val="none"/>
            </w:rPr>
            <w:fldChar w:fldCharType="begin"/>
          </w:r>
          <w:r>
            <w:rPr>
              <w:highlight w:val="none"/>
            </w:rPr>
            <w:instrText xml:space="preserve"> HYPERLINK \l _Toc15875 </w:instrText>
          </w:r>
          <w:r>
            <w:rPr>
              <w:highlight w:val="none"/>
            </w:rPr>
            <w:fldChar w:fldCharType="separate"/>
          </w:r>
          <w:r>
            <w:rPr>
              <w:rFonts w:hint="eastAsia" w:ascii="宋体" w:hAnsi="宋体" w:eastAsia="宋体" w:cs="宋体"/>
              <w:spacing w:val="-3"/>
              <w:szCs w:val="28"/>
              <w:highlight w:val="none"/>
            </w:rPr>
            <w:t>3.</w:t>
          </w:r>
          <w:r>
            <w:rPr>
              <w:rFonts w:hint="eastAsia" w:ascii="宋体" w:hAnsi="宋体" w:eastAsia="宋体" w:cs="宋体"/>
              <w:spacing w:val="-3"/>
              <w:szCs w:val="24"/>
              <w:highlight w:val="none"/>
            </w:rPr>
            <w:t>计日工说明</w:t>
          </w:r>
          <w:r>
            <w:tab/>
          </w:r>
          <w:r>
            <w:fldChar w:fldCharType="begin"/>
          </w:r>
          <w:r>
            <w:instrText xml:space="preserve"> PAGEREF _Toc15875 \h </w:instrText>
          </w:r>
          <w:r>
            <w:fldChar w:fldCharType="separate"/>
          </w:r>
          <w:r>
            <w:t>190</w:t>
          </w:r>
          <w:r>
            <w:fldChar w:fldCharType="end"/>
          </w:r>
          <w:r>
            <w:rPr>
              <w:color w:val="auto"/>
              <w:highlight w:val="none"/>
            </w:rPr>
            <w:fldChar w:fldCharType="end"/>
          </w:r>
        </w:p>
        <w:p w14:paraId="37D6CF60">
          <w:pPr>
            <w:pStyle w:val="8"/>
            <w:tabs>
              <w:tab w:val="right" w:leader="dot" w:pos="8831"/>
            </w:tabs>
          </w:pPr>
          <w:r>
            <w:rPr>
              <w:color w:val="auto"/>
              <w:highlight w:val="none"/>
            </w:rPr>
            <w:fldChar w:fldCharType="begin"/>
          </w:r>
          <w:r>
            <w:rPr>
              <w:highlight w:val="none"/>
            </w:rPr>
            <w:instrText xml:space="preserve"> HYPERLINK \l _Toc16106 </w:instrText>
          </w:r>
          <w:r>
            <w:rPr>
              <w:highlight w:val="none"/>
            </w:rPr>
            <w:fldChar w:fldCharType="separate"/>
          </w:r>
          <w:r>
            <w:rPr>
              <w:rFonts w:hint="eastAsia" w:ascii="宋体" w:hAnsi="宋体" w:eastAsia="宋体" w:cs="宋体"/>
              <w:spacing w:val="-4"/>
              <w:szCs w:val="28"/>
              <w:highlight w:val="none"/>
            </w:rPr>
            <w:t>4.</w:t>
          </w:r>
          <w:r>
            <w:rPr>
              <w:rFonts w:hint="eastAsia" w:ascii="宋体" w:hAnsi="宋体" w:eastAsia="宋体" w:cs="宋体"/>
              <w:spacing w:val="-4"/>
              <w:szCs w:val="24"/>
              <w:highlight w:val="none"/>
            </w:rPr>
            <w:t>其他说明</w:t>
          </w:r>
          <w:r>
            <w:tab/>
          </w:r>
          <w:r>
            <w:fldChar w:fldCharType="begin"/>
          </w:r>
          <w:r>
            <w:instrText xml:space="preserve"> PAGEREF _Toc16106 \h </w:instrText>
          </w:r>
          <w:r>
            <w:fldChar w:fldCharType="separate"/>
          </w:r>
          <w:r>
            <w:t>191</w:t>
          </w:r>
          <w:r>
            <w:fldChar w:fldCharType="end"/>
          </w:r>
          <w:r>
            <w:rPr>
              <w:color w:val="auto"/>
              <w:highlight w:val="none"/>
            </w:rPr>
            <w:fldChar w:fldCharType="end"/>
          </w:r>
        </w:p>
        <w:p w14:paraId="6729BA54">
          <w:pPr>
            <w:pStyle w:val="7"/>
            <w:tabs>
              <w:tab w:val="right" w:leader="dot" w:pos="8831"/>
            </w:tabs>
          </w:pPr>
          <w:r>
            <w:rPr>
              <w:color w:val="auto"/>
              <w:highlight w:val="none"/>
            </w:rPr>
            <w:fldChar w:fldCharType="begin"/>
          </w:r>
          <w:r>
            <w:rPr>
              <w:highlight w:val="none"/>
            </w:rPr>
            <w:instrText xml:space="preserve"> HYPERLINK \l _Toc6827 </w:instrText>
          </w:r>
          <w:r>
            <w:rPr>
              <w:highlight w:val="none"/>
            </w:rPr>
            <w:fldChar w:fldCharType="separate"/>
          </w:r>
          <w:r>
            <w:rPr>
              <w:rFonts w:hint="eastAsia" w:ascii="宋体" w:hAnsi="宋体" w:eastAsia="宋体" w:cs="宋体"/>
              <w:spacing w:val="-10"/>
              <w:szCs w:val="76"/>
              <w:highlight w:val="none"/>
            </w:rPr>
            <w:t>第二卷</w:t>
          </w:r>
          <w:r>
            <w:tab/>
          </w:r>
          <w:r>
            <w:fldChar w:fldCharType="begin"/>
          </w:r>
          <w:r>
            <w:instrText xml:space="preserve"> PAGEREF _Toc6827 \h </w:instrText>
          </w:r>
          <w:r>
            <w:fldChar w:fldCharType="separate"/>
          </w:r>
          <w:r>
            <w:t>192</w:t>
          </w:r>
          <w:r>
            <w:fldChar w:fldCharType="end"/>
          </w:r>
          <w:r>
            <w:rPr>
              <w:color w:val="auto"/>
              <w:highlight w:val="none"/>
            </w:rPr>
            <w:fldChar w:fldCharType="end"/>
          </w:r>
        </w:p>
        <w:p w14:paraId="0AA58D47">
          <w:pPr>
            <w:pStyle w:val="7"/>
            <w:tabs>
              <w:tab w:val="right" w:leader="dot" w:pos="8831"/>
            </w:tabs>
          </w:pPr>
          <w:r>
            <w:rPr>
              <w:color w:val="auto"/>
              <w:highlight w:val="none"/>
            </w:rPr>
            <w:fldChar w:fldCharType="begin"/>
          </w:r>
          <w:r>
            <w:rPr>
              <w:highlight w:val="none"/>
            </w:rPr>
            <w:instrText xml:space="preserve"> HYPERLINK \l _Toc18746 </w:instrText>
          </w:r>
          <w:r>
            <w:rPr>
              <w:highlight w:val="none"/>
            </w:rPr>
            <w:fldChar w:fldCharType="separate"/>
          </w:r>
          <w:r>
            <w:rPr>
              <w:rFonts w:hint="eastAsia" w:ascii="宋体" w:hAnsi="宋体" w:eastAsia="宋体" w:cs="宋体"/>
              <w:spacing w:val="6"/>
              <w:szCs w:val="55"/>
              <w:highlight w:val="none"/>
            </w:rPr>
            <w:t>第六章图纸（另册）</w:t>
          </w:r>
          <w:r>
            <w:tab/>
          </w:r>
          <w:r>
            <w:fldChar w:fldCharType="begin"/>
          </w:r>
          <w:r>
            <w:instrText xml:space="preserve"> PAGEREF _Toc18746 \h </w:instrText>
          </w:r>
          <w:r>
            <w:fldChar w:fldCharType="separate"/>
          </w:r>
          <w:r>
            <w:t>193</w:t>
          </w:r>
          <w:r>
            <w:fldChar w:fldCharType="end"/>
          </w:r>
          <w:r>
            <w:rPr>
              <w:color w:val="auto"/>
              <w:highlight w:val="none"/>
            </w:rPr>
            <w:fldChar w:fldCharType="end"/>
          </w:r>
        </w:p>
        <w:p w14:paraId="68BF9C55">
          <w:pPr>
            <w:pStyle w:val="7"/>
            <w:tabs>
              <w:tab w:val="right" w:leader="dot" w:pos="8831"/>
            </w:tabs>
          </w:pPr>
          <w:r>
            <w:rPr>
              <w:color w:val="auto"/>
              <w:highlight w:val="none"/>
            </w:rPr>
            <w:fldChar w:fldCharType="begin"/>
          </w:r>
          <w:r>
            <w:rPr>
              <w:highlight w:val="none"/>
            </w:rPr>
            <w:instrText xml:space="preserve"> HYPERLINK \l _Toc8334 </w:instrText>
          </w:r>
          <w:r>
            <w:rPr>
              <w:highlight w:val="none"/>
            </w:rPr>
            <w:fldChar w:fldCharType="separate"/>
          </w:r>
          <w:r>
            <w:rPr>
              <w:rFonts w:hint="eastAsia" w:ascii="宋体" w:hAnsi="宋体" w:eastAsia="宋体" w:cs="宋体"/>
              <w:spacing w:val="-10"/>
              <w:szCs w:val="76"/>
              <w:highlight w:val="none"/>
            </w:rPr>
            <w:t>第三卷</w:t>
          </w:r>
          <w:r>
            <w:tab/>
          </w:r>
          <w:r>
            <w:fldChar w:fldCharType="begin"/>
          </w:r>
          <w:r>
            <w:instrText xml:space="preserve"> PAGEREF _Toc8334 \h </w:instrText>
          </w:r>
          <w:r>
            <w:fldChar w:fldCharType="separate"/>
          </w:r>
          <w:r>
            <w:t>194</w:t>
          </w:r>
          <w:r>
            <w:fldChar w:fldCharType="end"/>
          </w:r>
          <w:r>
            <w:rPr>
              <w:color w:val="auto"/>
              <w:highlight w:val="none"/>
            </w:rPr>
            <w:fldChar w:fldCharType="end"/>
          </w:r>
        </w:p>
        <w:p w14:paraId="1A315DF9">
          <w:pPr>
            <w:pStyle w:val="7"/>
            <w:tabs>
              <w:tab w:val="right" w:leader="dot" w:pos="8831"/>
            </w:tabs>
          </w:pPr>
          <w:r>
            <w:rPr>
              <w:color w:val="auto"/>
              <w:highlight w:val="none"/>
            </w:rPr>
            <w:fldChar w:fldCharType="begin"/>
          </w:r>
          <w:r>
            <w:rPr>
              <w:highlight w:val="none"/>
            </w:rPr>
            <w:instrText xml:space="preserve"> HYPERLINK \l _Toc14395 </w:instrText>
          </w:r>
          <w:r>
            <w:rPr>
              <w:highlight w:val="none"/>
            </w:rPr>
            <w:fldChar w:fldCharType="separate"/>
          </w:r>
          <w:r>
            <w:rPr>
              <w:rFonts w:hint="eastAsia" w:ascii="宋体" w:hAnsi="宋体" w:eastAsia="宋体" w:cs="宋体"/>
              <w:spacing w:val="7"/>
              <w:szCs w:val="55"/>
              <w:highlight w:val="none"/>
            </w:rPr>
            <w:t>第七章技术规范（另册）</w:t>
          </w:r>
          <w:r>
            <w:tab/>
          </w:r>
          <w:r>
            <w:fldChar w:fldCharType="begin"/>
          </w:r>
          <w:r>
            <w:instrText xml:space="preserve"> PAGEREF _Toc14395 \h </w:instrText>
          </w:r>
          <w:r>
            <w:fldChar w:fldCharType="separate"/>
          </w:r>
          <w:r>
            <w:t>195</w:t>
          </w:r>
          <w:r>
            <w:fldChar w:fldCharType="end"/>
          </w:r>
          <w:r>
            <w:rPr>
              <w:color w:val="auto"/>
              <w:highlight w:val="none"/>
            </w:rPr>
            <w:fldChar w:fldCharType="end"/>
          </w:r>
        </w:p>
        <w:p w14:paraId="39D9040A">
          <w:pPr>
            <w:pStyle w:val="7"/>
            <w:tabs>
              <w:tab w:val="right" w:leader="dot" w:pos="8831"/>
            </w:tabs>
          </w:pPr>
          <w:r>
            <w:rPr>
              <w:color w:val="auto"/>
              <w:highlight w:val="none"/>
            </w:rPr>
            <w:fldChar w:fldCharType="begin"/>
          </w:r>
          <w:r>
            <w:rPr>
              <w:highlight w:val="none"/>
            </w:rPr>
            <w:instrText xml:space="preserve"> HYPERLINK \l _Toc1062 </w:instrText>
          </w:r>
          <w:r>
            <w:rPr>
              <w:highlight w:val="none"/>
            </w:rPr>
            <w:fldChar w:fldCharType="separate"/>
          </w:r>
          <w:r>
            <w:rPr>
              <w:rFonts w:hint="eastAsia" w:ascii="宋体" w:hAnsi="宋体" w:eastAsia="宋体" w:cs="宋体"/>
              <w:spacing w:val="8"/>
              <w:szCs w:val="55"/>
              <w:highlight w:val="none"/>
            </w:rPr>
            <w:t>第八章工程量清单计量规则</w:t>
          </w:r>
          <w:r>
            <w:tab/>
          </w:r>
          <w:r>
            <w:fldChar w:fldCharType="begin"/>
          </w:r>
          <w:r>
            <w:instrText xml:space="preserve"> PAGEREF _Toc1062 \h </w:instrText>
          </w:r>
          <w:r>
            <w:fldChar w:fldCharType="separate"/>
          </w:r>
          <w:r>
            <w:t>196</w:t>
          </w:r>
          <w:r>
            <w:fldChar w:fldCharType="end"/>
          </w:r>
          <w:r>
            <w:rPr>
              <w:color w:val="auto"/>
              <w:highlight w:val="none"/>
            </w:rPr>
            <w:fldChar w:fldCharType="end"/>
          </w:r>
        </w:p>
        <w:p w14:paraId="2157C16E">
          <w:pPr>
            <w:pStyle w:val="7"/>
            <w:tabs>
              <w:tab w:val="right" w:leader="dot" w:pos="8831"/>
            </w:tabs>
          </w:pPr>
          <w:r>
            <w:rPr>
              <w:color w:val="auto"/>
              <w:highlight w:val="none"/>
            </w:rPr>
            <w:fldChar w:fldCharType="begin"/>
          </w:r>
          <w:r>
            <w:rPr>
              <w:highlight w:val="none"/>
            </w:rPr>
            <w:instrText xml:space="preserve"> HYPERLINK \l _Toc25536 </w:instrText>
          </w:r>
          <w:r>
            <w:rPr>
              <w:highlight w:val="none"/>
            </w:rPr>
            <w:fldChar w:fldCharType="separate"/>
          </w:r>
          <w:r>
            <w:rPr>
              <w:rFonts w:hint="eastAsia" w:ascii="宋体" w:hAnsi="宋体" w:eastAsia="宋体" w:cs="宋体"/>
              <w:spacing w:val="-10"/>
              <w:szCs w:val="76"/>
              <w:highlight w:val="none"/>
            </w:rPr>
            <w:t>第四卷</w:t>
          </w:r>
          <w:r>
            <w:tab/>
          </w:r>
          <w:r>
            <w:fldChar w:fldCharType="begin"/>
          </w:r>
          <w:r>
            <w:instrText xml:space="preserve"> PAGEREF _Toc25536 \h </w:instrText>
          </w:r>
          <w:r>
            <w:fldChar w:fldCharType="separate"/>
          </w:r>
          <w:r>
            <w:t>197</w:t>
          </w:r>
          <w:r>
            <w:fldChar w:fldCharType="end"/>
          </w:r>
          <w:r>
            <w:rPr>
              <w:color w:val="auto"/>
              <w:highlight w:val="none"/>
            </w:rPr>
            <w:fldChar w:fldCharType="end"/>
          </w:r>
        </w:p>
        <w:p w14:paraId="5E7635CA">
          <w:pPr>
            <w:pStyle w:val="7"/>
            <w:tabs>
              <w:tab w:val="right" w:leader="dot" w:pos="8831"/>
            </w:tabs>
          </w:pPr>
          <w:r>
            <w:rPr>
              <w:color w:val="auto"/>
              <w:highlight w:val="none"/>
            </w:rPr>
            <w:fldChar w:fldCharType="begin"/>
          </w:r>
          <w:r>
            <w:rPr>
              <w:highlight w:val="none"/>
            </w:rPr>
            <w:instrText xml:space="preserve"> HYPERLINK \l _Toc17999 </w:instrText>
          </w:r>
          <w:r>
            <w:rPr>
              <w:highlight w:val="none"/>
            </w:rPr>
            <w:fldChar w:fldCharType="separate"/>
          </w:r>
          <w:r>
            <w:rPr>
              <w:rFonts w:hint="eastAsia" w:ascii="宋体" w:hAnsi="宋体" w:eastAsia="宋体" w:cs="宋体"/>
              <w:spacing w:val="6"/>
              <w:szCs w:val="55"/>
              <w:highlight w:val="none"/>
            </w:rPr>
            <w:t>第九章投标文件格式</w:t>
          </w:r>
          <w:r>
            <w:rPr>
              <w:rFonts w:hint="eastAsia" w:ascii="宋体" w:hAnsi="宋体" w:eastAsia="宋体" w:cs="宋体"/>
              <w:bCs/>
              <w:spacing w:val="6"/>
              <w:position w:val="24"/>
              <w:szCs w:val="28"/>
              <w:highlight w:val="none"/>
            </w:rPr>
            <w:t>①</w:t>
          </w:r>
          <w:r>
            <w:tab/>
          </w:r>
          <w:r>
            <w:fldChar w:fldCharType="begin"/>
          </w:r>
          <w:r>
            <w:instrText xml:space="preserve"> PAGEREF _Toc17999 \h </w:instrText>
          </w:r>
          <w:r>
            <w:fldChar w:fldCharType="separate"/>
          </w:r>
          <w:r>
            <w:t>198</w:t>
          </w:r>
          <w:r>
            <w:fldChar w:fldCharType="end"/>
          </w:r>
          <w:r>
            <w:rPr>
              <w:color w:val="auto"/>
              <w:highlight w:val="none"/>
            </w:rPr>
            <w:fldChar w:fldCharType="end"/>
          </w:r>
        </w:p>
        <w:p w14:paraId="1D05D4FF">
          <w:pPr>
            <w:pStyle w:val="8"/>
            <w:tabs>
              <w:tab w:val="right" w:leader="dot" w:pos="8831"/>
            </w:tabs>
          </w:pPr>
          <w:r>
            <w:rPr>
              <w:color w:val="auto"/>
              <w:highlight w:val="none"/>
            </w:rPr>
            <w:fldChar w:fldCharType="begin"/>
          </w:r>
          <w:r>
            <w:rPr>
              <w:highlight w:val="none"/>
            </w:rPr>
            <w:instrText xml:space="preserve"> HYPERLINK \l _Toc30782 </w:instrText>
          </w:r>
          <w:r>
            <w:rPr>
              <w:highlight w:val="none"/>
            </w:rPr>
            <w:fldChar w:fldCharType="separate"/>
          </w:r>
          <w:r>
            <w:rPr>
              <w:rFonts w:hint="eastAsia" w:ascii="宋体" w:hAnsi="宋体" w:eastAsia="宋体" w:cs="宋体"/>
              <w:spacing w:val="6"/>
              <w:szCs w:val="31"/>
              <w:highlight w:val="none"/>
            </w:rPr>
            <w:t>（第一信封商务及技术文件）</w:t>
          </w:r>
          <w:r>
            <w:tab/>
          </w:r>
          <w:r>
            <w:fldChar w:fldCharType="begin"/>
          </w:r>
          <w:r>
            <w:instrText xml:space="preserve"> PAGEREF _Toc30782 \h </w:instrText>
          </w:r>
          <w:r>
            <w:fldChar w:fldCharType="separate"/>
          </w:r>
          <w:r>
            <w:t>199</w:t>
          </w:r>
          <w:r>
            <w:fldChar w:fldCharType="end"/>
          </w:r>
          <w:r>
            <w:rPr>
              <w:color w:val="auto"/>
              <w:highlight w:val="none"/>
            </w:rPr>
            <w:fldChar w:fldCharType="end"/>
          </w:r>
        </w:p>
        <w:p w14:paraId="262152AB">
          <w:pPr>
            <w:pStyle w:val="8"/>
            <w:tabs>
              <w:tab w:val="right" w:leader="dot" w:pos="8831"/>
            </w:tabs>
          </w:pPr>
          <w:r>
            <w:rPr>
              <w:color w:val="auto"/>
              <w:highlight w:val="none"/>
            </w:rPr>
            <w:fldChar w:fldCharType="begin"/>
          </w:r>
          <w:r>
            <w:rPr>
              <w:highlight w:val="none"/>
            </w:rPr>
            <w:instrText xml:space="preserve"> HYPERLINK \l _Toc31883 </w:instrText>
          </w:r>
          <w:r>
            <w:rPr>
              <w:highlight w:val="none"/>
            </w:rPr>
            <w:fldChar w:fldCharType="separate"/>
          </w:r>
          <w:r>
            <w:rPr>
              <w:rFonts w:hint="eastAsia" w:ascii="宋体" w:hAnsi="宋体" w:eastAsia="宋体" w:cs="宋体"/>
              <w:spacing w:val="-2"/>
              <w:szCs w:val="30"/>
              <w:highlight w:val="none"/>
            </w:rPr>
            <w:t>一、投标函及投标函附录</w:t>
          </w:r>
          <w:r>
            <w:tab/>
          </w:r>
          <w:r>
            <w:fldChar w:fldCharType="begin"/>
          </w:r>
          <w:r>
            <w:instrText xml:space="preserve"> PAGEREF _Toc31883 \h </w:instrText>
          </w:r>
          <w:r>
            <w:fldChar w:fldCharType="separate"/>
          </w:r>
          <w:r>
            <w:t>209</w:t>
          </w:r>
          <w:r>
            <w:fldChar w:fldCharType="end"/>
          </w:r>
          <w:r>
            <w:rPr>
              <w:color w:val="auto"/>
              <w:highlight w:val="none"/>
            </w:rPr>
            <w:fldChar w:fldCharType="end"/>
          </w:r>
        </w:p>
        <w:p w14:paraId="39604EFC">
          <w:pPr>
            <w:pStyle w:val="5"/>
            <w:tabs>
              <w:tab w:val="right" w:leader="dot" w:pos="8831"/>
            </w:tabs>
          </w:pPr>
          <w:r>
            <w:rPr>
              <w:color w:val="auto"/>
              <w:highlight w:val="none"/>
            </w:rPr>
            <w:fldChar w:fldCharType="begin"/>
          </w:r>
          <w:r>
            <w:rPr>
              <w:highlight w:val="none"/>
            </w:rPr>
            <w:instrText xml:space="preserve"> HYPERLINK \l _Toc27785 </w:instrText>
          </w:r>
          <w:r>
            <w:rPr>
              <w:highlight w:val="none"/>
            </w:rPr>
            <w:fldChar w:fldCharType="separate"/>
          </w:r>
          <w:r>
            <w:rPr>
              <w:rFonts w:hint="eastAsia" w:ascii="宋体" w:hAnsi="宋体" w:eastAsia="宋体" w:cs="宋体"/>
              <w:spacing w:val="-5"/>
              <w:szCs w:val="28"/>
              <w:highlight w:val="none"/>
            </w:rPr>
            <w:t>（一）投标函</w:t>
          </w:r>
          <w:r>
            <w:tab/>
          </w:r>
          <w:r>
            <w:fldChar w:fldCharType="begin"/>
          </w:r>
          <w:r>
            <w:instrText xml:space="preserve"> PAGEREF _Toc27785 \h </w:instrText>
          </w:r>
          <w:r>
            <w:fldChar w:fldCharType="separate"/>
          </w:r>
          <w:r>
            <w:t>209</w:t>
          </w:r>
          <w:r>
            <w:fldChar w:fldCharType="end"/>
          </w:r>
          <w:r>
            <w:rPr>
              <w:color w:val="auto"/>
              <w:highlight w:val="none"/>
            </w:rPr>
            <w:fldChar w:fldCharType="end"/>
          </w:r>
        </w:p>
        <w:p w14:paraId="33A7D72F">
          <w:pPr>
            <w:pStyle w:val="5"/>
            <w:tabs>
              <w:tab w:val="right" w:leader="dot" w:pos="8831"/>
            </w:tabs>
          </w:pPr>
          <w:r>
            <w:rPr>
              <w:color w:val="auto"/>
              <w:highlight w:val="none"/>
            </w:rPr>
            <w:fldChar w:fldCharType="begin"/>
          </w:r>
          <w:r>
            <w:rPr>
              <w:highlight w:val="none"/>
            </w:rPr>
            <w:instrText xml:space="preserve"> HYPERLINK \l _Toc1104 </w:instrText>
          </w:r>
          <w:r>
            <w:rPr>
              <w:highlight w:val="none"/>
            </w:rPr>
            <w:fldChar w:fldCharType="separate"/>
          </w:r>
          <w:r>
            <w:rPr>
              <w:rFonts w:hint="eastAsia" w:ascii="宋体" w:hAnsi="宋体" w:eastAsia="宋体" w:cs="宋体"/>
              <w:spacing w:val="-5"/>
              <w:szCs w:val="30"/>
              <w:highlight w:val="none"/>
            </w:rPr>
            <w:t>（二）投标函附录</w:t>
          </w:r>
          <w:r>
            <w:tab/>
          </w:r>
          <w:r>
            <w:fldChar w:fldCharType="begin"/>
          </w:r>
          <w:r>
            <w:instrText xml:space="preserve"> PAGEREF _Toc1104 \h </w:instrText>
          </w:r>
          <w:r>
            <w:fldChar w:fldCharType="separate"/>
          </w:r>
          <w:r>
            <w:t>210</w:t>
          </w:r>
          <w:r>
            <w:fldChar w:fldCharType="end"/>
          </w:r>
          <w:r>
            <w:rPr>
              <w:color w:val="auto"/>
              <w:highlight w:val="none"/>
            </w:rPr>
            <w:fldChar w:fldCharType="end"/>
          </w:r>
        </w:p>
        <w:p w14:paraId="45C19977">
          <w:pPr>
            <w:pStyle w:val="8"/>
            <w:tabs>
              <w:tab w:val="right" w:leader="dot" w:pos="8831"/>
            </w:tabs>
          </w:pPr>
          <w:r>
            <w:rPr>
              <w:color w:val="auto"/>
              <w:highlight w:val="none"/>
            </w:rPr>
            <w:fldChar w:fldCharType="begin"/>
          </w:r>
          <w:r>
            <w:rPr>
              <w:highlight w:val="none"/>
            </w:rPr>
            <w:instrText xml:space="preserve"> HYPERLINK \l _Toc10856 </w:instrText>
          </w:r>
          <w:r>
            <w:rPr>
              <w:highlight w:val="none"/>
            </w:rPr>
            <w:fldChar w:fldCharType="separate"/>
          </w:r>
          <w:r>
            <w:rPr>
              <w:rFonts w:hint="eastAsia" w:ascii="宋体" w:hAnsi="宋体" w:eastAsia="宋体" w:cs="宋体"/>
              <w:spacing w:val="-1"/>
              <w:szCs w:val="30"/>
              <w:highlight w:val="none"/>
            </w:rPr>
            <w:t>二、授权委托书或法定代表人身份证明</w:t>
          </w:r>
          <w:r>
            <w:tab/>
          </w:r>
          <w:r>
            <w:fldChar w:fldCharType="begin"/>
          </w:r>
          <w:r>
            <w:instrText xml:space="preserve"> PAGEREF _Toc10856 \h </w:instrText>
          </w:r>
          <w:r>
            <w:fldChar w:fldCharType="separate"/>
          </w:r>
          <w:r>
            <w:t>212</w:t>
          </w:r>
          <w:r>
            <w:fldChar w:fldCharType="end"/>
          </w:r>
          <w:r>
            <w:rPr>
              <w:color w:val="auto"/>
              <w:highlight w:val="none"/>
            </w:rPr>
            <w:fldChar w:fldCharType="end"/>
          </w:r>
        </w:p>
        <w:p w14:paraId="60BA86AD">
          <w:pPr>
            <w:pStyle w:val="5"/>
            <w:tabs>
              <w:tab w:val="right" w:leader="dot" w:pos="8831"/>
            </w:tabs>
          </w:pPr>
          <w:r>
            <w:rPr>
              <w:color w:val="auto"/>
              <w:highlight w:val="none"/>
            </w:rPr>
            <w:fldChar w:fldCharType="begin"/>
          </w:r>
          <w:r>
            <w:rPr>
              <w:highlight w:val="none"/>
            </w:rPr>
            <w:instrText xml:space="preserve"> HYPERLINK \l _Toc16844 </w:instrText>
          </w:r>
          <w:r>
            <w:rPr>
              <w:highlight w:val="none"/>
            </w:rPr>
            <w:fldChar w:fldCharType="separate"/>
          </w:r>
          <w:r>
            <w:rPr>
              <w:rFonts w:hint="eastAsia" w:ascii="宋体" w:hAnsi="宋体" w:eastAsia="宋体" w:cs="宋体"/>
              <w:bCs/>
              <w:spacing w:val="-4"/>
              <w:szCs w:val="28"/>
              <w:highlight w:val="none"/>
            </w:rPr>
            <w:t>（一）</w:t>
          </w:r>
          <w:r>
            <w:rPr>
              <w:rFonts w:hint="eastAsia" w:ascii="宋体" w:hAnsi="宋体" w:eastAsia="宋体" w:cs="宋体"/>
              <w:spacing w:val="-4"/>
              <w:szCs w:val="28"/>
              <w:highlight w:val="none"/>
            </w:rPr>
            <w:t>授权委托书</w:t>
          </w:r>
          <w:r>
            <w:rPr>
              <w:rFonts w:hint="eastAsia" w:ascii="宋体" w:hAnsi="宋体" w:eastAsia="宋体" w:cs="宋体"/>
              <w:bCs/>
              <w:spacing w:val="-4"/>
              <w:position w:val="12"/>
              <w:szCs w:val="13"/>
              <w:highlight w:val="none"/>
            </w:rPr>
            <w:t>①</w:t>
          </w:r>
          <w:r>
            <w:tab/>
          </w:r>
          <w:r>
            <w:fldChar w:fldCharType="begin"/>
          </w:r>
          <w:r>
            <w:instrText xml:space="preserve"> PAGEREF _Toc16844 \h </w:instrText>
          </w:r>
          <w:r>
            <w:fldChar w:fldCharType="separate"/>
          </w:r>
          <w:r>
            <w:t>212</w:t>
          </w:r>
          <w:r>
            <w:fldChar w:fldCharType="end"/>
          </w:r>
          <w:r>
            <w:rPr>
              <w:color w:val="auto"/>
              <w:highlight w:val="none"/>
            </w:rPr>
            <w:fldChar w:fldCharType="end"/>
          </w:r>
        </w:p>
        <w:p w14:paraId="313928C1">
          <w:pPr>
            <w:pStyle w:val="5"/>
            <w:tabs>
              <w:tab w:val="right" w:leader="dot" w:pos="8831"/>
            </w:tabs>
          </w:pPr>
          <w:r>
            <w:rPr>
              <w:color w:val="auto"/>
              <w:highlight w:val="none"/>
            </w:rPr>
            <w:fldChar w:fldCharType="begin"/>
          </w:r>
          <w:r>
            <w:rPr>
              <w:highlight w:val="none"/>
            </w:rPr>
            <w:instrText xml:space="preserve"> HYPERLINK \l _Toc10440 </w:instrText>
          </w:r>
          <w:r>
            <w:rPr>
              <w:highlight w:val="none"/>
            </w:rPr>
            <w:fldChar w:fldCharType="separate"/>
          </w:r>
          <w:r>
            <w:rPr>
              <w:rFonts w:hint="eastAsia" w:ascii="宋体" w:hAnsi="宋体" w:eastAsia="宋体" w:cs="宋体"/>
              <w:spacing w:val="-3"/>
              <w:szCs w:val="28"/>
              <w:highlight w:val="none"/>
            </w:rPr>
            <w:t>（二）法定代表人身份证明</w:t>
          </w:r>
          <w:r>
            <w:tab/>
          </w:r>
          <w:r>
            <w:fldChar w:fldCharType="begin"/>
          </w:r>
          <w:r>
            <w:instrText xml:space="preserve"> PAGEREF _Toc10440 \h </w:instrText>
          </w:r>
          <w:r>
            <w:fldChar w:fldCharType="separate"/>
          </w:r>
          <w:r>
            <w:t>213</w:t>
          </w:r>
          <w:r>
            <w:fldChar w:fldCharType="end"/>
          </w:r>
          <w:r>
            <w:rPr>
              <w:color w:val="auto"/>
              <w:highlight w:val="none"/>
            </w:rPr>
            <w:fldChar w:fldCharType="end"/>
          </w:r>
        </w:p>
        <w:p w14:paraId="59AEB9E7">
          <w:pPr>
            <w:pStyle w:val="8"/>
            <w:tabs>
              <w:tab w:val="right" w:leader="dot" w:pos="8831"/>
            </w:tabs>
          </w:pPr>
          <w:r>
            <w:rPr>
              <w:color w:val="auto"/>
              <w:highlight w:val="none"/>
            </w:rPr>
            <w:fldChar w:fldCharType="begin"/>
          </w:r>
          <w:r>
            <w:rPr>
              <w:highlight w:val="none"/>
            </w:rPr>
            <w:instrText xml:space="preserve"> HYPERLINK \l _Toc19912 </w:instrText>
          </w:r>
          <w:r>
            <w:rPr>
              <w:highlight w:val="none"/>
            </w:rPr>
            <w:fldChar w:fldCharType="separate"/>
          </w:r>
          <w:r>
            <w:rPr>
              <w:rFonts w:hint="eastAsia" w:ascii="宋体" w:hAnsi="宋体" w:eastAsia="宋体" w:cs="宋体"/>
              <w:bCs/>
              <w:spacing w:val="-2"/>
              <w:szCs w:val="30"/>
              <w:highlight w:val="none"/>
            </w:rPr>
            <w:t>三、</w:t>
          </w:r>
          <w:r>
            <w:rPr>
              <w:rFonts w:hint="eastAsia" w:ascii="宋体" w:hAnsi="宋体" w:eastAsia="宋体" w:cs="宋体"/>
              <w:spacing w:val="-2"/>
              <w:szCs w:val="30"/>
              <w:highlight w:val="none"/>
            </w:rPr>
            <w:t>联合体协议书</w:t>
          </w:r>
          <w:r>
            <w:rPr>
              <w:rFonts w:hint="eastAsia" w:ascii="宋体" w:hAnsi="宋体" w:eastAsia="宋体" w:cs="宋体"/>
              <w:bCs/>
              <w:spacing w:val="-2"/>
              <w:position w:val="12"/>
              <w:szCs w:val="13"/>
              <w:highlight w:val="none"/>
            </w:rPr>
            <w:t>①</w:t>
          </w:r>
          <w:r>
            <w:tab/>
          </w:r>
          <w:r>
            <w:fldChar w:fldCharType="begin"/>
          </w:r>
          <w:r>
            <w:instrText xml:space="preserve"> PAGEREF _Toc19912 \h </w:instrText>
          </w:r>
          <w:r>
            <w:fldChar w:fldCharType="separate"/>
          </w:r>
          <w:r>
            <w:t>214</w:t>
          </w:r>
          <w:r>
            <w:fldChar w:fldCharType="end"/>
          </w:r>
          <w:r>
            <w:rPr>
              <w:color w:val="auto"/>
              <w:highlight w:val="none"/>
            </w:rPr>
            <w:fldChar w:fldCharType="end"/>
          </w:r>
        </w:p>
        <w:p w14:paraId="738AAF96">
          <w:pPr>
            <w:pStyle w:val="8"/>
            <w:tabs>
              <w:tab w:val="right" w:leader="dot" w:pos="8831"/>
            </w:tabs>
          </w:pPr>
          <w:r>
            <w:rPr>
              <w:color w:val="auto"/>
              <w:highlight w:val="none"/>
            </w:rPr>
            <w:fldChar w:fldCharType="begin"/>
          </w:r>
          <w:r>
            <w:rPr>
              <w:highlight w:val="none"/>
            </w:rPr>
            <w:instrText xml:space="preserve"> HYPERLINK \l _Toc27806 </w:instrText>
          </w:r>
          <w:r>
            <w:rPr>
              <w:highlight w:val="none"/>
            </w:rPr>
            <w:fldChar w:fldCharType="separate"/>
          </w:r>
          <w:r>
            <w:rPr>
              <w:rFonts w:hint="eastAsia" w:ascii="宋体" w:hAnsi="宋体" w:eastAsia="宋体" w:cs="宋体"/>
              <w:spacing w:val="-4"/>
              <w:szCs w:val="28"/>
              <w:highlight w:val="none"/>
            </w:rPr>
            <w:t>四、投标保证金</w:t>
          </w:r>
          <w:r>
            <w:tab/>
          </w:r>
          <w:r>
            <w:fldChar w:fldCharType="begin"/>
          </w:r>
          <w:r>
            <w:instrText xml:space="preserve"> PAGEREF _Toc27806 \h </w:instrText>
          </w:r>
          <w:r>
            <w:fldChar w:fldCharType="separate"/>
          </w:r>
          <w:r>
            <w:t>215</w:t>
          </w:r>
          <w:r>
            <w:fldChar w:fldCharType="end"/>
          </w:r>
          <w:r>
            <w:rPr>
              <w:color w:val="auto"/>
              <w:highlight w:val="none"/>
            </w:rPr>
            <w:fldChar w:fldCharType="end"/>
          </w:r>
        </w:p>
        <w:p w14:paraId="04E8F666">
          <w:pPr>
            <w:pStyle w:val="8"/>
            <w:tabs>
              <w:tab w:val="right" w:leader="dot" w:pos="8831"/>
            </w:tabs>
          </w:pPr>
          <w:r>
            <w:rPr>
              <w:color w:val="auto"/>
              <w:highlight w:val="none"/>
            </w:rPr>
            <w:fldChar w:fldCharType="begin"/>
          </w:r>
          <w:r>
            <w:rPr>
              <w:highlight w:val="none"/>
            </w:rPr>
            <w:instrText xml:space="preserve"> HYPERLINK \l _Toc21385 </w:instrText>
          </w:r>
          <w:r>
            <w:rPr>
              <w:highlight w:val="none"/>
            </w:rPr>
            <w:fldChar w:fldCharType="separate"/>
          </w:r>
          <w:r>
            <w:rPr>
              <w:rFonts w:hint="eastAsia" w:ascii="宋体" w:hAnsi="宋体" w:eastAsia="宋体" w:cs="宋体"/>
              <w:spacing w:val="-3"/>
              <w:szCs w:val="28"/>
              <w:highlight w:val="none"/>
            </w:rPr>
            <w:t>五、施工组织设计</w:t>
          </w:r>
          <w:r>
            <w:tab/>
          </w:r>
          <w:r>
            <w:fldChar w:fldCharType="begin"/>
          </w:r>
          <w:r>
            <w:instrText xml:space="preserve"> PAGEREF _Toc21385 \h </w:instrText>
          </w:r>
          <w:r>
            <w:fldChar w:fldCharType="separate"/>
          </w:r>
          <w:r>
            <w:t>217</w:t>
          </w:r>
          <w:r>
            <w:fldChar w:fldCharType="end"/>
          </w:r>
          <w:r>
            <w:rPr>
              <w:color w:val="auto"/>
              <w:highlight w:val="none"/>
            </w:rPr>
            <w:fldChar w:fldCharType="end"/>
          </w:r>
        </w:p>
        <w:p w14:paraId="5C8D43A4">
          <w:pPr>
            <w:pStyle w:val="8"/>
            <w:tabs>
              <w:tab w:val="right" w:leader="dot" w:pos="8831"/>
            </w:tabs>
          </w:pPr>
          <w:r>
            <w:rPr>
              <w:color w:val="auto"/>
              <w:highlight w:val="none"/>
            </w:rPr>
            <w:fldChar w:fldCharType="begin"/>
          </w:r>
          <w:r>
            <w:rPr>
              <w:highlight w:val="none"/>
            </w:rPr>
            <w:instrText xml:space="preserve"> HYPERLINK \l _Toc19891 </w:instrText>
          </w:r>
          <w:r>
            <w:rPr>
              <w:highlight w:val="none"/>
            </w:rPr>
            <w:fldChar w:fldCharType="separate"/>
          </w:r>
          <w:r>
            <w:rPr>
              <w:rFonts w:hint="eastAsia" w:ascii="宋体" w:hAnsi="宋体" w:eastAsia="宋体" w:cs="宋体"/>
              <w:spacing w:val="-3"/>
              <w:szCs w:val="28"/>
              <w:highlight w:val="none"/>
            </w:rPr>
            <w:t>五、施工组织设计</w:t>
          </w:r>
          <w:r>
            <w:tab/>
          </w:r>
          <w:r>
            <w:fldChar w:fldCharType="begin"/>
          </w:r>
          <w:r>
            <w:instrText xml:space="preserve"> PAGEREF _Toc19891 \h </w:instrText>
          </w:r>
          <w:r>
            <w:fldChar w:fldCharType="separate"/>
          </w:r>
          <w:r>
            <w:t>218</w:t>
          </w:r>
          <w:r>
            <w:fldChar w:fldCharType="end"/>
          </w:r>
          <w:r>
            <w:rPr>
              <w:color w:val="auto"/>
              <w:highlight w:val="none"/>
            </w:rPr>
            <w:fldChar w:fldCharType="end"/>
          </w:r>
        </w:p>
        <w:p w14:paraId="6887AD83">
          <w:pPr>
            <w:pStyle w:val="5"/>
            <w:tabs>
              <w:tab w:val="right" w:leader="dot" w:pos="8831"/>
            </w:tabs>
          </w:pPr>
          <w:r>
            <w:rPr>
              <w:color w:val="auto"/>
              <w:highlight w:val="none"/>
            </w:rPr>
            <w:fldChar w:fldCharType="begin"/>
          </w:r>
          <w:r>
            <w:rPr>
              <w:highlight w:val="none"/>
            </w:rPr>
            <w:instrText xml:space="preserve"> HYPERLINK \l _Toc9957 </w:instrText>
          </w:r>
          <w:r>
            <w:rPr>
              <w:highlight w:val="none"/>
            </w:rPr>
            <w:fldChar w:fldCharType="separate"/>
          </w:r>
          <w:r>
            <w:rPr>
              <w:rFonts w:hint="eastAsia" w:ascii="宋体" w:hAnsi="宋体" w:eastAsia="宋体" w:cs="宋体"/>
              <w:spacing w:val="-3"/>
              <w:szCs w:val="28"/>
              <w:highlight w:val="none"/>
            </w:rPr>
            <w:t>附表一施工总体计划表</w:t>
          </w:r>
          <w:r>
            <w:tab/>
          </w:r>
          <w:r>
            <w:fldChar w:fldCharType="begin"/>
          </w:r>
          <w:r>
            <w:instrText xml:space="preserve"> PAGEREF _Toc9957 \h </w:instrText>
          </w:r>
          <w:r>
            <w:fldChar w:fldCharType="separate"/>
          </w:r>
          <w:r>
            <w:t>219</w:t>
          </w:r>
          <w:r>
            <w:fldChar w:fldCharType="end"/>
          </w:r>
          <w:r>
            <w:rPr>
              <w:color w:val="auto"/>
              <w:highlight w:val="none"/>
            </w:rPr>
            <w:fldChar w:fldCharType="end"/>
          </w:r>
        </w:p>
        <w:p w14:paraId="6B19E3B9">
          <w:pPr>
            <w:pStyle w:val="5"/>
            <w:tabs>
              <w:tab w:val="right" w:leader="dot" w:pos="8831"/>
            </w:tabs>
          </w:pPr>
          <w:r>
            <w:rPr>
              <w:color w:val="auto"/>
              <w:highlight w:val="none"/>
            </w:rPr>
            <w:fldChar w:fldCharType="begin"/>
          </w:r>
          <w:r>
            <w:rPr>
              <w:highlight w:val="none"/>
            </w:rPr>
            <w:instrText xml:space="preserve"> HYPERLINK \l _Toc1774 </w:instrText>
          </w:r>
          <w:r>
            <w:rPr>
              <w:highlight w:val="none"/>
            </w:rPr>
            <w:fldChar w:fldCharType="separate"/>
          </w:r>
          <w:r>
            <w:rPr>
              <w:rFonts w:hint="eastAsia" w:ascii="宋体" w:hAnsi="宋体" w:eastAsia="宋体" w:cs="宋体"/>
              <w:spacing w:val="-2"/>
              <w:szCs w:val="28"/>
              <w:highlight w:val="none"/>
            </w:rPr>
            <w:t>附表二分项工程进度率计划（斜率图）</w:t>
          </w:r>
          <w:r>
            <w:tab/>
          </w:r>
          <w:r>
            <w:fldChar w:fldCharType="begin"/>
          </w:r>
          <w:r>
            <w:instrText xml:space="preserve"> PAGEREF _Toc1774 \h </w:instrText>
          </w:r>
          <w:r>
            <w:fldChar w:fldCharType="separate"/>
          </w:r>
          <w:r>
            <w:t>220</w:t>
          </w:r>
          <w:r>
            <w:fldChar w:fldCharType="end"/>
          </w:r>
          <w:r>
            <w:rPr>
              <w:color w:val="auto"/>
              <w:highlight w:val="none"/>
            </w:rPr>
            <w:fldChar w:fldCharType="end"/>
          </w:r>
        </w:p>
        <w:p w14:paraId="5558CD88">
          <w:pPr>
            <w:pStyle w:val="5"/>
            <w:tabs>
              <w:tab w:val="right" w:leader="dot" w:pos="8831"/>
            </w:tabs>
          </w:pPr>
          <w:r>
            <w:rPr>
              <w:color w:val="auto"/>
              <w:highlight w:val="none"/>
            </w:rPr>
            <w:fldChar w:fldCharType="begin"/>
          </w:r>
          <w:r>
            <w:rPr>
              <w:highlight w:val="none"/>
            </w:rPr>
            <w:instrText xml:space="preserve"> HYPERLINK \l _Toc7147 </w:instrText>
          </w:r>
          <w:r>
            <w:rPr>
              <w:highlight w:val="none"/>
            </w:rPr>
            <w:fldChar w:fldCharType="separate"/>
          </w:r>
          <w:r>
            <w:rPr>
              <w:rFonts w:hint="eastAsia" w:ascii="宋体" w:hAnsi="宋体" w:eastAsia="宋体" w:cs="宋体"/>
              <w:spacing w:val="-3"/>
              <w:szCs w:val="28"/>
              <w:highlight w:val="none"/>
            </w:rPr>
            <w:t>附表三工程管理曲线</w:t>
          </w:r>
          <w:r>
            <w:tab/>
          </w:r>
          <w:r>
            <w:fldChar w:fldCharType="begin"/>
          </w:r>
          <w:r>
            <w:instrText xml:space="preserve"> PAGEREF _Toc7147 \h </w:instrText>
          </w:r>
          <w:r>
            <w:fldChar w:fldCharType="separate"/>
          </w:r>
          <w:r>
            <w:t>221</w:t>
          </w:r>
          <w:r>
            <w:fldChar w:fldCharType="end"/>
          </w:r>
          <w:r>
            <w:rPr>
              <w:color w:val="auto"/>
              <w:highlight w:val="none"/>
            </w:rPr>
            <w:fldChar w:fldCharType="end"/>
          </w:r>
        </w:p>
        <w:p w14:paraId="62DC3F99">
          <w:pPr>
            <w:pStyle w:val="5"/>
            <w:tabs>
              <w:tab w:val="right" w:leader="dot" w:pos="8831"/>
            </w:tabs>
          </w:pPr>
          <w:r>
            <w:rPr>
              <w:color w:val="auto"/>
              <w:highlight w:val="none"/>
            </w:rPr>
            <w:fldChar w:fldCharType="begin"/>
          </w:r>
          <w:r>
            <w:rPr>
              <w:highlight w:val="none"/>
            </w:rPr>
            <w:instrText xml:space="preserve"> HYPERLINK \l _Toc5594 </w:instrText>
          </w:r>
          <w:r>
            <w:rPr>
              <w:highlight w:val="none"/>
            </w:rPr>
            <w:fldChar w:fldCharType="separate"/>
          </w:r>
          <w:r>
            <w:rPr>
              <w:rFonts w:hint="eastAsia" w:ascii="宋体" w:hAnsi="宋体" w:eastAsia="宋体" w:cs="宋体"/>
              <w:spacing w:val="-2"/>
              <w:szCs w:val="28"/>
              <w:highlight w:val="none"/>
            </w:rPr>
            <w:t>附表四分项工程生产率和施工周期表</w:t>
          </w:r>
          <w:r>
            <w:tab/>
          </w:r>
          <w:r>
            <w:fldChar w:fldCharType="begin"/>
          </w:r>
          <w:r>
            <w:instrText xml:space="preserve"> PAGEREF _Toc5594 \h </w:instrText>
          </w:r>
          <w:r>
            <w:fldChar w:fldCharType="separate"/>
          </w:r>
          <w:r>
            <w:t>222</w:t>
          </w:r>
          <w:r>
            <w:fldChar w:fldCharType="end"/>
          </w:r>
          <w:r>
            <w:rPr>
              <w:color w:val="auto"/>
              <w:highlight w:val="none"/>
            </w:rPr>
            <w:fldChar w:fldCharType="end"/>
          </w:r>
        </w:p>
        <w:p w14:paraId="10B48991">
          <w:pPr>
            <w:pStyle w:val="5"/>
            <w:tabs>
              <w:tab w:val="right" w:leader="dot" w:pos="8831"/>
            </w:tabs>
          </w:pPr>
          <w:r>
            <w:rPr>
              <w:color w:val="auto"/>
              <w:highlight w:val="none"/>
            </w:rPr>
            <w:fldChar w:fldCharType="begin"/>
          </w:r>
          <w:r>
            <w:rPr>
              <w:highlight w:val="none"/>
            </w:rPr>
            <w:instrText xml:space="preserve"> HYPERLINK \l _Toc13512 </w:instrText>
          </w:r>
          <w:r>
            <w:rPr>
              <w:highlight w:val="none"/>
            </w:rPr>
            <w:fldChar w:fldCharType="separate"/>
          </w:r>
          <w:r>
            <w:rPr>
              <w:rFonts w:hint="eastAsia" w:ascii="宋体" w:hAnsi="宋体" w:eastAsia="宋体" w:cs="宋体"/>
              <w:spacing w:val="-3"/>
              <w:szCs w:val="28"/>
              <w:highlight w:val="none"/>
            </w:rPr>
            <w:t>附表五施工总平面图</w:t>
          </w:r>
          <w:r>
            <w:tab/>
          </w:r>
          <w:r>
            <w:fldChar w:fldCharType="begin"/>
          </w:r>
          <w:r>
            <w:instrText xml:space="preserve"> PAGEREF _Toc13512 \h </w:instrText>
          </w:r>
          <w:r>
            <w:fldChar w:fldCharType="separate"/>
          </w:r>
          <w:r>
            <w:t>223</w:t>
          </w:r>
          <w:r>
            <w:fldChar w:fldCharType="end"/>
          </w:r>
          <w:r>
            <w:rPr>
              <w:color w:val="auto"/>
              <w:highlight w:val="none"/>
            </w:rPr>
            <w:fldChar w:fldCharType="end"/>
          </w:r>
        </w:p>
        <w:p w14:paraId="5AB30F18">
          <w:pPr>
            <w:pStyle w:val="5"/>
            <w:tabs>
              <w:tab w:val="right" w:leader="dot" w:pos="8831"/>
            </w:tabs>
          </w:pPr>
          <w:r>
            <w:rPr>
              <w:color w:val="auto"/>
              <w:highlight w:val="none"/>
            </w:rPr>
            <w:fldChar w:fldCharType="begin"/>
          </w:r>
          <w:r>
            <w:rPr>
              <w:highlight w:val="none"/>
            </w:rPr>
            <w:instrText xml:space="preserve"> HYPERLINK \l _Toc19325 </w:instrText>
          </w:r>
          <w:r>
            <w:rPr>
              <w:highlight w:val="none"/>
            </w:rPr>
            <w:fldChar w:fldCharType="separate"/>
          </w:r>
          <w:r>
            <w:rPr>
              <w:rFonts w:hint="eastAsia" w:ascii="宋体" w:hAnsi="宋体" w:eastAsia="宋体" w:cs="宋体"/>
              <w:spacing w:val="-3"/>
              <w:szCs w:val="28"/>
              <w:highlight w:val="none"/>
            </w:rPr>
            <w:t>附表六劳动力计划表</w:t>
          </w:r>
          <w:r>
            <w:tab/>
          </w:r>
          <w:r>
            <w:fldChar w:fldCharType="begin"/>
          </w:r>
          <w:r>
            <w:instrText xml:space="preserve"> PAGEREF _Toc19325 \h </w:instrText>
          </w:r>
          <w:r>
            <w:fldChar w:fldCharType="separate"/>
          </w:r>
          <w:r>
            <w:t>224</w:t>
          </w:r>
          <w:r>
            <w:fldChar w:fldCharType="end"/>
          </w:r>
          <w:r>
            <w:rPr>
              <w:color w:val="auto"/>
              <w:highlight w:val="none"/>
            </w:rPr>
            <w:fldChar w:fldCharType="end"/>
          </w:r>
        </w:p>
        <w:p w14:paraId="0D37311A">
          <w:pPr>
            <w:pStyle w:val="5"/>
            <w:tabs>
              <w:tab w:val="right" w:leader="dot" w:pos="8831"/>
            </w:tabs>
          </w:pPr>
          <w:r>
            <w:rPr>
              <w:color w:val="auto"/>
              <w:highlight w:val="none"/>
            </w:rPr>
            <w:fldChar w:fldCharType="begin"/>
          </w:r>
          <w:r>
            <w:rPr>
              <w:highlight w:val="none"/>
            </w:rPr>
            <w:instrText xml:space="preserve"> HYPERLINK \l _Toc8144 </w:instrText>
          </w:r>
          <w:r>
            <w:rPr>
              <w:highlight w:val="none"/>
            </w:rPr>
            <w:fldChar w:fldCharType="separate"/>
          </w:r>
          <w:r>
            <w:rPr>
              <w:rFonts w:hint="eastAsia" w:ascii="宋体" w:hAnsi="宋体" w:eastAsia="宋体" w:cs="宋体"/>
              <w:spacing w:val="-2"/>
              <w:szCs w:val="28"/>
              <w:highlight w:val="none"/>
            </w:rPr>
            <w:t>附表八外供电力需求计划表</w:t>
          </w:r>
          <w:r>
            <w:tab/>
          </w:r>
          <w:r>
            <w:fldChar w:fldCharType="begin"/>
          </w:r>
          <w:r>
            <w:instrText xml:space="preserve"> PAGEREF _Toc8144 \h </w:instrText>
          </w:r>
          <w:r>
            <w:fldChar w:fldCharType="separate"/>
          </w:r>
          <w:r>
            <w:t>226</w:t>
          </w:r>
          <w:r>
            <w:fldChar w:fldCharType="end"/>
          </w:r>
          <w:r>
            <w:rPr>
              <w:color w:val="auto"/>
              <w:highlight w:val="none"/>
            </w:rPr>
            <w:fldChar w:fldCharType="end"/>
          </w:r>
        </w:p>
        <w:p w14:paraId="014CF195">
          <w:pPr>
            <w:pStyle w:val="8"/>
            <w:tabs>
              <w:tab w:val="right" w:leader="dot" w:pos="8831"/>
            </w:tabs>
          </w:pPr>
          <w:r>
            <w:rPr>
              <w:color w:val="auto"/>
              <w:highlight w:val="none"/>
            </w:rPr>
            <w:fldChar w:fldCharType="begin"/>
          </w:r>
          <w:r>
            <w:rPr>
              <w:highlight w:val="none"/>
            </w:rPr>
            <w:instrText xml:space="preserve"> HYPERLINK \l _Toc16567 </w:instrText>
          </w:r>
          <w:r>
            <w:rPr>
              <w:highlight w:val="none"/>
            </w:rPr>
            <w:fldChar w:fldCharType="separate"/>
          </w:r>
          <w:r>
            <w:rPr>
              <w:rFonts w:hint="eastAsia" w:ascii="宋体" w:hAnsi="宋体" w:eastAsia="宋体" w:cs="宋体"/>
              <w:spacing w:val="-3"/>
              <w:szCs w:val="28"/>
              <w:highlight w:val="none"/>
            </w:rPr>
            <w:t>六、项目管理机构</w:t>
          </w:r>
          <w:r>
            <w:tab/>
          </w:r>
          <w:r>
            <w:fldChar w:fldCharType="begin"/>
          </w:r>
          <w:r>
            <w:instrText xml:space="preserve"> PAGEREF _Toc16567 \h </w:instrText>
          </w:r>
          <w:r>
            <w:fldChar w:fldCharType="separate"/>
          </w:r>
          <w:r>
            <w:t>227</w:t>
          </w:r>
          <w:r>
            <w:fldChar w:fldCharType="end"/>
          </w:r>
          <w:r>
            <w:rPr>
              <w:color w:val="auto"/>
              <w:highlight w:val="none"/>
            </w:rPr>
            <w:fldChar w:fldCharType="end"/>
          </w:r>
        </w:p>
        <w:p w14:paraId="08CAF5FA">
          <w:pPr>
            <w:pStyle w:val="8"/>
            <w:tabs>
              <w:tab w:val="right" w:leader="dot" w:pos="8831"/>
            </w:tabs>
          </w:pPr>
          <w:r>
            <w:rPr>
              <w:color w:val="auto"/>
              <w:highlight w:val="none"/>
            </w:rPr>
            <w:fldChar w:fldCharType="begin"/>
          </w:r>
          <w:r>
            <w:rPr>
              <w:highlight w:val="none"/>
            </w:rPr>
            <w:instrText xml:space="preserve"> HYPERLINK \l _Toc3794 </w:instrText>
          </w:r>
          <w:r>
            <w:rPr>
              <w:highlight w:val="none"/>
            </w:rPr>
            <w:fldChar w:fldCharType="separate"/>
          </w:r>
          <w:r>
            <w:rPr>
              <w:rFonts w:hint="eastAsia" w:ascii="宋体" w:hAnsi="宋体" w:eastAsia="宋体" w:cs="宋体"/>
              <w:spacing w:val="-1"/>
              <w:szCs w:val="28"/>
              <w:highlight w:val="none"/>
            </w:rPr>
            <w:t>七、拟分包项目情况表</w:t>
          </w:r>
          <w:r>
            <w:tab/>
          </w:r>
          <w:r>
            <w:fldChar w:fldCharType="begin"/>
          </w:r>
          <w:r>
            <w:instrText xml:space="preserve"> PAGEREF _Toc3794 \h </w:instrText>
          </w:r>
          <w:r>
            <w:fldChar w:fldCharType="separate"/>
          </w:r>
          <w:r>
            <w:t>228</w:t>
          </w:r>
          <w:r>
            <w:fldChar w:fldCharType="end"/>
          </w:r>
          <w:r>
            <w:rPr>
              <w:color w:val="auto"/>
              <w:highlight w:val="none"/>
            </w:rPr>
            <w:fldChar w:fldCharType="end"/>
          </w:r>
        </w:p>
        <w:p w14:paraId="1E05307C">
          <w:pPr>
            <w:pStyle w:val="8"/>
            <w:tabs>
              <w:tab w:val="right" w:leader="dot" w:pos="8831"/>
            </w:tabs>
          </w:pPr>
          <w:r>
            <w:rPr>
              <w:color w:val="auto"/>
              <w:highlight w:val="none"/>
            </w:rPr>
            <w:fldChar w:fldCharType="begin"/>
          </w:r>
          <w:r>
            <w:rPr>
              <w:highlight w:val="none"/>
            </w:rPr>
            <w:instrText xml:space="preserve"> HYPERLINK \l _Toc12992 </w:instrText>
          </w:r>
          <w:r>
            <w:rPr>
              <w:highlight w:val="none"/>
            </w:rPr>
            <w:fldChar w:fldCharType="separate"/>
          </w:r>
          <w:r>
            <w:rPr>
              <w:rFonts w:hint="eastAsia" w:ascii="宋体" w:hAnsi="宋体" w:eastAsia="宋体" w:cs="宋体"/>
              <w:spacing w:val="-1"/>
              <w:szCs w:val="28"/>
              <w:highlight w:val="none"/>
            </w:rPr>
            <w:t>八、资格审查资料（适用于已进行资格预审的）</w:t>
          </w:r>
          <w:r>
            <w:tab/>
          </w:r>
          <w:r>
            <w:fldChar w:fldCharType="begin"/>
          </w:r>
          <w:r>
            <w:instrText xml:space="preserve"> PAGEREF _Toc12992 \h </w:instrText>
          </w:r>
          <w:r>
            <w:fldChar w:fldCharType="separate"/>
          </w:r>
          <w:r>
            <w:t>229</w:t>
          </w:r>
          <w:r>
            <w:fldChar w:fldCharType="end"/>
          </w:r>
          <w:r>
            <w:rPr>
              <w:color w:val="auto"/>
              <w:highlight w:val="none"/>
            </w:rPr>
            <w:fldChar w:fldCharType="end"/>
          </w:r>
        </w:p>
        <w:p w14:paraId="53FAA8D9">
          <w:pPr>
            <w:pStyle w:val="8"/>
            <w:tabs>
              <w:tab w:val="right" w:leader="dot" w:pos="8831"/>
            </w:tabs>
          </w:pPr>
          <w:r>
            <w:rPr>
              <w:color w:val="auto"/>
              <w:highlight w:val="none"/>
            </w:rPr>
            <w:fldChar w:fldCharType="begin"/>
          </w:r>
          <w:r>
            <w:rPr>
              <w:highlight w:val="none"/>
            </w:rPr>
            <w:instrText xml:space="preserve"> HYPERLINK \l _Toc31272 </w:instrText>
          </w:r>
          <w:r>
            <w:rPr>
              <w:highlight w:val="none"/>
            </w:rPr>
            <w:fldChar w:fldCharType="separate"/>
          </w:r>
          <w:r>
            <w:rPr>
              <w:rFonts w:hint="eastAsia" w:ascii="宋体" w:hAnsi="宋体" w:eastAsia="宋体" w:cs="宋体"/>
              <w:spacing w:val="-1"/>
              <w:szCs w:val="28"/>
              <w:highlight w:val="none"/>
            </w:rPr>
            <w:t>八、资格审查资料（适用于未进行资格预审的）</w:t>
          </w:r>
          <w:r>
            <w:tab/>
          </w:r>
          <w:r>
            <w:fldChar w:fldCharType="begin"/>
          </w:r>
          <w:r>
            <w:instrText xml:space="preserve"> PAGEREF _Toc31272 \h </w:instrText>
          </w:r>
          <w:r>
            <w:fldChar w:fldCharType="separate"/>
          </w:r>
          <w:r>
            <w:t>230</w:t>
          </w:r>
          <w:r>
            <w:fldChar w:fldCharType="end"/>
          </w:r>
          <w:r>
            <w:rPr>
              <w:color w:val="auto"/>
              <w:highlight w:val="none"/>
            </w:rPr>
            <w:fldChar w:fldCharType="end"/>
          </w:r>
        </w:p>
        <w:p w14:paraId="04112915">
          <w:pPr>
            <w:pStyle w:val="5"/>
            <w:tabs>
              <w:tab w:val="right" w:leader="dot" w:pos="8831"/>
            </w:tabs>
          </w:pPr>
          <w:r>
            <w:rPr>
              <w:color w:val="auto"/>
              <w:highlight w:val="none"/>
            </w:rPr>
            <w:fldChar w:fldCharType="begin"/>
          </w:r>
          <w:r>
            <w:rPr>
              <w:highlight w:val="none"/>
            </w:rPr>
            <w:instrText xml:space="preserve"> HYPERLINK \l _Toc12422 </w:instrText>
          </w:r>
          <w:r>
            <w:rPr>
              <w:highlight w:val="none"/>
            </w:rPr>
            <w:fldChar w:fldCharType="separate"/>
          </w:r>
          <w:r>
            <w:rPr>
              <w:rFonts w:hint="eastAsia" w:ascii="宋体" w:hAnsi="宋体" w:eastAsia="宋体" w:cs="宋体"/>
              <w:spacing w:val="-3"/>
              <w:szCs w:val="24"/>
              <w:highlight w:val="none"/>
            </w:rPr>
            <w:t>（一）投标人基本情况表</w:t>
          </w:r>
          <w:r>
            <w:tab/>
          </w:r>
          <w:r>
            <w:fldChar w:fldCharType="begin"/>
          </w:r>
          <w:r>
            <w:instrText xml:space="preserve"> PAGEREF _Toc12422 \h </w:instrText>
          </w:r>
          <w:r>
            <w:fldChar w:fldCharType="separate"/>
          </w:r>
          <w:r>
            <w:t>230</w:t>
          </w:r>
          <w:r>
            <w:fldChar w:fldCharType="end"/>
          </w:r>
          <w:r>
            <w:rPr>
              <w:color w:val="auto"/>
              <w:highlight w:val="none"/>
            </w:rPr>
            <w:fldChar w:fldCharType="end"/>
          </w:r>
        </w:p>
        <w:p w14:paraId="25916DCD">
          <w:pPr>
            <w:pStyle w:val="5"/>
            <w:tabs>
              <w:tab w:val="right" w:leader="dot" w:pos="8831"/>
            </w:tabs>
          </w:pPr>
          <w:r>
            <w:rPr>
              <w:color w:val="auto"/>
              <w:highlight w:val="none"/>
            </w:rPr>
            <w:fldChar w:fldCharType="begin"/>
          </w:r>
          <w:r>
            <w:rPr>
              <w:highlight w:val="none"/>
            </w:rPr>
            <w:instrText xml:space="preserve"> HYPERLINK \l _Toc13598 </w:instrText>
          </w:r>
          <w:r>
            <w:rPr>
              <w:highlight w:val="none"/>
            </w:rPr>
            <w:fldChar w:fldCharType="separate"/>
          </w:r>
          <w:r>
            <w:rPr>
              <w:rFonts w:hint="eastAsia" w:ascii="宋体" w:hAnsi="宋体" w:eastAsia="宋体" w:cs="宋体"/>
              <w:spacing w:val="-3"/>
              <w:szCs w:val="24"/>
              <w:highlight w:val="none"/>
            </w:rPr>
            <w:t>（二）投标人企业组织机构框图</w:t>
          </w:r>
          <w:r>
            <w:tab/>
          </w:r>
          <w:r>
            <w:fldChar w:fldCharType="begin"/>
          </w:r>
          <w:r>
            <w:instrText xml:space="preserve"> PAGEREF _Toc13598 \h </w:instrText>
          </w:r>
          <w:r>
            <w:fldChar w:fldCharType="separate"/>
          </w:r>
          <w:r>
            <w:t>231</w:t>
          </w:r>
          <w:r>
            <w:fldChar w:fldCharType="end"/>
          </w:r>
          <w:r>
            <w:rPr>
              <w:color w:val="auto"/>
              <w:highlight w:val="none"/>
            </w:rPr>
            <w:fldChar w:fldCharType="end"/>
          </w:r>
        </w:p>
        <w:p w14:paraId="601F3BCE">
          <w:pPr>
            <w:pStyle w:val="5"/>
            <w:tabs>
              <w:tab w:val="right" w:leader="dot" w:pos="8831"/>
            </w:tabs>
          </w:pPr>
          <w:r>
            <w:rPr>
              <w:color w:val="auto"/>
              <w:highlight w:val="none"/>
            </w:rPr>
            <w:fldChar w:fldCharType="begin"/>
          </w:r>
          <w:r>
            <w:rPr>
              <w:highlight w:val="none"/>
            </w:rPr>
            <w:instrText xml:space="preserve"> HYPERLINK \l _Toc2031 </w:instrText>
          </w:r>
          <w:r>
            <w:rPr>
              <w:highlight w:val="none"/>
            </w:rPr>
            <w:fldChar w:fldCharType="separate"/>
          </w:r>
          <w:r>
            <w:rPr>
              <w:rFonts w:hint="eastAsia" w:ascii="宋体" w:hAnsi="宋体" w:eastAsia="宋体" w:cs="宋体"/>
              <w:bCs/>
              <w:spacing w:val="6"/>
              <w:szCs w:val="20"/>
              <w:highlight w:val="none"/>
            </w:rPr>
            <w:t>（三）近年财务状况</w:t>
          </w:r>
          <w:r>
            <w:tab/>
          </w:r>
          <w:r>
            <w:fldChar w:fldCharType="begin"/>
          </w:r>
          <w:r>
            <w:instrText xml:space="preserve"> PAGEREF _Toc2031 \h </w:instrText>
          </w:r>
          <w:r>
            <w:fldChar w:fldCharType="separate"/>
          </w:r>
          <w:r>
            <w:t>232</w:t>
          </w:r>
          <w:r>
            <w:fldChar w:fldCharType="end"/>
          </w:r>
          <w:r>
            <w:rPr>
              <w:color w:val="auto"/>
              <w:highlight w:val="none"/>
            </w:rPr>
            <w:fldChar w:fldCharType="end"/>
          </w:r>
        </w:p>
        <w:p w14:paraId="1BCE9DCF">
          <w:pPr>
            <w:pStyle w:val="5"/>
            <w:tabs>
              <w:tab w:val="right" w:leader="dot" w:pos="8831"/>
            </w:tabs>
          </w:pPr>
          <w:r>
            <w:rPr>
              <w:color w:val="auto"/>
              <w:highlight w:val="none"/>
            </w:rPr>
            <w:fldChar w:fldCharType="begin"/>
          </w:r>
          <w:r>
            <w:rPr>
              <w:highlight w:val="none"/>
            </w:rPr>
            <w:instrText xml:space="preserve"> HYPERLINK \l _Toc9886 </w:instrText>
          </w:r>
          <w:r>
            <w:rPr>
              <w:highlight w:val="none"/>
            </w:rPr>
            <w:fldChar w:fldCharType="separate"/>
          </w:r>
          <w:r>
            <w:rPr>
              <w:rFonts w:hint="eastAsia" w:ascii="宋体" w:hAnsi="宋体" w:eastAsia="宋体" w:cs="宋体"/>
              <w:spacing w:val="-3"/>
              <w:szCs w:val="24"/>
              <w:highlight w:val="none"/>
            </w:rPr>
            <w:t>（四）近年完成的类似项目情况表</w:t>
          </w:r>
          <w:r>
            <w:tab/>
          </w:r>
          <w:r>
            <w:fldChar w:fldCharType="begin"/>
          </w:r>
          <w:r>
            <w:instrText xml:space="preserve"> PAGEREF _Toc9886 \h </w:instrText>
          </w:r>
          <w:r>
            <w:fldChar w:fldCharType="separate"/>
          </w:r>
          <w:r>
            <w:t>234</w:t>
          </w:r>
          <w:r>
            <w:fldChar w:fldCharType="end"/>
          </w:r>
          <w:r>
            <w:rPr>
              <w:color w:val="auto"/>
              <w:highlight w:val="none"/>
            </w:rPr>
            <w:fldChar w:fldCharType="end"/>
          </w:r>
        </w:p>
        <w:p w14:paraId="425C457D">
          <w:pPr>
            <w:pStyle w:val="5"/>
            <w:tabs>
              <w:tab w:val="right" w:leader="dot" w:pos="8831"/>
            </w:tabs>
          </w:pPr>
          <w:r>
            <w:rPr>
              <w:color w:val="auto"/>
              <w:highlight w:val="none"/>
            </w:rPr>
            <w:fldChar w:fldCharType="begin"/>
          </w:r>
          <w:r>
            <w:rPr>
              <w:highlight w:val="none"/>
            </w:rPr>
            <w:instrText xml:space="preserve"> HYPERLINK \l _Toc6743 </w:instrText>
          </w:r>
          <w:r>
            <w:rPr>
              <w:highlight w:val="none"/>
            </w:rPr>
            <w:fldChar w:fldCharType="separate"/>
          </w:r>
          <w:r>
            <w:rPr>
              <w:rFonts w:hint="eastAsia" w:ascii="宋体" w:hAnsi="宋体" w:eastAsia="宋体" w:cs="宋体"/>
              <w:spacing w:val="-4"/>
              <w:szCs w:val="24"/>
              <w:highlight w:val="none"/>
            </w:rPr>
            <w:t>（五）企业获奖情况表</w:t>
          </w:r>
          <w:r>
            <w:tab/>
          </w:r>
          <w:r>
            <w:fldChar w:fldCharType="begin"/>
          </w:r>
          <w:r>
            <w:instrText xml:space="preserve"> PAGEREF _Toc6743 \h </w:instrText>
          </w:r>
          <w:r>
            <w:fldChar w:fldCharType="separate"/>
          </w:r>
          <w:r>
            <w:t>235</w:t>
          </w:r>
          <w:r>
            <w:fldChar w:fldCharType="end"/>
          </w:r>
          <w:r>
            <w:rPr>
              <w:color w:val="auto"/>
              <w:highlight w:val="none"/>
            </w:rPr>
            <w:fldChar w:fldCharType="end"/>
          </w:r>
        </w:p>
        <w:p w14:paraId="2BA03551">
          <w:pPr>
            <w:pStyle w:val="5"/>
            <w:tabs>
              <w:tab w:val="right" w:leader="dot" w:pos="8831"/>
            </w:tabs>
          </w:pPr>
          <w:r>
            <w:rPr>
              <w:color w:val="auto"/>
              <w:highlight w:val="none"/>
            </w:rPr>
            <w:fldChar w:fldCharType="begin"/>
          </w:r>
          <w:r>
            <w:rPr>
              <w:highlight w:val="none"/>
            </w:rPr>
            <w:instrText xml:space="preserve"> HYPERLINK \l _Toc20558 </w:instrText>
          </w:r>
          <w:r>
            <w:rPr>
              <w:highlight w:val="none"/>
            </w:rPr>
            <w:fldChar w:fldCharType="separate"/>
          </w:r>
          <w:r>
            <w:rPr>
              <w:rFonts w:hint="eastAsia" w:ascii="宋体" w:hAnsi="宋体" w:eastAsia="宋体" w:cs="宋体"/>
              <w:spacing w:val="-2"/>
              <w:szCs w:val="24"/>
              <w:highlight w:val="none"/>
            </w:rPr>
            <w:t>（六）拟委任的项目经理和项目总工资历表</w:t>
          </w:r>
          <w:r>
            <w:tab/>
          </w:r>
          <w:r>
            <w:fldChar w:fldCharType="begin"/>
          </w:r>
          <w:r>
            <w:instrText xml:space="preserve"> PAGEREF _Toc20558 \h </w:instrText>
          </w:r>
          <w:r>
            <w:fldChar w:fldCharType="separate"/>
          </w:r>
          <w:r>
            <w:t>236</w:t>
          </w:r>
          <w:r>
            <w:fldChar w:fldCharType="end"/>
          </w:r>
          <w:r>
            <w:rPr>
              <w:color w:val="auto"/>
              <w:highlight w:val="none"/>
            </w:rPr>
            <w:fldChar w:fldCharType="end"/>
          </w:r>
        </w:p>
        <w:p w14:paraId="34C5417F">
          <w:pPr>
            <w:pStyle w:val="5"/>
            <w:tabs>
              <w:tab w:val="right" w:leader="dot" w:pos="8831"/>
            </w:tabs>
          </w:pPr>
          <w:r>
            <w:rPr>
              <w:color w:val="auto"/>
              <w:highlight w:val="none"/>
            </w:rPr>
            <w:fldChar w:fldCharType="begin"/>
          </w:r>
          <w:r>
            <w:rPr>
              <w:highlight w:val="none"/>
            </w:rPr>
            <w:instrText xml:space="preserve"> HYPERLINK \l _Toc14775 </w:instrText>
          </w:r>
          <w:r>
            <w:rPr>
              <w:highlight w:val="none"/>
            </w:rPr>
            <w:fldChar w:fldCharType="separate"/>
          </w:r>
          <w:r>
            <w:rPr>
              <w:rFonts w:hint="eastAsia" w:ascii="宋体" w:hAnsi="宋体" w:eastAsia="宋体" w:cs="宋体"/>
              <w:spacing w:val="-2"/>
              <w:szCs w:val="24"/>
              <w:highlight w:val="none"/>
            </w:rPr>
            <w:t>（七）拟委任的其他管理和技术人员汇总表</w:t>
          </w:r>
          <w:r>
            <w:rPr>
              <w:rFonts w:hint="eastAsia" w:ascii="宋体" w:hAnsi="宋体" w:eastAsia="宋体" w:cs="宋体"/>
              <w:spacing w:val="-2"/>
              <w:position w:val="10"/>
              <w:szCs w:val="12"/>
              <w:highlight w:val="none"/>
            </w:rPr>
            <w:t>①</w:t>
          </w:r>
          <w:r>
            <w:tab/>
          </w:r>
          <w:r>
            <w:fldChar w:fldCharType="begin"/>
          </w:r>
          <w:r>
            <w:instrText xml:space="preserve"> PAGEREF _Toc14775 \h </w:instrText>
          </w:r>
          <w:r>
            <w:fldChar w:fldCharType="separate"/>
          </w:r>
          <w:r>
            <w:t>237</w:t>
          </w:r>
          <w:r>
            <w:fldChar w:fldCharType="end"/>
          </w:r>
          <w:r>
            <w:rPr>
              <w:color w:val="auto"/>
              <w:highlight w:val="none"/>
            </w:rPr>
            <w:fldChar w:fldCharType="end"/>
          </w:r>
        </w:p>
        <w:p w14:paraId="28D6D9C3">
          <w:pPr>
            <w:pStyle w:val="5"/>
            <w:tabs>
              <w:tab w:val="right" w:leader="dot" w:pos="8831"/>
            </w:tabs>
          </w:pPr>
          <w:r>
            <w:rPr>
              <w:color w:val="auto"/>
              <w:highlight w:val="none"/>
            </w:rPr>
            <w:fldChar w:fldCharType="begin"/>
          </w:r>
          <w:r>
            <w:rPr>
              <w:highlight w:val="none"/>
            </w:rPr>
            <w:instrText xml:space="preserve"> HYPERLINK \l _Toc24444 </w:instrText>
          </w:r>
          <w:r>
            <w:rPr>
              <w:highlight w:val="none"/>
            </w:rPr>
            <w:fldChar w:fldCharType="separate"/>
          </w:r>
          <w:r>
            <w:rPr>
              <w:rFonts w:hint="eastAsia" w:ascii="宋体" w:hAnsi="宋体" w:eastAsia="宋体" w:cs="宋体"/>
              <w:spacing w:val="-2"/>
              <w:szCs w:val="24"/>
              <w:highlight w:val="none"/>
            </w:rPr>
            <w:t>（八）拟委任的其他管理和技术人员资历表</w:t>
          </w:r>
          <w:r>
            <w:rPr>
              <w:rFonts w:hint="eastAsia" w:ascii="宋体" w:hAnsi="宋体" w:eastAsia="宋体" w:cs="宋体"/>
              <w:spacing w:val="-2"/>
              <w:position w:val="10"/>
              <w:szCs w:val="12"/>
              <w:highlight w:val="none"/>
            </w:rPr>
            <w:t>①</w:t>
          </w:r>
          <w:r>
            <w:tab/>
          </w:r>
          <w:r>
            <w:fldChar w:fldCharType="begin"/>
          </w:r>
          <w:r>
            <w:instrText xml:space="preserve"> PAGEREF _Toc24444 \h </w:instrText>
          </w:r>
          <w:r>
            <w:fldChar w:fldCharType="separate"/>
          </w:r>
          <w:r>
            <w:t>238</w:t>
          </w:r>
          <w:r>
            <w:fldChar w:fldCharType="end"/>
          </w:r>
          <w:r>
            <w:rPr>
              <w:color w:val="auto"/>
              <w:highlight w:val="none"/>
            </w:rPr>
            <w:fldChar w:fldCharType="end"/>
          </w:r>
        </w:p>
        <w:p w14:paraId="5E98B0DF">
          <w:pPr>
            <w:pStyle w:val="5"/>
            <w:tabs>
              <w:tab w:val="right" w:leader="dot" w:pos="8831"/>
            </w:tabs>
          </w:pPr>
          <w:r>
            <w:rPr>
              <w:color w:val="auto"/>
              <w:highlight w:val="none"/>
            </w:rPr>
            <w:fldChar w:fldCharType="begin"/>
          </w:r>
          <w:r>
            <w:rPr>
              <w:highlight w:val="none"/>
            </w:rPr>
            <w:instrText xml:space="preserve"> HYPERLINK \l _Toc31841 </w:instrText>
          </w:r>
          <w:r>
            <w:rPr>
              <w:highlight w:val="none"/>
            </w:rPr>
            <w:fldChar w:fldCharType="separate"/>
          </w:r>
          <w:r>
            <w:rPr>
              <w:rFonts w:hint="eastAsia" w:ascii="宋体" w:hAnsi="宋体" w:eastAsia="宋体" w:cs="宋体"/>
              <w:spacing w:val="-2"/>
              <w:szCs w:val="24"/>
              <w:highlight w:val="none"/>
            </w:rPr>
            <w:t>（九）拟投入本标段的主要施工机械表</w:t>
          </w:r>
          <w:r>
            <w:rPr>
              <w:rFonts w:hint="eastAsia" w:ascii="宋体" w:hAnsi="宋体" w:eastAsia="宋体" w:cs="宋体"/>
              <w:spacing w:val="-2"/>
              <w:position w:val="10"/>
              <w:szCs w:val="12"/>
              <w:highlight w:val="none"/>
            </w:rPr>
            <w:t>①</w:t>
          </w:r>
          <w:r>
            <w:tab/>
          </w:r>
          <w:r>
            <w:fldChar w:fldCharType="begin"/>
          </w:r>
          <w:r>
            <w:instrText xml:space="preserve"> PAGEREF _Toc31841 \h </w:instrText>
          </w:r>
          <w:r>
            <w:fldChar w:fldCharType="separate"/>
          </w:r>
          <w:r>
            <w:t>239</w:t>
          </w:r>
          <w:r>
            <w:fldChar w:fldCharType="end"/>
          </w:r>
          <w:r>
            <w:rPr>
              <w:color w:val="auto"/>
              <w:highlight w:val="none"/>
            </w:rPr>
            <w:fldChar w:fldCharType="end"/>
          </w:r>
        </w:p>
        <w:p w14:paraId="2A789381">
          <w:pPr>
            <w:pStyle w:val="5"/>
            <w:tabs>
              <w:tab w:val="right" w:leader="dot" w:pos="8831"/>
            </w:tabs>
          </w:pPr>
          <w:r>
            <w:rPr>
              <w:color w:val="auto"/>
              <w:highlight w:val="none"/>
            </w:rPr>
            <w:fldChar w:fldCharType="begin"/>
          </w:r>
          <w:r>
            <w:rPr>
              <w:highlight w:val="none"/>
            </w:rPr>
            <w:instrText xml:space="preserve"> HYPERLINK \l _Toc7819 </w:instrText>
          </w:r>
          <w:r>
            <w:rPr>
              <w:highlight w:val="none"/>
            </w:rPr>
            <w:fldChar w:fldCharType="separate"/>
          </w:r>
          <w:r>
            <w:rPr>
              <w:rFonts w:hint="eastAsia" w:ascii="宋体" w:hAnsi="宋体" w:eastAsia="宋体" w:cs="宋体"/>
              <w:spacing w:val="-1"/>
              <w:szCs w:val="24"/>
              <w:highlight w:val="none"/>
            </w:rPr>
            <w:t>（十）拟配备本标段的主要材料试验、测量、质检仪器设</w:t>
          </w:r>
          <w:r>
            <w:rPr>
              <w:rFonts w:hint="eastAsia" w:ascii="宋体" w:hAnsi="宋体" w:eastAsia="宋体" w:cs="宋体"/>
              <w:spacing w:val="-2"/>
              <w:szCs w:val="24"/>
              <w:highlight w:val="none"/>
            </w:rPr>
            <w:t>备表</w:t>
          </w:r>
          <w:r>
            <w:rPr>
              <w:rFonts w:hint="eastAsia" w:ascii="宋体" w:hAnsi="宋体" w:eastAsia="宋体" w:cs="宋体"/>
              <w:spacing w:val="-2"/>
              <w:position w:val="10"/>
              <w:szCs w:val="12"/>
              <w:highlight w:val="none"/>
            </w:rPr>
            <w:t>①</w:t>
          </w:r>
          <w:r>
            <w:tab/>
          </w:r>
          <w:r>
            <w:fldChar w:fldCharType="begin"/>
          </w:r>
          <w:r>
            <w:instrText xml:space="preserve"> PAGEREF _Toc7819 \h </w:instrText>
          </w:r>
          <w:r>
            <w:fldChar w:fldCharType="separate"/>
          </w:r>
          <w:r>
            <w:t>240</w:t>
          </w:r>
          <w:r>
            <w:fldChar w:fldCharType="end"/>
          </w:r>
          <w:r>
            <w:rPr>
              <w:color w:val="auto"/>
              <w:highlight w:val="none"/>
            </w:rPr>
            <w:fldChar w:fldCharType="end"/>
          </w:r>
        </w:p>
        <w:p w14:paraId="263E1520">
          <w:pPr>
            <w:pStyle w:val="5"/>
            <w:tabs>
              <w:tab w:val="right" w:leader="dot" w:pos="8831"/>
            </w:tabs>
          </w:pPr>
          <w:r>
            <w:rPr>
              <w:color w:val="auto"/>
              <w:highlight w:val="none"/>
            </w:rPr>
            <w:fldChar w:fldCharType="begin"/>
          </w:r>
          <w:r>
            <w:rPr>
              <w:highlight w:val="none"/>
            </w:rPr>
            <w:instrText xml:space="preserve"> HYPERLINK \l _Toc9008 </w:instrText>
          </w:r>
          <w:r>
            <w:rPr>
              <w:highlight w:val="none"/>
            </w:rPr>
            <w:fldChar w:fldCharType="separate"/>
          </w:r>
          <w:r>
            <w:rPr>
              <w:rFonts w:hint="eastAsia" w:ascii="宋体" w:hAnsi="宋体" w:eastAsia="宋体" w:cs="宋体"/>
              <w:spacing w:val="-1"/>
              <w:szCs w:val="24"/>
              <w:highlight w:val="none"/>
            </w:rPr>
            <w:t>投标人的信誉情况表</w:t>
          </w:r>
          <w:r>
            <w:tab/>
          </w:r>
          <w:r>
            <w:fldChar w:fldCharType="begin"/>
          </w:r>
          <w:r>
            <w:instrText xml:space="preserve"> PAGEREF _Toc9008 \h </w:instrText>
          </w:r>
          <w:r>
            <w:fldChar w:fldCharType="separate"/>
          </w:r>
          <w:r>
            <w:t>241</w:t>
          </w:r>
          <w:r>
            <w:fldChar w:fldCharType="end"/>
          </w:r>
          <w:r>
            <w:rPr>
              <w:color w:val="auto"/>
              <w:highlight w:val="none"/>
            </w:rPr>
            <w:fldChar w:fldCharType="end"/>
          </w:r>
        </w:p>
        <w:p w14:paraId="13A747EE">
          <w:pPr>
            <w:pStyle w:val="5"/>
            <w:tabs>
              <w:tab w:val="right" w:leader="dot" w:pos="8831"/>
            </w:tabs>
          </w:pPr>
          <w:r>
            <w:rPr>
              <w:color w:val="auto"/>
              <w:highlight w:val="none"/>
            </w:rPr>
            <w:fldChar w:fldCharType="begin"/>
          </w:r>
          <w:r>
            <w:rPr>
              <w:highlight w:val="none"/>
            </w:rPr>
            <w:instrText xml:space="preserve"> HYPERLINK \l _Toc4808 </w:instrText>
          </w:r>
          <w:r>
            <w:rPr>
              <w:highlight w:val="none"/>
            </w:rPr>
            <w:fldChar w:fldCharType="separate"/>
          </w:r>
          <w:r>
            <w:rPr>
              <w:rFonts w:hint="eastAsia" w:ascii="宋体" w:hAnsi="宋体" w:eastAsia="宋体" w:cs="宋体"/>
              <w:bCs/>
              <w:spacing w:val="-3"/>
              <w:szCs w:val="28"/>
              <w:highlight w:val="none"/>
            </w:rPr>
            <w:t>农民工工资保证金承诺书</w:t>
          </w:r>
          <w:r>
            <w:tab/>
          </w:r>
          <w:r>
            <w:fldChar w:fldCharType="begin"/>
          </w:r>
          <w:r>
            <w:instrText xml:space="preserve"> PAGEREF _Toc4808 \h </w:instrText>
          </w:r>
          <w:r>
            <w:fldChar w:fldCharType="separate"/>
          </w:r>
          <w:r>
            <w:t>242</w:t>
          </w:r>
          <w:r>
            <w:fldChar w:fldCharType="end"/>
          </w:r>
          <w:r>
            <w:rPr>
              <w:color w:val="auto"/>
              <w:highlight w:val="none"/>
            </w:rPr>
            <w:fldChar w:fldCharType="end"/>
          </w:r>
        </w:p>
        <w:p w14:paraId="37F0F0EE">
          <w:pPr>
            <w:pStyle w:val="8"/>
            <w:tabs>
              <w:tab w:val="right" w:leader="dot" w:pos="8831"/>
            </w:tabs>
          </w:pPr>
          <w:r>
            <w:rPr>
              <w:color w:val="auto"/>
              <w:highlight w:val="none"/>
            </w:rPr>
            <w:fldChar w:fldCharType="begin"/>
          </w:r>
          <w:r>
            <w:rPr>
              <w:highlight w:val="none"/>
            </w:rPr>
            <w:instrText xml:space="preserve"> HYPERLINK \l _Toc20121 </w:instrText>
          </w:r>
          <w:r>
            <w:rPr>
              <w:highlight w:val="none"/>
            </w:rPr>
            <w:fldChar w:fldCharType="separate"/>
          </w:r>
          <w:r>
            <w:rPr>
              <w:rFonts w:hint="eastAsia" w:ascii="宋体" w:hAnsi="宋体" w:eastAsia="宋体" w:cs="宋体"/>
              <w:spacing w:val="-3"/>
              <w:szCs w:val="28"/>
              <w:highlight w:val="none"/>
            </w:rPr>
            <w:t>九、其他资料</w:t>
          </w:r>
          <w:r>
            <w:tab/>
          </w:r>
          <w:r>
            <w:fldChar w:fldCharType="begin"/>
          </w:r>
          <w:r>
            <w:instrText xml:space="preserve"> PAGEREF _Toc20121 \h </w:instrText>
          </w:r>
          <w:r>
            <w:fldChar w:fldCharType="separate"/>
          </w:r>
          <w:r>
            <w:t>243</w:t>
          </w:r>
          <w:r>
            <w:fldChar w:fldCharType="end"/>
          </w:r>
          <w:r>
            <w:rPr>
              <w:color w:val="auto"/>
              <w:highlight w:val="none"/>
            </w:rPr>
            <w:fldChar w:fldCharType="end"/>
          </w:r>
        </w:p>
        <w:p w14:paraId="5A30A281">
          <w:pPr>
            <w:pStyle w:val="8"/>
            <w:tabs>
              <w:tab w:val="right" w:leader="dot" w:pos="8831"/>
            </w:tabs>
          </w:pPr>
          <w:r>
            <w:rPr>
              <w:color w:val="auto"/>
              <w:highlight w:val="none"/>
            </w:rPr>
            <w:fldChar w:fldCharType="begin"/>
          </w:r>
          <w:r>
            <w:rPr>
              <w:highlight w:val="none"/>
            </w:rPr>
            <w:instrText xml:space="preserve"> HYPERLINK \l _Toc12743 </w:instrText>
          </w:r>
          <w:r>
            <w:rPr>
              <w:highlight w:val="none"/>
            </w:rPr>
            <w:fldChar w:fldCharType="separate"/>
          </w:r>
          <w:r>
            <w:rPr>
              <w:rFonts w:hint="eastAsia" w:ascii="宋体" w:hAnsi="宋体" w:eastAsia="宋体" w:cs="宋体"/>
              <w:spacing w:val="8"/>
              <w:szCs w:val="30"/>
              <w:highlight w:val="none"/>
            </w:rPr>
            <w:t>广西壮族自治区</w:t>
          </w:r>
          <w:r>
            <w:tab/>
          </w:r>
          <w:r>
            <w:fldChar w:fldCharType="begin"/>
          </w:r>
          <w:r>
            <w:instrText xml:space="preserve"> PAGEREF _Toc12743 \h </w:instrText>
          </w:r>
          <w:r>
            <w:fldChar w:fldCharType="separate"/>
          </w:r>
          <w:r>
            <w:t>247</w:t>
          </w:r>
          <w:r>
            <w:fldChar w:fldCharType="end"/>
          </w:r>
          <w:r>
            <w:rPr>
              <w:color w:val="auto"/>
              <w:highlight w:val="none"/>
            </w:rPr>
            <w:fldChar w:fldCharType="end"/>
          </w:r>
        </w:p>
        <w:p w14:paraId="46A4178D">
          <w:pPr>
            <w:pStyle w:val="8"/>
            <w:tabs>
              <w:tab w:val="right" w:leader="dot" w:pos="8831"/>
            </w:tabs>
          </w:pPr>
          <w:r>
            <w:rPr>
              <w:color w:val="auto"/>
              <w:highlight w:val="none"/>
            </w:rPr>
            <w:fldChar w:fldCharType="begin"/>
          </w:r>
          <w:r>
            <w:rPr>
              <w:highlight w:val="none"/>
            </w:rPr>
            <w:instrText xml:space="preserve"> HYPERLINK \l _Toc24846 </w:instrText>
          </w:r>
          <w:r>
            <w:rPr>
              <w:highlight w:val="none"/>
            </w:rPr>
            <w:fldChar w:fldCharType="separate"/>
          </w:r>
          <w:r>
            <w:rPr>
              <w:rFonts w:hint="eastAsia" w:ascii="宋体" w:hAnsi="宋体" w:eastAsia="宋体" w:cs="宋体"/>
              <w:spacing w:val="5"/>
              <w:szCs w:val="31"/>
              <w:highlight w:val="none"/>
            </w:rPr>
            <w:t>（第二信封报价文件）</w:t>
          </w:r>
          <w:r>
            <w:tab/>
          </w:r>
          <w:r>
            <w:fldChar w:fldCharType="begin"/>
          </w:r>
          <w:r>
            <w:instrText xml:space="preserve"> PAGEREF _Toc24846 \h </w:instrText>
          </w:r>
          <w:r>
            <w:fldChar w:fldCharType="separate"/>
          </w:r>
          <w:r>
            <w:t>247</w:t>
          </w:r>
          <w:r>
            <w:fldChar w:fldCharType="end"/>
          </w:r>
          <w:r>
            <w:rPr>
              <w:color w:val="auto"/>
              <w:highlight w:val="none"/>
            </w:rPr>
            <w:fldChar w:fldCharType="end"/>
          </w:r>
        </w:p>
        <w:p w14:paraId="0DD960DC">
          <w:pPr>
            <w:pStyle w:val="8"/>
            <w:tabs>
              <w:tab w:val="right" w:leader="dot" w:pos="8831"/>
            </w:tabs>
          </w:pPr>
          <w:r>
            <w:rPr>
              <w:color w:val="auto"/>
              <w:highlight w:val="none"/>
            </w:rPr>
            <w:fldChar w:fldCharType="begin"/>
          </w:r>
          <w:r>
            <w:rPr>
              <w:highlight w:val="none"/>
            </w:rPr>
            <w:instrText xml:space="preserve"> HYPERLINK \l _Toc12979 </w:instrText>
          </w:r>
          <w:r>
            <w:rPr>
              <w:highlight w:val="none"/>
            </w:rPr>
            <w:fldChar w:fldCharType="separate"/>
          </w:r>
          <w:r>
            <w:rPr>
              <w:rFonts w:hint="eastAsia" w:ascii="宋体" w:hAnsi="宋体" w:eastAsia="宋体" w:cs="宋体"/>
              <w:spacing w:val="-33"/>
              <w:szCs w:val="40"/>
              <w:highlight w:val="none"/>
            </w:rPr>
            <w:t>目录</w:t>
          </w:r>
          <w:r>
            <w:tab/>
          </w:r>
          <w:r>
            <w:fldChar w:fldCharType="begin"/>
          </w:r>
          <w:r>
            <w:instrText xml:space="preserve"> PAGEREF _Toc12979 \h </w:instrText>
          </w:r>
          <w:r>
            <w:fldChar w:fldCharType="separate"/>
          </w:r>
          <w:r>
            <w:t>248</w:t>
          </w:r>
          <w:r>
            <w:fldChar w:fldCharType="end"/>
          </w:r>
          <w:r>
            <w:rPr>
              <w:color w:val="auto"/>
              <w:highlight w:val="none"/>
            </w:rPr>
            <w:fldChar w:fldCharType="end"/>
          </w:r>
        </w:p>
        <w:p w14:paraId="7882AF5C">
          <w:pPr>
            <w:pStyle w:val="8"/>
            <w:tabs>
              <w:tab w:val="right" w:leader="dot" w:pos="8831"/>
            </w:tabs>
          </w:pPr>
          <w:r>
            <w:rPr>
              <w:color w:val="auto"/>
              <w:highlight w:val="none"/>
            </w:rPr>
            <w:fldChar w:fldCharType="begin"/>
          </w:r>
          <w:r>
            <w:rPr>
              <w:highlight w:val="none"/>
            </w:rPr>
            <w:instrText xml:space="preserve"> HYPERLINK \l _Toc8579 </w:instrText>
          </w:r>
          <w:r>
            <w:rPr>
              <w:highlight w:val="none"/>
            </w:rPr>
            <w:fldChar w:fldCharType="separate"/>
          </w:r>
          <w:r>
            <w:rPr>
              <w:rFonts w:hint="eastAsia" w:ascii="宋体" w:hAnsi="宋体" w:eastAsia="宋体" w:cs="宋体"/>
              <w:spacing w:val="-1"/>
              <w:szCs w:val="30"/>
              <w:highlight w:val="none"/>
            </w:rPr>
            <w:t>调价函格式（如有）</w:t>
          </w:r>
          <w:r>
            <w:rPr>
              <w:rFonts w:hint="eastAsia" w:ascii="宋体" w:hAnsi="宋体" w:eastAsia="宋体" w:cs="宋体"/>
              <w:bCs/>
              <w:spacing w:val="-1"/>
              <w:position w:val="13"/>
              <w:szCs w:val="14"/>
              <w:highlight w:val="none"/>
            </w:rPr>
            <w:t>①</w:t>
          </w:r>
          <w:r>
            <w:tab/>
          </w:r>
          <w:r>
            <w:fldChar w:fldCharType="begin"/>
          </w:r>
          <w:r>
            <w:instrText xml:space="preserve"> PAGEREF _Toc8579 \h </w:instrText>
          </w:r>
          <w:r>
            <w:fldChar w:fldCharType="separate"/>
          </w:r>
          <w:r>
            <w:t>249</w:t>
          </w:r>
          <w:r>
            <w:fldChar w:fldCharType="end"/>
          </w:r>
          <w:r>
            <w:rPr>
              <w:color w:val="auto"/>
              <w:highlight w:val="none"/>
            </w:rPr>
            <w:fldChar w:fldCharType="end"/>
          </w:r>
        </w:p>
        <w:p w14:paraId="6E1ADE94">
          <w:pPr>
            <w:pStyle w:val="8"/>
            <w:tabs>
              <w:tab w:val="right" w:leader="dot" w:pos="8831"/>
            </w:tabs>
          </w:pPr>
          <w:r>
            <w:rPr>
              <w:color w:val="auto"/>
              <w:highlight w:val="none"/>
            </w:rPr>
            <w:fldChar w:fldCharType="begin"/>
          </w:r>
          <w:r>
            <w:rPr>
              <w:highlight w:val="none"/>
            </w:rPr>
            <w:instrText xml:space="preserve"> HYPERLINK \l _Toc25413 </w:instrText>
          </w:r>
          <w:r>
            <w:rPr>
              <w:highlight w:val="none"/>
            </w:rPr>
            <w:fldChar w:fldCharType="separate"/>
          </w:r>
          <w:r>
            <w:rPr>
              <w:rFonts w:hint="eastAsia" w:ascii="宋体" w:hAnsi="宋体" w:eastAsia="宋体" w:cs="宋体"/>
              <w:spacing w:val="-4"/>
              <w:szCs w:val="30"/>
              <w:highlight w:val="none"/>
            </w:rPr>
            <w:t>一、投标函</w:t>
          </w:r>
          <w:r>
            <w:tab/>
          </w:r>
          <w:r>
            <w:fldChar w:fldCharType="begin"/>
          </w:r>
          <w:r>
            <w:instrText xml:space="preserve"> PAGEREF _Toc25413 \h </w:instrText>
          </w:r>
          <w:r>
            <w:fldChar w:fldCharType="separate"/>
          </w:r>
          <w:r>
            <w:t>250</w:t>
          </w:r>
          <w:r>
            <w:fldChar w:fldCharType="end"/>
          </w:r>
          <w:r>
            <w:rPr>
              <w:color w:val="auto"/>
              <w:highlight w:val="none"/>
            </w:rPr>
            <w:fldChar w:fldCharType="end"/>
          </w:r>
        </w:p>
        <w:p w14:paraId="590158E2">
          <w:pPr>
            <w:pStyle w:val="8"/>
            <w:tabs>
              <w:tab w:val="right" w:leader="dot" w:pos="8831"/>
            </w:tabs>
          </w:pPr>
          <w:r>
            <w:rPr>
              <w:color w:val="auto"/>
              <w:highlight w:val="none"/>
            </w:rPr>
            <w:fldChar w:fldCharType="begin"/>
          </w:r>
          <w:r>
            <w:rPr>
              <w:highlight w:val="none"/>
            </w:rPr>
            <w:instrText xml:space="preserve"> HYPERLINK \l _Toc1819 </w:instrText>
          </w:r>
          <w:r>
            <w:rPr>
              <w:highlight w:val="none"/>
            </w:rPr>
            <w:fldChar w:fldCharType="separate"/>
          </w:r>
          <w:r>
            <w:rPr>
              <w:rFonts w:hint="eastAsia" w:ascii="宋体" w:hAnsi="宋体" w:eastAsia="宋体" w:cs="宋体"/>
              <w:spacing w:val="-2"/>
              <w:szCs w:val="28"/>
              <w:highlight w:val="none"/>
            </w:rPr>
            <w:t>二、已标价工程量清单</w:t>
          </w:r>
          <w:r>
            <w:tab/>
          </w:r>
          <w:r>
            <w:fldChar w:fldCharType="begin"/>
          </w:r>
          <w:r>
            <w:instrText xml:space="preserve"> PAGEREF _Toc1819 \h </w:instrText>
          </w:r>
          <w:r>
            <w:fldChar w:fldCharType="separate"/>
          </w:r>
          <w:r>
            <w:t>251</w:t>
          </w:r>
          <w:r>
            <w:fldChar w:fldCharType="end"/>
          </w:r>
          <w:r>
            <w:rPr>
              <w:color w:val="auto"/>
              <w:highlight w:val="none"/>
            </w:rPr>
            <w:fldChar w:fldCharType="end"/>
          </w:r>
        </w:p>
        <w:p w14:paraId="08BDD536">
          <w:pPr>
            <w:pStyle w:val="8"/>
            <w:tabs>
              <w:tab w:val="right" w:leader="dot" w:pos="8831"/>
            </w:tabs>
          </w:pPr>
          <w:r>
            <w:rPr>
              <w:color w:val="auto"/>
              <w:highlight w:val="none"/>
            </w:rPr>
            <w:fldChar w:fldCharType="begin"/>
          </w:r>
          <w:r>
            <w:rPr>
              <w:highlight w:val="none"/>
            </w:rPr>
            <w:instrText xml:space="preserve"> HYPERLINK \l _Toc25909 </w:instrText>
          </w:r>
          <w:r>
            <w:rPr>
              <w:highlight w:val="none"/>
            </w:rPr>
            <w:fldChar w:fldCharType="separate"/>
          </w:r>
          <w:r>
            <w:rPr>
              <w:rFonts w:hint="eastAsia" w:ascii="宋体" w:hAnsi="宋体" w:eastAsia="宋体" w:cs="宋体"/>
              <w:spacing w:val="-2"/>
              <w:szCs w:val="28"/>
              <w:highlight w:val="none"/>
            </w:rPr>
            <w:t>三、合同用款估算表</w:t>
          </w:r>
          <w:r>
            <w:tab/>
          </w:r>
          <w:r>
            <w:fldChar w:fldCharType="begin"/>
          </w:r>
          <w:r>
            <w:instrText xml:space="preserve"> PAGEREF _Toc25909 \h </w:instrText>
          </w:r>
          <w:r>
            <w:fldChar w:fldCharType="separate"/>
          </w:r>
          <w:r>
            <w:t>252</w:t>
          </w:r>
          <w:r>
            <w:fldChar w:fldCharType="end"/>
          </w:r>
          <w:r>
            <w:rPr>
              <w:color w:val="auto"/>
              <w:highlight w:val="none"/>
            </w:rPr>
            <w:fldChar w:fldCharType="end"/>
          </w:r>
        </w:p>
        <w:p w14:paraId="0FB27848">
          <w:pPr>
            <w:pStyle w:val="8"/>
            <w:tabs>
              <w:tab w:val="right" w:leader="dot" w:pos="8831"/>
            </w:tabs>
          </w:pPr>
          <w:r>
            <w:rPr>
              <w:color w:val="auto"/>
              <w:highlight w:val="none"/>
            </w:rPr>
            <w:fldChar w:fldCharType="begin"/>
          </w:r>
          <w:r>
            <w:rPr>
              <w:highlight w:val="none"/>
            </w:rPr>
            <w:instrText xml:space="preserve"> HYPERLINK \l _Toc8008 </w:instrText>
          </w:r>
          <w:r>
            <w:rPr>
              <w:highlight w:val="none"/>
            </w:rPr>
            <w:fldChar w:fldCharType="separate"/>
          </w:r>
          <w:r>
            <w:rPr>
              <w:rFonts w:hint="eastAsia" w:ascii="宋体" w:hAnsi="宋体" w:eastAsia="宋体" w:cs="宋体"/>
              <w:spacing w:val="-5"/>
              <w:szCs w:val="28"/>
              <w:highlight w:val="none"/>
            </w:rPr>
            <w:t>四、其他资料</w:t>
          </w:r>
          <w:r>
            <w:tab/>
          </w:r>
          <w:r>
            <w:fldChar w:fldCharType="begin"/>
          </w:r>
          <w:r>
            <w:instrText xml:space="preserve"> PAGEREF _Toc8008 \h </w:instrText>
          </w:r>
          <w:r>
            <w:fldChar w:fldCharType="separate"/>
          </w:r>
          <w:r>
            <w:t>253</w:t>
          </w:r>
          <w:r>
            <w:fldChar w:fldCharType="end"/>
          </w:r>
          <w:r>
            <w:rPr>
              <w:color w:val="auto"/>
              <w:highlight w:val="none"/>
            </w:rPr>
            <w:fldChar w:fldCharType="end"/>
          </w:r>
        </w:p>
        <w:p w14:paraId="17D6B384">
          <w:pPr>
            <w:pStyle w:val="8"/>
            <w:tabs>
              <w:tab w:val="right" w:leader="dot" w:pos="8831"/>
            </w:tabs>
          </w:pPr>
          <w:r>
            <w:rPr>
              <w:color w:val="auto"/>
              <w:highlight w:val="none"/>
            </w:rPr>
            <w:fldChar w:fldCharType="begin"/>
          </w:r>
          <w:r>
            <w:rPr>
              <w:highlight w:val="none"/>
            </w:rPr>
            <w:instrText xml:space="preserve"> HYPERLINK \l _Toc8284 </w:instrText>
          </w:r>
          <w:r>
            <w:rPr>
              <w:highlight w:val="none"/>
            </w:rPr>
            <w:fldChar w:fldCharType="separate"/>
          </w:r>
          <w:r>
            <w:rPr>
              <w:rFonts w:hint="eastAsia" w:ascii="宋体" w:hAnsi="宋体" w:eastAsia="宋体" w:cs="宋体"/>
              <w:bCs/>
              <w:spacing w:val="5"/>
              <w:szCs w:val="31"/>
              <w:highlight w:val="none"/>
            </w:rPr>
            <w:t>工程量清单说明</w:t>
          </w:r>
          <w:r>
            <w:tab/>
          </w:r>
          <w:r>
            <w:fldChar w:fldCharType="begin"/>
          </w:r>
          <w:r>
            <w:instrText xml:space="preserve"> PAGEREF _Toc8284 \h </w:instrText>
          </w:r>
          <w:r>
            <w:fldChar w:fldCharType="separate"/>
          </w:r>
          <w:r>
            <w:t>254</w:t>
          </w:r>
          <w:r>
            <w:fldChar w:fldCharType="end"/>
          </w:r>
          <w:r>
            <w:rPr>
              <w:color w:val="auto"/>
              <w:highlight w:val="none"/>
            </w:rPr>
            <w:fldChar w:fldCharType="end"/>
          </w:r>
        </w:p>
        <w:p w14:paraId="33052EAC">
          <w:pPr>
            <w:rPr>
              <w:color w:val="auto"/>
              <w:highlight w:val="none"/>
            </w:rPr>
          </w:pPr>
          <w:r>
            <w:rPr>
              <w:color w:val="auto"/>
              <w:highlight w:val="none"/>
            </w:rPr>
            <w:fldChar w:fldCharType="end"/>
          </w:r>
        </w:p>
      </w:sdtContent>
    </w:sdt>
    <w:p w14:paraId="16D38CD9">
      <w:pPr>
        <w:rPr>
          <w:color w:val="auto"/>
          <w:highlight w:val="none"/>
        </w:rPr>
      </w:pPr>
    </w:p>
    <w:p w14:paraId="0C12CC97">
      <w:pPr>
        <w:spacing w:before="266" w:line="219" w:lineRule="auto"/>
        <w:ind w:left="63"/>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(一)投标人基本情况表</w:t>
      </w:r>
    </w:p>
    <w:p w14:paraId="73C1AAEB">
      <w:pPr>
        <w:spacing w:before="268" w:line="220" w:lineRule="auto"/>
        <w:ind w:left="63"/>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(二)投标人关联企业情况</w:t>
      </w:r>
    </w:p>
    <w:p w14:paraId="3E2A5D56">
      <w:pPr>
        <w:spacing w:before="263" w:line="219" w:lineRule="auto"/>
        <w:ind w:left="63"/>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(三)投标人企业组织机构框图</w:t>
      </w:r>
    </w:p>
    <w:p w14:paraId="39D7878B">
      <w:pPr>
        <w:spacing w:before="269" w:line="219" w:lineRule="auto"/>
        <w:ind w:left="63"/>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(四)近年财务状况表</w:t>
      </w:r>
    </w:p>
    <w:p w14:paraId="33846606">
      <w:pPr>
        <w:spacing w:before="267" w:line="219" w:lineRule="auto"/>
        <w:ind w:left="63"/>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(五)近年完成的类似项目情况表</w:t>
      </w:r>
    </w:p>
    <w:p w14:paraId="692C6BFC">
      <w:pPr>
        <w:spacing w:before="265" w:line="219" w:lineRule="auto"/>
        <w:ind w:left="63"/>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(六)企业获奖情况表</w:t>
      </w:r>
    </w:p>
    <w:p w14:paraId="05116B8B">
      <w:pPr>
        <w:spacing w:before="266" w:line="219" w:lineRule="auto"/>
        <w:ind w:left="63"/>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(七)拟委任的项目经理和项目总工资历表</w:t>
      </w:r>
    </w:p>
    <w:p w14:paraId="6AEDC546">
      <w:pPr>
        <w:spacing w:before="267" w:line="219" w:lineRule="auto"/>
        <w:ind w:left="63"/>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(八)拟委任的其他管理和技术人员汇总表</w:t>
      </w:r>
    </w:p>
    <w:p w14:paraId="441E2358">
      <w:pPr>
        <w:spacing w:before="265" w:line="219" w:lineRule="auto"/>
        <w:ind w:left="63"/>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(九)拟委任的其他管理和技术人员资历表</w:t>
      </w:r>
    </w:p>
    <w:p w14:paraId="7721CFB8">
      <w:pPr>
        <w:spacing w:before="268" w:line="219" w:lineRule="auto"/>
        <w:ind w:left="63"/>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(十)拟投入本标段的主要施工机械表</w:t>
      </w:r>
    </w:p>
    <w:p w14:paraId="191E5E98">
      <w:pPr>
        <w:spacing w:before="267" w:line="219" w:lineRule="auto"/>
        <w:ind w:left="6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(十一)拟配备本标段的主要材料试验、测量、质检仪器设备表</w:t>
      </w:r>
    </w:p>
    <w:sdt>
      <w:sdtPr>
        <w:rPr>
          <w:rFonts w:ascii="宋体" w:hAnsi="宋体" w:eastAsia="宋体" w:cs="Arial"/>
          <w:snapToGrid w:val="0"/>
          <w:color w:val="auto"/>
          <w:kern w:val="0"/>
          <w:sz w:val="21"/>
          <w:szCs w:val="21"/>
          <w:highlight w:val="none"/>
          <w:lang w:val="en-US" w:eastAsia="en-US" w:bidi="ar-SA"/>
        </w:rPr>
        <w:id w:val="147468071"/>
        <w15:color w:val="DBDBDB"/>
        <w:docPartObj>
          <w:docPartGallery w:val="Table of Contents"/>
          <w:docPartUnique/>
        </w:docPartObj>
      </w:sdtPr>
      <w:sdtEndPr>
        <w:rPr>
          <w:rFonts w:hint="eastAsia" w:ascii="宋体" w:hAnsi="宋体" w:eastAsia="宋体" w:cs="宋体"/>
          <w:snapToGrid w:val="0"/>
          <w:color w:val="auto"/>
          <w:kern w:val="0"/>
          <w:sz w:val="21"/>
          <w:szCs w:val="24"/>
          <w:highlight w:val="none"/>
          <w:lang w:val="en-US" w:eastAsia="en-US" w:bidi="ar-SA"/>
        </w:rPr>
      </w:sdtEndPr>
      <w:sdtContent>
        <w:p w14:paraId="4CEE696F">
          <w:pPr>
            <w:spacing w:before="0" w:beforeLines="0" w:after="0" w:afterLines="0" w:line="240" w:lineRule="auto"/>
            <w:ind w:left="0" w:leftChars="0" w:right="0" w:rightChars="0" w:firstLine="0" w:firstLineChars="0"/>
            <w:jc w:val="center"/>
            <w:rPr>
              <w:color w:val="auto"/>
              <w:highlight w:val="none"/>
            </w:rPr>
          </w:pPr>
          <w:r>
            <w:rPr>
              <w:rFonts w:ascii="宋体" w:hAnsi="宋体" w:eastAsia="宋体"/>
              <w:color w:val="auto"/>
              <w:sz w:val="21"/>
              <w:highlight w:val="none"/>
            </w:rPr>
            <w:t>目录</w:t>
          </w:r>
        </w:p>
        <w:p w14:paraId="781BD9DF">
          <w:pPr>
            <w:pStyle w:val="7"/>
            <w:tabs>
              <w:tab w:val="right" w:leader="dot" w:pos="8831"/>
            </w:tabs>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TOC \o "1-3" \h \u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_Toc9744 </w:instrText>
          </w:r>
          <w:r>
            <w:rPr>
              <w:rFonts w:hint="eastAsia" w:ascii="宋体" w:hAnsi="宋体" w:eastAsia="宋体" w:cs="宋体"/>
              <w:szCs w:val="24"/>
              <w:highlight w:val="none"/>
            </w:rPr>
            <w:fldChar w:fldCharType="separate"/>
          </w:r>
          <w:r>
            <w:rPr>
              <w:rFonts w:hint="eastAsia" w:ascii="宋体" w:hAnsi="宋体" w:eastAsia="宋体" w:cs="宋体"/>
              <w:bCs/>
              <w:szCs w:val="47"/>
              <w:highlight w:val="none"/>
            </w:rPr>
            <w:t>第一卷</w:t>
          </w:r>
          <w:r>
            <w:tab/>
          </w:r>
          <w:r>
            <w:fldChar w:fldCharType="begin"/>
          </w:r>
          <w:r>
            <w:instrText xml:space="preserve"> PAGEREF _Toc9744 \h </w:instrText>
          </w:r>
          <w:r>
            <w:fldChar w:fldCharType="separate"/>
          </w:r>
          <w:r>
            <w:t>3</w:t>
          </w:r>
          <w:r>
            <w:fldChar w:fldCharType="end"/>
          </w:r>
          <w:r>
            <w:rPr>
              <w:rFonts w:hint="eastAsia" w:ascii="宋体" w:hAnsi="宋体" w:eastAsia="宋体" w:cs="宋体"/>
              <w:color w:val="auto"/>
              <w:szCs w:val="24"/>
              <w:highlight w:val="none"/>
            </w:rPr>
            <w:fldChar w:fldCharType="end"/>
          </w:r>
        </w:p>
        <w:p w14:paraId="4D12B53F">
          <w:pPr>
            <w:pStyle w:val="7"/>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_Toc4972 </w:instrText>
          </w:r>
          <w:r>
            <w:rPr>
              <w:rFonts w:hint="eastAsia" w:ascii="宋体" w:hAnsi="宋体" w:eastAsia="宋体" w:cs="宋体"/>
              <w:szCs w:val="24"/>
              <w:highlight w:val="none"/>
            </w:rPr>
            <w:fldChar w:fldCharType="separate"/>
          </w:r>
          <w:r>
            <w:rPr>
              <w:rFonts w:hint="eastAsia" w:ascii="宋体" w:hAnsi="宋体" w:eastAsia="宋体" w:cs="宋体"/>
              <w:bCs/>
              <w:spacing w:val="5"/>
              <w:szCs w:val="35"/>
              <w:highlight w:val="none"/>
            </w:rPr>
            <w:t>第一章招标公告</w:t>
          </w:r>
          <w:r>
            <w:tab/>
          </w:r>
          <w:r>
            <w:fldChar w:fldCharType="begin"/>
          </w:r>
          <w:r>
            <w:instrText xml:space="preserve"> PAGEREF _Toc4972 \h </w:instrText>
          </w:r>
          <w:r>
            <w:fldChar w:fldCharType="separate"/>
          </w:r>
          <w:r>
            <w:t>4</w:t>
          </w:r>
          <w:r>
            <w:fldChar w:fldCharType="end"/>
          </w:r>
          <w:r>
            <w:rPr>
              <w:rFonts w:hint="eastAsia" w:ascii="宋体" w:hAnsi="宋体" w:eastAsia="宋体" w:cs="宋体"/>
              <w:color w:val="auto"/>
              <w:szCs w:val="24"/>
              <w:highlight w:val="none"/>
            </w:rPr>
            <w:fldChar w:fldCharType="end"/>
          </w:r>
        </w:p>
        <w:p w14:paraId="0F036530">
          <w:pPr>
            <w:pStyle w:val="8"/>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_Toc4605 </w:instrText>
          </w:r>
          <w:r>
            <w:rPr>
              <w:rFonts w:hint="eastAsia" w:ascii="宋体" w:hAnsi="宋体" w:eastAsia="宋体" w:cs="宋体"/>
              <w:szCs w:val="24"/>
              <w:highlight w:val="none"/>
            </w:rPr>
            <w:fldChar w:fldCharType="separate"/>
          </w:r>
          <w:r>
            <w:rPr>
              <w:rFonts w:hint="eastAsia" w:ascii="宋体" w:hAnsi="宋体" w:eastAsia="宋体" w:cs="宋体"/>
              <w:bCs/>
              <w:spacing w:val="4"/>
              <w:szCs w:val="24"/>
              <w:highlight w:val="none"/>
            </w:rPr>
            <w:t>1.招标条件</w:t>
          </w:r>
          <w:r>
            <w:tab/>
          </w:r>
          <w:r>
            <w:fldChar w:fldCharType="begin"/>
          </w:r>
          <w:r>
            <w:instrText xml:space="preserve"> PAGEREF _Toc4605 \h </w:instrText>
          </w:r>
          <w:r>
            <w:fldChar w:fldCharType="separate"/>
          </w:r>
          <w:r>
            <w:t>4</w:t>
          </w:r>
          <w:r>
            <w:fldChar w:fldCharType="end"/>
          </w:r>
          <w:r>
            <w:rPr>
              <w:rFonts w:hint="eastAsia" w:ascii="宋体" w:hAnsi="宋体" w:eastAsia="宋体" w:cs="宋体"/>
              <w:color w:val="auto"/>
              <w:szCs w:val="24"/>
              <w:highlight w:val="none"/>
            </w:rPr>
            <w:fldChar w:fldCharType="end"/>
          </w:r>
        </w:p>
        <w:p w14:paraId="08EF177A">
          <w:pPr>
            <w:pStyle w:val="8"/>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_Toc29774 </w:instrText>
          </w:r>
          <w:r>
            <w:rPr>
              <w:rFonts w:hint="eastAsia" w:ascii="宋体" w:hAnsi="宋体" w:eastAsia="宋体" w:cs="宋体"/>
              <w:szCs w:val="24"/>
              <w:highlight w:val="none"/>
            </w:rPr>
            <w:fldChar w:fldCharType="separate"/>
          </w:r>
          <w:r>
            <w:rPr>
              <w:rFonts w:hint="eastAsia" w:ascii="宋体" w:hAnsi="宋体" w:eastAsia="宋体" w:cs="宋体"/>
              <w:spacing w:val="6"/>
              <w:szCs w:val="24"/>
              <w:highlight w:val="none"/>
            </w:rPr>
            <w:t>2</w:t>
          </w:r>
          <w:r>
            <w:rPr>
              <w:rFonts w:hint="eastAsia" w:ascii="宋体" w:hAnsi="宋体" w:eastAsia="宋体" w:cs="宋体"/>
              <w:bCs/>
              <w:spacing w:val="6"/>
              <w:szCs w:val="24"/>
              <w:highlight w:val="none"/>
            </w:rPr>
            <w:t>.项目概况与招标范围</w:t>
          </w:r>
          <w:r>
            <w:tab/>
          </w:r>
          <w:r>
            <w:fldChar w:fldCharType="begin"/>
          </w:r>
          <w:r>
            <w:instrText xml:space="preserve"> PAGEREF _Toc29774 \h </w:instrText>
          </w:r>
          <w:r>
            <w:fldChar w:fldCharType="separate"/>
          </w:r>
          <w:r>
            <w:t>4</w:t>
          </w:r>
          <w:r>
            <w:fldChar w:fldCharType="end"/>
          </w:r>
          <w:r>
            <w:rPr>
              <w:rFonts w:hint="eastAsia" w:ascii="宋体" w:hAnsi="宋体" w:eastAsia="宋体" w:cs="宋体"/>
              <w:color w:val="auto"/>
              <w:szCs w:val="24"/>
              <w:highlight w:val="none"/>
            </w:rPr>
            <w:fldChar w:fldCharType="end"/>
          </w:r>
        </w:p>
        <w:p w14:paraId="57A151F0">
          <w:pPr>
            <w:pStyle w:val="8"/>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_Toc23933 </w:instrText>
          </w:r>
          <w:r>
            <w:rPr>
              <w:rFonts w:hint="eastAsia" w:ascii="宋体" w:hAnsi="宋体" w:eastAsia="宋体" w:cs="宋体"/>
              <w:szCs w:val="24"/>
              <w:highlight w:val="none"/>
            </w:rPr>
            <w:fldChar w:fldCharType="separate"/>
          </w:r>
          <w:r>
            <w:rPr>
              <w:rFonts w:hint="eastAsia" w:ascii="宋体" w:hAnsi="宋体" w:eastAsia="宋体" w:cs="宋体"/>
              <w:bCs/>
              <w:spacing w:val="5"/>
              <w:szCs w:val="24"/>
              <w:highlight w:val="none"/>
            </w:rPr>
            <w:t>3.投标人资格要求</w:t>
          </w:r>
          <w:r>
            <w:tab/>
          </w:r>
          <w:r>
            <w:fldChar w:fldCharType="begin"/>
          </w:r>
          <w:r>
            <w:instrText xml:space="preserve"> PAGEREF _Toc23933 \h </w:instrText>
          </w:r>
          <w:r>
            <w:fldChar w:fldCharType="separate"/>
          </w:r>
          <w:r>
            <w:t>5</w:t>
          </w:r>
          <w:r>
            <w:fldChar w:fldCharType="end"/>
          </w:r>
          <w:r>
            <w:rPr>
              <w:rFonts w:hint="eastAsia" w:ascii="宋体" w:hAnsi="宋体" w:eastAsia="宋体" w:cs="宋体"/>
              <w:color w:val="auto"/>
              <w:szCs w:val="24"/>
              <w:highlight w:val="none"/>
            </w:rPr>
            <w:fldChar w:fldCharType="end"/>
          </w:r>
        </w:p>
        <w:p w14:paraId="72B51E98">
          <w:pPr>
            <w:pStyle w:val="8"/>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_Toc13052 </w:instrText>
          </w:r>
          <w:r>
            <w:rPr>
              <w:rFonts w:hint="eastAsia" w:ascii="宋体" w:hAnsi="宋体" w:eastAsia="宋体" w:cs="宋体"/>
              <w:szCs w:val="24"/>
              <w:highlight w:val="none"/>
            </w:rPr>
            <w:fldChar w:fldCharType="separate"/>
          </w:r>
          <w:r>
            <w:rPr>
              <w:rFonts w:hint="eastAsia" w:ascii="宋体" w:hAnsi="宋体" w:eastAsia="宋体" w:cs="宋体"/>
              <w:bCs/>
              <w:spacing w:val="5"/>
              <w:szCs w:val="24"/>
              <w:highlight w:val="none"/>
            </w:rPr>
            <w:t>4.评标办法</w:t>
          </w:r>
          <w:r>
            <w:tab/>
          </w:r>
          <w:r>
            <w:fldChar w:fldCharType="begin"/>
          </w:r>
          <w:r>
            <w:instrText xml:space="preserve"> PAGEREF _Toc13052 \h </w:instrText>
          </w:r>
          <w:r>
            <w:fldChar w:fldCharType="separate"/>
          </w:r>
          <w:r>
            <w:t>6</w:t>
          </w:r>
          <w:r>
            <w:fldChar w:fldCharType="end"/>
          </w:r>
          <w:r>
            <w:rPr>
              <w:rFonts w:hint="eastAsia" w:ascii="宋体" w:hAnsi="宋体" w:eastAsia="宋体" w:cs="宋体"/>
              <w:color w:val="auto"/>
              <w:szCs w:val="24"/>
              <w:highlight w:val="none"/>
            </w:rPr>
            <w:fldChar w:fldCharType="end"/>
          </w:r>
        </w:p>
        <w:p w14:paraId="6852685C">
          <w:pPr>
            <w:pStyle w:val="8"/>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_Toc31500 </w:instrText>
          </w:r>
          <w:r>
            <w:rPr>
              <w:rFonts w:hint="eastAsia" w:ascii="宋体" w:hAnsi="宋体" w:eastAsia="宋体" w:cs="宋体"/>
              <w:szCs w:val="24"/>
              <w:highlight w:val="none"/>
            </w:rPr>
            <w:fldChar w:fldCharType="separate"/>
          </w:r>
          <w:r>
            <w:rPr>
              <w:rFonts w:hint="eastAsia" w:ascii="宋体" w:hAnsi="宋体" w:eastAsia="宋体" w:cs="宋体"/>
              <w:bCs/>
              <w:spacing w:val="5"/>
              <w:szCs w:val="24"/>
              <w:highlight w:val="none"/>
            </w:rPr>
            <w:t>5.招标文件获取</w:t>
          </w:r>
          <w:r>
            <w:tab/>
          </w:r>
          <w:r>
            <w:fldChar w:fldCharType="begin"/>
          </w:r>
          <w:r>
            <w:instrText xml:space="preserve"> PAGEREF _Toc31500 \h </w:instrText>
          </w:r>
          <w:r>
            <w:fldChar w:fldCharType="separate"/>
          </w:r>
          <w:r>
            <w:t>6</w:t>
          </w:r>
          <w:r>
            <w:fldChar w:fldCharType="end"/>
          </w:r>
          <w:r>
            <w:rPr>
              <w:rFonts w:hint="eastAsia" w:ascii="宋体" w:hAnsi="宋体" w:eastAsia="宋体" w:cs="宋体"/>
              <w:color w:val="auto"/>
              <w:szCs w:val="24"/>
              <w:highlight w:val="none"/>
            </w:rPr>
            <w:fldChar w:fldCharType="end"/>
          </w:r>
        </w:p>
        <w:p w14:paraId="1DEDF602">
          <w:pPr>
            <w:pStyle w:val="8"/>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_Toc5665 </w:instrText>
          </w:r>
          <w:r>
            <w:rPr>
              <w:rFonts w:hint="eastAsia" w:ascii="宋体" w:hAnsi="宋体" w:eastAsia="宋体" w:cs="宋体"/>
              <w:szCs w:val="24"/>
              <w:highlight w:val="none"/>
            </w:rPr>
            <w:fldChar w:fldCharType="separate"/>
          </w:r>
          <w:r>
            <w:rPr>
              <w:rFonts w:hint="eastAsia" w:ascii="宋体" w:hAnsi="宋体" w:eastAsia="宋体" w:cs="宋体"/>
              <w:bCs/>
              <w:spacing w:val="7"/>
              <w:szCs w:val="24"/>
              <w:highlight w:val="none"/>
            </w:rPr>
            <w:t>6.投标文件的递交及电子化开标说明</w:t>
          </w:r>
          <w:r>
            <w:tab/>
          </w:r>
          <w:r>
            <w:fldChar w:fldCharType="begin"/>
          </w:r>
          <w:r>
            <w:instrText xml:space="preserve"> PAGEREF _Toc5665 \h </w:instrText>
          </w:r>
          <w:r>
            <w:fldChar w:fldCharType="separate"/>
          </w:r>
          <w:r>
            <w:t>6</w:t>
          </w:r>
          <w:r>
            <w:fldChar w:fldCharType="end"/>
          </w:r>
          <w:r>
            <w:rPr>
              <w:rFonts w:hint="eastAsia" w:ascii="宋体" w:hAnsi="宋体" w:eastAsia="宋体" w:cs="宋体"/>
              <w:color w:val="auto"/>
              <w:szCs w:val="24"/>
              <w:highlight w:val="none"/>
            </w:rPr>
            <w:fldChar w:fldCharType="end"/>
          </w:r>
        </w:p>
        <w:p w14:paraId="24D3ED8F">
          <w:pPr>
            <w:pStyle w:val="8"/>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_Toc17478 </w:instrText>
          </w:r>
          <w:r>
            <w:rPr>
              <w:rFonts w:hint="eastAsia" w:ascii="宋体" w:hAnsi="宋体" w:eastAsia="宋体" w:cs="宋体"/>
              <w:szCs w:val="24"/>
              <w:highlight w:val="none"/>
            </w:rPr>
            <w:fldChar w:fldCharType="separate"/>
          </w:r>
          <w:r>
            <w:rPr>
              <w:rFonts w:hint="eastAsia" w:ascii="宋体" w:hAnsi="宋体" w:eastAsia="宋体" w:cs="宋体"/>
              <w:bCs/>
              <w:spacing w:val="5"/>
              <w:szCs w:val="24"/>
              <w:highlight w:val="none"/>
            </w:rPr>
            <w:t>7.发布公告的媒介</w:t>
          </w:r>
          <w:r>
            <w:tab/>
          </w:r>
          <w:r>
            <w:fldChar w:fldCharType="begin"/>
          </w:r>
          <w:r>
            <w:instrText xml:space="preserve"> PAGEREF _Toc17478 \h </w:instrText>
          </w:r>
          <w:r>
            <w:fldChar w:fldCharType="separate"/>
          </w:r>
          <w:r>
            <w:t>7</w:t>
          </w:r>
          <w:r>
            <w:fldChar w:fldCharType="end"/>
          </w:r>
          <w:r>
            <w:rPr>
              <w:rFonts w:hint="eastAsia" w:ascii="宋体" w:hAnsi="宋体" w:eastAsia="宋体" w:cs="宋体"/>
              <w:color w:val="auto"/>
              <w:szCs w:val="24"/>
              <w:highlight w:val="none"/>
            </w:rPr>
            <w:fldChar w:fldCharType="end"/>
          </w:r>
        </w:p>
        <w:p w14:paraId="0A5B49D4">
          <w:pPr>
            <w:pStyle w:val="8"/>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_Toc28703 </w:instrText>
          </w:r>
          <w:r>
            <w:rPr>
              <w:rFonts w:hint="eastAsia" w:ascii="宋体" w:hAnsi="宋体" w:eastAsia="宋体" w:cs="宋体"/>
              <w:szCs w:val="24"/>
              <w:highlight w:val="none"/>
            </w:rPr>
            <w:fldChar w:fldCharType="separate"/>
          </w:r>
          <w:r>
            <w:rPr>
              <w:rFonts w:hint="eastAsia" w:ascii="宋体" w:hAnsi="宋体" w:eastAsia="宋体" w:cs="宋体"/>
              <w:bCs/>
              <w:spacing w:val="5"/>
              <w:szCs w:val="24"/>
              <w:highlight w:val="none"/>
            </w:rPr>
            <w:t>8.联系方式</w:t>
          </w:r>
          <w:r>
            <w:tab/>
          </w:r>
          <w:r>
            <w:fldChar w:fldCharType="begin"/>
          </w:r>
          <w:r>
            <w:instrText xml:space="preserve"> PAGEREF _Toc28703 \h </w:instrText>
          </w:r>
          <w:r>
            <w:fldChar w:fldCharType="separate"/>
          </w:r>
          <w:r>
            <w:t>7</w:t>
          </w:r>
          <w:r>
            <w:fldChar w:fldCharType="end"/>
          </w:r>
          <w:r>
            <w:rPr>
              <w:rFonts w:hint="eastAsia" w:ascii="宋体" w:hAnsi="宋体" w:eastAsia="宋体" w:cs="宋体"/>
              <w:color w:val="auto"/>
              <w:szCs w:val="24"/>
              <w:highlight w:val="none"/>
            </w:rPr>
            <w:fldChar w:fldCharType="end"/>
          </w:r>
        </w:p>
        <w:p w14:paraId="285537EC">
          <w:pPr>
            <w:pStyle w:val="7"/>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_Toc27753 </w:instrText>
          </w:r>
          <w:r>
            <w:rPr>
              <w:rFonts w:hint="eastAsia" w:ascii="宋体" w:hAnsi="宋体" w:eastAsia="宋体" w:cs="宋体"/>
              <w:szCs w:val="24"/>
              <w:highlight w:val="none"/>
            </w:rPr>
            <w:fldChar w:fldCharType="separate"/>
          </w:r>
          <w:r>
            <w:rPr>
              <w:rFonts w:hint="eastAsia" w:ascii="宋体" w:hAnsi="宋体" w:eastAsia="宋体" w:cs="宋体"/>
              <w:bCs/>
              <w:spacing w:val="4"/>
              <w:szCs w:val="43"/>
              <w:highlight w:val="none"/>
            </w:rPr>
            <w:t>第二章投标人须知</w:t>
          </w:r>
          <w:r>
            <w:tab/>
          </w:r>
          <w:r>
            <w:fldChar w:fldCharType="begin"/>
          </w:r>
          <w:r>
            <w:instrText xml:space="preserve"> PAGEREF _Toc27753 \h </w:instrText>
          </w:r>
          <w:r>
            <w:fldChar w:fldCharType="separate"/>
          </w:r>
          <w:r>
            <w:t>9</w:t>
          </w:r>
          <w:r>
            <w:fldChar w:fldCharType="end"/>
          </w:r>
          <w:r>
            <w:rPr>
              <w:rFonts w:hint="eastAsia" w:ascii="宋体" w:hAnsi="宋体" w:eastAsia="宋体" w:cs="宋体"/>
              <w:color w:val="auto"/>
              <w:szCs w:val="24"/>
              <w:highlight w:val="none"/>
            </w:rPr>
            <w:fldChar w:fldCharType="end"/>
          </w:r>
        </w:p>
        <w:p w14:paraId="202034FD">
          <w:pPr>
            <w:pStyle w:val="7"/>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_Toc20475 </w:instrText>
          </w:r>
          <w:r>
            <w:rPr>
              <w:rFonts w:hint="eastAsia" w:ascii="宋体" w:hAnsi="宋体" w:eastAsia="宋体" w:cs="宋体"/>
              <w:szCs w:val="24"/>
              <w:highlight w:val="none"/>
            </w:rPr>
            <w:fldChar w:fldCharType="separate"/>
          </w:r>
          <w:r>
            <w:rPr>
              <w:rFonts w:hint="eastAsia" w:ascii="宋体" w:hAnsi="宋体" w:eastAsia="宋体" w:cs="宋体"/>
              <w:bCs/>
              <w:spacing w:val="5"/>
              <w:szCs w:val="43"/>
              <w:highlight w:val="none"/>
            </w:rPr>
            <w:t>投标人须知前附表</w:t>
          </w:r>
          <w:r>
            <w:tab/>
          </w:r>
          <w:r>
            <w:fldChar w:fldCharType="begin"/>
          </w:r>
          <w:r>
            <w:instrText xml:space="preserve"> PAGEREF _Toc20475 \h </w:instrText>
          </w:r>
          <w:r>
            <w:fldChar w:fldCharType="separate"/>
          </w:r>
          <w:r>
            <w:t>9</w:t>
          </w:r>
          <w:r>
            <w:fldChar w:fldCharType="end"/>
          </w:r>
          <w:r>
            <w:rPr>
              <w:rFonts w:hint="eastAsia" w:ascii="宋体" w:hAnsi="宋体" w:eastAsia="宋体" w:cs="宋体"/>
              <w:color w:val="auto"/>
              <w:szCs w:val="24"/>
              <w:highlight w:val="none"/>
            </w:rPr>
            <w:fldChar w:fldCharType="end"/>
          </w:r>
        </w:p>
        <w:p w14:paraId="1BA6A6DF">
          <w:pPr>
            <w:pStyle w:val="8"/>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_Toc21539 </w:instrText>
          </w:r>
          <w:r>
            <w:rPr>
              <w:rFonts w:hint="eastAsia" w:ascii="宋体" w:hAnsi="宋体" w:eastAsia="宋体" w:cs="宋体"/>
              <w:szCs w:val="24"/>
              <w:highlight w:val="none"/>
            </w:rPr>
            <w:fldChar w:fldCharType="separate"/>
          </w:r>
          <w:r>
            <w:rPr>
              <w:rFonts w:hint="eastAsia" w:ascii="宋体" w:hAnsi="宋体" w:eastAsia="宋体" w:cs="宋体"/>
              <w:bCs/>
              <w:spacing w:val="-8"/>
              <w:szCs w:val="28"/>
              <w:highlight w:val="none"/>
            </w:rPr>
            <w:t>1.总则</w:t>
          </w:r>
          <w:r>
            <w:tab/>
          </w:r>
          <w:r>
            <w:fldChar w:fldCharType="begin"/>
          </w:r>
          <w:r>
            <w:instrText xml:space="preserve"> PAGEREF _Toc21539 \h </w:instrText>
          </w:r>
          <w:r>
            <w:fldChar w:fldCharType="separate"/>
          </w:r>
          <w:r>
            <w:t>34</w:t>
          </w:r>
          <w:r>
            <w:fldChar w:fldCharType="end"/>
          </w:r>
          <w:r>
            <w:rPr>
              <w:rFonts w:hint="eastAsia" w:ascii="宋体" w:hAnsi="宋体" w:eastAsia="宋体" w:cs="宋体"/>
              <w:color w:val="auto"/>
              <w:szCs w:val="24"/>
              <w:highlight w:val="none"/>
            </w:rPr>
            <w:fldChar w:fldCharType="end"/>
          </w:r>
        </w:p>
        <w:p w14:paraId="445546BB">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_Toc21119 </w:instrText>
          </w:r>
          <w:r>
            <w:rPr>
              <w:rFonts w:hint="eastAsia" w:ascii="宋体" w:hAnsi="宋体" w:eastAsia="宋体" w:cs="宋体"/>
              <w:szCs w:val="24"/>
              <w:highlight w:val="none"/>
            </w:rPr>
            <w:fldChar w:fldCharType="separate"/>
          </w:r>
          <w:r>
            <w:rPr>
              <w:rFonts w:hint="eastAsia" w:ascii="宋体" w:hAnsi="宋体" w:eastAsia="宋体" w:cs="宋体"/>
              <w:bCs/>
              <w:spacing w:val="-5"/>
              <w:szCs w:val="24"/>
              <w:highlight w:val="none"/>
            </w:rPr>
            <w:t>1.1项目概况</w:t>
          </w:r>
          <w:r>
            <w:tab/>
          </w:r>
          <w:r>
            <w:fldChar w:fldCharType="begin"/>
          </w:r>
          <w:r>
            <w:instrText xml:space="preserve"> PAGEREF _Toc21119 \h </w:instrText>
          </w:r>
          <w:r>
            <w:fldChar w:fldCharType="separate"/>
          </w:r>
          <w:r>
            <w:t>34</w:t>
          </w:r>
          <w:r>
            <w:fldChar w:fldCharType="end"/>
          </w:r>
          <w:r>
            <w:rPr>
              <w:rFonts w:hint="eastAsia" w:ascii="宋体" w:hAnsi="宋体" w:eastAsia="宋体" w:cs="宋体"/>
              <w:color w:val="auto"/>
              <w:szCs w:val="24"/>
              <w:highlight w:val="none"/>
            </w:rPr>
            <w:fldChar w:fldCharType="end"/>
          </w:r>
        </w:p>
        <w:p w14:paraId="42E3F946">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_Toc12450 </w:instrText>
          </w:r>
          <w:r>
            <w:rPr>
              <w:rFonts w:hint="eastAsia" w:ascii="宋体" w:hAnsi="宋体" w:eastAsia="宋体" w:cs="宋体"/>
              <w:szCs w:val="24"/>
              <w:highlight w:val="none"/>
            </w:rPr>
            <w:fldChar w:fldCharType="separate"/>
          </w:r>
          <w:r>
            <w:rPr>
              <w:rFonts w:hint="eastAsia" w:ascii="宋体" w:hAnsi="宋体" w:eastAsia="宋体" w:cs="宋体"/>
              <w:bCs/>
              <w:spacing w:val="-3"/>
              <w:szCs w:val="24"/>
              <w:highlight w:val="none"/>
            </w:rPr>
            <w:t>1.2招标项目的资金来源和落实情况</w:t>
          </w:r>
          <w:r>
            <w:tab/>
          </w:r>
          <w:r>
            <w:fldChar w:fldCharType="begin"/>
          </w:r>
          <w:r>
            <w:instrText xml:space="preserve"> PAGEREF _Toc12450 \h </w:instrText>
          </w:r>
          <w:r>
            <w:fldChar w:fldCharType="separate"/>
          </w:r>
          <w:r>
            <w:t>34</w:t>
          </w:r>
          <w:r>
            <w:fldChar w:fldCharType="end"/>
          </w:r>
          <w:r>
            <w:rPr>
              <w:rFonts w:hint="eastAsia" w:ascii="宋体" w:hAnsi="宋体" w:eastAsia="宋体" w:cs="宋体"/>
              <w:color w:val="auto"/>
              <w:szCs w:val="24"/>
              <w:highlight w:val="none"/>
            </w:rPr>
            <w:fldChar w:fldCharType="end"/>
          </w:r>
        </w:p>
        <w:p w14:paraId="369DC4F8">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_Toc23939 </w:instrText>
          </w:r>
          <w:r>
            <w:rPr>
              <w:rFonts w:hint="eastAsia" w:ascii="宋体" w:hAnsi="宋体" w:eastAsia="宋体" w:cs="宋体"/>
              <w:szCs w:val="24"/>
              <w:highlight w:val="none"/>
            </w:rPr>
            <w:fldChar w:fldCharType="separate"/>
          </w:r>
          <w:r>
            <w:rPr>
              <w:rFonts w:hint="eastAsia" w:ascii="宋体" w:hAnsi="宋体" w:eastAsia="宋体" w:cs="宋体"/>
              <w:bCs/>
              <w:spacing w:val="-3"/>
              <w:szCs w:val="24"/>
              <w:highlight w:val="none"/>
            </w:rPr>
            <w:t>1.3招标范围、计划工期、质量要求、安全目标</w:t>
          </w:r>
          <w:r>
            <w:tab/>
          </w:r>
          <w:r>
            <w:fldChar w:fldCharType="begin"/>
          </w:r>
          <w:r>
            <w:instrText xml:space="preserve"> PAGEREF _Toc23939 \h </w:instrText>
          </w:r>
          <w:r>
            <w:fldChar w:fldCharType="separate"/>
          </w:r>
          <w:r>
            <w:t>34</w:t>
          </w:r>
          <w:r>
            <w:fldChar w:fldCharType="end"/>
          </w:r>
          <w:r>
            <w:rPr>
              <w:rFonts w:hint="eastAsia" w:ascii="宋体" w:hAnsi="宋体" w:eastAsia="宋体" w:cs="宋体"/>
              <w:color w:val="auto"/>
              <w:szCs w:val="24"/>
              <w:highlight w:val="none"/>
            </w:rPr>
            <w:fldChar w:fldCharType="end"/>
          </w:r>
        </w:p>
        <w:p w14:paraId="721705A9">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_Toc18487 </w:instrText>
          </w:r>
          <w:r>
            <w:rPr>
              <w:rFonts w:hint="eastAsia" w:ascii="宋体" w:hAnsi="宋体" w:eastAsia="宋体" w:cs="宋体"/>
              <w:szCs w:val="24"/>
              <w:highlight w:val="none"/>
            </w:rPr>
            <w:fldChar w:fldCharType="separate"/>
          </w:r>
          <w:r>
            <w:rPr>
              <w:rFonts w:hint="eastAsia" w:ascii="宋体" w:hAnsi="宋体" w:eastAsia="宋体" w:cs="宋体"/>
              <w:bCs/>
              <w:spacing w:val="-3"/>
              <w:szCs w:val="24"/>
              <w:highlight w:val="none"/>
            </w:rPr>
            <w:t>1.4投标人资格要求（适用于未进行资格预审的）</w:t>
          </w:r>
          <w:r>
            <w:tab/>
          </w:r>
          <w:r>
            <w:fldChar w:fldCharType="begin"/>
          </w:r>
          <w:r>
            <w:instrText xml:space="preserve"> PAGEREF _Toc18487 \h </w:instrText>
          </w:r>
          <w:r>
            <w:fldChar w:fldCharType="separate"/>
          </w:r>
          <w:r>
            <w:t>34</w:t>
          </w:r>
          <w:r>
            <w:fldChar w:fldCharType="end"/>
          </w:r>
          <w:r>
            <w:rPr>
              <w:rFonts w:hint="eastAsia" w:ascii="宋体" w:hAnsi="宋体" w:eastAsia="宋体" w:cs="宋体"/>
              <w:color w:val="auto"/>
              <w:szCs w:val="24"/>
              <w:highlight w:val="none"/>
            </w:rPr>
            <w:fldChar w:fldCharType="end"/>
          </w:r>
        </w:p>
        <w:p w14:paraId="27C99484">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_Toc7812 </w:instrText>
          </w:r>
          <w:r>
            <w:rPr>
              <w:rFonts w:hint="eastAsia" w:ascii="宋体" w:hAnsi="宋体" w:eastAsia="宋体" w:cs="宋体"/>
              <w:szCs w:val="24"/>
              <w:highlight w:val="none"/>
            </w:rPr>
            <w:fldChar w:fldCharType="separate"/>
          </w:r>
          <w:r>
            <w:rPr>
              <w:rFonts w:hint="eastAsia" w:ascii="宋体" w:hAnsi="宋体" w:eastAsia="宋体" w:cs="宋体"/>
              <w:spacing w:val="14"/>
              <w:szCs w:val="24"/>
              <w:highlight w:val="none"/>
            </w:rPr>
            <w:t>1.4.5投标人（包括联合体各成员）应进</w:t>
          </w:r>
          <w:r>
            <w:rPr>
              <w:rFonts w:hint="eastAsia" w:ascii="宋体" w:hAnsi="宋体" w:eastAsia="宋体" w:cs="宋体"/>
              <w:spacing w:val="13"/>
              <w:szCs w:val="24"/>
              <w:highlight w:val="none"/>
            </w:rPr>
            <w:t>入交通运输部“全国公路建设市场信用信息管理系统</w:t>
          </w:r>
          <w:r>
            <w:rPr>
              <w:rFonts w:hint="eastAsia" w:ascii="宋体" w:hAnsi="宋体" w:eastAsia="宋体" w:cs="宋体"/>
              <w:spacing w:val="8"/>
              <w:szCs w:val="24"/>
              <w:highlight w:val="none"/>
            </w:rPr>
            <w:t>（</w:t>
          </w:r>
          <w:r>
            <w:rPr>
              <w:rFonts w:hint="eastAsia" w:ascii="宋体" w:hAnsi="宋体" w:eastAsia="宋体" w:cs="宋体"/>
              <w:szCs w:val="24"/>
              <w:highlight w:val="none"/>
            </w:rPr>
            <w:t>http</w:t>
          </w:r>
          <w:r>
            <w:rPr>
              <w:rFonts w:hint="eastAsia" w:ascii="宋体" w:hAnsi="宋体" w:eastAsia="宋体" w:cs="宋体"/>
              <w:spacing w:val="8"/>
              <w:szCs w:val="24"/>
              <w:highlight w:val="none"/>
            </w:rPr>
            <w:t>：//</w:t>
          </w:r>
          <w:r>
            <w:rPr>
              <w:rFonts w:hint="eastAsia" w:ascii="宋体" w:hAnsi="宋体" w:eastAsia="宋体" w:cs="宋体"/>
              <w:szCs w:val="24"/>
              <w:highlight w:val="none"/>
            </w:rPr>
            <w:t>glxy</w:t>
          </w:r>
          <w:r>
            <w:rPr>
              <w:rFonts w:hint="eastAsia" w:ascii="宋体" w:hAnsi="宋体" w:eastAsia="宋体" w:cs="宋体"/>
              <w:spacing w:val="8"/>
              <w:szCs w:val="24"/>
              <w:highlight w:val="none"/>
            </w:rPr>
            <w:t>.</w:t>
          </w:r>
          <w:r>
            <w:rPr>
              <w:rFonts w:hint="eastAsia" w:ascii="宋体" w:hAnsi="宋体" w:eastAsia="宋体" w:cs="宋体"/>
              <w:szCs w:val="24"/>
              <w:highlight w:val="none"/>
            </w:rPr>
            <w:t>mot</w:t>
          </w:r>
          <w:r>
            <w:rPr>
              <w:rFonts w:hint="eastAsia" w:ascii="宋体" w:hAnsi="宋体" w:eastAsia="宋体" w:cs="宋体"/>
              <w:spacing w:val="8"/>
              <w:szCs w:val="24"/>
              <w:highlight w:val="none"/>
            </w:rPr>
            <w:t>.</w:t>
          </w:r>
          <w:r>
            <w:rPr>
              <w:rFonts w:hint="eastAsia" w:ascii="宋体" w:hAnsi="宋体" w:eastAsia="宋体" w:cs="宋体"/>
              <w:szCs w:val="24"/>
              <w:highlight w:val="none"/>
            </w:rPr>
            <w:t>gov</w:t>
          </w:r>
          <w:r>
            <w:rPr>
              <w:rFonts w:hint="eastAsia" w:ascii="宋体" w:hAnsi="宋体" w:eastAsia="宋体" w:cs="宋体"/>
              <w:spacing w:val="8"/>
              <w:szCs w:val="24"/>
              <w:highlight w:val="none"/>
            </w:rPr>
            <w:t>.</w:t>
          </w:r>
          <w:r>
            <w:rPr>
              <w:rFonts w:hint="eastAsia" w:ascii="宋体" w:hAnsi="宋体" w:eastAsia="宋体" w:cs="宋体"/>
              <w:szCs w:val="24"/>
              <w:highlight w:val="none"/>
            </w:rPr>
            <w:t>cn</w:t>
          </w:r>
          <w:r>
            <w:rPr>
              <w:rFonts w:hint="eastAsia" w:ascii="宋体" w:hAnsi="宋体" w:eastAsia="宋体" w:cs="宋体"/>
              <w:spacing w:val="8"/>
              <w:szCs w:val="24"/>
              <w:highlight w:val="none"/>
            </w:rPr>
            <w:t>）”中的公路工程施工资质企业名录，且投标人名称和资质与该名录</w:t>
          </w:r>
          <w:r>
            <w:rPr>
              <w:rFonts w:hint="eastAsia" w:ascii="宋体" w:hAnsi="宋体" w:eastAsia="宋体" w:cs="宋体"/>
              <w:spacing w:val="10"/>
              <w:szCs w:val="24"/>
              <w:highlight w:val="none"/>
            </w:rPr>
            <w:t>中的相应企业名称和资质完全一致。投标人不满足本项规定条件的，将</w:t>
          </w:r>
          <w:r>
            <w:rPr>
              <w:rFonts w:hint="eastAsia" w:ascii="宋体" w:hAnsi="宋体" w:eastAsia="宋体" w:cs="宋体"/>
              <w:spacing w:val="9"/>
              <w:szCs w:val="24"/>
              <w:highlight w:val="none"/>
            </w:rPr>
            <w:t>被否决投标。</w:t>
          </w:r>
          <w:r>
            <w:tab/>
          </w:r>
          <w:r>
            <w:fldChar w:fldCharType="begin"/>
          </w:r>
          <w:r>
            <w:instrText xml:space="preserve"> PAGEREF _Toc7812 \h </w:instrText>
          </w:r>
          <w:r>
            <w:fldChar w:fldCharType="separate"/>
          </w:r>
          <w:r>
            <w:t>36</w:t>
          </w:r>
          <w:r>
            <w:fldChar w:fldCharType="end"/>
          </w:r>
          <w:r>
            <w:rPr>
              <w:rFonts w:hint="eastAsia" w:ascii="宋体" w:hAnsi="宋体" w:eastAsia="宋体" w:cs="宋体"/>
              <w:color w:val="auto"/>
              <w:szCs w:val="24"/>
              <w:highlight w:val="none"/>
            </w:rPr>
            <w:fldChar w:fldCharType="end"/>
          </w:r>
        </w:p>
        <w:p w14:paraId="7164DC73">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_Toc22803 </w:instrText>
          </w:r>
          <w:r>
            <w:rPr>
              <w:rFonts w:hint="eastAsia" w:ascii="宋体" w:hAnsi="宋体" w:eastAsia="宋体" w:cs="宋体"/>
              <w:szCs w:val="24"/>
              <w:highlight w:val="none"/>
            </w:rPr>
            <w:fldChar w:fldCharType="separate"/>
          </w:r>
          <w:r>
            <w:rPr>
              <w:rFonts w:hint="eastAsia" w:ascii="宋体" w:hAnsi="宋体" w:eastAsia="宋体" w:cs="宋体"/>
              <w:bCs/>
              <w:spacing w:val="-6"/>
              <w:szCs w:val="24"/>
              <w:highlight w:val="none"/>
            </w:rPr>
            <w:t>1.5费用承担</w:t>
          </w:r>
          <w:r>
            <w:tab/>
          </w:r>
          <w:r>
            <w:fldChar w:fldCharType="begin"/>
          </w:r>
          <w:r>
            <w:instrText xml:space="preserve"> PAGEREF _Toc22803 \h </w:instrText>
          </w:r>
          <w:r>
            <w:fldChar w:fldCharType="separate"/>
          </w:r>
          <w:r>
            <w:t>36</w:t>
          </w:r>
          <w:r>
            <w:fldChar w:fldCharType="end"/>
          </w:r>
          <w:r>
            <w:rPr>
              <w:rFonts w:hint="eastAsia" w:ascii="宋体" w:hAnsi="宋体" w:eastAsia="宋体" w:cs="宋体"/>
              <w:color w:val="auto"/>
              <w:szCs w:val="24"/>
              <w:highlight w:val="none"/>
            </w:rPr>
            <w:fldChar w:fldCharType="end"/>
          </w:r>
        </w:p>
        <w:p w14:paraId="41AEEBBF">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_Toc12017 </w:instrText>
          </w:r>
          <w:r>
            <w:rPr>
              <w:rFonts w:hint="eastAsia" w:ascii="宋体" w:hAnsi="宋体" w:eastAsia="宋体" w:cs="宋体"/>
              <w:szCs w:val="24"/>
              <w:highlight w:val="none"/>
            </w:rPr>
            <w:fldChar w:fldCharType="separate"/>
          </w:r>
          <w:r>
            <w:rPr>
              <w:rFonts w:hint="eastAsia" w:ascii="宋体" w:hAnsi="宋体" w:eastAsia="宋体" w:cs="宋体"/>
              <w:bCs/>
              <w:spacing w:val="-7"/>
              <w:szCs w:val="24"/>
              <w:highlight w:val="none"/>
            </w:rPr>
            <w:t>1.6保密</w:t>
          </w:r>
          <w:r>
            <w:tab/>
          </w:r>
          <w:r>
            <w:fldChar w:fldCharType="begin"/>
          </w:r>
          <w:r>
            <w:instrText xml:space="preserve"> PAGEREF _Toc12017 \h </w:instrText>
          </w:r>
          <w:r>
            <w:fldChar w:fldCharType="separate"/>
          </w:r>
          <w:r>
            <w:t>36</w:t>
          </w:r>
          <w:r>
            <w:fldChar w:fldCharType="end"/>
          </w:r>
          <w:r>
            <w:rPr>
              <w:rFonts w:hint="eastAsia" w:ascii="宋体" w:hAnsi="宋体" w:eastAsia="宋体" w:cs="宋体"/>
              <w:color w:val="auto"/>
              <w:szCs w:val="24"/>
              <w:highlight w:val="none"/>
            </w:rPr>
            <w:fldChar w:fldCharType="end"/>
          </w:r>
        </w:p>
        <w:p w14:paraId="5D5B97A5">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_Toc8933 </w:instrText>
          </w:r>
          <w:r>
            <w:rPr>
              <w:rFonts w:hint="eastAsia" w:ascii="宋体" w:hAnsi="宋体" w:eastAsia="宋体" w:cs="宋体"/>
              <w:szCs w:val="24"/>
              <w:highlight w:val="none"/>
            </w:rPr>
            <w:fldChar w:fldCharType="separate"/>
          </w:r>
          <w:r>
            <w:rPr>
              <w:rFonts w:hint="eastAsia" w:ascii="宋体" w:hAnsi="宋体" w:eastAsia="宋体" w:cs="宋体"/>
              <w:bCs/>
              <w:spacing w:val="-5"/>
              <w:szCs w:val="24"/>
              <w:highlight w:val="none"/>
            </w:rPr>
            <w:t>1.7语言文字</w:t>
          </w:r>
          <w:r>
            <w:tab/>
          </w:r>
          <w:r>
            <w:fldChar w:fldCharType="begin"/>
          </w:r>
          <w:r>
            <w:instrText xml:space="preserve"> PAGEREF _Toc8933 \h </w:instrText>
          </w:r>
          <w:r>
            <w:fldChar w:fldCharType="separate"/>
          </w:r>
          <w:r>
            <w:t>36</w:t>
          </w:r>
          <w:r>
            <w:fldChar w:fldCharType="end"/>
          </w:r>
          <w:r>
            <w:rPr>
              <w:rFonts w:hint="eastAsia" w:ascii="宋体" w:hAnsi="宋体" w:eastAsia="宋体" w:cs="宋体"/>
              <w:color w:val="auto"/>
              <w:szCs w:val="24"/>
              <w:highlight w:val="none"/>
            </w:rPr>
            <w:fldChar w:fldCharType="end"/>
          </w:r>
        </w:p>
        <w:p w14:paraId="6B8CF781">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_Toc5074 </w:instrText>
          </w:r>
          <w:r>
            <w:rPr>
              <w:rFonts w:hint="eastAsia" w:ascii="宋体" w:hAnsi="宋体" w:eastAsia="宋体" w:cs="宋体"/>
              <w:szCs w:val="24"/>
              <w:highlight w:val="none"/>
            </w:rPr>
            <w:fldChar w:fldCharType="separate"/>
          </w:r>
          <w:r>
            <w:rPr>
              <w:rFonts w:hint="eastAsia" w:ascii="宋体" w:hAnsi="宋体" w:eastAsia="宋体" w:cs="宋体"/>
              <w:bCs/>
              <w:spacing w:val="-6"/>
              <w:szCs w:val="24"/>
              <w:highlight w:val="none"/>
            </w:rPr>
            <w:t>1.8计量单位</w:t>
          </w:r>
          <w:r>
            <w:tab/>
          </w:r>
          <w:r>
            <w:fldChar w:fldCharType="begin"/>
          </w:r>
          <w:r>
            <w:instrText xml:space="preserve"> PAGEREF _Toc5074 \h </w:instrText>
          </w:r>
          <w:r>
            <w:fldChar w:fldCharType="separate"/>
          </w:r>
          <w:r>
            <w:t>36</w:t>
          </w:r>
          <w:r>
            <w:fldChar w:fldCharType="end"/>
          </w:r>
          <w:r>
            <w:rPr>
              <w:rFonts w:hint="eastAsia" w:ascii="宋体" w:hAnsi="宋体" w:eastAsia="宋体" w:cs="宋体"/>
              <w:color w:val="auto"/>
              <w:szCs w:val="24"/>
              <w:highlight w:val="none"/>
            </w:rPr>
            <w:fldChar w:fldCharType="end"/>
          </w:r>
        </w:p>
        <w:p w14:paraId="5B06AD2E">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_Toc15287 </w:instrText>
          </w:r>
          <w:r>
            <w:rPr>
              <w:rFonts w:hint="eastAsia" w:ascii="宋体" w:hAnsi="宋体" w:eastAsia="宋体" w:cs="宋体"/>
              <w:szCs w:val="24"/>
              <w:highlight w:val="none"/>
            </w:rPr>
            <w:fldChar w:fldCharType="separate"/>
          </w:r>
          <w:r>
            <w:rPr>
              <w:rFonts w:hint="eastAsia" w:ascii="宋体" w:hAnsi="宋体" w:eastAsia="宋体" w:cs="宋体"/>
              <w:bCs/>
              <w:spacing w:val="-6"/>
              <w:szCs w:val="24"/>
              <w:highlight w:val="none"/>
            </w:rPr>
            <w:t>1.9踏勘现场</w:t>
          </w:r>
          <w:r>
            <w:tab/>
          </w:r>
          <w:r>
            <w:fldChar w:fldCharType="begin"/>
          </w:r>
          <w:r>
            <w:instrText xml:space="preserve"> PAGEREF _Toc15287 \h </w:instrText>
          </w:r>
          <w:r>
            <w:fldChar w:fldCharType="separate"/>
          </w:r>
          <w:r>
            <w:t>36</w:t>
          </w:r>
          <w:r>
            <w:fldChar w:fldCharType="end"/>
          </w:r>
          <w:r>
            <w:rPr>
              <w:rFonts w:hint="eastAsia" w:ascii="宋体" w:hAnsi="宋体" w:eastAsia="宋体" w:cs="宋体"/>
              <w:color w:val="auto"/>
              <w:szCs w:val="24"/>
              <w:highlight w:val="none"/>
            </w:rPr>
            <w:fldChar w:fldCharType="end"/>
          </w:r>
        </w:p>
        <w:p w14:paraId="56C69116">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_Toc17894 </w:instrText>
          </w:r>
          <w:r>
            <w:rPr>
              <w:rFonts w:hint="eastAsia" w:ascii="宋体" w:hAnsi="宋体" w:eastAsia="宋体" w:cs="宋体"/>
              <w:szCs w:val="24"/>
              <w:highlight w:val="none"/>
            </w:rPr>
            <w:fldChar w:fldCharType="separate"/>
          </w:r>
          <w:r>
            <w:rPr>
              <w:rFonts w:hint="eastAsia" w:ascii="宋体" w:hAnsi="宋体" w:eastAsia="宋体" w:cs="宋体"/>
              <w:spacing w:val="8"/>
              <w:szCs w:val="24"/>
              <w:highlight w:val="none"/>
            </w:rPr>
            <w:t>1.9.1第一章“招标公告”或“投标邀请书”规定组织踏</w:t>
          </w:r>
          <w:r>
            <w:rPr>
              <w:rFonts w:hint="eastAsia" w:ascii="宋体" w:hAnsi="宋体" w:eastAsia="宋体" w:cs="宋体"/>
              <w:spacing w:val="7"/>
              <w:szCs w:val="24"/>
              <w:highlight w:val="none"/>
            </w:rPr>
            <w:t>勘现场的，招标人按</w:t>
          </w:r>
          <w:r>
            <w:rPr>
              <w:rFonts w:hint="eastAsia" w:ascii="宋体" w:hAnsi="宋体" w:eastAsia="宋体" w:cs="宋体"/>
              <w:spacing w:val="-6"/>
              <w:szCs w:val="24"/>
              <w:highlight w:val="none"/>
            </w:rPr>
            <w:t>规定的时间、地点组织投标人踏勘项目现场。部分投标人未按时参加踏勘现场的，不影响踏勘现场的正常进行。招标人不得组织单个或部分投标人踏勘项目现场。</w:t>
          </w:r>
          <w:r>
            <w:tab/>
          </w:r>
          <w:r>
            <w:fldChar w:fldCharType="begin"/>
          </w:r>
          <w:r>
            <w:instrText xml:space="preserve"> PAGEREF _Toc17894 \h </w:instrText>
          </w:r>
          <w:r>
            <w:fldChar w:fldCharType="separate"/>
          </w:r>
          <w:r>
            <w:t>36</w:t>
          </w:r>
          <w:r>
            <w:fldChar w:fldCharType="end"/>
          </w:r>
          <w:r>
            <w:rPr>
              <w:rFonts w:hint="eastAsia" w:ascii="宋体" w:hAnsi="宋体" w:eastAsia="宋体" w:cs="宋体"/>
              <w:color w:val="auto"/>
              <w:szCs w:val="24"/>
              <w:highlight w:val="none"/>
            </w:rPr>
            <w:fldChar w:fldCharType="end"/>
          </w:r>
        </w:p>
        <w:p w14:paraId="6CFC70BA">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_Toc29971 </w:instrText>
          </w:r>
          <w:r>
            <w:rPr>
              <w:rFonts w:hint="eastAsia" w:ascii="宋体" w:hAnsi="宋体" w:eastAsia="宋体" w:cs="宋体"/>
              <w:szCs w:val="24"/>
              <w:highlight w:val="none"/>
            </w:rPr>
            <w:fldChar w:fldCharType="separate"/>
          </w:r>
          <w:r>
            <w:rPr>
              <w:rFonts w:hint="eastAsia" w:ascii="宋体" w:hAnsi="宋体" w:eastAsia="宋体" w:cs="宋体"/>
              <w:bCs/>
              <w:spacing w:val="-4"/>
              <w:szCs w:val="24"/>
              <w:highlight w:val="none"/>
            </w:rPr>
            <w:t>1.10投标预备会</w:t>
          </w:r>
          <w:r>
            <w:tab/>
          </w:r>
          <w:r>
            <w:fldChar w:fldCharType="begin"/>
          </w:r>
          <w:r>
            <w:instrText xml:space="preserve"> PAGEREF _Toc29971 \h </w:instrText>
          </w:r>
          <w:r>
            <w:fldChar w:fldCharType="separate"/>
          </w:r>
          <w:r>
            <w:t>37</w:t>
          </w:r>
          <w:r>
            <w:fldChar w:fldCharType="end"/>
          </w:r>
          <w:r>
            <w:rPr>
              <w:rFonts w:hint="eastAsia" w:ascii="宋体" w:hAnsi="宋体" w:eastAsia="宋体" w:cs="宋体"/>
              <w:color w:val="auto"/>
              <w:szCs w:val="24"/>
              <w:highlight w:val="none"/>
            </w:rPr>
            <w:fldChar w:fldCharType="end"/>
          </w:r>
        </w:p>
        <w:p w14:paraId="49ABAA96">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_Toc7444 </w:instrText>
          </w:r>
          <w:r>
            <w:rPr>
              <w:rFonts w:hint="eastAsia" w:ascii="宋体" w:hAnsi="宋体" w:eastAsia="宋体" w:cs="宋体"/>
              <w:szCs w:val="24"/>
              <w:highlight w:val="none"/>
            </w:rPr>
            <w:fldChar w:fldCharType="separate"/>
          </w:r>
          <w:r>
            <w:rPr>
              <w:rFonts w:hint="eastAsia" w:ascii="宋体" w:hAnsi="宋体" w:eastAsia="宋体" w:cs="宋体"/>
              <w:bCs/>
              <w:spacing w:val="-7"/>
              <w:szCs w:val="24"/>
              <w:highlight w:val="none"/>
            </w:rPr>
            <w:t>1.11分包</w:t>
          </w:r>
          <w:r>
            <w:tab/>
          </w:r>
          <w:r>
            <w:fldChar w:fldCharType="begin"/>
          </w:r>
          <w:r>
            <w:instrText xml:space="preserve"> PAGEREF _Toc7444 \h </w:instrText>
          </w:r>
          <w:r>
            <w:fldChar w:fldCharType="separate"/>
          </w:r>
          <w:r>
            <w:t>37</w:t>
          </w:r>
          <w:r>
            <w:fldChar w:fldCharType="end"/>
          </w:r>
          <w:r>
            <w:rPr>
              <w:rFonts w:hint="eastAsia" w:ascii="宋体" w:hAnsi="宋体" w:eastAsia="宋体" w:cs="宋体"/>
              <w:color w:val="auto"/>
              <w:szCs w:val="24"/>
              <w:highlight w:val="none"/>
            </w:rPr>
            <w:fldChar w:fldCharType="end"/>
          </w:r>
        </w:p>
        <w:p w14:paraId="3F0AC4C0">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_Toc26727 </w:instrText>
          </w:r>
          <w:r>
            <w:rPr>
              <w:rFonts w:hint="eastAsia" w:ascii="宋体" w:hAnsi="宋体" w:eastAsia="宋体" w:cs="宋体"/>
              <w:szCs w:val="24"/>
              <w:highlight w:val="none"/>
            </w:rPr>
            <w:fldChar w:fldCharType="separate"/>
          </w:r>
          <w:r>
            <w:rPr>
              <w:rFonts w:hint="eastAsia" w:ascii="宋体" w:hAnsi="宋体" w:eastAsia="宋体" w:cs="宋体"/>
              <w:bCs/>
              <w:spacing w:val="-4"/>
              <w:szCs w:val="24"/>
              <w:highlight w:val="none"/>
            </w:rPr>
            <w:t>1.12响应和偏差</w:t>
          </w:r>
          <w:r>
            <w:tab/>
          </w:r>
          <w:r>
            <w:fldChar w:fldCharType="begin"/>
          </w:r>
          <w:r>
            <w:instrText xml:space="preserve"> PAGEREF _Toc26727 \h </w:instrText>
          </w:r>
          <w:r>
            <w:fldChar w:fldCharType="separate"/>
          </w:r>
          <w:r>
            <w:t>37</w:t>
          </w:r>
          <w:r>
            <w:fldChar w:fldCharType="end"/>
          </w:r>
          <w:r>
            <w:rPr>
              <w:rFonts w:hint="eastAsia" w:ascii="宋体" w:hAnsi="宋体" w:eastAsia="宋体" w:cs="宋体"/>
              <w:color w:val="auto"/>
              <w:szCs w:val="24"/>
              <w:highlight w:val="none"/>
            </w:rPr>
            <w:fldChar w:fldCharType="end"/>
          </w:r>
        </w:p>
        <w:p w14:paraId="473B432B">
          <w:pPr>
            <w:pStyle w:val="8"/>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_Toc20632 </w:instrText>
          </w:r>
          <w:r>
            <w:rPr>
              <w:rFonts w:hint="eastAsia" w:ascii="宋体" w:hAnsi="宋体" w:eastAsia="宋体" w:cs="宋体"/>
              <w:szCs w:val="24"/>
              <w:highlight w:val="none"/>
            </w:rPr>
            <w:fldChar w:fldCharType="separate"/>
          </w:r>
          <w:r>
            <w:rPr>
              <w:rFonts w:hint="eastAsia" w:ascii="宋体" w:hAnsi="宋体" w:eastAsia="宋体" w:cs="宋体"/>
              <w:bCs/>
              <w:spacing w:val="-5"/>
              <w:szCs w:val="28"/>
              <w:highlight w:val="none"/>
            </w:rPr>
            <w:t>2.招标文件</w:t>
          </w:r>
          <w:r>
            <w:tab/>
          </w:r>
          <w:r>
            <w:fldChar w:fldCharType="begin"/>
          </w:r>
          <w:r>
            <w:instrText xml:space="preserve"> PAGEREF _Toc20632 \h </w:instrText>
          </w:r>
          <w:r>
            <w:fldChar w:fldCharType="separate"/>
          </w:r>
          <w:r>
            <w:t>38</w:t>
          </w:r>
          <w:r>
            <w:fldChar w:fldCharType="end"/>
          </w:r>
          <w:r>
            <w:rPr>
              <w:rFonts w:hint="eastAsia" w:ascii="宋体" w:hAnsi="宋体" w:eastAsia="宋体" w:cs="宋体"/>
              <w:color w:val="auto"/>
              <w:szCs w:val="24"/>
              <w:highlight w:val="none"/>
            </w:rPr>
            <w:fldChar w:fldCharType="end"/>
          </w:r>
        </w:p>
        <w:p w14:paraId="40B853D0">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_Toc15606 </w:instrText>
          </w:r>
          <w:r>
            <w:rPr>
              <w:rFonts w:hint="eastAsia" w:ascii="宋体" w:hAnsi="宋体" w:eastAsia="宋体" w:cs="宋体"/>
              <w:szCs w:val="24"/>
              <w:highlight w:val="none"/>
            </w:rPr>
            <w:fldChar w:fldCharType="separate"/>
          </w:r>
          <w:r>
            <w:rPr>
              <w:rFonts w:hint="eastAsia" w:ascii="宋体" w:hAnsi="宋体" w:eastAsia="宋体" w:cs="宋体"/>
              <w:bCs/>
              <w:spacing w:val="-3"/>
              <w:szCs w:val="24"/>
              <w:highlight w:val="none"/>
            </w:rPr>
            <w:t>2.1招标文件的组成</w:t>
          </w:r>
          <w:r>
            <w:tab/>
          </w:r>
          <w:r>
            <w:fldChar w:fldCharType="begin"/>
          </w:r>
          <w:r>
            <w:instrText xml:space="preserve"> PAGEREF _Toc15606 \h </w:instrText>
          </w:r>
          <w:r>
            <w:fldChar w:fldCharType="separate"/>
          </w:r>
          <w:r>
            <w:t>38</w:t>
          </w:r>
          <w:r>
            <w:fldChar w:fldCharType="end"/>
          </w:r>
          <w:r>
            <w:rPr>
              <w:rFonts w:hint="eastAsia" w:ascii="宋体" w:hAnsi="宋体" w:eastAsia="宋体" w:cs="宋体"/>
              <w:color w:val="auto"/>
              <w:szCs w:val="24"/>
              <w:highlight w:val="none"/>
            </w:rPr>
            <w:fldChar w:fldCharType="end"/>
          </w:r>
        </w:p>
        <w:p w14:paraId="76EE7B59">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_Toc16056 </w:instrText>
          </w:r>
          <w:r>
            <w:rPr>
              <w:rFonts w:hint="eastAsia" w:ascii="宋体" w:hAnsi="宋体" w:eastAsia="宋体" w:cs="宋体"/>
              <w:szCs w:val="24"/>
              <w:highlight w:val="none"/>
            </w:rPr>
            <w:fldChar w:fldCharType="separate"/>
          </w:r>
          <w:r>
            <w:rPr>
              <w:rFonts w:hint="eastAsia" w:ascii="宋体" w:hAnsi="宋体" w:eastAsia="宋体" w:cs="宋体"/>
              <w:bCs/>
              <w:spacing w:val="-3"/>
              <w:szCs w:val="24"/>
              <w:highlight w:val="none"/>
            </w:rPr>
            <w:t>2.2招标文件的澄清</w:t>
          </w:r>
          <w:r>
            <w:tab/>
          </w:r>
          <w:r>
            <w:fldChar w:fldCharType="begin"/>
          </w:r>
          <w:r>
            <w:instrText xml:space="preserve"> PAGEREF _Toc16056 \h </w:instrText>
          </w:r>
          <w:r>
            <w:fldChar w:fldCharType="separate"/>
          </w:r>
          <w:r>
            <w:t>39</w:t>
          </w:r>
          <w:r>
            <w:fldChar w:fldCharType="end"/>
          </w:r>
          <w:r>
            <w:rPr>
              <w:rFonts w:hint="eastAsia" w:ascii="宋体" w:hAnsi="宋体" w:eastAsia="宋体" w:cs="宋体"/>
              <w:color w:val="auto"/>
              <w:szCs w:val="24"/>
              <w:highlight w:val="none"/>
            </w:rPr>
            <w:fldChar w:fldCharType="end"/>
          </w:r>
        </w:p>
        <w:p w14:paraId="5373566B">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_Toc977 </w:instrText>
          </w:r>
          <w:r>
            <w:rPr>
              <w:rFonts w:hint="eastAsia" w:ascii="宋体" w:hAnsi="宋体" w:eastAsia="宋体" w:cs="宋体"/>
              <w:szCs w:val="24"/>
              <w:highlight w:val="none"/>
            </w:rPr>
            <w:fldChar w:fldCharType="separate"/>
          </w:r>
          <w:r>
            <w:rPr>
              <w:rFonts w:hint="eastAsia" w:ascii="宋体" w:hAnsi="宋体" w:eastAsia="宋体" w:cs="宋体"/>
              <w:bCs/>
              <w:spacing w:val="-3"/>
              <w:szCs w:val="24"/>
              <w:highlight w:val="none"/>
            </w:rPr>
            <w:t>2.3招标文件的修改</w:t>
          </w:r>
          <w:r>
            <w:tab/>
          </w:r>
          <w:r>
            <w:fldChar w:fldCharType="begin"/>
          </w:r>
          <w:r>
            <w:instrText xml:space="preserve"> PAGEREF _Toc977 \h </w:instrText>
          </w:r>
          <w:r>
            <w:fldChar w:fldCharType="separate"/>
          </w:r>
          <w:r>
            <w:t>39</w:t>
          </w:r>
          <w:r>
            <w:fldChar w:fldCharType="end"/>
          </w:r>
          <w:r>
            <w:rPr>
              <w:rFonts w:hint="eastAsia" w:ascii="宋体" w:hAnsi="宋体" w:eastAsia="宋体" w:cs="宋体"/>
              <w:color w:val="auto"/>
              <w:szCs w:val="24"/>
              <w:highlight w:val="none"/>
            </w:rPr>
            <w:fldChar w:fldCharType="end"/>
          </w:r>
        </w:p>
        <w:p w14:paraId="10405DF0">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_Toc14489 </w:instrText>
          </w:r>
          <w:r>
            <w:rPr>
              <w:rFonts w:hint="eastAsia" w:ascii="宋体" w:hAnsi="宋体" w:eastAsia="宋体" w:cs="宋体"/>
              <w:szCs w:val="24"/>
              <w:highlight w:val="none"/>
            </w:rPr>
            <w:fldChar w:fldCharType="separate"/>
          </w:r>
          <w:r>
            <w:rPr>
              <w:rFonts w:hint="eastAsia" w:ascii="宋体" w:hAnsi="宋体" w:eastAsia="宋体" w:cs="宋体"/>
              <w:bCs/>
              <w:spacing w:val="-3"/>
              <w:szCs w:val="24"/>
              <w:highlight w:val="none"/>
            </w:rPr>
            <w:t>2.4招标文件的异议</w:t>
          </w:r>
          <w:r>
            <w:tab/>
          </w:r>
          <w:r>
            <w:fldChar w:fldCharType="begin"/>
          </w:r>
          <w:r>
            <w:instrText xml:space="preserve"> PAGEREF _Toc14489 \h </w:instrText>
          </w:r>
          <w:r>
            <w:fldChar w:fldCharType="separate"/>
          </w:r>
          <w:r>
            <w:t>39</w:t>
          </w:r>
          <w:r>
            <w:fldChar w:fldCharType="end"/>
          </w:r>
          <w:r>
            <w:rPr>
              <w:rFonts w:hint="eastAsia" w:ascii="宋体" w:hAnsi="宋体" w:eastAsia="宋体" w:cs="宋体"/>
              <w:color w:val="auto"/>
              <w:szCs w:val="24"/>
              <w:highlight w:val="none"/>
            </w:rPr>
            <w:fldChar w:fldCharType="end"/>
          </w:r>
        </w:p>
        <w:p w14:paraId="0F03FBF8">
          <w:pPr>
            <w:pStyle w:val="8"/>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_Toc9335 </w:instrText>
          </w:r>
          <w:r>
            <w:rPr>
              <w:rFonts w:hint="eastAsia" w:ascii="宋体" w:hAnsi="宋体" w:eastAsia="宋体" w:cs="宋体"/>
              <w:szCs w:val="24"/>
              <w:highlight w:val="none"/>
            </w:rPr>
            <w:fldChar w:fldCharType="separate"/>
          </w:r>
          <w:r>
            <w:rPr>
              <w:rFonts w:hint="eastAsia" w:ascii="宋体" w:hAnsi="宋体" w:eastAsia="宋体" w:cs="宋体"/>
              <w:bCs/>
              <w:spacing w:val="-5"/>
              <w:szCs w:val="28"/>
              <w:highlight w:val="none"/>
            </w:rPr>
            <w:t>3.投标文件</w:t>
          </w:r>
          <w:r>
            <w:tab/>
          </w:r>
          <w:r>
            <w:fldChar w:fldCharType="begin"/>
          </w:r>
          <w:r>
            <w:instrText xml:space="preserve"> PAGEREF _Toc9335 \h </w:instrText>
          </w:r>
          <w:r>
            <w:fldChar w:fldCharType="separate"/>
          </w:r>
          <w:r>
            <w:t>40</w:t>
          </w:r>
          <w:r>
            <w:fldChar w:fldCharType="end"/>
          </w:r>
          <w:r>
            <w:rPr>
              <w:rFonts w:hint="eastAsia" w:ascii="宋体" w:hAnsi="宋体" w:eastAsia="宋体" w:cs="宋体"/>
              <w:color w:val="auto"/>
              <w:szCs w:val="24"/>
              <w:highlight w:val="none"/>
            </w:rPr>
            <w:fldChar w:fldCharType="end"/>
          </w:r>
        </w:p>
        <w:p w14:paraId="140ED710">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_Toc16103 </w:instrText>
          </w:r>
          <w:r>
            <w:rPr>
              <w:rFonts w:hint="eastAsia" w:ascii="宋体" w:hAnsi="宋体" w:eastAsia="宋体" w:cs="宋体"/>
              <w:szCs w:val="24"/>
              <w:highlight w:val="none"/>
            </w:rPr>
            <w:fldChar w:fldCharType="separate"/>
          </w:r>
          <w:r>
            <w:rPr>
              <w:rFonts w:hint="eastAsia" w:ascii="宋体" w:hAnsi="宋体" w:eastAsia="宋体" w:cs="宋体"/>
              <w:bCs/>
              <w:spacing w:val="-3"/>
              <w:szCs w:val="24"/>
              <w:highlight w:val="none"/>
            </w:rPr>
            <w:t>3.1投标文件的组成</w:t>
          </w:r>
          <w:r>
            <w:tab/>
          </w:r>
          <w:r>
            <w:fldChar w:fldCharType="begin"/>
          </w:r>
          <w:r>
            <w:instrText xml:space="preserve"> PAGEREF _Toc16103 \h </w:instrText>
          </w:r>
          <w:r>
            <w:fldChar w:fldCharType="separate"/>
          </w:r>
          <w:r>
            <w:t>40</w:t>
          </w:r>
          <w:r>
            <w:fldChar w:fldCharType="end"/>
          </w:r>
          <w:r>
            <w:rPr>
              <w:rFonts w:hint="eastAsia" w:ascii="宋体" w:hAnsi="宋体" w:eastAsia="宋体" w:cs="宋体"/>
              <w:color w:val="auto"/>
              <w:szCs w:val="24"/>
              <w:highlight w:val="none"/>
            </w:rPr>
            <w:fldChar w:fldCharType="end"/>
          </w:r>
        </w:p>
        <w:p w14:paraId="33229504">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_Toc8043 </w:instrText>
          </w:r>
          <w:r>
            <w:rPr>
              <w:rFonts w:hint="eastAsia" w:ascii="宋体" w:hAnsi="宋体" w:eastAsia="宋体" w:cs="宋体"/>
              <w:szCs w:val="24"/>
              <w:highlight w:val="none"/>
            </w:rPr>
            <w:fldChar w:fldCharType="separate"/>
          </w:r>
          <w:r>
            <w:rPr>
              <w:rFonts w:hint="eastAsia" w:ascii="宋体" w:hAnsi="宋体" w:eastAsia="宋体" w:cs="宋体"/>
              <w:bCs/>
              <w:spacing w:val="-4"/>
              <w:szCs w:val="24"/>
              <w:highlight w:val="none"/>
            </w:rPr>
            <w:t>3.2投标报价</w:t>
          </w:r>
          <w:r>
            <w:tab/>
          </w:r>
          <w:r>
            <w:fldChar w:fldCharType="begin"/>
          </w:r>
          <w:r>
            <w:instrText xml:space="preserve"> PAGEREF _Toc8043 \h </w:instrText>
          </w:r>
          <w:r>
            <w:fldChar w:fldCharType="separate"/>
          </w:r>
          <w:r>
            <w:t>40</w:t>
          </w:r>
          <w:r>
            <w:fldChar w:fldCharType="end"/>
          </w:r>
          <w:r>
            <w:rPr>
              <w:rFonts w:hint="eastAsia" w:ascii="宋体" w:hAnsi="宋体" w:eastAsia="宋体" w:cs="宋体"/>
              <w:color w:val="auto"/>
              <w:szCs w:val="24"/>
              <w:highlight w:val="none"/>
            </w:rPr>
            <w:fldChar w:fldCharType="end"/>
          </w:r>
        </w:p>
        <w:p w14:paraId="0DFD4349">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_Toc20629 </w:instrText>
          </w:r>
          <w:r>
            <w:rPr>
              <w:rFonts w:hint="eastAsia" w:ascii="宋体" w:hAnsi="宋体" w:eastAsia="宋体" w:cs="宋体"/>
              <w:szCs w:val="24"/>
              <w:highlight w:val="none"/>
            </w:rPr>
            <w:fldChar w:fldCharType="separate"/>
          </w:r>
          <w:r>
            <w:rPr>
              <w:rFonts w:hint="eastAsia" w:ascii="宋体" w:hAnsi="宋体" w:eastAsia="宋体" w:cs="宋体"/>
              <w:bCs/>
              <w:spacing w:val="-3"/>
              <w:szCs w:val="24"/>
              <w:highlight w:val="none"/>
            </w:rPr>
            <w:t>3.3投标有效期</w:t>
          </w:r>
          <w:r>
            <w:tab/>
          </w:r>
          <w:r>
            <w:fldChar w:fldCharType="begin"/>
          </w:r>
          <w:r>
            <w:instrText xml:space="preserve"> PAGEREF _Toc20629 \h </w:instrText>
          </w:r>
          <w:r>
            <w:fldChar w:fldCharType="separate"/>
          </w:r>
          <w:r>
            <w:t>42</w:t>
          </w:r>
          <w:r>
            <w:fldChar w:fldCharType="end"/>
          </w:r>
          <w:r>
            <w:rPr>
              <w:rFonts w:hint="eastAsia" w:ascii="宋体" w:hAnsi="宋体" w:eastAsia="宋体" w:cs="宋体"/>
              <w:color w:val="auto"/>
              <w:szCs w:val="24"/>
              <w:highlight w:val="none"/>
            </w:rPr>
            <w:fldChar w:fldCharType="end"/>
          </w:r>
        </w:p>
        <w:p w14:paraId="3F08DD4F">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_Toc24162 </w:instrText>
          </w:r>
          <w:r>
            <w:rPr>
              <w:rFonts w:hint="eastAsia" w:ascii="宋体" w:hAnsi="宋体" w:eastAsia="宋体" w:cs="宋体"/>
              <w:szCs w:val="24"/>
              <w:highlight w:val="none"/>
            </w:rPr>
            <w:fldChar w:fldCharType="separate"/>
          </w:r>
          <w:r>
            <w:rPr>
              <w:rFonts w:hint="eastAsia" w:ascii="宋体" w:hAnsi="宋体" w:eastAsia="宋体" w:cs="宋体"/>
              <w:bCs/>
              <w:spacing w:val="-3"/>
              <w:szCs w:val="24"/>
              <w:highlight w:val="none"/>
            </w:rPr>
            <w:t>3.4投标保证金</w:t>
          </w:r>
          <w:r>
            <w:tab/>
          </w:r>
          <w:r>
            <w:fldChar w:fldCharType="begin"/>
          </w:r>
          <w:r>
            <w:instrText xml:space="preserve"> PAGEREF _Toc24162 \h </w:instrText>
          </w:r>
          <w:r>
            <w:fldChar w:fldCharType="separate"/>
          </w:r>
          <w:r>
            <w:t>43</w:t>
          </w:r>
          <w:r>
            <w:fldChar w:fldCharType="end"/>
          </w:r>
          <w:r>
            <w:rPr>
              <w:rFonts w:hint="eastAsia" w:ascii="宋体" w:hAnsi="宋体" w:eastAsia="宋体" w:cs="宋体"/>
              <w:color w:val="auto"/>
              <w:szCs w:val="24"/>
              <w:highlight w:val="none"/>
            </w:rPr>
            <w:fldChar w:fldCharType="end"/>
          </w:r>
        </w:p>
        <w:p w14:paraId="19410914">
          <w:pPr>
            <w:pStyle w:val="8"/>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_Toc17616 </w:instrText>
          </w:r>
          <w:r>
            <w:rPr>
              <w:rFonts w:hint="eastAsia" w:ascii="宋体" w:hAnsi="宋体" w:eastAsia="宋体" w:cs="宋体"/>
              <w:szCs w:val="24"/>
              <w:highlight w:val="none"/>
            </w:rPr>
            <w:fldChar w:fldCharType="separate"/>
          </w:r>
          <w:r>
            <w:rPr>
              <w:rFonts w:hint="eastAsia" w:ascii="宋体" w:hAnsi="宋体" w:eastAsia="宋体" w:cs="宋体"/>
              <w:bCs/>
              <w:spacing w:val="-3"/>
              <w:szCs w:val="28"/>
              <w:highlight w:val="none"/>
            </w:rPr>
            <w:t>3.5资格审查资料（适用于已进行资格预审的）</w:t>
          </w:r>
          <w:r>
            <w:tab/>
          </w:r>
          <w:r>
            <w:fldChar w:fldCharType="begin"/>
          </w:r>
          <w:r>
            <w:instrText xml:space="preserve"> PAGEREF _Toc17616 \h </w:instrText>
          </w:r>
          <w:r>
            <w:fldChar w:fldCharType="separate"/>
          </w:r>
          <w:r>
            <w:t>45</w:t>
          </w:r>
          <w:r>
            <w:fldChar w:fldCharType="end"/>
          </w:r>
          <w:r>
            <w:rPr>
              <w:rFonts w:hint="eastAsia" w:ascii="宋体" w:hAnsi="宋体" w:eastAsia="宋体" w:cs="宋体"/>
              <w:color w:val="auto"/>
              <w:szCs w:val="24"/>
              <w:highlight w:val="none"/>
            </w:rPr>
            <w:fldChar w:fldCharType="end"/>
          </w:r>
        </w:p>
        <w:p w14:paraId="5B85AB8C">
          <w:pPr>
            <w:pStyle w:val="8"/>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_Toc18167 </w:instrText>
          </w:r>
          <w:r>
            <w:rPr>
              <w:rFonts w:hint="eastAsia" w:ascii="宋体" w:hAnsi="宋体" w:eastAsia="宋体" w:cs="宋体"/>
              <w:szCs w:val="24"/>
              <w:highlight w:val="none"/>
            </w:rPr>
            <w:fldChar w:fldCharType="separate"/>
          </w:r>
          <w:r>
            <w:rPr>
              <w:rFonts w:hint="eastAsia" w:ascii="宋体" w:hAnsi="宋体" w:eastAsia="宋体" w:cs="宋体"/>
              <w:bCs/>
              <w:spacing w:val="-3"/>
              <w:szCs w:val="28"/>
              <w:highlight w:val="none"/>
            </w:rPr>
            <w:t>3.5资格审查资料（适用于未进行资格预审的）</w:t>
          </w:r>
          <w:r>
            <w:tab/>
          </w:r>
          <w:r>
            <w:fldChar w:fldCharType="begin"/>
          </w:r>
          <w:r>
            <w:instrText xml:space="preserve"> PAGEREF _Toc18167 \h </w:instrText>
          </w:r>
          <w:r>
            <w:fldChar w:fldCharType="separate"/>
          </w:r>
          <w:r>
            <w:t>45</w:t>
          </w:r>
          <w:r>
            <w:fldChar w:fldCharType="end"/>
          </w:r>
          <w:r>
            <w:rPr>
              <w:rFonts w:hint="eastAsia" w:ascii="宋体" w:hAnsi="宋体" w:eastAsia="宋体" w:cs="宋体"/>
              <w:color w:val="auto"/>
              <w:szCs w:val="24"/>
              <w:highlight w:val="none"/>
            </w:rPr>
            <w:fldChar w:fldCharType="end"/>
          </w:r>
        </w:p>
        <w:p w14:paraId="5A5ACA06">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_Toc12636 </w:instrText>
          </w:r>
          <w:r>
            <w:rPr>
              <w:rFonts w:hint="eastAsia" w:ascii="宋体" w:hAnsi="宋体" w:eastAsia="宋体" w:cs="宋体"/>
              <w:szCs w:val="24"/>
              <w:highlight w:val="none"/>
            </w:rPr>
            <w:fldChar w:fldCharType="separate"/>
          </w:r>
          <w:r>
            <w:rPr>
              <w:rFonts w:hint="eastAsia" w:ascii="宋体" w:hAnsi="宋体" w:eastAsia="宋体" w:cs="宋体"/>
              <w:bCs/>
              <w:spacing w:val="-4"/>
              <w:szCs w:val="24"/>
              <w:highlight w:val="none"/>
            </w:rPr>
            <w:t>3.6备选投标方案</w:t>
          </w:r>
          <w:r>
            <w:tab/>
          </w:r>
          <w:r>
            <w:fldChar w:fldCharType="begin"/>
          </w:r>
          <w:r>
            <w:instrText xml:space="preserve"> PAGEREF _Toc12636 \h </w:instrText>
          </w:r>
          <w:r>
            <w:fldChar w:fldCharType="separate"/>
          </w:r>
          <w:r>
            <w:t>49</w:t>
          </w:r>
          <w:r>
            <w:fldChar w:fldCharType="end"/>
          </w:r>
          <w:r>
            <w:rPr>
              <w:rFonts w:hint="eastAsia" w:ascii="宋体" w:hAnsi="宋体" w:eastAsia="宋体" w:cs="宋体"/>
              <w:color w:val="auto"/>
              <w:szCs w:val="24"/>
              <w:highlight w:val="none"/>
            </w:rPr>
            <w:fldChar w:fldCharType="end"/>
          </w:r>
        </w:p>
        <w:p w14:paraId="3E000B5F">
          <w:pPr>
            <w:pStyle w:val="8"/>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_Toc11282 </w:instrText>
          </w:r>
          <w:r>
            <w:rPr>
              <w:rFonts w:hint="eastAsia" w:ascii="宋体" w:hAnsi="宋体" w:eastAsia="宋体" w:cs="宋体"/>
              <w:szCs w:val="24"/>
              <w:highlight w:val="none"/>
            </w:rPr>
            <w:fldChar w:fldCharType="separate"/>
          </w:r>
          <w:r>
            <w:rPr>
              <w:rFonts w:hint="eastAsia" w:ascii="宋体" w:hAnsi="宋体" w:eastAsia="宋体" w:cs="宋体"/>
              <w:bCs/>
              <w:spacing w:val="-5"/>
              <w:szCs w:val="28"/>
              <w:highlight w:val="none"/>
            </w:rPr>
            <w:t>4.投标</w:t>
          </w:r>
          <w:r>
            <w:tab/>
          </w:r>
          <w:r>
            <w:fldChar w:fldCharType="begin"/>
          </w:r>
          <w:r>
            <w:instrText xml:space="preserve"> PAGEREF _Toc11282 \h </w:instrText>
          </w:r>
          <w:r>
            <w:fldChar w:fldCharType="separate"/>
          </w:r>
          <w:r>
            <w:t>50</w:t>
          </w:r>
          <w:r>
            <w:fldChar w:fldCharType="end"/>
          </w:r>
          <w:r>
            <w:rPr>
              <w:rFonts w:hint="eastAsia" w:ascii="宋体" w:hAnsi="宋体" w:eastAsia="宋体" w:cs="宋体"/>
              <w:color w:val="auto"/>
              <w:szCs w:val="24"/>
              <w:highlight w:val="none"/>
            </w:rPr>
            <w:fldChar w:fldCharType="end"/>
          </w:r>
        </w:p>
        <w:p w14:paraId="111A2FB1">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_Toc10475 </w:instrText>
          </w:r>
          <w:r>
            <w:rPr>
              <w:rFonts w:hint="eastAsia" w:ascii="宋体" w:hAnsi="宋体" w:eastAsia="宋体" w:cs="宋体"/>
              <w:szCs w:val="24"/>
              <w:highlight w:val="none"/>
            </w:rPr>
            <w:fldChar w:fldCharType="separate"/>
          </w:r>
          <w:r>
            <w:rPr>
              <w:rFonts w:hint="eastAsia" w:ascii="宋体" w:hAnsi="宋体" w:eastAsia="宋体" w:cs="宋体"/>
              <w:bCs/>
              <w:spacing w:val="-3"/>
              <w:szCs w:val="24"/>
              <w:highlight w:val="none"/>
            </w:rPr>
            <w:t>4.1电子投标文件的加密</w:t>
          </w:r>
          <w:r>
            <w:tab/>
          </w:r>
          <w:r>
            <w:fldChar w:fldCharType="begin"/>
          </w:r>
          <w:r>
            <w:instrText xml:space="preserve"> PAGEREF _Toc10475 \h </w:instrText>
          </w:r>
          <w:r>
            <w:fldChar w:fldCharType="separate"/>
          </w:r>
          <w:r>
            <w:t>50</w:t>
          </w:r>
          <w:r>
            <w:fldChar w:fldCharType="end"/>
          </w:r>
          <w:r>
            <w:rPr>
              <w:rFonts w:hint="eastAsia" w:ascii="宋体" w:hAnsi="宋体" w:eastAsia="宋体" w:cs="宋体"/>
              <w:color w:val="auto"/>
              <w:szCs w:val="24"/>
              <w:highlight w:val="none"/>
            </w:rPr>
            <w:fldChar w:fldCharType="end"/>
          </w:r>
        </w:p>
        <w:p w14:paraId="081F9CD9">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_Toc23391 </w:instrText>
          </w:r>
          <w:r>
            <w:rPr>
              <w:rFonts w:hint="eastAsia" w:ascii="宋体" w:hAnsi="宋体" w:eastAsia="宋体" w:cs="宋体"/>
              <w:szCs w:val="24"/>
              <w:highlight w:val="none"/>
            </w:rPr>
            <w:fldChar w:fldCharType="separate"/>
          </w:r>
          <w:r>
            <w:rPr>
              <w:rFonts w:hint="eastAsia" w:ascii="宋体" w:hAnsi="宋体" w:eastAsia="宋体" w:cs="宋体"/>
              <w:bCs/>
              <w:spacing w:val="-3"/>
              <w:szCs w:val="24"/>
              <w:highlight w:val="none"/>
            </w:rPr>
            <w:t>4.2不加密的电子投标文件的密封和标识</w:t>
          </w:r>
          <w:r>
            <w:tab/>
          </w:r>
          <w:r>
            <w:fldChar w:fldCharType="begin"/>
          </w:r>
          <w:r>
            <w:instrText xml:space="preserve"> PAGEREF _Toc23391 \h </w:instrText>
          </w:r>
          <w:r>
            <w:fldChar w:fldCharType="separate"/>
          </w:r>
          <w:r>
            <w:t>50</w:t>
          </w:r>
          <w:r>
            <w:fldChar w:fldCharType="end"/>
          </w:r>
          <w:r>
            <w:rPr>
              <w:rFonts w:hint="eastAsia" w:ascii="宋体" w:hAnsi="宋体" w:eastAsia="宋体" w:cs="宋体"/>
              <w:color w:val="auto"/>
              <w:szCs w:val="24"/>
              <w:highlight w:val="none"/>
            </w:rPr>
            <w:fldChar w:fldCharType="end"/>
          </w:r>
        </w:p>
        <w:p w14:paraId="3303C4BC">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_Toc14648 </w:instrText>
          </w:r>
          <w:r>
            <w:rPr>
              <w:rFonts w:hint="eastAsia" w:ascii="宋体" w:hAnsi="宋体" w:eastAsia="宋体" w:cs="宋体"/>
              <w:szCs w:val="24"/>
              <w:highlight w:val="none"/>
            </w:rPr>
            <w:fldChar w:fldCharType="separate"/>
          </w:r>
          <w:r>
            <w:rPr>
              <w:rFonts w:hint="eastAsia" w:ascii="宋体" w:hAnsi="宋体" w:eastAsia="宋体" w:cs="宋体"/>
              <w:bCs/>
              <w:spacing w:val="-3"/>
              <w:szCs w:val="24"/>
              <w:highlight w:val="none"/>
            </w:rPr>
            <w:t>4.3电子投标文件的递交</w:t>
          </w:r>
          <w:r>
            <w:tab/>
          </w:r>
          <w:r>
            <w:fldChar w:fldCharType="begin"/>
          </w:r>
          <w:r>
            <w:instrText xml:space="preserve"> PAGEREF _Toc14648 \h </w:instrText>
          </w:r>
          <w:r>
            <w:fldChar w:fldCharType="separate"/>
          </w:r>
          <w:r>
            <w:t>51</w:t>
          </w:r>
          <w:r>
            <w:fldChar w:fldCharType="end"/>
          </w:r>
          <w:r>
            <w:rPr>
              <w:rFonts w:hint="eastAsia" w:ascii="宋体" w:hAnsi="宋体" w:eastAsia="宋体" w:cs="宋体"/>
              <w:color w:val="auto"/>
              <w:szCs w:val="24"/>
              <w:highlight w:val="none"/>
            </w:rPr>
            <w:fldChar w:fldCharType="end"/>
          </w:r>
        </w:p>
        <w:p w14:paraId="32C9A30C">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_Toc12159 </w:instrText>
          </w:r>
          <w:r>
            <w:rPr>
              <w:rFonts w:hint="eastAsia" w:ascii="宋体" w:hAnsi="宋体" w:eastAsia="宋体" w:cs="宋体"/>
              <w:szCs w:val="24"/>
              <w:highlight w:val="none"/>
            </w:rPr>
            <w:fldChar w:fldCharType="separate"/>
          </w:r>
          <w:r>
            <w:rPr>
              <w:rFonts w:hint="eastAsia" w:ascii="宋体" w:hAnsi="宋体" w:eastAsia="宋体" w:cs="宋体"/>
              <w:bCs/>
              <w:spacing w:val="-3"/>
              <w:szCs w:val="24"/>
              <w:highlight w:val="none"/>
            </w:rPr>
            <w:t>4.4不加密的电子投标文件的递交</w:t>
          </w:r>
          <w:r>
            <w:tab/>
          </w:r>
          <w:r>
            <w:fldChar w:fldCharType="begin"/>
          </w:r>
          <w:r>
            <w:instrText xml:space="preserve"> PAGEREF _Toc12159 \h </w:instrText>
          </w:r>
          <w:r>
            <w:fldChar w:fldCharType="separate"/>
          </w:r>
          <w:r>
            <w:t>51</w:t>
          </w:r>
          <w:r>
            <w:fldChar w:fldCharType="end"/>
          </w:r>
          <w:r>
            <w:rPr>
              <w:rFonts w:hint="eastAsia" w:ascii="宋体" w:hAnsi="宋体" w:eastAsia="宋体" w:cs="宋体"/>
              <w:color w:val="auto"/>
              <w:szCs w:val="24"/>
              <w:highlight w:val="none"/>
            </w:rPr>
            <w:fldChar w:fldCharType="end"/>
          </w:r>
        </w:p>
        <w:p w14:paraId="1B77B1E0">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_Toc3816 </w:instrText>
          </w:r>
          <w:r>
            <w:rPr>
              <w:rFonts w:hint="eastAsia" w:ascii="宋体" w:hAnsi="宋体" w:eastAsia="宋体" w:cs="宋体"/>
              <w:szCs w:val="24"/>
              <w:highlight w:val="none"/>
            </w:rPr>
            <w:fldChar w:fldCharType="separate"/>
          </w:r>
          <w:r>
            <w:rPr>
              <w:rFonts w:hint="eastAsia" w:ascii="宋体" w:hAnsi="宋体" w:eastAsia="宋体" w:cs="宋体"/>
              <w:bCs/>
              <w:spacing w:val="-3"/>
              <w:szCs w:val="24"/>
              <w:highlight w:val="none"/>
            </w:rPr>
            <w:t>4.5投标文件的修改与撤回</w:t>
          </w:r>
          <w:r>
            <w:tab/>
          </w:r>
          <w:r>
            <w:fldChar w:fldCharType="begin"/>
          </w:r>
          <w:r>
            <w:instrText xml:space="preserve"> PAGEREF _Toc3816 \h </w:instrText>
          </w:r>
          <w:r>
            <w:fldChar w:fldCharType="separate"/>
          </w:r>
          <w:r>
            <w:t>51</w:t>
          </w:r>
          <w:r>
            <w:fldChar w:fldCharType="end"/>
          </w:r>
          <w:r>
            <w:rPr>
              <w:rFonts w:hint="eastAsia" w:ascii="宋体" w:hAnsi="宋体" w:eastAsia="宋体" w:cs="宋体"/>
              <w:color w:val="auto"/>
              <w:szCs w:val="24"/>
              <w:highlight w:val="none"/>
            </w:rPr>
            <w:fldChar w:fldCharType="end"/>
          </w:r>
        </w:p>
        <w:p w14:paraId="2C51BBF6">
          <w:pPr>
            <w:pStyle w:val="8"/>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_Toc5348 </w:instrText>
          </w:r>
          <w:r>
            <w:rPr>
              <w:rFonts w:hint="eastAsia" w:ascii="宋体" w:hAnsi="宋体" w:eastAsia="宋体" w:cs="宋体"/>
              <w:szCs w:val="24"/>
              <w:highlight w:val="none"/>
            </w:rPr>
            <w:fldChar w:fldCharType="separate"/>
          </w:r>
          <w:r>
            <w:rPr>
              <w:rFonts w:hint="eastAsia" w:ascii="宋体" w:hAnsi="宋体" w:eastAsia="宋体" w:cs="宋体"/>
              <w:bCs/>
              <w:spacing w:val="-6"/>
              <w:szCs w:val="28"/>
              <w:highlight w:val="none"/>
            </w:rPr>
            <w:t>5.开标</w:t>
          </w:r>
          <w:r>
            <w:tab/>
          </w:r>
          <w:r>
            <w:fldChar w:fldCharType="begin"/>
          </w:r>
          <w:r>
            <w:instrText xml:space="preserve"> PAGEREF _Toc5348 \h </w:instrText>
          </w:r>
          <w:r>
            <w:fldChar w:fldCharType="separate"/>
          </w:r>
          <w:r>
            <w:t>52</w:t>
          </w:r>
          <w:r>
            <w:fldChar w:fldCharType="end"/>
          </w:r>
          <w:r>
            <w:rPr>
              <w:rFonts w:hint="eastAsia" w:ascii="宋体" w:hAnsi="宋体" w:eastAsia="宋体" w:cs="宋体"/>
              <w:color w:val="auto"/>
              <w:szCs w:val="24"/>
              <w:highlight w:val="none"/>
            </w:rPr>
            <w:fldChar w:fldCharType="end"/>
          </w:r>
        </w:p>
        <w:p w14:paraId="023141E7">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_Toc5501 </w:instrText>
          </w:r>
          <w:r>
            <w:rPr>
              <w:rFonts w:hint="eastAsia" w:ascii="宋体" w:hAnsi="宋体" w:eastAsia="宋体" w:cs="宋体"/>
              <w:szCs w:val="24"/>
              <w:highlight w:val="none"/>
            </w:rPr>
            <w:fldChar w:fldCharType="separate"/>
          </w:r>
          <w:r>
            <w:rPr>
              <w:rFonts w:hint="eastAsia" w:ascii="宋体" w:hAnsi="宋体" w:eastAsia="宋体" w:cs="宋体"/>
              <w:bCs/>
              <w:spacing w:val="-4"/>
              <w:szCs w:val="24"/>
              <w:highlight w:val="none"/>
            </w:rPr>
            <w:t>5.1开标时间和地点</w:t>
          </w:r>
          <w:r>
            <w:tab/>
          </w:r>
          <w:r>
            <w:fldChar w:fldCharType="begin"/>
          </w:r>
          <w:r>
            <w:instrText xml:space="preserve"> PAGEREF _Toc5501 \h </w:instrText>
          </w:r>
          <w:r>
            <w:fldChar w:fldCharType="separate"/>
          </w:r>
          <w:r>
            <w:t>52</w:t>
          </w:r>
          <w:r>
            <w:fldChar w:fldCharType="end"/>
          </w:r>
          <w:r>
            <w:rPr>
              <w:rFonts w:hint="eastAsia" w:ascii="宋体" w:hAnsi="宋体" w:eastAsia="宋体" w:cs="宋体"/>
              <w:color w:val="auto"/>
              <w:szCs w:val="24"/>
              <w:highlight w:val="none"/>
            </w:rPr>
            <w:fldChar w:fldCharType="end"/>
          </w:r>
        </w:p>
        <w:p w14:paraId="5ED3FE7B">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_Toc7800 </w:instrText>
          </w:r>
          <w:r>
            <w:rPr>
              <w:rFonts w:hint="eastAsia" w:ascii="宋体" w:hAnsi="宋体" w:eastAsia="宋体" w:cs="宋体"/>
              <w:szCs w:val="24"/>
              <w:highlight w:val="none"/>
            </w:rPr>
            <w:fldChar w:fldCharType="separate"/>
          </w:r>
          <w:r>
            <w:rPr>
              <w:rFonts w:hint="eastAsia" w:ascii="宋体" w:hAnsi="宋体" w:eastAsia="宋体" w:cs="宋体"/>
              <w:bCs/>
              <w:spacing w:val="-5"/>
              <w:szCs w:val="24"/>
              <w:highlight w:val="none"/>
            </w:rPr>
            <w:t>5.2开标程序</w:t>
          </w:r>
          <w:r>
            <w:tab/>
          </w:r>
          <w:r>
            <w:fldChar w:fldCharType="begin"/>
          </w:r>
          <w:r>
            <w:instrText xml:space="preserve"> PAGEREF _Toc7800 \h </w:instrText>
          </w:r>
          <w:r>
            <w:fldChar w:fldCharType="separate"/>
          </w:r>
          <w:r>
            <w:t>52</w:t>
          </w:r>
          <w:r>
            <w:fldChar w:fldCharType="end"/>
          </w:r>
          <w:r>
            <w:rPr>
              <w:rFonts w:hint="eastAsia" w:ascii="宋体" w:hAnsi="宋体" w:eastAsia="宋体" w:cs="宋体"/>
              <w:color w:val="auto"/>
              <w:szCs w:val="24"/>
              <w:highlight w:val="none"/>
            </w:rPr>
            <w:fldChar w:fldCharType="end"/>
          </w:r>
        </w:p>
        <w:p w14:paraId="1384CC80">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_Toc23525 </w:instrText>
          </w:r>
          <w:r>
            <w:rPr>
              <w:rFonts w:hint="eastAsia" w:ascii="宋体" w:hAnsi="宋体" w:eastAsia="宋体" w:cs="宋体"/>
              <w:szCs w:val="24"/>
              <w:highlight w:val="none"/>
            </w:rPr>
            <w:fldChar w:fldCharType="separate"/>
          </w:r>
          <w:r>
            <w:rPr>
              <w:rFonts w:hint="eastAsia" w:ascii="宋体" w:hAnsi="宋体" w:eastAsia="宋体" w:cs="宋体"/>
              <w:bCs/>
              <w:spacing w:val="-3"/>
              <w:szCs w:val="24"/>
              <w:highlight w:val="none"/>
            </w:rPr>
            <w:t>5.3电子开标的应急措施</w:t>
          </w:r>
          <w:r>
            <w:tab/>
          </w:r>
          <w:r>
            <w:fldChar w:fldCharType="begin"/>
          </w:r>
          <w:r>
            <w:instrText xml:space="preserve"> PAGEREF _Toc23525 \h </w:instrText>
          </w:r>
          <w:r>
            <w:fldChar w:fldCharType="separate"/>
          </w:r>
          <w:r>
            <w:t>54</w:t>
          </w:r>
          <w:r>
            <w:fldChar w:fldCharType="end"/>
          </w:r>
          <w:r>
            <w:rPr>
              <w:rFonts w:hint="eastAsia" w:ascii="宋体" w:hAnsi="宋体" w:eastAsia="宋体" w:cs="宋体"/>
              <w:color w:val="auto"/>
              <w:szCs w:val="24"/>
              <w:highlight w:val="none"/>
            </w:rPr>
            <w:fldChar w:fldCharType="end"/>
          </w:r>
        </w:p>
        <w:p w14:paraId="4785328F">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_Toc28791 </w:instrText>
          </w:r>
          <w:r>
            <w:rPr>
              <w:rFonts w:hint="eastAsia" w:ascii="宋体" w:hAnsi="宋体" w:eastAsia="宋体" w:cs="宋体"/>
              <w:szCs w:val="24"/>
              <w:highlight w:val="none"/>
            </w:rPr>
            <w:fldChar w:fldCharType="separate"/>
          </w:r>
          <w:r>
            <w:rPr>
              <w:rFonts w:hint="eastAsia" w:ascii="宋体" w:hAnsi="宋体" w:eastAsia="宋体" w:cs="宋体"/>
              <w:bCs/>
              <w:spacing w:val="-5"/>
              <w:szCs w:val="24"/>
              <w:highlight w:val="none"/>
            </w:rPr>
            <w:t>5.4不予开标</w:t>
          </w:r>
          <w:r>
            <w:tab/>
          </w:r>
          <w:r>
            <w:fldChar w:fldCharType="begin"/>
          </w:r>
          <w:r>
            <w:instrText xml:space="preserve"> PAGEREF _Toc28791 \h </w:instrText>
          </w:r>
          <w:r>
            <w:fldChar w:fldCharType="separate"/>
          </w:r>
          <w:r>
            <w:t>55</w:t>
          </w:r>
          <w:r>
            <w:fldChar w:fldCharType="end"/>
          </w:r>
          <w:r>
            <w:rPr>
              <w:rFonts w:hint="eastAsia" w:ascii="宋体" w:hAnsi="宋体" w:eastAsia="宋体" w:cs="宋体"/>
              <w:color w:val="auto"/>
              <w:szCs w:val="24"/>
              <w:highlight w:val="none"/>
            </w:rPr>
            <w:fldChar w:fldCharType="end"/>
          </w:r>
        </w:p>
        <w:p w14:paraId="20A6EF88">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_Toc2657 </w:instrText>
          </w:r>
          <w:r>
            <w:rPr>
              <w:rFonts w:hint="eastAsia" w:ascii="宋体" w:hAnsi="宋体" w:eastAsia="宋体" w:cs="宋体"/>
              <w:szCs w:val="24"/>
              <w:highlight w:val="none"/>
            </w:rPr>
            <w:fldChar w:fldCharType="separate"/>
          </w:r>
          <w:r>
            <w:rPr>
              <w:rFonts w:hint="eastAsia" w:ascii="宋体" w:hAnsi="宋体" w:eastAsia="宋体" w:cs="宋体"/>
              <w:bCs/>
              <w:spacing w:val="-5"/>
              <w:szCs w:val="24"/>
              <w:highlight w:val="none"/>
            </w:rPr>
            <w:t>5.4开标异议</w:t>
          </w:r>
          <w:r>
            <w:tab/>
          </w:r>
          <w:r>
            <w:fldChar w:fldCharType="begin"/>
          </w:r>
          <w:r>
            <w:instrText xml:space="preserve"> PAGEREF _Toc2657 \h </w:instrText>
          </w:r>
          <w:r>
            <w:fldChar w:fldCharType="separate"/>
          </w:r>
          <w:r>
            <w:t>55</w:t>
          </w:r>
          <w:r>
            <w:fldChar w:fldCharType="end"/>
          </w:r>
          <w:r>
            <w:rPr>
              <w:rFonts w:hint="eastAsia" w:ascii="宋体" w:hAnsi="宋体" w:eastAsia="宋体" w:cs="宋体"/>
              <w:color w:val="auto"/>
              <w:szCs w:val="24"/>
              <w:highlight w:val="none"/>
            </w:rPr>
            <w:fldChar w:fldCharType="end"/>
          </w:r>
        </w:p>
        <w:p w14:paraId="3176535E">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_Toc15148 </w:instrText>
          </w:r>
          <w:r>
            <w:rPr>
              <w:rFonts w:hint="eastAsia" w:ascii="宋体" w:hAnsi="宋体" w:eastAsia="宋体" w:cs="宋体"/>
              <w:szCs w:val="24"/>
              <w:highlight w:val="none"/>
            </w:rPr>
            <w:fldChar w:fldCharType="separate"/>
          </w:r>
          <w:r>
            <w:rPr>
              <w:rFonts w:hint="eastAsia" w:ascii="宋体" w:hAnsi="宋体" w:eastAsia="宋体" w:cs="宋体"/>
              <w:spacing w:val="9"/>
              <w:szCs w:val="24"/>
              <w:highlight w:val="none"/>
            </w:rPr>
            <w:t>投标人对开标有异议的，应当在开标现场提出，招标人应当场作出答复，并记录。</w:t>
          </w:r>
          <w:r>
            <w:tab/>
          </w:r>
          <w:r>
            <w:fldChar w:fldCharType="begin"/>
          </w:r>
          <w:r>
            <w:instrText xml:space="preserve"> PAGEREF _Toc15148 \h </w:instrText>
          </w:r>
          <w:r>
            <w:fldChar w:fldCharType="separate"/>
          </w:r>
          <w:r>
            <w:t>55</w:t>
          </w:r>
          <w:r>
            <w:fldChar w:fldCharType="end"/>
          </w:r>
          <w:r>
            <w:rPr>
              <w:rFonts w:hint="eastAsia" w:ascii="宋体" w:hAnsi="宋体" w:eastAsia="宋体" w:cs="宋体"/>
              <w:color w:val="auto"/>
              <w:szCs w:val="24"/>
              <w:highlight w:val="none"/>
            </w:rPr>
            <w:fldChar w:fldCharType="end"/>
          </w:r>
        </w:p>
        <w:p w14:paraId="29FB4061">
          <w:pPr>
            <w:pStyle w:val="8"/>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_Toc23779 </w:instrText>
          </w:r>
          <w:r>
            <w:rPr>
              <w:rFonts w:hint="eastAsia" w:ascii="宋体" w:hAnsi="宋体" w:eastAsia="宋体" w:cs="宋体"/>
              <w:szCs w:val="24"/>
              <w:highlight w:val="none"/>
            </w:rPr>
            <w:fldChar w:fldCharType="separate"/>
          </w:r>
          <w:r>
            <w:rPr>
              <w:rFonts w:hint="eastAsia" w:ascii="宋体" w:hAnsi="宋体" w:eastAsia="宋体" w:cs="宋体"/>
              <w:bCs/>
              <w:spacing w:val="-7"/>
              <w:szCs w:val="28"/>
              <w:highlight w:val="none"/>
            </w:rPr>
            <w:t>6.评标</w:t>
          </w:r>
          <w:r>
            <w:tab/>
          </w:r>
          <w:r>
            <w:fldChar w:fldCharType="begin"/>
          </w:r>
          <w:r>
            <w:instrText xml:space="preserve"> PAGEREF _Toc23779 \h </w:instrText>
          </w:r>
          <w:r>
            <w:fldChar w:fldCharType="separate"/>
          </w:r>
          <w:r>
            <w:t>55</w:t>
          </w:r>
          <w:r>
            <w:fldChar w:fldCharType="end"/>
          </w:r>
          <w:r>
            <w:rPr>
              <w:rFonts w:hint="eastAsia" w:ascii="宋体" w:hAnsi="宋体" w:eastAsia="宋体" w:cs="宋体"/>
              <w:color w:val="auto"/>
              <w:szCs w:val="24"/>
              <w:highlight w:val="none"/>
            </w:rPr>
            <w:fldChar w:fldCharType="end"/>
          </w:r>
        </w:p>
        <w:p w14:paraId="5E1E1D7F">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_Toc3175 </w:instrText>
          </w:r>
          <w:r>
            <w:rPr>
              <w:rFonts w:hint="eastAsia" w:ascii="宋体" w:hAnsi="宋体" w:eastAsia="宋体" w:cs="宋体"/>
              <w:szCs w:val="24"/>
              <w:highlight w:val="none"/>
            </w:rPr>
            <w:fldChar w:fldCharType="separate"/>
          </w:r>
          <w:r>
            <w:rPr>
              <w:rFonts w:hint="eastAsia" w:ascii="宋体" w:hAnsi="宋体" w:eastAsia="宋体" w:cs="宋体"/>
              <w:bCs/>
              <w:spacing w:val="-4"/>
              <w:szCs w:val="24"/>
              <w:highlight w:val="none"/>
            </w:rPr>
            <w:t>6.1评标委员会</w:t>
          </w:r>
          <w:r>
            <w:tab/>
          </w:r>
          <w:r>
            <w:fldChar w:fldCharType="begin"/>
          </w:r>
          <w:r>
            <w:instrText xml:space="preserve"> PAGEREF _Toc3175 \h </w:instrText>
          </w:r>
          <w:r>
            <w:fldChar w:fldCharType="separate"/>
          </w:r>
          <w:r>
            <w:t>55</w:t>
          </w:r>
          <w:r>
            <w:fldChar w:fldCharType="end"/>
          </w:r>
          <w:r>
            <w:rPr>
              <w:rFonts w:hint="eastAsia" w:ascii="宋体" w:hAnsi="宋体" w:eastAsia="宋体" w:cs="宋体"/>
              <w:color w:val="auto"/>
              <w:szCs w:val="24"/>
              <w:highlight w:val="none"/>
            </w:rPr>
            <w:fldChar w:fldCharType="end"/>
          </w:r>
        </w:p>
        <w:p w14:paraId="62A3B17F">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_Toc27918 </w:instrText>
          </w:r>
          <w:r>
            <w:rPr>
              <w:rFonts w:hint="eastAsia" w:ascii="宋体" w:hAnsi="宋体" w:eastAsia="宋体" w:cs="宋体"/>
              <w:szCs w:val="24"/>
              <w:highlight w:val="none"/>
            </w:rPr>
            <w:fldChar w:fldCharType="separate"/>
          </w:r>
          <w:r>
            <w:rPr>
              <w:rFonts w:hint="eastAsia" w:ascii="宋体" w:hAnsi="宋体" w:eastAsia="宋体" w:cs="宋体"/>
              <w:bCs/>
              <w:spacing w:val="-4"/>
              <w:szCs w:val="24"/>
              <w:highlight w:val="none"/>
            </w:rPr>
            <w:t>6.2评标原则</w:t>
          </w:r>
          <w:r>
            <w:tab/>
          </w:r>
          <w:r>
            <w:fldChar w:fldCharType="begin"/>
          </w:r>
          <w:r>
            <w:instrText xml:space="preserve"> PAGEREF _Toc27918 \h </w:instrText>
          </w:r>
          <w:r>
            <w:fldChar w:fldCharType="separate"/>
          </w:r>
          <w:r>
            <w:t>56</w:t>
          </w:r>
          <w:r>
            <w:fldChar w:fldCharType="end"/>
          </w:r>
          <w:r>
            <w:rPr>
              <w:rFonts w:hint="eastAsia" w:ascii="宋体" w:hAnsi="宋体" w:eastAsia="宋体" w:cs="宋体"/>
              <w:color w:val="auto"/>
              <w:szCs w:val="24"/>
              <w:highlight w:val="none"/>
            </w:rPr>
            <w:fldChar w:fldCharType="end"/>
          </w:r>
        </w:p>
        <w:p w14:paraId="1FB91194">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_Toc13807 </w:instrText>
          </w:r>
          <w:r>
            <w:rPr>
              <w:rFonts w:hint="eastAsia" w:ascii="宋体" w:hAnsi="宋体" w:eastAsia="宋体" w:cs="宋体"/>
              <w:szCs w:val="24"/>
              <w:highlight w:val="none"/>
            </w:rPr>
            <w:fldChar w:fldCharType="separate"/>
          </w:r>
          <w:r>
            <w:rPr>
              <w:rFonts w:hint="eastAsia" w:ascii="宋体" w:hAnsi="宋体" w:eastAsia="宋体" w:cs="宋体"/>
              <w:bCs/>
              <w:spacing w:val="-5"/>
              <w:szCs w:val="24"/>
              <w:highlight w:val="none"/>
            </w:rPr>
            <w:t>6.3评标</w:t>
          </w:r>
          <w:r>
            <w:tab/>
          </w:r>
          <w:r>
            <w:fldChar w:fldCharType="begin"/>
          </w:r>
          <w:r>
            <w:instrText xml:space="preserve"> PAGEREF _Toc13807 \h </w:instrText>
          </w:r>
          <w:r>
            <w:fldChar w:fldCharType="separate"/>
          </w:r>
          <w:r>
            <w:t>56</w:t>
          </w:r>
          <w:r>
            <w:fldChar w:fldCharType="end"/>
          </w:r>
          <w:r>
            <w:rPr>
              <w:rFonts w:hint="eastAsia" w:ascii="宋体" w:hAnsi="宋体" w:eastAsia="宋体" w:cs="宋体"/>
              <w:color w:val="auto"/>
              <w:szCs w:val="24"/>
              <w:highlight w:val="none"/>
            </w:rPr>
            <w:fldChar w:fldCharType="end"/>
          </w:r>
        </w:p>
        <w:p w14:paraId="35B55E93">
          <w:pPr>
            <w:pStyle w:val="8"/>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_Toc12667 </w:instrText>
          </w:r>
          <w:r>
            <w:rPr>
              <w:rFonts w:hint="eastAsia" w:ascii="宋体" w:hAnsi="宋体" w:eastAsia="宋体" w:cs="宋体"/>
              <w:szCs w:val="24"/>
              <w:highlight w:val="none"/>
            </w:rPr>
            <w:fldChar w:fldCharType="separate"/>
          </w:r>
          <w:r>
            <w:rPr>
              <w:rFonts w:hint="eastAsia" w:ascii="宋体" w:hAnsi="宋体" w:eastAsia="宋体" w:cs="宋体"/>
              <w:bCs/>
              <w:spacing w:val="-6"/>
              <w:szCs w:val="28"/>
              <w:highlight w:val="none"/>
            </w:rPr>
            <w:t>7.合同授予</w:t>
          </w:r>
          <w:r>
            <w:tab/>
          </w:r>
          <w:r>
            <w:fldChar w:fldCharType="begin"/>
          </w:r>
          <w:r>
            <w:instrText xml:space="preserve"> PAGEREF _Toc12667 \h </w:instrText>
          </w:r>
          <w:r>
            <w:fldChar w:fldCharType="separate"/>
          </w:r>
          <w:r>
            <w:t>56</w:t>
          </w:r>
          <w:r>
            <w:fldChar w:fldCharType="end"/>
          </w:r>
          <w:r>
            <w:rPr>
              <w:rFonts w:hint="eastAsia" w:ascii="宋体" w:hAnsi="宋体" w:eastAsia="宋体" w:cs="宋体"/>
              <w:color w:val="auto"/>
              <w:szCs w:val="24"/>
              <w:highlight w:val="none"/>
            </w:rPr>
            <w:fldChar w:fldCharType="end"/>
          </w:r>
        </w:p>
        <w:p w14:paraId="5A59C205">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_Toc14397 </w:instrText>
          </w:r>
          <w:r>
            <w:rPr>
              <w:rFonts w:hint="eastAsia" w:ascii="宋体" w:hAnsi="宋体" w:eastAsia="宋体" w:cs="宋体"/>
              <w:szCs w:val="24"/>
              <w:highlight w:val="none"/>
            </w:rPr>
            <w:fldChar w:fldCharType="separate"/>
          </w:r>
          <w:r>
            <w:rPr>
              <w:rFonts w:hint="eastAsia" w:ascii="宋体" w:hAnsi="宋体" w:eastAsia="宋体" w:cs="宋体"/>
              <w:bCs/>
              <w:spacing w:val="-4"/>
              <w:szCs w:val="24"/>
              <w:highlight w:val="none"/>
            </w:rPr>
            <w:t>7.1中标候选人公示</w:t>
          </w:r>
          <w:r>
            <w:tab/>
          </w:r>
          <w:r>
            <w:fldChar w:fldCharType="begin"/>
          </w:r>
          <w:r>
            <w:instrText xml:space="preserve"> PAGEREF _Toc14397 \h </w:instrText>
          </w:r>
          <w:r>
            <w:fldChar w:fldCharType="separate"/>
          </w:r>
          <w:r>
            <w:t>56</w:t>
          </w:r>
          <w:r>
            <w:fldChar w:fldCharType="end"/>
          </w:r>
          <w:r>
            <w:rPr>
              <w:rFonts w:hint="eastAsia" w:ascii="宋体" w:hAnsi="宋体" w:eastAsia="宋体" w:cs="宋体"/>
              <w:color w:val="auto"/>
              <w:szCs w:val="24"/>
              <w:highlight w:val="none"/>
            </w:rPr>
            <w:fldChar w:fldCharType="end"/>
          </w:r>
        </w:p>
        <w:p w14:paraId="35F23F42">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_Toc1014 </w:instrText>
          </w:r>
          <w:r>
            <w:rPr>
              <w:rFonts w:hint="eastAsia" w:ascii="宋体" w:hAnsi="宋体" w:eastAsia="宋体" w:cs="宋体"/>
              <w:szCs w:val="24"/>
              <w:highlight w:val="none"/>
            </w:rPr>
            <w:fldChar w:fldCharType="separate"/>
          </w:r>
          <w:r>
            <w:rPr>
              <w:rFonts w:hint="eastAsia" w:ascii="宋体" w:hAnsi="宋体" w:eastAsia="宋体" w:cs="宋体"/>
              <w:bCs/>
              <w:spacing w:val="-4"/>
              <w:szCs w:val="24"/>
              <w:highlight w:val="none"/>
            </w:rPr>
            <w:t>7.2评标结果异议</w:t>
          </w:r>
          <w:r>
            <w:tab/>
          </w:r>
          <w:r>
            <w:fldChar w:fldCharType="begin"/>
          </w:r>
          <w:r>
            <w:instrText xml:space="preserve"> PAGEREF _Toc1014 \h </w:instrText>
          </w:r>
          <w:r>
            <w:fldChar w:fldCharType="separate"/>
          </w:r>
          <w:r>
            <w:t>57</w:t>
          </w:r>
          <w:r>
            <w:fldChar w:fldCharType="end"/>
          </w:r>
          <w:r>
            <w:rPr>
              <w:rFonts w:hint="eastAsia" w:ascii="宋体" w:hAnsi="宋体" w:eastAsia="宋体" w:cs="宋体"/>
              <w:color w:val="auto"/>
              <w:szCs w:val="24"/>
              <w:highlight w:val="none"/>
            </w:rPr>
            <w:fldChar w:fldCharType="end"/>
          </w:r>
        </w:p>
        <w:p w14:paraId="75D4CBD8">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_Toc23611 </w:instrText>
          </w:r>
          <w:r>
            <w:rPr>
              <w:rFonts w:hint="eastAsia" w:ascii="宋体" w:hAnsi="宋体" w:eastAsia="宋体" w:cs="宋体"/>
              <w:szCs w:val="24"/>
              <w:highlight w:val="none"/>
            </w:rPr>
            <w:fldChar w:fldCharType="separate"/>
          </w:r>
          <w:r>
            <w:rPr>
              <w:rFonts w:hint="eastAsia" w:ascii="宋体" w:hAnsi="宋体" w:eastAsia="宋体" w:cs="宋体"/>
              <w:bCs/>
              <w:spacing w:val="-3"/>
              <w:szCs w:val="24"/>
              <w:highlight w:val="none"/>
            </w:rPr>
            <w:t>7.3中标候选人履约能力审查</w:t>
          </w:r>
          <w:r>
            <w:tab/>
          </w:r>
          <w:r>
            <w:fldChar w:fldCharType="begin"/>
          </w:r>
          <w:r>
            <w:instrText xml:space="preserve"> PAGEREF _Toc23611 \h </w:instrText>
          </w:r>
          <w:r>
            <w:fldChar w:fldCharType="separate"/>
          </w:r>
          <w:r>
            <w:t>57</w:t>
          </w:r>
          <w:r>
            <w:fldChar w:fldCharType="end"/>
          </w:r>
          <w:r>
            <w:rPr>
              <w:rFonts w:hint="eastAsia" w:ascii="宋体" w:hAnsi="宋体" w:eastAsia="宋体" w:cs="宋体"/>
              <w:color w:val="auto"/>
              <w:szCs w:val="24"/>
              <w:highlight w:val="none"/>
            </w:rPr>
            <w:fldChar w:fldCharType="end"/>
          </w:r>
        </w:p>
        <w:p w14:paraId="672059A1">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_Toc20173 </w:instrText>
          </w:r>
          <w:r>
            <w:rPr>
              <w:rFonts w:hint="eastAsia" w:ascii="宋体" w:hAnsi="宋体" w:eastAsia="宋体" w:cs="宋体"/>
              <w:szCs w:val="24"/>
              <w:highlight w:val="none"/>
            </w:rPr>
            <w:fldChar w:fldCharType="separate"/>
          </w:r>
          <w:r>
            <w:rPr>
              <w:rFonts w:hint="eastAsia" w:ascii="宋体" w:hAnsi="宋体" w:eastAsia="宋体" w:cs="宋体"/>
              <w:bCs/>
              <w:spacing w:val="-5"/>
              <w:szCs w:val="24"/>
              <w:highlight w:val="none"/>
            </w:rPr>
            <w:t>7.4定标</w:t>
          </w:r>
          <w:r>
            <w:tab/>
          </w:r>
          <w:r>
            <w:fldChar w:fldCharType="begin"/>
          </w:r>
          <w:r>
            <w:instrText xml:space="preserve"> PAGEREF _Toc20173 \h </w:instrText>
          </w:r>
          <w:r>
            <w:fldChar w:fldCharType="separate"/>
          </w:r>
          <w:r>
            <w:t>57</w:t>
          </w:r>
          <w:r>
            <w:fldChar w:fldCharType="end"/>
          </w:r>
          <w:r>
            <w:rPr>
              <w:rFonts w:hint="eastAsia" w:ascii="宋体" w:hAnsi="宋体" w:eastAsia="宋体" w:cs="宋体"/>
              <w:color w:val="auto"/>
              <w:szCs w:val="24"/>
              <w:highlight w:val="none"/>
            </w:rPr>
            <w:fldChar w:fldCharType="end"/>
          </w:r>
        </w:p>
        <w:p w14:paraId="1FC9E0AA">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_Toc15333 </w:instrText>
          </w:r>
          <w:r>
            <w:rPr>
              <w:rFonts w:hint="eastAsia" w:ascii="宋体" w:hAnsi="宋体" w:eastAsia="宋体" w:cs="宋体"/>
              <w:szCs w:val="24"/>
              <w:highlight w:val="none"/>
            </w:rPr>
            <w:fldChar w:fldCharType="separate"/>
          </w:r>
          <w:r>
            <w:rPr>
              <w:rFonts w:hint="eastAsia" w:ascii="宋体" w:hAnsi="宋体" w:eastAsia="宋体" w:cs="宋体"/>
              <w:bCs/>
              <w:spacing w:val="-7"/>
              <w:szCs w:val="24"/>
              <w:highlight w:val="none"/>
            </w:rPr>
            <w:t>7.5中标通知</w:t>
          </w:r>
          <w:r>
            <w:tab/>
          </w:r>
          <w:r>
            <w:fldChar w:fldCharType="begin"/>
          </w:r>
          <w:r>
            <w:instrText xml:space="preserve"> PAGEREF _Toc15333 \h </w:instrText>
          </w:r>
          <w:r>
            <w:fldChar w:fldCharType="separate"/>
          </w:r>
          <w:r>
            <w:t>57</w:t>
          </w:r>
          <w:r>
            <w:fldChar w:fldCharType="end"/>
          </w:r>
          <w:r>
            <w:rPr>
              <w:rFonts w:hint="eastAsia" w:ascii="宋体" w:hAnsi="宋体" w:eastAsia="宋体" w:cs="宋体"/>
              <w:color w:val="auto"/>
              <w:szCs w:val="24"/>
              <w:highlight w:val="none"/>
            </w:rPr>
            <w:fldChar w:fldCharType="end"/>
          </w:r>
        </w:p>
        <w:p w14:paraId="1D77C004">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_Toc16743 </w:instrText>
          </w:r>
          <w:r>
            <w:rPr>
              <w:rFonts w:hint="eastAsia" w:ascii="宋体" w:hAnsi="宋体" w:eastAsia="宋体" w:cs="宋体"/>
              <w:szCs w:val="24"/>
              <w:highlight w:val="none"/>
            </w:rPr>
            <w:fldChar w:fldCharType="separate"/>
          </w:r>
          <w:r>
            <w:rPr>
              <w:rFonts w:hint="eastAsia" w:ascii="宋体" w:hAnsi="宋体" w:eastAsia="宋体" w:cs="宋体"/>
              <w:bCs/>
              <w:spacing w:val="-4"/>
              <w:szCs w:val="24"/>
              <w:highlight w:val="none"/>
            </w:rPr>
            <w:t>7.6中标结果公告</w:t>
          </w:r>
          <w:r>
            <w:tab/>
          </w:r>
          <w:r>
            <w:fldChar w:fldCharType="begin"/>
          </w:r>
          <w:r>
            <w:instrText xml:space="preserve"> PAGEREF _Toc16743 \h </w:instrText>
          </w:r>
          <w:r>
            <w:fldChar w:fldCharType="separate"/>
          </w:r>
          <w:r>
            <w:t>57</w:t>
          </w:r>
          <w:r>
            <w:fldChar w:fldCharType="end"/>
          </w:r>
          <w:r>
            <w:rPr>
              <w:rFonts w:hint="eastAsia" w:ascii="宋体" w:hAnsi="宋体" w:eastAsia="宋体" w:cs="宋体"/>
              <w:color w:val="auto"/>
              <w:szCs w:val="24"/>
              <w:highlight w:val="none"/>
            </w:rPr>
            <w:fldChar w:fldCharType="end"/>
          </w:r>
        </w:p>
        <w:p w14:paraId="4FF3AEE4">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_Toc14581 </w:instrText>
          </w:r>
          <w:r>
            <w:rPr>
              <w:rFonts w:hint="eastAsia" w:ascii="宋体" w:hAnsi="宋体" w:eastAsia="宋体" w:cs="宋体"/>
              <w:szCs w:val="24"/>
              <w:highlight w:val="none"/>
            </w:rPr>
            <w:fldChar w:fldCharType="separate"/>
          </w:r>
          <w:r>
            <w:rPr>
              <w:rFonts w:hint="eastAsia" w:ascii="宋体" w:hAnsi="宋体" w:eastAsia="宋体" w:cs="宋体"/>
              <w:bCs/>
              <w:spacing w:val="-4"/>
              <w:szCs w:val="24"/>
              <w:highlight w:val="none"/>
            </w:rPr>
            <w:t>7.7履约保证金</w:t>
          </w:r>
          <w:r>
            <w:tab/>
          </w:r>
          <w:r>
            <w:fldChar w:fldCharType="begin"/>
          </w:r>
          <w:r>
            <w:instrText xml:space="preserve"> PAGEREF _Toc14581 \h </w:instrText>
          </w:r>
          <w:r>
            <w:fldChar w:fldCharType="separate"/>
          </w:r>
          <w:r>
            <w:t>57</w:t>
          </w:r>
          <w:r>
            <w:fldChar w:fldCharType="end"/>
          </w:r>
          <w:r>
            <w:rPr>
              <w:rFonts w:hint="eastAsia" w:ascii="宋体" w:hAnsi="宋体" w:eastAsia="宋体" w:cs="宋体"/>
              <w:color w:val="auto"/>
              <w:szCs w:val="24"/>
              <w:highlight w:val="none"/>
            </w:rPr>
            <w:fldChar w:fldCharType="end"/>
          </w:r>
        </w:p>
        <w:p w14:paraId="67535EBF">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_Toc11962 </w:instrText>
          </w:r>
          <w:r>
            <w:rPr>
              <w:rFonts w:hint="eastAsia" w:ascii="宋体" w:hAnsi="宋体" w:eastAsia="宋体" w:cs="宋体"/>
              <w:szCs w:val="24"/>
              <w:highlight w:val="none"/>
            </w:rPr>
            <w:fldChar w:fldCharType="separate"/>
          </w:r>
          <w:r>
            <w:rPr>
              <w:rFonts w:hint="eastAsia" w:ascii="宋体" w:hAnsi="宋体" w:eastAsia="宋体" w:cs="宋体"/>
              <w:bCs/>
              <w:spacing w:val="-4"/>
              <w:szCs w:val="24"/>
              <w:highlight w:val="none"/>
            </w:rPr>
            <w:t>7.8签订合同</w:t>
          </w:r>
          <w:r>
            <w:tab/>
          </w:r>
          <w:r>
            <w:fldChar w:fldCharType="begin"/>
          </w:r>
          <w:r>
            <w:instrText xml:space="preserve"> PAGEREF _Toc11962 \h </w:instrText>
          </w:r>
          <w:r>
            <w:fldChar w:fldCharType="separate"/>
          </w:r>
          <w:r>
            <w:t>58</w:t>
          </w:r>
          <w:r>
            <w:fldChar w:fldCharType="end"/>
          </w:r>
          <w:r>
            <w:rPr>
              <w:rFonts w:hint="eastAsia" w:ascii="宋体" w:hAnsi="宋体" w:eastAsia="宋体" w:cs="宋体"/>
              <w:color w:val="auto"/>
              <w:szCs w:val="24"/>
              <w:highlight w:val="none"/>
            </w:rPr>
            <w:fldChar w:fldCharType="end"/>
          </w:r>
        </w:p>
        <w:p w14:paraId="5FE04357">
          <w:pPr>
            <w:pStyle w:val="8"/>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_Toc6670 </w:instrText>
          </w:r>
          <w:r>
            <w:rPr>
              <w:rFonts w:hint="eastAsia" w:ascii="宋体" w:hAnsi="宋体" w:eastAsia="宋体" w:cs="宋体"/>
              <w:szCs w:val="24"/>
              <w:highlight w:val="none"/>
            </w:rPr>
            <w:fldChar w:fldCharType="separate"/>
          </w:r>
          <w:r>
            <w:rPr>
              <w:rFonts w:hint="eastAsia" w:ascii="宋体" w:hAnsi="宋体" w:eastAsia="宋体" w:cs="宋体"/>
              <w:bCs/>
              <w:spacing w:val="-5"/>
              <w:szCs w:val="28"/>
              <w:highlight w:val="none"/>
            </w:rPr>
            <w:t>8.纪律和监督</w:t>
          </w:r>
          <w:r>
            <w:tab/>
          </w:r>
          <w:r>
            <w:fldChar w:fldCharType="begin"/>
          </w:r>
          <w:r>
            <w:instrText xml:space="preserve"> PAGEREF _Toc6670 \h </w:instrText>
          </w:r>
          <w:r>
            <w:fldChar w:fldCharType="separate"/>
          </w:r>
          <w:r>
            <w:t>58</w:t>
          </w:r>
          <w:r>
            <w:fldChar w:fldCharType="end"/>
          </w:r>
          <w:r>
            <w:rPr>
              <w:rFonts w:hint="eastAsia" w:ascii="宋体" w:hAnsi="宋体" w:eastAsia="宋体" w:cs="宋体"/>
              <w:color w:val="auto"/>
              <w:szCs w:val="24"/>
              <w:highlight w:val="none"/>
            </w:rPr>
            <w:fldChar w:fldCharType="end"/>
          </w:r>
        </w:p>
        <w:p w14:paraId="7152F5E1">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_Toc3167 </w:instrText>
          </w:r>
          <w:r>
            <w:rPr>
              <w:rFonts w:hint="eastAsia" w:ascii="宋体" w:hAnsi="宋体" w:eastAsia="宋体" w:cs="宋体"/>
              <w:szCs w:val="24"/>
              <w:highlight w:val="none"/>
            </w:rPr>
            <w:fldChar w:fldCharType="separate"/>
          </w:r>
          <w:r>
            <w:rPr>
              <w:rFonts w:hint="eastAsia" w:ascii="宋体" w:hAnsi="宋体" w:eastAsia="宋体" w:cs="宋体"/>
              <w:bCs/>
              <w:spacing w:val="-3"/>
              <w:szCs w:val="24"/>
              <w:highlight w:val="none"/>
            </w:rPr>
            <w:t>8.1对招标人的纪律要求</w:t>
          </w:r>
          <w:r>
            <w:tab/>
          </w:r>
          <w:r>
            <w:fldChar w:fldCharType="begin"/>
          </w:r>
          <w:r>
            <w:instrText xml:space="preserve"> PAGEREF _Toc3167 \h </w:instrText>
          </w:r>
          <w:r>
            <w:fldChar w:fldCharType="separate"/>
          </w:r>
          <w:r>
            <w:t>58</w:t>
          </w:r>
          <w:r>
            <w:fldChar w:fldCharType="end"/>
          </w:r>
          <w:r>
            <w:rPr>
              <w:rFonts w:hint="eastAsia" w:ascii="宋体" w:hAnsi="宋体" w:eastAsia="宋体" w:cs="宋体"/>
              <w:color w:val="auto"/>
              <w:szCs w:val="24"/>
              <w:highlight w:val="none"/>
            </w:rPr>
            <w:fldChar w:fldCharType="end"/>
          </w:r>
        </w:p>
        <w:p w14:paraId="0E68CE7F">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_Toc2546 </w:instrText>
          </w:r>
          <w:r>
            <w:rPr>
              <w:rFonts w:hint="eastAsia" w:ascii="宋体" w:hAnsi="宋体" w:eastAsia="宋体" w:cs="宋体"/>
              <w:szCs w:val="24"/>
              <w:highlight w:val="none"/>
            </w:rPr>
            <w:fldChar w:fldCharType="separate"/>
          </w:r>
          <w:r>
            <w:rPr>
              <w:rFonts w:hint="eastAsia" w:ascii="宋体" w:hAnsi="宋体" w:eastAsia="宋体" w:cs="宋体"/>
              <w:bCs/>
              <w:spacing w:val="-3"/>
              <w:szCs w:val="24"/>
              <w:highlight w:val="none"/>
            </w:rPr>
            <w:t>8.2对投标人的纪律要求</w:t>
          </w:r>
          <w:r>
            <w:tab/>
          </w:r>
          <w:r>
            <w:fldChar w:fldCharType="begin"/>
          </w:r>
          <w:r>
            <w:instrText xml:space="preserve"> PAGEREF _Toc2546 \h </w:instrText>
          </w:r>
          <w:r>
            <w:fldChar w:fldCharType="separate"/>
          </w:r>
          <w:r>
            <w:t>58</w:t>
          </w:r>
          <w:r>
            <w:fldChar w:fldCharType="end"/>
          </w:r>
          <w:r>
            <w:rPr>
              <w:rFonts w:hint="eastAsia" w:ascii="宋体" w:hAnsi="宋体" w:eastAsia="宋体" w:cs="宋体"/>
              <w:color w:val="auto"/>
              <w:szCs w:val="24"/>
              <w:highlight w:val="none"/>
            </w:rPr>
            <w:fldChar w:fldCharType="end"/>
          </w:r>
        </w:p>
        <w:p w14:paraId="1A0B2032">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_Toc32595 </w:instrText>
          </w:r>
          <w:r>
            <w:rPr>
              <w:rFonts w:hint="eastAsia" w:ascii="宋体" w:hAnsi="宋体" w:eastAsia="宋体" w:cs="宋体"/>
              <w:szCs w:val="24"/>
              <w:highlight w:val="none"/>
            </w:rPr>
            <w:fldChar w:fldCharType="separate"/>
          </w:r>
          <w:r>
            <w:rPr>
              <w:rFonts w:hint="eastAsia" w:ascii="宋体" w:hAnsi="宋体" w:eastAsia="宋体" w:cs="宋体"/>
              <w:bCs/>
              <w:spacing w:val="-3"/>
              <w:szCs w:val="24"/>
              <w:highlight w:val="none"/>
            </w:rPr>
            <w:t>8.3对评标委员会成员的纪律要求</w:t>
          </w:r>
          <w:r>
            <w:tab/>
          </w:r>
          <w:r>
            <w:fldChar w:fldCharType="begin"/>
          </w:r>
          <w:r>
            <w:instrText xml:space="preserve"> PAGEREF _Toc32595 \h </w:instrText>
          </w:r>
          <w:r>
            <w:fldChar w:fldCharType="separate"/>
          </w:r>
          <w:r>
            <w:t>59</w:t>
          </w:r>
          <w:r>
            <w:fldChar w:fldCharType="end"/>
          </w:r>
          <w:r>
            <w:rPr>
              <w:rFonts w:hint="eastAsia" w:ascii="宋体" w:hAnsi="宋体" w:eastAsia="宋体" w:cs="宋体"/>
              <w:color w:val="auto"/>
              <w:szCs w:val="24"/>
              <w:highlight w:val="none"/>
            </w:rPr>
            <w:fldChar w:fldCharType="end"/>
          </w:r>
        </w:p>
        <w:p w14:paraId="5D3BFE4D">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_Toc20946 </w:instrText>
          </w:r>
          <w:r>
            <w:rPr>
              <w:rFonts w:hint="eastAsia" w:ascii="宋体" w:hAnsi="宋体" w:eastAsia="宋体" w:cs="宋体"/>
              <w:szCs w:val="24"/>
              <w:highlight w:val="none"/>
            </w:rPr>
            <w:fldChar w:fldCharType="separate"/>
          </w:r>
          <w:r>
            <w:rPr>
              <w:rFonts w:hint="eastAsia" w:ascii="宋体" w:hAnsi="宋体" w:eastAsia="宋体" w:cs="宋体"/>
              <w:bCs/>
              <w:spacing w:val="-3"/>
              <w:szCs w:val="24"/>
              <w:highlight w:val="none"/>
            </w:rPr>
            <w:t>8.4对与评标活动有关的工作人员的纪律要求</w:t>
          </w:r>
          <w:r>
            <w:tab/>
          </w:r>
          <w:r>
            <w:fldChar w:fldCharType="begin"/>
          </w:r>
          <w:r>
            <w:instrText xml:space="preserve"> PAGEREF _Toc20946 \h </w:instrText>
          </w:r>
          <w:r>
            <w:fldChar w:fldCharType="separate"/>
          </w:r>
          <w:r>
            <w:t>59</w:t>
          </w:r>
          <w:r>
            <w:fldChar w:fldCharType="end"/>
          </w:r>
          <w:r>
            <w:rPr>
              <w:rFonts w:hint="eastAsia" w:ascii="宋体" w:hAnsi="宋体" w:eastAsia="宋体" w:cs="宋体"/>
              <w:color w:val="auto"/>
              <w:szCs w:val="24"/>
              <w:highlight w:val="none"/>
            </w:rPr>
            <w:fldChar w:fldCharType="end"/>
          </w:r>
        </w:p>
        <w:p w14:paraId="3BB3419E">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_Toc2977 </w:instrText>
          </w:r>
          <w:r>
            <w:rPr>
              <w:rFonts w:hint="eastAsia" w:ascii="宋体" w:hAnsi="宋体" w:eastAsia="宋体" w:cs="宋体"/>
              <w:szCs w:val="24"/>
              <w:highlight w:val="none"/>
            </w:rPr>
            <w:fldChar w:fldCharType="separate"/>
          </w:r>
          <w:r>
            <w:rPr>
              <w:rFonts w:hint="eastAsia" w:ascii="宋体" w:hAnsi="宋体" w:eastAsia="宋体" w:cs="宋体"/>
              <w:bCs/>
              <w:spacing w:val="-5"/>
              <w:szCs w:val="24"/>
              <w:highlight w:val="none"/>
            </w:rPr>
            <w:t>8.5投诉</w:t>
          </w:r>
          <w:r>
            <w:tab/>
          </w:r>
          <w:r>
            <w:fldChar w:fldCharType="begin"/>
          </w:r>
          <w:r>
            <w:instrText xml:space="preserve"> PAGEREF _Toc2977 \h </w:instrText>
          </w:r>
          <w:r>
            <w:fldChar w:fldCharType="separate"/>
          </w:r>
          <w:r>
            <w:t>59</w:t>
          </w:r>
          <w:r>
            <w:fldChar w:fldCharType="end"/>
          </w:r>
          <w:r>
            <w:rPr>
              <w:rFonts w:hint="eastAsia" w:ascii="宋体" w:hAnsi="宋体" w:eastAsia="宋体" w:cs="宋体"/>
              <w:color w:val="auto"/>
              <w:szCs w:val="24"/>
              <w:highlight w:val="none"/>
            </w:rPr>
            <w:fldChar w:fldCharType="end"/>
          </w:r>
        </w:p>
        <w:p w14:paraId="2344C169">
          <w:pPr>
            <w:pStyle w:val="8"/>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_Toc26256 </w:instrText>
          </w:r>
          <w:r>
            <w:rPr>
              <w:rFonts w:hint="eastAsia" w:ascii="宋体" w:hAnsi="宋体" w:eastAsia="宋体" w:cs="宋体"/>
              <w:szCs w:val="24"/>
              <w:highlight w:val="none"/>
            </w:rPr>
            <w:fldChar w:fldCharType="separate"/>
          </w:r>
          <w:r>
            <w:rPr>
              <w:rFonts w:hint="eastAsia" w:ascii="宋体" w:hAnsi="宋体" w:eastAsia="宋体" w:cs="宋体"/>
              <w:bCs/>
              <w:spacing w:val="-4"/>
              <w:szCs w:val="24"/>
              <w:highlight w:val="none"/>
            </w:rPr>
            <w:t>9.是否采用电子招标投标</w:t>
          </w:r>
          <w:r>
            <w:tab/>
          </w:r>
          <w:r>
            <w:fldChar w:fldCharType="begin"/>
          </w:r>
          <w:r>
            <w:instrText xml:space="preserve"> PAGEREF _Toc26256 \h </w:instrText>
          </w:r>
          <w:r>
            <w:fldChar w:fldCharType="separate"/>
          </w:r>
          <w:r>
            <w:t>59</w:t>
          </w:r>
          <w:r>
            <w:fldChar w:fldCharType="end"/>
          </w:r>
          <w:r>
            <w:rPr>
              <w:rFonts w:hint="eastAsia" w:ascii="宋体" w:hAnsi="宋体" w:eastAsia="宋体" w:cs="宋体"/>
              <w:color w:val="auto"/>
              <w:szCs w:val="24"/>
              <w:highlight w:val="none"/>
            </w:rPr>
            <w:fldChar w:fldCharType="end"/>
          </w:r>
        </w:p>
        <w:p w14:paraId="0856CD2C">
          <w:pPr>
            <w:pStyle w:val="8"/>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_Toc25498 </w:instrText>
          </w:r>
          <w:r>
            <w:rPr>
              <w:rFonts w:hint="eastAsia" w:ascii="宋体" w:hAnsi="宋体" w:eastAsia="宋体" w:cs="宋体"/>
              <w:szCs w:val="24"/>
              <w:highlight w:val="none"/>
            </w:rPr>
            <w:fldChar w:fldCharType="separate"/>
          </w:r>
          <w:r>
            <w:rPr>
              <w:rFonts w:hint="eastAsia" w:ascii="宋体" w:hAnsi="宋体" w:eastAsia="宋体" w:cs="宋体"/>
              <w:bCs/>
              <w:spacing w:val="4"/>
              <w:szCs w:val="24"/>
              <w:highlight w:val="none"/>
            </w:rPr>
            <w:t>10.需要补充的其他内容</w:t>
          </w:r>
          <w:r>
            <w:tab/>
          </w:r>
          <w:r>
            <w:fldChar w:fldCharType="begin"/>
          </w:r>
          <w:r>
            <w:instrText xml:space="preserve"> PAGEREF _Toc25498 \h </w:instrText>
          </w:r>
          <w:r>
            <w:fldChar w:fldCharType="separate"/>
          </w:r>
          <w:r>
            <w:t>59</w:t>
          </w:r>
          <w:r>
            <w:fldChar w:fldCharType="end"/>
          </w:r>
          <w:r>
            <w:rPr>
              <w:rFonts w:hint="eastAsia" w:ascii="宋体" w:hAnsi="宋体" w:eastAsia="宋体" w:cs="宋体"/>
              <w:color w:val="auto"/>
              <w:szCs w:val="24"/>
              <w:highlight w:val="none"/>
            </w:rPr>
            <w:fldChar w:fldCharType="end"/>
          </w:r>
        </w:p>
        <w:p w14:paraId="226B1378">
          <w:pPr>
            <w:pStyle w:val="8"/>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_Toc9992 </w:instrText>
          </w:r>
          <w:r>
            <w:rPr>
              <w:rFonts w:hint="eastAsia" w:ascii="宋体" w:hAnsi="宋体" w:eastAsia="宋体" w:cs="宋体"/>
              <w:szCs w:val="24"/>
              <w:highlight w:val="none"/>
            </w:rPr>
            <w:fldChar w:fldCharType="separate"/>
          </w:r>
          <w:r>
            <w:rPr>
              <w:rFonts w:hint="eastAsia" w:ascii="宋体" w:hAnsi="宋体" w:eastAsia="宋体" w:cs="宋体"/>
              <w:spacing w:val="-3"/>
              <w:position w:val="2"/>
              <w:szCs w:val="24"/>
              <w:highlight w:val="none"/>
            </w:rPr>
            <w:t>附件一开标记录表</w:t>
          </w:r>
          <w:r>
            <w:rPr>
              <w:rFonts w:hint="eastAsia" w:ascii="宋体" w:hAnsi="宋体" w:eastAsia="宋体" w:cs="宋体"/>
              <w:spacing w:val="-3"/>
              <w:position w:val="11"/>
              <w:szCs w:val="18"/>
              <w:highlight w:val="none"/>
            </w:rPr>
            <w:t>1</w:t>
          </w:r>
          <w:r>
            <w:tab/>
          </w:r>
          <w:r>
            <w:fldChar w:fldCharType="begin"/>
          </w:r>
          <w:r>
            <w:instrText xml:space="preserve"> PAGEREF _Toc9992 \h </w:instrText>
          </w:r>
          <w:r>
            <w:fldChar w:fldCharType="separate"/>
          </w:r>
          <w:r>
            <w:t>62</w:t>
          </w:r>
          <w:r>
            <w:fldChar w:fldCharType="end"/>
          </w:r>
          <w:r>
            <w:rPr>
              <w:rFonts w:hint="eastAsia" w:ascii="宋体" w:hAnsi="宋体" w:eastAsia="宋体" w:cs="宋体"/>
              <w:color w:val="auto"/>
              <w:szCs w:val="24"/>
              <w:highlight w:val="none"/>
            </w:rPr>
            <w:fldChar w:fldCharType="end"/>
          </w:r>
        </w:p>
        <w:p w14:paraId="050D6B14">
          <w:pPr>
            <w:pStyle w:val="8"/>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_Toc29836 </w:instrText>
          </w:r>
          <w:r>
            <w:rPr>
              <w:rFonts w:hint="eastAsia" w:ascii="宋体" w:hAnsi="宋体" w:eastAsia="宋体" w:cs="宋体"/>
              <w:szCs w:val="24"/>
              <w:highlight w:val="none"/>
            </w:rPr>
            <w:fldChar w:fldCharType="separate"/>
          </w:r>
          <w:r>
            <w:rPr>
              <w:rFonts w:hint="eastAsia" w:ascii="宋体" w:hAnsi="宋体" w:eastAsia="宋体" w:cs="宋体"/>
              <w:spacing w:val="-6"/>
              <w:szCs w:val="24"/>
              <w:highlight w:val="none"/>
            </w:rPr>
            <w:t>附件二问题澄清通知</w:t>
          </w:r>
          <w:r>
            <w:tab/>
          </w:r>
          <w:r>
            <w:fldChar w:fldCharType="begin"/>
          </w:r>
          <w:r>
            <w:instrText xml:space="preserve"> PAGEREF _Toc29836 \h </w:instrText>
          </w:r>
          <w:r>
            <w:fldChar w:fldCharType="separate"/>
          </w:r>
          <w:r>
            <w:t>64</w:t>
          </w:r>
          <w:r>
            <w:fldChar w:fldCharType="end"/>
          </w:r>
          <w:r>
            <w:rPr>
              <w:rFonts w:hint="eastAsia" w:ascii="宋体" w:hAnsi="宋体" w:eastAsia="宋体" w:cs="宋体"/>
              <w:color w:val="auto"/>
              <w:szCs w:val="24"/>
              <w:highlight w:val="none"/>
            </w:rPr>
            <w:fldChar w:fldCharType="end"/>
          </w:r>
        </w:p>
        <w:p w14:paraId="1B208062">
          <w:pPr>
            <w:pStyle w:val="8"/>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_Toc11846 </w:instrText>
          </w:r>
          <w:r>
            <w:rPr>
              <w:rFonts w:hint="eastAsia" w:ascii="宋体" w:hAnsi="宋体" w:eastAsia="宋体" w:cs="宋体"/>
              <w:szCs w:val="24"/>
              <w:highlight w:val="none"/>
            </w:rPr>
            <w:fldChar w:fldCharType="separate"/>
          </w:r>
          <w:r>
            <w:rPr>
              <w:rFonts w:hint="eastAsia" w:ascii="宋体" w:hAnsi="宋体" w:eastAsia="宋体" w:cs="宋体"/>
              <w:spacing w:val="-9"/>
              <w:szCs w:val="24"/>
              <w:highlight w:val="none"/>
            </w:rPr>
            <w:t>年</w:t>
          </w:r>
          <w:r>
            <w:rPr>
              <w:rFonts w:hint="eastAsia" w:ascii="宋体" w:hAnsi="宋体" w:eastAsia="宋体" w:cs="宋体"/>
              <w:spacing w:val="-9"/>
              <w:szCs w:val="24"/>
              <w:highlight w:val="none"/>
              <w:lang w:val="en-US" w:eastAsia="zh-CN"/>
            </w:rPr>
            <w:t xml:space="preserve">  </w:t>
          </w:r>
          <w:r>
            <w:rPr>
              <w:rFonts w:hint="eastAsia" w:ascii="宋体" w:hAnsi="宋体" w:eastAsia="宋体" w:cs="宋体"/>
              <w:spacing w:val="-9"/>
              <w:szCs w:val="24"/>
              <w:highlight w:val="none"/>
            </w:rPr>
            <w:t>月</w:t>
          </w:r>
          <w:r>
            <w:rPr>
              <w:rFonts w:hint="eastAsia" w:ascii="宋体" w:hAnsi="宋体" w:eastAsia="宋体" w:cs="宋体"/>
              <w:spacing w:val="-9"/>
              <w:szCs w:val="24"/>
              <w:highlight w:val="none"/>
              <w:lang w:val="en-US" w:eastAsia="zh-CN"/>
            </w:rPr>
            <w:t xml:space="preserve">  </w:t>
          </w:r>
          <w:r>
            <w:rPr>
              <w:rFonts w:hint="eastAsia" w:ascii="宋体" w:hAnsi="宋体" w:eastAsia="宋体" w:cs="宋体"/>
              <w:spacing w:val="-9"/>
              <w:szCs w:val="24"/>
              <w:highlight w:val="none"/>
            </w:rPr>
            <w:t>日</w:t>
          </w:r>
          <w:r>
            <w:tab/>
          </w:r>
          <w:r>
            <w:fldChar w:fldCharType="begin"/>
          </w:r>
          <w:r>
            <w:instrText xml:space="preserve"> PAGEREF _Toc11846 \h </w:instrText>
          </w:r>
          <w:r>
            <w:fldChar w:fldCharType="separate"/>
          </w:r>
          <w:r>
            <w:t>64</w:t>
          </w:r>
          <w:r>
            <w:fldChar w:fldCharType="end"/>
          </w:r>
          <w:r>
            <w:rPr>
              <w:rFonts w:hint="eastAsia" w:ascii="宋体" w:hAnsi="宋体" w:eastAsia="宋体" w:cs="宋体"/>
              <w:color w:val="auto"/>
              <w:szCs w:val="24"/>
              <w:highlight w:val="none"/>
            </w:rPr>
            <w:fldChar w:fldCharType="end"/>
          </w:r>
        </w:p>
        <w:p w14:paraId="6B25268F">
          <w:pPr>
            <w:pStyle w:val="8"/>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_Toc7484 </w:instrText>
          </w:r>
          <w:r>
            <w:rPr>
              <w:rFonts w:hint="eastAsia" w:ascii="宋体" w:hAnsi="宋体" w:eastAsia="宋体" w:cs="宋体"/>
              <w:szCs w:val="24"/>
              <w:highlight w:val="none"/>
            </w:rPr>
            <w:fldChar w:fldCharType="separate"/>
          </w:r>
          <w:r>
            <w:rPr>
              <w:rFonts w:hint="eastAsia" w:ascii="宋体" w:hAnsi="宋体" w:eastAsia="宋体" w:cs="宋体"/>
              <w:spacing w:val="-6"/>
              <w:szCs w:val="24"/>
              <w:highlight w:val="none"/>
            </w:rPr>
            <w:t>附件三问题的澄清</w:t>
          </w:r>
          <w:r>
            <w:tab/>
          </w:r>
          <w:r>
            <w:fldChar w:fldCharType="begin"/>
          </w:r>
          <w:r>
            <w:instrText xml:space="preserve"> PAGEREF _Toc7484 \h </w:instrText>
          </w:r>
          <w:r>
            <w:fldChar w:fldCharType="separate"/>
          </w:r>
          <w:r>
            <w:t>65</w:t>
          </w:r>
          <w:r>
            <w:fldChar w:fldCharType="end"/>
          </w:r>
          <w:r>
            <w:rPr>
              <w:rFonts w:hint="eastAsia" w:ascii="宋体" w:hAnsi="宋体" w:eastAsia="宋体" w:cs="宋体"/>
              <w:color w:val="auto"/>
              <w:szCs w:val="24"/>
              <w:highlight w:val="none"/>
            </w:rPr>
            <w:fldChar w:fldCharType="end"/>
          </w:r>
        </w:p>
        <w:p w14:paraId="468EBC6F">
          <w:pPr>
            <w:pStyle w:val="8"/>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_Toc13084 </w:instrText>
          </w:r>
          <w:r>
            <w:rPr>
              <w:rFonts w:hint="eastAsia" w:ascii="宋体" w:hAnsi="宋体" w:eastAsia="宋体" w:cs="宋体"/>
              <w:szCs w:val="24"/>
              <w:highlight w:val="none"/>
            </w:rPr>
            <w:fldChar w:fldCharType="separate"/>
          </w:r>
          <w:r>
            <w:rPr>
              <w:rFonts w:hint="eastAsia" w:ascii="宋体" w:hAnsi="宋体" w:eastAsia="宋体" w:cs="宋体"/>
              <w:spacing w:val="-9"/>
              <w:szCs w:val="24"/>
              <w:highlight w:val="none"/>
            </w:rPr>
            <w:t>年月日</w:t>
          </w:r>
          <w:r>
            <w:tab/>
          </w:r>
          <w:r>
            <w:fldChar w:fldCharType="begin"/>
          </w:r>
          <w:r>
            <w:instrText xml:space="preserve"> PAGEREF _Toc13084 \h </w:instrText>
          </w:r>
          <w:r>
            <w:fldChar w:fldCharType="separate"/>
          </w:r>
          <w:r>
            <w:t>65</w:t>
          </w:r>
          <w:r>
            <w:fldChar w:fldCharType="end"/>
          </w:r>
          <w:r>
            <w:rPr>
              <w:rFonts w:hint="eastAsia" w:ascii="宋体" w:hAnsi="宋体" w:eastAsia="宋体" w:cs="宋体"/>
              <w:color w:val="auto"/>
              <w:szCs w:val="24"/>
              <w:highlight w:val="none"/>
            </w:rPr>
            <w:fldChar w:fldCharType="end"/>
          </w:r>
        </w:p>
        <w:p w14:paraId="55532170">
          <w:pPr>
            <w:pStyle w:val="8"/>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_Toc25506 </w:instrText>
          </w:r>
          <w:r>
            <w:rPr>
              <w:rFonts w:hint="eastAsia" w:ascii="宋体" w:hAnsi="宋体" w:eastAsia="宋体" w:cs="宋体"/>
              <w:szCs w:val="24"/>
              <w:highlight w:val="none"/>
            </w:rPr>
            <w:fldChar w:fldCharType="separate"/>
          </w:r>
          <w:r>
            <w:rPr>
              <w:rFonts w:hint="eastAsia" w:ascii="宋体" w:hAnsi="宋体" w:eastAsia="宋体" w:cs="宋体"/>
              <w:spacing w:val="-7"/>
              <w:szCs w:val="24"/>
              <w:highlight w:val="none"/>
            </w:rPr>
            <w:t>附件四中标通知书</w:t>
          </w:r>
          <w:r>
            <w:tab/>
          </w:r>
          <w:r>
            <w:fldChar w:fldCharType="begin"/>
          </w:r>
          <w:r>
            <w:instrText xml:space="preserve"> PAGEREF _Toc25506 \h </w:instrText>
          </w:r>
          <w:r>
            <w:fldChar w:fldCharType="separate"/>
          </w:r>
          <w:r>
            <w:t>67</w:t>
          </w:r>
          <w:r>
            <w:fldChar w:fldCharType="end"/>
          </w:r>
          <w:r>
            <w:rPr>
              <w:rFonts w:hint="eastAsia" w:ascii="宋体" w:hAnsi="宋体" w:eastAsia="宋体" w:cs="宋体"/>
              <w:color w:val="auto"/>
              <w:szCs w:val="24"/>
              <w:highlight w:val="none"/>
            </w:rPr>
            <w:fldChar w:fldCharType="end"/>
          </w:r>
        </w:p>
        <w:p w14:paraId="30F4466F">
          <w:pPr>
            <w:pStyle w:val="8"/>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_Toc27731 </w:instrText>
          </w:r>
          <w:r>
            <w:rPr>
              <w:rFonts w:hint="eastAsia" w:ascii="宋体" w:hAnsi="宋体" w:eastAsia="宋体" w:cs="宋体"/>
              <w:szCs w:val="24"/>
              <w:highlight w:val="none"/>
            </w:rPr>
            <w:fldChar w:fldCharType="separate"/>
          </w:r>
          <w:r>
            <w:rPr>
              <w:rFonts w:hint="eastAsia" w:ascii="宋体" w:hAnsi="宋体" w:eastAsia="宋体" w:cs="宋体"/>
              <w:spacing w:val="-6"/>
              <w:szCs w:val="24"/>
              <w:highlight w:val="none"/>
            </w:rPr>
            <w:t>附件五中标结果通知书</w:t>
          </w:r>
          <w:r>
            <w:tab/>
          </w:r>
          <w:r>
            <w:fldChar w:fldCharType="begin"/>
          </w:r>
          <w:r>
            <w:instrText xml:space="preserve"> PAGEREF _Toc27731 \h </w:instrText>
          </w:r>
          <w:r>
            <w:fldChar w:fldCharType="separate"/>
          </w:r>
          <w:r>
            <w:t>68</w:t>
          </w:r>
          <w:r>
            <w:fldChar w:fldCharType="end"/>
          </w:r>
          <w:r>
            <w:rPr>
              <w:rFonts w:hint="eastAsia" w:ascii="宋体" w:hAnsi="宋体" w:eastAsia="宋体" w:cs="宋体"/>
              <w:color w:val="auto"/>
              <w:szCs w:val="24"/>
              <w:highlight w:val="none"/>
            </w:rPr>
            <w:fldChar w:fldCharType="end"/>
          </w:r>
        </w:p>
        <w:p w14:paraId="38DB3586">
          <w:pPr>
            <w:pStyle w:val="7"/>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_Toc29031 </w:instrText>
          </w:r>
          <w:r>
            <w:rPr>
              <w:rFonts w:hint="eastAsia" w:ascii="宋体" w:hAnsi="宋体" w:eastAsia="宋体" w:cs="宋体"/>
              <w:szCs w:val="24"/>
              <w:highlight w:val="none"/>
            </w:rPr>
            <w:fldChar w:fldCharType="separate"/>
          </w:r>
          <w:r>
            <w:rPr>
              <w:rFonts w:hint="eastAsia" w:ascii="宋体" w:hAnsi="宋体" w:eastAsia="宋体" w:cs="宋体"/>
              <w:bCs/>
              <w:spacing w:val="5"/>
              <w:szCs w:val="43"/>
              <w:highlight w:val="none"/>
            </w:rPr>
            <w:t>第三章评标办法（技术评分最低标价法）</w:t>
          </w:r>
          <w:r>
            <w:tab/>
          </w:r>
          <w:r>
            <w:fldChar w:fldCharType="begin"/>
          </w:r>
          <w:r>
            <w:instrText xml:space="preserve"> PAGEREF _Toc29031 \h </w:instrText>
          </w:r>
          <w:r>
            <w:fldChar w:fldCharType="separate"/>
          </w:r>
          <w:r>
            <w:t>70</w:t>
          </w:r>
          <w:r>
            <w:fldChar w:fldCharType="end"/>
          </w:r>
          <w:r>
            <w:rPr>
              <w:rFonts w:hint="eastAsia" w:ascii="宋体" w:hAnsi="宋体" w:eastAsia="宋体" w:cs="宋体"/>
              <w:color w:val="auto"/>
              <w:szCs w:val="24"/>
              <w:highlight w:val="none"/>
            </w:rPr>
            <w:fldChar w:fldCharType="end"/>
          </w:r>
        </w:p>
        <w:p w14:paraId="66F51CAD">
          <w:pPr>
            <w:pStyle w:val="8"/>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_Toc29109 </w:instrText>
          </w:r>
          <w:r>
            <w:rPr>
              <w:rFonts w:hint="eastAsia" w:ascii="宋体" w:hAnsi="宋体" w:eastAsia="宋体" w:cs="宋体"/>
              <w:szCs w:val="24"/>
              <w:highlight w:val="none"/>
            </w:rPr>
            <w:fldChar w:fldCharType="separate"/>
          </w:r>
          <w:r>
            <w:rPr>
              <w:rFonts w:hint="eastAsia" w:ascii="宋体" w:hAnsi="宋体" w:eastAsia="宋体" w:cs="宋体"/>
              <w:bCs/>
              <w:spacing w:val="6"/>
              <w:position w:val="2"/>
              <w:szCs w:val="31"/>
              <w:highlight w:val="none"/>
            </w:rPr>
            <w:t>评标办法前附表①</w:t>
          </w:r>
          <w:r>
            <w:tab/>
          </w:r>
          <w:r>
            <w:fldChar w:fldCharType="begin"/>
          </w:r>
          <w:r>
            <w:instrText xml:space="preserve"> PAGEREF _Toc29109 \h </w:instrText>
          </w:r>
          <w:r>
            <w:fldChar w:fldCharType="separate"/>
          </w:r>
          <w:r>
            <w:t>70</w:t>
          </w:r>
          <w:r>
            <w:fldChar w:fldCharType="end"/>
          </w:r>
          <w:r>
            <w:rPr>
              <w:rFonts w:hint="eastAsia" w:ascii="宋体" w:hAnsi="宋体" w:eastAsia="宋体" w:cs="宋体"/>
              <w:color w:val="auto"/>
              <w:szCs w:val="24"/>
              <w:highlight w:val="none"/>
            </w:rPr>
            <w:fldChar w:fldCharType="end"/>
          </w:r>
        </w:p>
        <w:p w14:paraId="101825C4">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_Toc24129 </w:instrText>
          </w:r>
          <w:r>
            <w:rPr>
              <w:rFonts w:hint="eastAsia" w:ascii="宋体" w:hAnsi="宋体" w:eastAsia="宋体" w:cs="宋体"/>
              <w:szCs w:val="24"/>
              <w:highlight w:val="none"/>
            </w:rPr>
            <w:fldChar w:fldCharType="separate"/>
          </w:r>
          <w:r>
            <w:rPr>
              <w:rFonts w:hint="eastAsia" w:ascii="宋体" w:hAnsi="宋体" w:eastAsia="宋体" w:cs="宋体"/>
              <w:bCs/>
              <w:spacing w:val="-7"/>
              <w:szCs w:val="28"/>
              <w:highlight w:val="none"/>
            </w:rPr>
            <w:t>1.评标方法</w:t>
          </w:r>
          <w:r>
            <w:tab/>
          </w:r>
          <w:r>
            <w:fldChar w:fldCharType="begin"/>
          </w:r>
          <w:r>
            <w:instrText xml:space="preserve"> PAGEREF _Toc24129 \h </w:instrText>
          </w:r>
          <w:r>
            <w:fldChar w:fldCharType="separate"/>
          </w:r>
          <w:r>
            <w:t>81</w:t>
          </w:r>
          <w:r>
            <w:fldChar w:fldCharType="end"/>
          </w:r>
          <w:r>
            <w:rPr>
              <w:rFonts w:hint="eastAsia" w:ascii="宋体" w:hAnsi="宋体" w:eastAsia="宋体" w:cs="宋体"/>
              <w:color w:val="auto"/>
              <w:szCs w:val="24"/>
              <w:highlight w:val="none"/>
            </w:rPr>
            <w:fldChar w:fldCharType="end"/>
          </w:r>
        </w:p>
        <w:p w14:paraId="5C76B521">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_Toc7162 </w:instrText>
          </w:r>
          <w:r>
            <w:rPr>
              <w:rFonts w:hint="eastAsia" w:ascii="宋体" w:hAnsi="宋体" w:eastAsia="宋体" w:cs="宋体"/>
              <w:szCs w:val="24"/>
              <w:highlight w:val="none"/>
            </w:rPr>
            <w:fldChar w:fldCharType="separate"/>
          </w:r>
          <w:r>
            <w:rPr>
              <w:rFonts w:hint="eastAsia" w:ascii="宋体" w:hAnsi="宋体" w:eastAsia="宋体" w:cs="宋体"/>
              <w:bCs/>
              <w:spacing w:val="-5"/>
              <w:szCs w:val="28"/>
              <w:highlight w:val="none"/>
            </w:rPr>
            <w:t>2.评审标准</w:t>
          </w:r>
          <w:r>
            <w:tab/>
          </w:r>
          <w:r>
            <w:fldChar w:fldCharType="begin"/>
          </w:r>
          <w:r>
            <w:instrText xml:space="preserve"> PAGEREF _Toc7162 \h </w:instrText>
          </w:r>
          <w:r>
            <w:fldChar w:fldCharType="separate"/>
          </w:r>
          <w:r>
            <w:t>81</w:t>
          </w:r>
          <w:r>
            <w:fldChar w:fldCharType="end"/>
          </w:r>
          <w:r>
            <w:rPr>
              <w:rFonts w:hint="eastAsia" w:ascii="宋体" w:hAnsi="宋体" w:eastAsia="宋体" w:cs="宋体"/>
              <w:color w:val="auto"/>
              <w:szCs w:val="24"/>
              <w:highlight w:val="none"/>
            </w:rPr>
            <w:fldChar w:fldCharType="end"/>
          </w:r>
        </w:p>
        <w:p w14:paraId="2BE7B96B">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_Toc15812 </w:instrText>
          </w:r>
          <w:r>
            <w:rPr>
              <w:rFonts w:hint="eastAsia" w:ascii="宋体" w:hAnsi="宋体" w:eastAsia="宋体" w:cs="宋体"/>
              <w:szCs w:val="24"/>
              <w:highlight w:val="none"/>
            </w:rPr>
            <w:fldChar w:fldCharType="separate"/>
          </w:r>
          <w:r>
            <w:rPr>
              <w:rFonts w:hint="eastAsia" w:ascii="宋体" w:hAnsi="宋体" w:eastAsia="宋体" w:cs="宋体"/>
              <w:bCs/>
              <w:spacing w:val="-5"/>
              <w:szCs w:val="28"/>
              <w:highlight w:val="none"/>
            </w:rPr>
            <w:t>3.评标程序</w:t>
          </w:r>
          <w:r>
            <w:tab/>
          </w:r>
          <w:r>
            <w:fldChar w:fldCharType="begin"/>
          </w:r>
          <w:r>
            <w:instrText xml:space="preserve"> PAGEREF _Toc15812 \h </w:instrText>
          </w:r>
          <w:r>
            <w:fldChar w:fldCharType="separate"/>
          </w:r>
          <w:r>
            <w:t>81</w:t>
          </w:r>
          <w:r>
            <w:fldChar w:fldCharType="end"/>
          </w:r>
          <w:r>
            <w:rPr>
              <w:rFonts w:hint="eastAsia" w:ascii="宋体" w:hAnsi="宋体" w:eastAsia="宋体" w:cs="宋体"/>
              <w:color w:val="auto"/>
              <w:szCs w:val="24"/>
              <w:highlight w:val="none"/>
            </w:rPr>
            <w:fldChar w:fldCharType="end"/>
          </w:r>
        </w:p>
        <w:p w14:paraId="7C55DB44">
          <w:pPr>
            <w:pStyle w:val="7"/>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_Toc22073 </w:instrText>
          </w:r>
          <w:r>
            <w:rPr>
              <w:rFonts w:hint="eastAsia" w:ascii="宋体" w:hAnsi="宋体" w:eastAsia="宋体" w:cs="宋体"/>
              <w:szCs w:val="24"/>
              <w:highlight w:val="none"/>
            </w:rPr>
            <w:fldChar w:fldCharType="separate"/>
          </w:r>
          <w:r>
            <w:rPr>
              <w:rFonts w:hint="eastAsia" w:ascii="宋体" w:hAnsi="宋体" w:eastAsia="宋体" w:cs="宋体"/>
              <w:bCs/>
              <w:spacing w:val="5"/>
              <w:szCs w:val="43"/>
              <w:highlight w:val="none"/>
            </w:rPr>
            <w:t>第四章合同条款及格式</w:t>
          </w:r>
          <w:r>
            <w:tab/>
          </w:r>
          <w:r>
            <w:fldChar w:fldCharType="begin"/>
          </w:r>
          <w:r>
            <w:instrText xml:space="preserve"> PAGEREF _Toc22073 \h </w:instrText>
          </w:r>
          <w:r>
            <w:fldChar w:fldCharType="separate"/>
          </w:r>
          <w:r>
            <w:t>87</w:t>
          </w:r>
          <w:r>
            <w:fldChar w:fldCharType="end"/>
          </w:r>
          <w:r>
            <w:rPr>
              <w:rFonts w:hint="eastAsia" w:ascii="宋体" w:hAnsi="宋体" w:eastAsia="宋体" w:cs="宋体"/>
              <w:color w:val="auto"/>
              <w:szCs w:val="24"/>
              <w:highlight w:val="none"/>
            </w:rPr>
            <w:fldChar w:fldCharType="end"/>
          </w:r>
        </w:p>
        <w:p w14:paraId="0698475D">
          <w:pPr>
            <w:pStyle w:val="8"/>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_Toc10062 </w:instrText>
          </w:r>
          <w:r>
            <w:rPr>
              <w:rFonts w:hint="eastAsia" w:ascii="宋体" w:hAnsi="宋体" w:eastAsia="宋体" w:cs="宋体"/>
              <w:szCs w:val="24"/>
              <w:highlight w:val="none"/>
            </w:rPr>
            <w:fldChar w:fldCharType="separate"/>
          </w:r>
          <w:r>
            <w:rPr>
              <w:rFonts w:hint="eastAsia" w:ascii="宋体" w:hAnsi="宋体" w:eastAsia="宋体" w:cs="宋体"/>
              <w:bCs/>
              <w:spacing w:val="4"/>
              <w:szCs w:val="43"/>
              <w:highlight w:val="none"/>
            </w:rPr>
            <w:t>第一节通用合同条款</w:t>
          </w:r>
          <w:r>
            <w:rPr>
              <w:rFonts w:hint="eastAsia" w:ascii="宋体" w:hAnsi="宋体" w:eastAsia="宋体" w:cs="宋体"/>
              <w:bCs/>
              <w:spacing w:val="4"/>
              <w:position w:val="15"/>
              <w:szCs w:val="16"/>
              <w:highlight w:val="none"/>
            </w:rPr>
            <w:t>①</w:t>
          </w:r>
          <w:r>
            <w:tab/>
          </w:r>
          <w:r>
            <w:fldChar w:fldCharType="begin"/>
          </w:r>
          <w:r>
            <w:instrText xml:space="preserve"> PAGEREF _Toc10062 \h </w:instrText>
          </w:r>
          <w:r>
            <w:fldChar w:fldCharType="separate"/>
          </w:r>
          <w:r>
            <w:t>88</w:t>
          </w:r>
          <w:r>
            <w:fldChar w:fldCharType="end"/>
          </w:r>
          <w:r>
            <w:rPr>
              <w:rFonts w:hint="eastAsia" w:ascii="宋体" w:hAnsi="宋体" w:eastAsia="宋体" w:cs="宋体"/>
              <w:color w:val="auto"/>
              <w:szCs w:val="24"/>
              <w:highlight w:val="none"/>
            </w:rPr>
            <w:fldChar w:fldCharType="end"/>
          </w:r>
        </w:p>
        <w:p w14:paraId="75592A12">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_Toc26851 </w:instrText>
          </w:r>
          <w:r>
            <w:rPr>
              <w:rFonts w:hint="eastAsia" w:ascii="宋体" w:hAnsi="宋体" w:eastAsia="宋体" w:cs="宋体"/>
              <w:szCs w:val="24"/>
              <w:highlight w:val="none"/>
            </w:rPr>
            <w:fldChar w:fldCharType="separate"/>
          </w:r>
          <w:r>
            <w:rPr>
              <w:rFonts w:hint="eastAsia" w:ascii="宋体" w:hAnsi="宋体" w:eastAsia="宋体" w:cs="宋体"/>
              <w:spacing w:val="-1"/>
              <w:szCs w:val="28"/>
              <w:highlight w:val="none"/>
            </w:rPr>
            <w:t>2.发包人义务</w:t>
          </w:r>
          <w:r>
            <w:tab/>
          </w:r>
          <w:r>
            <w:fldChar w:fldCharType="begin"/>
          </w:r>
          <w:r>
            <w:instrText xml:space="preserve"> PAGEREF _Toc26851 \h </w:instrText>
          </w:r>
          <w:r>
            <w:fldChar w:fldCharType="separate"/>
          </w:r>
          <w:r>
            <w:t>94</w:t>
          </w:r>
          <w:r>
            <w:fldChar w:fldCharType="end"/>
          </w:r>
          <w:r>
            <w:rPr>
              <w:rFonts w:hint="eastAsia" w:ascii="宋体" w:hAnsi="宋体" w:eastAsia="宋体" w:cs="宋体"/>
              <w:color w:val="auto"/>
              <w:szCs w:val="24"/>
              <w:highlight w:val="none"/>
            </w:rPr>
            <w:fldChar w:fldCharType="end"/>
          </w:r>
        </w:p>
        <w:p w14:paraId="156F92A7">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_Toc14610 </w:instrText>
          </w:r>
          <w:r>
            <w:rPr>
              <w:rFonts w:hint="eastAsia" w:ascii="宋体" w:hAnsi="宋体" w:eastAsia="宋体" w:cs="宋体"/>
              <w:szCs w:val="24"/>
              <w:highlight w:val="none"/>
            </w:rPr>
            <w:fldChar w:fldCharType="separate"/>
          </w:r>
          <w:r>
            <w:rPr>
              <w:rFonts w:hint="eastAsia" w:ascii="宋体" w:hAnsi="宋体" w:eastAsia="宋体" w:cs="宋体"/>
              <w:spacing w:val="-4"/>
              <w:szCs w:val="28"/>
              <w:highlight w:val="none"/>
            </w:rPr>
            <w:t>3.监理人</w:t>
          </w:r>
          <w:r>
            <w:tab/>
          </w:r>
          <w:r>
            <w:fldChar w:fldCharType="begin"/>
          </w:r>
          <w:r>
            <w:instrText xml:space="preserve"> PAGEREF _Toc14610 \h </w:instrText>
          </w:r>
          <w:r>
            <w:fldChar w:fldCharType="separate"/>
          </w:r>
          <w:r>
            <w:t>95</w:t>
          </w:r>
          <w:r>
            <w:fldChar w:fldCharType="end"/>
          </w:r>
          <w:r>
            <w:rPr>
              <w:rFonts w:hint="eastAsia" w:ascii="宋体" w:hAnsi="宋体" w:eastAsia="宋体" w:cs="宋体"/>
              <w:color w:val="auto"/>
              <w:szCs w:val="24"/>
              <w:highlight w:val="none"/>
            </w:rPr>
            <w:fldChar w:fldCharType="end"/>
          </w:r>
        </w:p>
        <w:p w14:paraId="559FFA2B">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_Toc12142 </w:instrText>
          </w:r>
          <w:r>
            <w:rPr>
              <w:rFonts w:hint="eastAsia" w:ascii="宋体" w:hAnsi="宋体" w:eastAsia="宋体" w:cs="宋体"/>
              <w:szCs w:val="24"/>
              <w:highlight w:val="none"/>
            </w:rPr>
            <w:fldChar w:fldCharType="separate"/>
          </w:r>
          <w:r>
            <w:rPr>
              <w:rFonts w:hint="eastAsia" w:ascii="宋体" w:hAnsi="宋体" w:eastAsia="宋体" w:cs="宋体"/>
              <w:spacing w:val="-1"/>
              <w:szCs w:val="28"/>
              <w:highlight w:val="none"/>
            </w:rPr>
            <w:t>4.承包人</w:t>
          </w:r>
          <w:r>
            <w:tab/>
          </w:r>
          <w:r>
            <w:fldChar w:fldCharType="begin"/>
          </w:r>
          <w:r>
            <w:instrText xml:space="preserve"> PAGEREF _Toc12142 \h </w:instrText>
          </w:r>
          <w:r>
            <w:fldChar w:fldCharType="separate"/>
          </w:r>
          <w:r>
            <w:t>97</w:t>
          </w:r>
          <w:r>
            <w:fldChar w:fldCharType="end"/>
          </w:r>
          <w:r>
            <w:rPr>
              <w:rFonts w:hint="eastAsia" w:ascii="宋体" w:hAnsi="宋体" w:eastAsia="宋体" w:cs="宋体"/>
              <w:color w:val="auto"/>
              <w:szCs w:val="24"/>
              <w:highlight w:val="none"/>
            </w:rPr>
            <w:fldChar w:fldCharType="end"/>
          </w:r>
        </w:p>
        <w:p w14:paraId="20E49082">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_Toc26260 </w:instrText>
          </w:r>
          <w:r>
            <w:rPr>
              <w:rFonts w:hint="eastAsia" w:ascii="宋体" w:hAnsi="宋体" w:eastAsia="宋体" w:cs="宋体"/>
              <w:szCs w:val="24"/>
              <w:highlight w:val="none"/>
            </w:rPr>
            <w:fldChar w:fldCharType="separate"/>
          </w:r>
          <w:r>
            <w:rPr>
              <w:rFonts w:hint="eastAsia" w:ascii="宋体" w:hAnsi="宋体" w:eastAsia="宋体" w:cs="宋体"/>
              <w:spacing w:val="-2"/>
              <w:szCs w:val="28"/>
              <w:highlight w:val="none"/>
            </w:rPr>
            <w:t>5.材料和工程设备</w:t>
          </w:r>
          <w:r>
            <w:tab/>
          </w:r>
          <w:r>
            <w:fldChar w:fldCharType="begin"/>
          </w:r>
          <w:r>
            <w:instrText xml:space="preserve"> PAGEREF _Toc26260 \h </w:instrText>
          </w:r>
          <w:r>
            <w:fldChar w:fldCharType="separate"/>
          </w:r>
          <w:r>
            <w:t>101</w:t>
          </w:r>
          <w:r>
            <w:fldChar w:fldCharType="end"/>
          </w:r>
          <w:r>
            <w:rPr>
              <w:rFonts w:hint="eastAsia" w:ascii="宋体" w:hAnsi="宋体" w:eastAsia="宋体" w:cs="宋体"/>
              <w:color w:val="auto"/>
              <w:szCs w:val="24"/>
              <w:highlight w:val="none"/>
            </w:rPr>
            <w:fldChar w:fldCharType="end"/>
          </w:r>
        </w:p>
        <w:p w14:paraId="7D4AB622">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_Toc17825 </w:instrText>
          </w:r>
          <w:r>
            <w:rPr>
              <w:rFonts w:hint="eastAsia" w:ascii="宋体" w:hAnsi="宋体" w:eastAsia="宋体" w:cs="宋体"/>
              <w:szCs w:val="24"/>
              <w:highlight w:val="none"/>
            </w:rPr>
            <w:fldChar w:fldCharType="separate"/>
          </w:r>
          <w:r>
            <w:rPr>
              <w:rFonts w:hint="eastAsia" w:ascii="宋体" w:hAnsi="宋体" w:eastAsia="宋体" w:cs="宋体"/>
              <w:spacing w:val="-1"/>
              <w:szCs w:val="28"/>
              <w:highlight w:val="none"/>
            </w:rPr>
            <w:t>6.施工设备和临时设施</w:t>
          </w:r>
          <w:r>
            <w:tab/>
          </w:r>
          <w:r>
            <w:fldChar w:fldCharType="begin"/>
          </w:r>
          <w:r>
            <w:instrText xml:space="preserve"> PAGEREF _Toc17825 \h </w:instrText>
          </w:r>
          <w:r>
            <w:fldChar w:fldCharType="separate"/>
          </w:r>
          <w:r>
            <w:t>102</w:t>
          </w:r>
          <w:r>
            <w:fldChar w:fldCharType="end"/>
          </w:r>
          <w:r>
            <w:rPr>
              <w:rFonts w:hint="eastAsia" w:ascii="宋体" w:hAnsi="宋体" w:eastAsia="宋体" w:cs="宋体"/>
              <w:color w:val="auto"/>
              <w:szCs w:val="24"/>
              <w:highlight w:val="none"/>
            </w:rPr>
            <w:fldChar w:fldCharType="end"/>
          </w:r>
        </w:p>
        <w:p w14:paraId="6314903E">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_Toc24942 </w:instrText>
          </w:r>
          <w:r>
            <w:rPr>
              <w:rFonts w:hint="eastAsia" w:ascii="宋体" w:hAnsi="宋体" w:eastAsia="宋体" w:cs="宋体"/>
              <w:szCs w:val="24"/>
              <w:highlight w:val="none"/>
            </w:rPr>
            <w:fldChar w:fldCharType="separate"/>
          </w:r>
          <w:r>
            <w:rPr>
              <w:rFonts w:hint="eastAsia" w:ascii="宋体" w:hAnsi="宋体" w:eastAsia="宋体" w:cs="宋体"/>
              <w:spacing w:val="-5"/>
              <w:szCs w:val="28"/>
              <w:highlight w:val="none"/>
            </w:rPr>
            <w:t>7.交通运输</w:t>
          </w:r>
          <w:r>
            <w:tab/>
          </w:r>
          <w:r>
            <w:fldChar w:fldCharType="begin"/>
          </w:r>
          <w:r>
            <w:instrText xml:space="preserve"> PAGEREF _Toc24942 \h </w:instrText>
          </w:r>
          <w:r>
            <w:fldChar w:fldCharType="separate"/>
          </w:r>
          <w:r>
            <w:t>103</w:t>
          </w:r>
          <w:r>
            <w:fldChar w:fldCharType="end"/>
          </w:r>
          <w:r>
            <w:rPr>
              <w:rFonts w:hint="eastAsia" w:ascii="宋体" w:hAnsi="宋体" w:eastAsia="宋体" w:cs="宋体"/>
              <w:color w:val="auto"/>
              <w:szCs w:val="24"/>
              <w:highlight w:val="none"/>
            </w:rPr>
            <w:fldChar w:fldCharType="end"/>
          </w:r>
        </w:p>
        <w:p w14:paraId="7001B484">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_Toc20445 </w:instrText>
          </w:r>
          <w:r>
            <w:rPr>
              <w:rFonts w:hint="eastAsia" w:ascii="宋体" w:hAnsi="宋体" w:eastAsia="宋体" w:cs="宋体"/>
              <w:szCs w:val="24"/>
              <w:highlight w:val="none"/>
            </w:rPr>
            <w:fldChar w:fldCharType="separate"/>
          </w:r>
          <w:r>
            <w:rPr>
              <w:rFonts w:hint="eastAsia" w:ascii="宋体" w:hAnsi="宋体" w:eastAsia="宋体" w:cs="宋体"/>
              <w:spacing w:val="-2"/>
              <w:szCs w:val="28"/>
              <w:highlight w:val="none"/>
            </w:rPr>
            <w:t>8.测量放线</w:t>
          </w:r>
          <w:r>
            <w:tab/>
          </w:r>
          <w:r>
            <w:fldChar w:fldCharType="begin"/>
          </w:r>
          <w:r>
            <w:instrText xml:space="preserve"> PAGEREF _Toc20445 \h </w:instrText>
          </w:r>
          <w:r>
            <w:fldChar w:fldCharType="separate"/>
          </w:r>
          <w:r>
            <w:t>104</w:t>
          </w:r>
          <w:r>
            <w:fldChar w:fldCharType="end"/>
          </w:r>
          <w:r>
            <w:rPr>
              <w:rFonts w:hint="eastAsia" w:ascii="宋体" w:hAnsi="宋体" w:eastAsia="宋体" w:cs="宋体"/>
              <w:color w:val="auto"/>
              <w:szCs w:val="24"/>
              <w:highlight w:val="none"/>
            </w:rPr>
            <w:fldChar w:fldCharType="end"/>
          </w:r>
        </w:p>
        <w:p w14:paraId="0C203AB9">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_Toc14589 </w:instrText>
          </w:r>
          <w:r>
            <w:rPr>
              <w:rFonts w:hint="eastAsia" w:ascii="宋体" w:hAnsi="宋体" w:eastAsia="宋体" w:cs="宋体"/>
              <w:szCs w:val="24"/>
              <w:highlight w:val="none"/>
            </w:rPr>
            <w:fldChar w:fldCharType="separate"/>
          </w:r>
          <w:r>
            <w:rPr>
              <w:rFonts w:hint="eastAsia" w:ascii="宋体" w:hAnsi="宋体" w:eastAsia="宋体" w:cs="宋体"/>
              <w:spacing w:val="-1"/>
              <w:szCs w:val="28"/>
              <w:highlight w:val="none"/>
            </w:rPr>
            <w:t>9.施工安全、治安保卫和环境保护</w:t>
          </w:r>
          <w:r>
            <w:tab/>
          </w:r>
          <w:r>
            <w:fldChar w:fldCharType="begin"/>
          </w:r>
          <w:r>
            <w:instrText xml:space="preserve"> PAGEREF _Toc14589 \h </w:instrText>
          </w:r>
          <w:r>
            <w:fldChar w:fldCharType="separate"/>
          </w:r>
          <w:r>
            <w:t>104</w:t>
          </w:r>
          <w:r>
            <w:fldChar w:fldCharType="end"/>
          </w:r>
          <w:r>
            <w:rPr>
              <w:rFonts w:hint="eastAsia" w:ascii="宋体" w:hAnsi="宋体" w:eastAsia="宋体" w:cs="宋体"/>
              <w:color w:val="auto"/>
              <w:szCs w:val="24"/>
              <w:highlight w:val="none"/>
            </w:rPr>
            <w:fldChar w:fldCharType="end"/>
          </w:r>
        </w:p>
        <w:p w14:paraId="197441D6">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_Toc12930 </w:instrText>
          </w:r>
          <w:r>
            <w:rPr>
              <w:rFonts w:hint="eastAsia" w:ascii="宋体" w:hAnsi="宋体" w:eastAsia="宋体" w:cs="宋体"/>
              <w:szCs w:val="24"/>
              <w:highlight w:val="none"/>
            </w:rPr>
            <w:fldChar w:fldCharType="separate"/>
          </w:r>
          <w:r>
            <w:rPr>
              <w:rFonts w:hint="eastAsia" w:ascii="宋体" w:hAnsi="宋体" w:eastAsia="宋体" w:cs="宋体"/>
              <w:spacing w:val="-4"/>
              <w:szCs w:val="28"/>
              <w:highlight w:val="none"/>
            </w:rPr>
            <w:t>10.进度计划</w:t>
          </w:r>
          <w:r>
            <w:tab/>
          </w:r>
          <w:r>
            <w:fldChar w:fldCharType="begin"/>
          </w:r>
          <w:r>
            <w:instrText xml:space="preserve"> PAGEREF _Toc12930 \h </w:instrText>
          </w:r>
          <w:r>
            <w:fldChar w:fldCharType="separate"/>
          </w:r>
          <w:r>
            <w:t>106</w:t>
          </w:r>
          <w:r>
            <w:fldChar w:fldCharType="end"/>
          </w:r>
          <w:r>
            <w:rPr>
              <w:rFonts w:hint="eastAsia" w:ascii="宋体" w:hAnsi="宋体" w:eastAsia="宋体" w:cs="宋体"/>
              <w:color w:val="auto"/>
              <w:szCs w:val="24"/>
              <w:highlight w:val="none"/>
            </w:rPr>
            <w:fldChar w:fldCharType="end"/>
          </w:r>
        </w:p>
        <w:p w14:paraId="77E26EA1">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_Toc28854 </w:instrText>
          </w:r>
          <w:r>
            <w:rPr>
              <w:rFonts w:hint="eastAsia" w:ascii="宋体" w:hAnsi="宋体" w:eastAsia="宋体" w:cs="宋体"/>
              <w:szCs w:val="24"/>
              <w:highlight w:val="none"/>
            </w:rPr>
            <w:fldChar w:fldCharType="separate"/>
          </w:r>
          <w:r>
            <w:rPr>
              <w:rFonts w:hint="eastAsia" w:ascii="宋体" w:hAnsi="宋体" w:eastAsia="宋体" w:cs="宋体"/>
              <w:spacing w:val="-6"/>
              <w:szCs w:val="28"/>
              <w:highlight w:val="none"/>
            </w:rPr>
            <w:t>11.开工和竣工</w:t>
          </w:r>
          <w:r>
            <w:tab/>
          </w:r>
          <w:r>
            <w:fldChar w:fldCharType="begin"/>
          </w:r>
          <w:r>
            <w:instrText xml:space="preserve"> PAGEREF _Toc28854 \h </w:instrText>
          </w:r>
          <w:r>
            <w:fldChar w:fldCharType="separate"/>
          </w:r>
          <w:r>
            <w:t>107</w:t>
          </w:r>
          <w:r>
            <w:fldChar w:fldCharType="end"/>
          </w:r>
          <w:r>
            <w:rPr>
              <w:rFonts w:hint="eastAsia" w:ascii="宋体" w:hAnsi="宋体" w:eastAsia="宋体" w:cs="宋体"/>
              <w:color w:val="auto"/>
              <w:szCs w:val="24"/>
              <w:highlight w:val="none"/>
            </w:rPr>
            <w:fldChar w:fldCharType="end"/>
          </w:r>
        </w:p>
        <w:p w14:paraId="7B83F4D8">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_Toc6523 </w:instrText>
          </w:r>
          <w:r>
            <w:rPr>
              <w:rFonts w:hint="eastAsia" w:ascii="宋体" w:hAnsi="宋体" w:eastAsia="宋体" w:cs="宋体"/>
              <w:szCs w:val="24"/>
              <w:highlight w:val="none"/>
            </w:rPr>
            <w:fldChar w:fldCharType="separate"/>
          </w:r>
          <w:r>
            <w:rPr>
              <w:rFonts w:hint="eastAsia" w:ascii="宋体" w:hAnsi="宋体" w:eastAsia="宋体" w:cs="宋体"/>
              <w:spacing w:val="-8"/>
              <w:szCs w:val="28"/>
              <w:highlight w:val="none"/>
            </w:rPr>
            <w:t>12.暂停施工</w:t>
          </w:r>
          <w:r>
            <w:tab/>
          </w:r>
          <w:r>
            <w:fldChar w:fldCharType="begin"/>
          </w:r>
          <w:r>
            <w:instrText xml:space="preserve"> PAGEREF _Toc6523 \h </w:instrText>
          </w:r>
          <w:r>
            <w:fldChar w:fldCharType="separate"/>
          </w:r>
          <w:r>
            <w:t>108</w:t>
          </w:r>
          <w:r>
            <w:fldChar w:fldCharType="end"/>
          </w:r>
          <w:r>
            <w:rPr>
              <w:rFonts w:hint="eastAsia" w:ascii="宋体" w:hAnsi="宋体" w:eastAsia="宋体" w:cs="宋体"/>
              <w:color w:val="auto"/>
              <w:szCs w:val="24"/>
              <w:highlight w:val="none"/>
            </w:rPr>
            <w:fldChar w:fldCharType="end"/>
          </w:r>
        </w:p>
        <w:p w14:paraId="6A9D49AE">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_Toc2556 </w:instrText>
          </w:r>
          <w:r>
            <w:rPr>
              <w:rFonts w:hint="eastAsia" w:ascii="宋体" w:hAnsi="宋体" w:eastAsia="宋体" w:cs="宋体"/>
              <w:szCs w:val="24"/>
              <w:highlight w:val="none"/>
            </w:rPr>
            <w:fldChar w:fldCharType="separate"/>
          </w:r>
          <w:r>
            <w:rPr>
              <w:rFonts w:hint="eastAsia" w:ascii="宋体" w:hAnsi="宋体" w:eastAsia="宋体" w:cs="宋体"/>
              <w:spacing w:val="-7"/>
              <w:szCs w:val="28"/>
              <w:highlight w:val="none"/>
            </w:rPr>
            <w:t>13.工程质量</w:t>
          </w:r>
          <w:r>
            <w:tab/>
          </w:r>
          <w:r>
            <w:fldChar w:fldCharType="begin"/>
          </w:r>
          <w:r>
            <w:instrText xml:space="preserve"> PAGEREF _Toc2556 \h </w:instrText>
          </w:r>
          <w:r>
            <w:fldChar w:fldCharType="separate"/>
          </w:r>
          <w:r>
            <w:t>109</w:t>
          </w:r>
          <w:r>
            <w:fldChar w:fldCharType="end"/>
          </w:r>
          <w:r>
            <w:rPr>
              <w:rFonts w:hint="eastAsia" w:ascii="宋体" w:hAnsi="宋体" w:eastAsia="宋体" w:cs="宋体"/>
              <w:color w:val="auto"/>
              <w:szCs w:val="24"/>
              <w:highlight w:val="none"/>
            </w:rPr>
            <w:fldChar w:fldCharType="end"/>
          </w:r>
        </w:p>
        <w:p w14:paraId="571CE104">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_Toc31037 </w:instrText>
          </w:r>
          <w:r>
            <w:rPr>
              <w:rFonts w:hint="eastAsia" w:ascii="宋体" w:hAnsi="宋体" w:eastAsia="宋体" w:cs="宋体"/>
              <w:szCs w:val="24"/>
              <w:highlight w:val="none"/>
            </w:rPr>
            <w:fldChar w:fldCharType="separate"/>
          </w:r>
          <w:r>
            <w:rPr>
              <w:rFonts w:hint="eastAsia" w:ascii="宋体" w:hAnsi="宋体" w:eastAsia="宋体" w:cs="宋体"/>
              <w:spacing w:val="-4"/>
              <w:szCs w:val="28"/>
              <w:highlight w:val="none"/>
            </w:rPr>
            <w:t>14.试验和检验</w:t>
          </w:r>
          <w:r>
            <w:tab/>
          </w:r>
          <w:r>
            <w:fldChar w:fldCharType="begin"/>
          </w:r>
          <w:r>
            <w:instrText xml:space="preserve"> PAGEREF _Toc31037 \h </w:instrText>
          </w:r>
          <w:r>
            <w:fldChar w:fldCharType="separate"/>
          </w:r>
          <w:r>
            <w:t>111</w:t>
          </w:r>
          <w:r>
            <w:fldChar w:fldCharType="end"/>
          </w:r>
          <w:r>
            <w:rPr>
              <w:rFonts w:hint="eastAsia" w:ascii="宋体" w:hAnsi="宋体" w:eastAsia="宋体" w:cs="宋体"/>
              <w:color w:val="auto"/>
              <w:szCs w:val="24"/>
              <w:highlight w:val="none"/>
            </w:rPr>
            <w:fldChar w:fldCharType="end"/>
          </w:r>
        </w:p>
        <w:p w14:paraId="1EF6053F">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_Toc9630 </w:instrText>
          </w:r>
          <w:r>
            <w:rPr>
              <w:rFonts w:hint="eastAsia" w:ascii="宋体" w:hAnsi="宋体" w:eastAsia="宋体" w:cs="宋体"/>
              <w:szCs w:val="24"/>
              <w:highlight w:val="none"/>
            </w:rPr>
            <w:fldChar w:fldCharType="separate"/>
          </w:r>
          <w:r>
            <w:rPr>
              <w:rFonts w:hint="eastAsia" w:ascii="宋体" w:hAnsi="宋体" w:eastAsia="宋体" w:cs="宋体"/>
              <w:spacing w:val="-10"/>
              <w:szCs w:val="28"/>
              <w:highlight w:val="none"/>
            </w:rPr>
            <w:t>15.变更</w:t>
          </w:r>
          <w:r>
            <w:tab/>
          </w:r>
          <w:r>
            <w:fldChar w:fldCharType="begin"/>
          </w:r>
          <w:r>
            <w:instrText xml:space="preserve"> PAGEREF _Toc9630 \h </w:instrText>
          </w:r>
          <w:r>
            <w:fldChar w:fldCharType="separate"/>
          </w:r>
          <w:r>
            <w:t>112</w:t>
          </w:r>
          <w:r>
            <w:fldChar w:fldCharType="end"/>
          </w:r>
          <w:r>
            <w:rPr>
              <w:rFonts w:hint="eastAsia" w:ascii="宋体" w:hAnsi="宋体" w:eastAsia="宋体" w:cs="宋体"/>
              <w:color w:val="auto"/>
              <w:szCs w:val="24"/>
              <w:highlight w:val="none"/>
            </w:rPr>
            <w:fldChar w:fldCharType="end"/>
          </w:r>
        </w:p>
        <w:p w14:paraId="62CD657E">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_Toc15553 </w:instrText>
          </w:r>
          <w:r>
            <w:rPr>
              <w:rFonts w:hint="eastAsia" w:ascii="宋体" w:hAnsi="宋体" w:eastAsia="宋体" w:cs="宋体"/>
              <w:szCs w:val="24"/>
              <w:highlight w:val="none"/>
            </w:rPr>
            <w:fldChar w:fldCharType="separate"/>
          </w:r>
          <w:r>
            <w:rPr>
              <w:rFonts w:hint="eastAsia" w:ascii="宋体" w:hAnsi="宋体" w:eastAsia="宋体" w:cs="宋体"/>
              <w:spacing w:val="-4"/>
              <w:szCs w:val="28"/>
              <w:highlight w:val="none"/>
            </w:rPr>
            <w:t>16.价格调整</w:t>
          </w:r>
          <w:r>
            <w:tab/>
          </w:r>
          <w:r>
            <w:fldChar w:fldCharType="begin"/>
          </w:r>
          <w:r>
            <w:instrText xml:space="preserve"> PAGEREF _Toc15553 \h </w:instrText>
          </w:r>
          <w:r>
            <w:fldChar w:fldCharType="separate"/>
          </w:r>
          <w:r>
            <w:t>115</w:t>
          </w:r>
          <w:r>
            <w:fldChar w:fldCharType="end"/>
          </w:r>
          <w:r>
            <w:rPr>
              <w:rFonts w:hint="eastAsia" w:ascii="宋体" w:hAnsi="宋体" w:eastAsia="宋体" w:cs="宋体"/>
              <w:color w:val="auto"/>
              <w:szCs w:val="24"/>
              <w:highlight w:val="none"/>
            </w:rPr>
            <w:fldChar w:fldCharType="end"/>
          </w:r>
        </w:p>
        <w:p w14:paraId="57EFB2C7">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_Toc17011 </w:instrText>
          </w:r>
          <w:r>
            <w:rPr>
              <w:rFonts w:hint="eastAsia" w:ascii="宋体" w:hAnsi="宋体" w:eastAsia="宋体" w:cs="宋体"/>
              <w:szCs w:val="24"/>
              <w:highlight w:val="none"/>
            </w:rPr>
            <w:fldChar w:fldCharType="separate"/>
          </w:r>
          <w:r>
            <w:rPr>
              <w:rFonts w:hint="eastAsia" w:ascii="宋体" w:hAnsi="宋体" w:eastAsia="宋体" w:cs="宋体"/>
              <w:spacing w:val="-4"/>
              <w:szCs w:val="28"/>
              <w:highlight w:val="none"/>
            </w:rPr>
            <w:t>17.计量与支付</w:t>
          </w:r>
          <w:r>
            <w:tab/>
          </w:r>
          <w:r>
            <w:fldChar w:fldCharType="begin"/>
          </w:r>
          <w:r>
            <w:instrText xml:space="preserve"> PAGEREF _Toc17011 \h </w:instrText>
          </w:r>
          <w:r>
            <w:fldChar w:fldCharType="separate"/>
          </w:r>
          <w:r>
            <w:t>116</w:t>
          </w:r>
          <w:r>
            <w:fldChar w:fldCharType="end"/>
          </w:r>
          <w:r>
            <w:rPr>
              <w:rFonts w:hint="eastAsia" w:ascii="宋体" w:hAnsi="宋体" w:eastAsia="宋体" w:cs="宋体"/>
              <w:color w:val="auto"/>
              <w:szCs w:val="24"/>
              <w:highlight w:val="none"/>
            </w:rPr>
            <w:fldChar w:fldCharType="end"/>
          </w:r>
        </w:p>
        <w:p w14:paraId="5824E3B4">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_Toc12348 </w:instrText>
          </w:r>
          <w:r>
            <w:rPr>
              <w:rFonts w:hint="eastAsia" w:ascii="宋体" w:hAnsi="宋体" w:eastAsia="宋体" w:cs="宋体"/>
              <w:szCs w:val="24"/>
              <w:highlight w:val="none"/>
            </w:rPr>
            <w:fldChar w:fldCharType="separate"/>
          </w:r>
          <w:r>
            <w:rPr>
              <w:rFonts w:hint="eastAsia" w:ascii="宋体" w:hAnsi="宋体" w:eastAsia="宋体" w:cs="宋体"/>
              <w:spacing w:val="-4"/>
              <w:szCs w:val="28"/>
              <w:highlight w:val="none"/>
            </w:rPr>
            <w:t>18.竣工验收</w:t>
          </w:r>
          <w:r>
            <w:tab/>
          </w:r>
          <w:r>
            <w:fldChar w:fldCharType="begin"/>
          </w:r>
          <w:r>
            <w:instrText xml:space="preserve"> PAGEREF _Toc12348 \h </w:instrText>
          </w:r>
          <w:r>
            <w:fldChar w:fldCharType="separate"/>
          </w:r>
          <w:r>
            <w:t>120</w:t>
          </w:r>
          <w:r>
            <w:fldChar w:fldCharType="end"/>
          </w:r>
          <w:r>
            <w:rPr>
              <w:rFonts w:hint="eastAsia" w:ascii="宋体" w:hAnsi="宋体" w:eastAsia="宋体" w:cs="宋体"/>
              <w:color w:val="auto"/>
              <w:szCs w:val="24"/>
              <w:highlight w:val="none"/>
            </w:rPr>
            <w:fldChar w:fldCharType="end"/>
          </w:r>
        </w:p>
        <w:p w14:paraId="7D48D4CD">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_Toc2478 </w:instrText>
          </w:r>
          <w:r>
            <w:rPr>
              <w:rFonts w:hint="eastAsia" w:ascii="宋体" w:hAnsi="宋体" w:eastAsia="宋体" w:cs="宋体"/>
              <w:szCs w:val="24"/>
              <w:highlight w:val="none"/>
            </w:rPr>
            <w:fldChar w:fldCharType="separate"/>
          </w:r>
          <w:r>
            <w:rPr>
              <w:rFonts w:hint="eastAsia" w:ascii="宋体" w:hAnsi="宋体" w:eastAsia="宋体" w:cs="宋体"/>
              <w:spacing w:val="-3"/>
              <w:szCs w:val="28"/>
              <w:highlight w:val="none"/>
            </w:rPr>
            <w:t>19.缺陷责任与保修责任</w:t>
          </w:r>
          <w:r>
            <w:tab/>
          </w:r>
          <w:r>
            <w:fldChar w:fldCharType="begin"/>
          </w:r>
          <w:r>
            <w:instrText xml:space="preserve"> PAGEREF _Toc2478 \h </w:instrText>
          </w:r>
          <w:r>
            <w:fldChar w:fldCharType="separate"/>
          </w:r>
          <w:r>
            <w:t>123</w:t>
          </w:r>
          <w:r>
            <w:fldChar w:fldCharType="end"/>
          </w:r>
          <w:r>
            <w:rPr>
              <w:rFonts w:hint="eastAsia" w:ascii="宋体" w:hAnsi="宋体" w:eastAsia="宋体" w:cs="宋体"/>
              <w:color w:val="auto"/>
              <w:szCs w:val="24"/>
              <w:highlight w:val="none"/>
            </w:rPr>
            <w:fldChar w:fldCharType="end"/>
          </w:r>
        </w:p>
        <w:p w14:paraId="7ECD9745">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_Toc30372 </w:instrText>
          </w:r>
          <w:r>
            <w:rPr>
              <w:rFonts w:hint="eastAsia" w:ascii="宋体" w:hAnsi="宋体" w:eastAsia="宋体" w:cs="宋体"/>
              <w:szCs w:val="24"/>
              <w:highlight w:val="none"/>
            </w:rPr>
            <w:fldChar w:fldCharType="separate"/>
          </w:r>
          <w:r>
            <w:rPr>
              <w:rFonts w:hint="eastAsia" w:ascii="宋体" w:hAnsi="宋体" w:eastAsia="宋体" w:cs="宋体"/>
              <w:spacing w:val="-1"/>
              <w:szCs w:val="28"/>
              <w:highlight w:val="none"/>
            </w:rPr>
            <w:t>20.保险</w:t>
          </w:r>
          <w:r>
            <w:tab/>
          </w:r>
          <w:r>
            <w:fldChar w:fldCharType="begin"/>
          </w:r>
          <w:r>
            <w:instrText xml:space="preserve"> PAGEREF _Toc30372 \h </w:instrText>
          </w:r>
          <w:r>
            <w:fldChar w:fldCharType="separate"/>
          </w:r>
          <w:r>
            <w:t>124</w:t>
          </w:r>
          <w:r>
            <w:fldChar w:fldCharType="end"/>
          </w:r>
          <w:r>
            <w:rPr>
              <w:rFonts w:hint="eastAsia" w:ascii="宋体" w:hAnsi="宋体" w:eastAsia="宋体" w:cs="宋体"/>
              <w:color w:val="auto"/>
              <w:szCs w:val="24"/>
              <w:highlight w:val="none"/>
            </w:rPr>
            <w:fldChar w:fldCharType="end"/>
          </w:r>
        </w:p>
        <w:p w14:paraId="12291BDA">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_Toc24277 </w:instrText>
          </w:r>
          <w:r>
            <w:rPr>
              <w:rFonts w:hint="eastAsia" w:ascii="宋体" w:hAnsi="宋体" w:eastAsia="宋体" w:cs="宋体"/>
              <w:szCs w:val="24"/>
              <w:highlight w:val="none"/>
            </w:rPr>
            <w:fldChar w:fldCharType="separate"/>
          </w:r>
          <w:r>
            <w:rPr>
              <w:rFonts w:hint="eastAsia" w:ascii="宋体" w:hAnsi="宋体" w:eastAsia="宋体" w:cs="宋体"/>
              <w:spacing w:val="-3"/>
              <w:szCs w:val="28"/>
              <w:highlight w:val="none"/>
            </w:rPr>
            <w:t>21.不可抗力</w:t>
          </w:r>
          <w:r>
            <w:tab/>
          </w:r>
          <w:r>
            <w:fldChar w:fldCharType="begin"/>
          </w:r>
          <w:r>
            <w:instrText xml:space="preserve"> PAGEREF _Toc24277 \h </w:instrText>
          </w:r>
          <w:r>
            <w:fldChar w:fldCharType="separate"/>
          </w:r>
          <w:r>
            <w:t>126</w:t>
          </w:r>
          <w:r>
            <w:fldChar w:fldCharType="end"/>
          </w:r>
          <w:r>
            <w:rPr>
              <w:rFonts w:hint="eastAsia" w:ascii="宋体" w:hAnsi="宋体" w:eastAsia="宋体" w:cs="宋体"/>
              <w:color w:val="auto"/>
              <w:szCs w:val="24"/>
              <w:highlight w:val="none"/>
            </w:rPr>
            <w:fldChar w:fldCharType="end"/>
          </w:r>
        </w:p>
        <w:p w14:paraId="4D33749A">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_Toc2107 </w:instrText>
          </w:r>
          <w:r>
            <w:rPr>
              <w:rFonts w:hint="eastAsia" w:ascii="宋体" w:hAnsi="宋体" w:eastAsia="宋体" w:cs="宋体"/>
              <w:szCs w:val="24"/>
              <w:highlight w:val="none"/>
            </w:rPr>
            <w:fldChar w:fldCharType="separate"/>
          </w:r>
          <w:r>
            <w:rPr>
              <w:rFonts w:hint="eastAsia" w:ascii="宋体" w:hAnsi="宋体" w:eastAsia="宋体" w:cs="宋体"/>
              <w:spacing w:val="-3"/>
              <w:szCs w:val="28"/>
              <w:highlight w:val="none"/>
            </w:rPr>
            <w:t>22.违约</w:t>
          </w:r>
          <w:r>
            <w:tab/>
          </w:r>
          <w:r>
            <w:fldChar w:fldCharType="begin"/>
          </w:r>
          <w:r>
            <w:instrText xml:space="preserve"> PAGEREF _Toc2107 \h </w:instrText>
          </w:r>
          <w:r>
            <w:fldChar w:fldCharType="separate"/>
          </w:r>
          <w:r>
            <w:t>127</w:t>
          </w:r>
          <w:r>
            <w:fldChar w:fldCharType="end"/>
          </w:r>
          <w:r>
            <w:rPr>
              <w:rFonts w:hint="eastAsia" w:ascii="宋体" w:hAnsi="宋体" w:eastAsia="宋体" w:cs="宋体"/>
              <w:color w:val="auto"/>
              <w:szCs w:val="24"/>
              <w:highlight w:val="none"/>
            </w:rPr>
            <w:fldChar w:fldCharType="end"/>
          </w:r>
        </w:p>
        <w:p w14:paraId="0E3E4B18">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_Toc22666 </w:instrText>
          </w:r>
          <w:r>
            <w:rPr>
              <w:rFonts w:hint="eastAsia" w:ascii="宋体" w:hAnsi="宋体" w:eastAsia="宋体" w:cs="宋体"/>
              <w:szCs w:val="24"/>
              <w:highlight w:val="none"/>
            </w:rPr>
            <w:fldChar w:fldCharType="separate"/>
          </w:r>
          <w:r>
            <w:rPr>
              <w:rFonts w:hint="eastAsia" w:ascii="宋体" w:hAnsi="宋体" w:eastAsia="宋体" w:cs="宋体"/>
              <w:spacing w:val="-4"/>
              <w:szCs w:val="28"/>
              <w:highlight w:val="none"/>
            </w:rPr>
            <w:t>23.索赔</w:t>
          </w:r>
          <w:r>
            <w:tab/>
          </w:r>
          <w:r>
            <w:fldChar w:fldCharType="begin"/>
          </w:r>
          <w:r>
            <w:instrText xml:space="preserve"> PAGEREF _Toc22666 \h </w:instrText>
          </w:r>
          <w:r>
            <w:fldChar w:fldCharType="separate"/>
          </w:r>
          <w:r>
            <w:t>130</w:t>
          </w:r>
          <w:r>
            <w:fldChar w:fldCharType="end"/>
          </w:r>
          <w:r>
            <w:rPr>
              <w:rFonts w:hint="eastAsia" w:ascii="宋体" w:hAnsi="宋体" w:eastAsia="宋体" w:cs="宋体"/>
              <w:color w:val="auto"/>
              <w:szCs w:val="24"/>
              <w:highlight w:val="none"/>
            </w:rPr>
            <w:fldChar w:fldCharType="end"/>
          </w:r>
        </w:p>
        <w:p w14:paraId="230925D0">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_Toc27334 </w:instrText>
          </w:r>
          <w:r>
            <w:rPr>
              <w:rFonts w:hint="eastAsia" w:ascii="宋体" w:hAnsi="宋体" w:eastAsia="宋体" w:cs="宋体"/>
              <w:szCs w:val="24"/>
              <w:highlight w:val="none"/>
            </w:rPr>
            <w:fldChar w:fldCharType="separate"/>
          </w:r>
          <w:r>
            <w:rPr>
              <w:rFonts w:hint="eastAsia" w:ascii="宋体" w:hAnsi="宋体" w:eastAsia="宋体" w:cs="宋体"/>
              <w:spacing w:val="-3"/>
              <w:szCs w:val="28"/>
              <w:highlight w:val="none"/>
            </w:rPr>
            <w:t>24.争议的解决</w:t>
          </w:r>
          <w:r>
            <w:tab/>
          </w:r>
          <w:r>
            <w:fldChar w:fldCharType="begin"/>
          </w:r>
          <w:r>
            <w:instrText xml:space="preserve"> PAGEREF _Toc27334 \h </w:instrText>
          </w:r>
          <w:r>
            <w:fldChar w:fldCharType="separate"/>
          </w:r>
          <w:r>
            <w:t>131</w:t>
          </w:r>
          <w:r>
            <w:fldChar w:fldCharType="end"/>
          </w:r>
          <w:r>
            <w:rPr>
              <w:rFonts w:hint="eastAsia" w:ascii="宋体" w:hAnsi="宋体" w:eastAsia="宋体" w:cs="宋体"/>
              <w:color w:val="auto"/>
              <w:szCs w:val="24"/>
              <w:highlight w:val="none"/>
            </w:rPr>
            <w:fldChar w:fldCharType="end"/>
          </w:r>
        </w:p>
        <w:p w14:paraId="078AF358">
          <w:pPr>
            <w:pStyle w:val="8"/>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_Toc12424 </w:instrText>
          </w:r>
          <w:r>
            <w:rPr>
              <w:rFonts w:hint="eastAsia" w:ascii="宋体" w:hAnsi="宋体" w:eastAsia="宋体" w:cs="宋体"/>
              <w:szCs w:val="24"/>
              <w:highlight w:val="none"/>
            </w:rPr>
            <w:fldChar w:fldCharType="separate"/>
          </w:r>
          <w:r>
            <w:rPr>
              <w:rFonts w:hint="eastAsia" w:ascii="宋体" w:hAnsi="宋体" w:eastAsia="宋体" w:cs="宋体"/>
              <w:bCs/>
              <w:spacing w:val="4"/>
              <w:szCs w:val="43"/>
              <w:highlight w:val="none"/>
            </w:rPr>
            <w:t>第二节专用合同条款</w:t>
          </w:r>
          <w:r>
            <w:tab/>
          </w:r>
          <w:r>
            <w:fldChar w:fldCharType="begin"/>
          </w:r>
          <w:r>
            <w:instrText xml:space="preserve"> PAGEREF _Toc12424 \h </w:instrText>
          </w:r>
          <w:r>
            <w:fldChar w:fldCharType="separate"/>
          </w:r>
          <w:r>
            <w:t>133</w:t>
          </w:r>
          <w:r>
            <w:fldChar w:fldCharType="end"/>
          </w:r>
          <w:r>
            <w:rPr>
              <w:rFonts w:hint="eastAsia" w:ascii="宋体" w:hAnsi="宋体" w:eastAsia="宋体" w:cs="宋体"/>
              <w:color w:val="auto"/>
              <w:szCs w:val="24"/>
              <w:highlight w:val="none"/>
            </w:rPr>
            <w:fldChar w:fldCharType="end"/>
          </w:r>
        </w:p>
        <w:p w14:paraId="76AB7000">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_Toc6162 </w:instrText>
          </w:r>
          <w:r>
            <w:rPr>
              <w:rFonts w:hint="eastAsia" w:ascii="宋体" w:hAnsi="宋体" w:eastAsia="宋体" w:cs="宋体"/>
              <w:szCs w:val="24"/>
              <w:highlight w:val="none"/>
            </w:rPr>
            <w:fldChar w:fldCharType="separate"/>
          </w:r>
          <w:r>
            <w:rPr>
              <w:rFonts w:hint="eastAsia" w:ascii="宋体" w:hAnsi="宋体" w:eastAsia="宋体" w:cs="宋体"/>
              <w:spacing w:val="8"/>
              <w:szCs w:val="31"/>
              <w:highlight w:val="none"/>
            </w:rPr>
            <w:t>A.公路工程专用合同条款</w:t>
          </w:r>
          <w:r>
            <w:tab/>
          </w:r>
          <w:r>
            <w:fldChar w:fldCharType="begin"/>
          </w:r>
          <w:r>
            <w:instrText xml:space="preserve"> PAGEREF _Toc6162 \h </w:instrText>
          </w:r>
          <w:r>
            <w:fldChar w:fldCharType="separate"/>
          </w:r>
          <w:r>
            <w:t>134</w:t>
          </w:r>
          <w:r>
            <w:fldChar w:fldCharType="end"/>
          </w:r>
          <w:r>
            <w:rPr>
              <w:rFonts w:hint="eastAsia" w:ascii="宋体" w:hAnsi="宋体" w:eastAsia="宋体" w:cs="宋体"/>
              <w:color w:val="auto"/>
              <w:szCs w:val="24"/>
              <w:highlight w:val="none"/>
            </w:rPr>
            <w:fldChar w:fldCharType="end"/>
          </w:r>
        </w:p>
        <w:p w14:paraId="7AF75973">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_Toc27766 </w:instrText>
          </w:r>
          <w:r>
            <w:rPr>
              <w:rFonts w:hint="eastAsia" w:ascii="宋体" w:hAnsi="宋体" w:eastAsia="宋体" w:cs="宋体"/>
              <w:szCs w:val="24"/>
              <w:highlight w:val="none"/>
            </w:rPr>
            <w:fldChar w:fldCharType="separate"/>
          </w:r>
          <w:r>
            <w:rPr>
              <w:rFonts w:hint="eastAsia" w:ascii="宋体" w:hAnsi="宋体" w:eastAsia="宋体" w:cs="宋体"/>
              <w:spacing w:val="-7"/>
              <w:szCs w:val="28"/>
              <w:highlight w:val="none"/>
            </w:rPr>
            <w:t>1.一般约定</w:t>
          </w:r>
          <w:r>
            <w:tab/>
          </w:r>
          <w:r>
            <w:fldChar w:fldCharType="begin"/>
          </w:r>
          <w:r>
            <w:instrText xml:space="preserve"> PAGEREF _Toc27766 \h </w:instrText>
          </w:r>
          <w:r>
            <w:fldChar w:fldCharType="separate"/>
          </w:r>
          <w:r>
            <w:t>134</w:t>
          </w:r>
          <w:r>
            <w:fldChar w:fldCharType="end"/>
          </w:r>
          <w:r>
            <w:rPr>
              <w:rFonts w:hint="eastAsia" w:ascii="宋体" w:hAnsi="宋体" w:eastAsia="宋体" w:cs="宋体"/>
              <w:color w:val="auto"/>
              <w:szCs w:val="24"/>
              <w:highlight w:val="none"/>
            </w:rPr>
            <w:fldChar w:fldCharType="end"/>
          </w:r>
        </w:p>
        <w:p w14:paraId="0D6A4CD8">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_Toc28142 </w:instrText>
          </w:r>
          <w:r>
            <w:rPr>
              <w:rFonts w:hint="eastAsia" w:ascii="宋体" w:hAnsi="宋体" w:eastAsia="宋体" w:cs="宋体"/>
              <w:szCs w:val="24"/>
              <w:highlight w:val="none"/>
            </w:rPr>
            <w:fldChar w:fldCharType="separate"/>
          </w:r>
          <w:r>
            <w:rPr>
              <w:rFonts w:hint="eastAsia" w:ascii="宋体" w:hAnsi="宋体" w:eastAsia="宋体" w:cs="宋体"/>
              <w:spacing w:val="-2"/>
              <w:szCs w:val="28"/>
              <w:highlight w:val="none"/>
            </w:rPr>
            <w:t>2.发包人义务</w:t>
          </w:r>
          <w:r>
            <w:tab/>
          </w:r>
          <w:r>
            <w:fldChar w:fldCharType="begin"/>
          </w:r>
          <w:r>
            <w:instrText xml:space="preserve"> PAGEREF _Toc28142 \h </w:instrText>
          </w:r>
          <w:r>
            <w:fldChar w:fldCharType="separate"/>
          </w:r>
          <w:r>
            <w:t>137</w:t>
          </w:r>
          <w:r>
            <w:fldChar w:fldCharType="end"/>
          </w:r>
          <w:r>
            <w:rPr>
              <w:rFonts w:hint="eastAsia" w:ascii="宋体" w:hAnsi="宋体" w:eastAsia="宋体" w:cs="宋体"/>
              <w:color w:val="auto"/>
              <w:szCs w:val="24"/>
              <w:highlight w:val="none"/>
            </w:rPr>
            <w:fldChar w:fldCharType="end"/>
          </w:r>
        </w:p>
        <w:p w14:paraId="74E6EDB5">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_Toc20109 </w:instrText>
          </w:r>
          <w:r>
            <w:rPr>
              <w:rFonts w:hint="eastAsia" w:ascii="宋体" w:hAnsi="宋体" w:eastAsia="宋体" w:cs="宋体"/>
              <w:szCs w:val="24"/>
              <w:highlight w:val="none"/>
            </w:rPr>
            <w:fldChar w:fldCharType="separate"/>
          </w:r>
          <w:r>
            <w:rPr>
              <w:rFonts w:hint="eastAsia" w:ascii="宋体" w:hAnsi="宋体" w:eastAsia="宋体" w:cs="宋体"/>
              <w:spacing w:val="-3"/>
              <w:szCs w:val="28"/>
              <w:highlight w:val="none"/>
            </w:rPr>
            <w:t>3.监理人</w:t>
          </w:r>
          <w:r>
            <w:tab/>
          </w:r>
          <w:r>
            <w:fldChar w:fldCharType="begin"/>
          </w:r>
          <w:r>
            <w:instrText xml:space="preserve"> PAGEREF _Toc20109 \h </w:instrText>
          </w:r>
          <w:r>
            <w:fldChar w:fldCharType="separate"/>
          </w:r>
          <w:r>
            <w:t>138</w:t>
          </w:r>
          <w:r>
            <w:fldChar w:fldCharType="end"/>
          </w:r>
          <w:r>
            <w:rPr>
              <w:rFonts w:hint="eastAsia" w:ascii="宋体" w:hAnsi="宋体" w:eastAsia="宋体" w:cs="宋体"/>
              <w:color w:val="auto"/>
              <w:szCs w:val="24"/>
              <w:highlight w:val="none"/>
            </w:rPr>
            <w:fldChar w:fldCharType="end"/>
          </w:r>
        </w:p>
        <w:p w14:paraId="540D9B88">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_Toc6863 </w:instrText>
          </w:r>
          <w:r>
            <w:rPr>
              <w:rFonts w:hint="eastAsia" w:ascii="宋体" w:hAnsi="宋体" w:eastAsia="宋体" w:cs="宋体"/>
              <w:szCs w:val="24"/>
              <w:highlight w:val="none"/>
            </w:rPr>
            <w:fldChar w:fldCharType="separate"/>
          </w:r>
          <w:r>
            <w:rPr>
              <w:rFonts w:hint="eastAsia" w:ascii="宋体" w:hAnsi="宋体" w:eastAsia="宋体" w:cs="宋体"/>
              <w:spacing w:val="-1"/>
              <w:szCs w:val="28"/>
              <w:highlight w:val="none"/>
            </w:rPr>
            <w:t>4.承包人</w:t>
          </w:r>
          <w:r>
            <w:tab/>
          </w:r>
          <w:r>
            <w:fldChar w:fldCharType="begin"/>
          </w:r>
          <w:r>
            <w:instrText xml:space="preserve"> PAGEREF _Toc6863 \h </w:instrText>
          </w:r>
          <w:r>
            <w:fldChar w:fldCharType="separate"/>
          </w:r>
          <w:r>
            <w:t>139</w:t>
          </w:r>
          <w:r>
            <w:fldChar w:fldCharType="end"/>
          </w:r>
          <w:r>
            <w:rPr>
              <w:rFonts w:hint="eastAsia" w:ascii="宋体" w:hAnsi="宋体" w:eastAsia="宋体" w:cs="宋体"/>
              <w:color w:val="auto"/>
              <w:szCs w:val="24"/>
              <w:highlight w:val="none"/>
            </w:rPr>
            <w:fldChar w:fldCharType="end"/>
          </w:r>
        </w:p>
        <w:p w14:paraId="6BBC2818">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_Toc21529 </w:instrText>
          </w:r>
          <w:r>
            <w:rPr>
              <w:rFonts w:hint="eastAsia" w:ascii="宋体" w:hAnsi="宋体" w:eastAsia="宋体" w:cs="宋体"/>
              <w:szCs w:val="24"/>
              <w:highlight w:val="none"/>
            </w:rPr>
            <w:fldChar w:fldCharType="separate"/>
          </w:r>
          <w:r>
            <w:rPr>
              <w:rFonts w:hint="eastAsia" w:ascii="宋体" w:hAnsi="宋体" w:eastAsia="宋体" w:cs="宋体"/>
              <w:spacing w:val="-3"/>
              <w:szCs w:val="28"/>
              <w:highlight w:val="none"/>
            </w:rPr>
            <w:t>5.材料和工程设备</w:t>
          </w:r>
          <w:r>
            <w:tab/>
          </w:r>
          <w:r>
            <w:fldChar w:fldCharType="begin"/>
          </w:r>
          <w:r>
            <w:instrText xml:space="preserve"> PAGEREF _Toc21529 \h </w:instrText>
          </w:r>
          <w:r>
            <w:fldChar w:fldCharType="separate"/>
          </w:r>
          <w:r>
            <w:t>144</w:t>
          </w:r>
          <w:r>
            <w:fldChar w:fldCharType="end"/>
          </w:r>
          <w:r>
            <w:rPr>
              <w:rFonts w:hint="eastAsia" w:ascii="宋体" w:hAnsi="宋体" w:eastAsia="宋体" w:cs="宋体"/>
              <w:color w:val="auto"/>
              <w:szCs w:val="24"/>
              <w:highlight w:val="none"/>
            </w:rPr>
            <w:fldChar w:fldCharType="end"/>
          </w:r>
        </w:p>
        <w:p w14:paraId="3D8DCA4F">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_Toc21686 </w:instrText>
          </w:r>
          <w:r>
            <w:rPr>
              <w:rFonts w:hint="eastAsia" w:ascii="宋体" w:hAnsi="宋体" w:eastAsia="宋体" w:cs="宋体"/>
              <w:szCs w:val="24"/>
              <w:highlight w:val="none"/>
            </w:rPr>
            <w:fldChar w:fldCharType="separate"/>
          </w:r>
          <w:r>
            <w:rPr>
              <w:rFonts w:hint="eastAsia" w:ascii="宋体" w:hAnsi="宋体" w:eastAsia="宋体" w:cs="宋体"/>
              <w:spacing w:val="-4"/>
              <w:szCs w:val="28"/>
              <w:highlight w:val="none"/>
            </w:rPr>
            <w:t>6.施工设备和临时设施</w:t>
          </w:r>
          <w:r>
            <w:tab/>
          </w:r>
          <w:r>
            <w:fldChar w:fldCharType="begin"/>
          </w:r>
          <w:r>
            <w:instrText xml:space="preserve"> PAGEREF _Toc21686 \h </w:instrText>
          </w:r>
          <w:r>
            <w:fldChar w:fldCharType="separate"/>
          </w:r>
          <w:r>
            <w:t>145</w:t>
          </w:r>
          <w:r>
            <w:fldChar w:fldCharType="end"/>
          </w:r>
          <w:r>
            <w:rPr>
              <w:rFonts w:hint="eastAsia" w:ascii="宋体" w:hAnsi="宋体" w:eastAsia="宋体" w:cs="宋体"/>
              <w:color w:val="auto"/>
              <w:szCs w:val="24"/>
              <w:highlight w:val="none"/>
            </w:rPr>
            <w:fldChar w:fldCharType="end"/>
          </w:r>
        </w:p>
        <w:p w14:paraId="7BE75F28">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_Toc31074 </w:instrText>
          </w:r>
          <w:r>
            <w:rPr>
              <w:rFonts w:hint="eastAsia" w:ascii="宋体" w:hAnsi="宋体" w:eastAsia="宋体" w:cs="宋体"/>
              <w:szCs w:val="24"/>
              <w:highlight w:val="none"/>
            </w:rPr>
            <w:fldChar w:fldCharType="separate"/>
          </w:r>
          <w:r>
            <w:rPr>
              <w:rFonts w:hint="eastAsia" w:ascii="宋体" w:hAnsi="宋体" w:eastAsia="宋体" w:cs="宋体"/>
              <w:spacing w:val="-5"/>
              <w:szCs w:val="28"/>
              <w:highlight w:val="none"/>
            </w:rPr>
            <w:t>7.交通运输</w:t>
          </w:r>
          <w:r>
            <w:tab/>
          </w:r>
          <w:r>
            <w:fldChar w:fldCharType="begin"/>
          </w:r>
          <w:r>
            <w:instrText xml:space="preserve"> PAGEREF _Toc31074 \h </w:instrText>
          </w:r>
          <w:r>
            <w:fldChar w:fldCharType="separate"/>
          </w:r>
          <w:r>
            <w:t>145</w:t>
          </w:r>
          <w:r>
            <w:fldChar w:fldCharType="end"/>
          </w:r>
          <w:r>
            <w:rPr>
              <w:rFonts w:hint="eastAsia" w:ascii="宋体" w:hAnsi="宋体" w:eastAsia="宋体" w:cs="宋体"/>
              <w:color w:val="auto"/>
              <w:szCs w:val="24"/>
              <w:highlight w:val="none"/>
            </w:rPr>
            <w:fldChar w:fldCharType="end"/>
          </w:r>
        </w:p>
        <w:p w14:paraId="59C34A8B">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_Toc21512 </w:instrText>
          </w:r>
          <w:r>
            <w:rPr>
              <w:rFonts w:hint="eastAsia" w:ascii="宋体" w:hAnsi="宋体" w:eastAsia="宋体" w:cs="宋体"/>
              <w:szCs w:val="24"/>
              <w:highlight w:val="none"/>
            </w:rPr>
            <w:fldChar w:fldCharType="separate"/>
          </w:r>
          <w:r>
            <w:rPr>
              <w:rFonts w:hint="eastAsia" w:ascii="宋体" w:hAnsi="宋体" w:eastAsia="宋体" w:cs="宋体"/>
              <w:spacing w:val="-4"/>
              <w:szCs w:val="28"/>
              <w:highlight w:val="none"/>
            </w:rPr>
            <w:t>8.测量放线</w:t>
          </w:r>
          <w:r>
            <w:tab/>
          </w:r>
          <w:r>
            <w:fldChar w:fldCharType="begin"/>
          </w:r>
          <w:r>
            <w:instrText xml:space="preserve"> PAGEREF _Toc21512 \h </w:instrText>
          </w:r>
          <w:r>
            <w:fldChar w:fldCharType="separate"/>
          </w:r>
          <w:r>
            <w:t>145</w:t>
          </w:r>
          <w:r>
            <w:fldChar w:fldCharType="end"/>
          </w:r>
          <w:r>
            <w:rPr>
              <w:rFonts w:hint="eastAsia" w:ascii="宋体" w:hAnsi="宋体" w:eastAsia="宋体" w:cs="宋体"/>
              <w:color w:val="auto"/>
              <w:szCs w:val="24"/>
              <w:highlight w:val="none"/>
            </w:rPr>
            <w:fldChar w:fldCharType="end"/>
          </w:r>
        </w:p>
        <w:p w14:paraId="7B297EFF">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_Toc30081 </w:instrText>
          </w:r>
          <w:r>
            <w:rPr>
              <w:rFonts w:hint="eastAsia" w:ascii="宋体" w:hAnsi="宋体" w:eastAsia="宋体" w:cs="宋体"/>
              <w:szCs w:val="24"/>
              <w:highlight w:val="none"/>
            </w:rPr>
            <w:fldChar w:fldCharType="separate"/>
          </w:r>
          <w:r>
            <w:rPr>
              <w:rFonts w:hint="eastAsia" w:ascii="宋体" w:hAnsi="宋体" w:eastAsia="宋体" w:cs="宋体"/>
              <w:spacing w:val="-5"/>
              <w:szCs w:val="28"/>
              <w:highlight w:val="none"/>
            </w:rPr>
            <w:t>9.施工安全、治安保卫和环境保护</w:t>
          </w:r>
          <w:r>
            <w:tab/>
          </w:r>
          <w:r>
            <w:fldChar w:fldCharType="begin"/>
          </w:r>
          <w:r>
            <w:instrText xml:space="preserve"> PAGEREF _Toc30081 \h </w:instrText>
          </w:r>
          <w:r>
            <w:fldChar w:fldCharType="separate"/>
          </w:r>
          <w:r>
            <w:t>146</w:t>
          </w:r>
          <w:r>
            <w:fldChar w:fldCharType="end"/>
          </w:r>
          <w:r>
            <w:rPr>
              <w:rFonts w:hint="eastAsia" w:ascii="宋体" w:hAnsi="宋体" w:eastAsia="宋体" w:cs="宋体"/>
              <w:color w:val="auto"/>
              <w:szCs w:val="24"/>
              <w:highlight w:val="none"/>
            </w:rPr>
            <w:fldChar w:fldCharType="end"/>
          </w:r>
        </w:p>
        <w:p w14:paraId="34F1452A">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_Toc6787 </w:instrText>
          </w:r>
          <w:r>
            <w:rPr>
              <w:rFonts w:hint="eastAsia" w:ascii="宋体" w:hAnsi="宋体" w:eastAsia="宋体" w:cs="宋体"/>
              <w:szCs w:val="24"/>
              <w:highlight w:val="none"/>
            </w:rPr>
            <w:fldChar w:fldCharType="separate"/>
          </w:r>
          <w:r>
            <w:rPr>
              <w:rFonts w:hint="eastAsia" w:ascii="宋体" w:hAnsi="宋体" w:eastAsia="宋体" w:cs="宋体"/>
              <w:spacing w:val="-7"/>
              <w:szCs w:val="28"/>
              <w:highlight w:val="none"/>
            </w:rPr>
            <w:t>10.进度计划</w:t>
          </w:r>
          <w:r>
            <w:tab/>
          </w:r>
          <w:r>
            <w:fldChar w:fldCharType="begin"/>
          </w:r>
          <w:r>
            <w:instrText xml:space="preserve"> PAGEREF _Toc6787 \h </w:instrText>
          </w:r>
          <w:r>
            <w:fldChar w:fldCharType="separate"/>
          </w:r>
          <w:r>
            <w:t>149</w:t>
          </w:r>
          <w:r>
            <w:fldChar w:fldCharType="end"/>
          </w:r>
          <w:r>
            <w:rPr>
              <w:rFonts w:hint="eastAsia" w:ascii="宋体" w:hAnsi="宋体" w:eastAsia="宋体" w:cs="宋体"/>
              <w:color w:val="auto"/>
              <w:szCs w:val="24"/>
              <w:highlight w:val="none"/>
            </w:rPr>
            <w:fldChar w:fldCharType="end"/>
          </w:r>
        </w:p>
        <w:p w14:paraId="39254F21">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_Toc30247 </w:instrText>
          </w:r>
          <w:r>
            <w:rPr>
              <w:rFonts w:hint="eastAsia" w:ascii="宋体" w:hAnsi="宋体" w:eastAsia="宋体" w:cs="宋体"/>
              <w:szCs w:val="24"/>
              <w:highlight w:val="none"/>
            </w:rPr>
            <w:fldChar w:fldCharType="separate"/>
          </w:r>
          <w:r>
            <w:rPr>
              <w:rFonts w:hint="eastAsia" w:ascii="宋体" w:hAnsi="宋体" w:eastAsia="宋体" w:cs="宋体"/>
              <w:spacing w:val="-9"/>
              <w:szCs w:val="24"/>
              <w:highlight w:val="none"/>
            </w:rPr>
            <w:t>本款补充：</w:t>
          </w:r>
          <w:r>
            <w:tab/>
          </w:r>
          <w:r>
            <w:fldChar w:fldCharType="begin"/>
          </w:r>
          <w:r>
            <w:instrText xml:space="preserve"> PAGEREF _Toc30247 \h </w:instrText>
          </w:r>
          <w:r>
            <w:fldChar w:fldCharType="separate"/>
          </w:r>
          <w:r>
            <w:t>149</w:t>
          </w:r>
          <w:r>
            <w:fldChar w:fldCharType="end"/>
          </w:r>
          <w:r>
            <w:rPr>
              <w:rFonts w:hint="eastAsia" w:ascii="宋体" w:hAnsi="宋体" w:eastAsia="宋体" w:cs="宋体"/>
              <w:color w:val="auto"/>
              <w:szCs w:val="24"/>
              <w:highlight w:val="none"/>
            </w:rPr>
            <w:fldChar w:fldCharType="end"/>
          </w:r>
        </w:p>
        <w:p w14:paraId="45BFBA46">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_Toc3696 </w:instrText>
          </w:r>
          <w:r>
            <w:rPr>
              <w:rFonts w:hint="eastAsia" w:ascii="宋体" w:hAnsi="宋体" w:eastAsia="宋体" w:cs="宋体"/>
              <w:szCs w:val="24"/>
              <w:highlight w:val="none"/>
            </w:rPr>
            <w:fldChar w:fldCharType="separate"/>
          </w:r>
          <w:r>
            <w:rPr>
              <w:rFonts w:hint="eastAsia" w:ascii="宋体" w:hAnsi="宋体" w:eastAsia="宋体" w:cs="宋体"/>
              <w:spacing w:val="-12"/>
              <w:szCs w:val="28"/>
              <w:highlight w:val="none"/>
            </w:rPr>
            <w:t>11.开工和交工</w:t>
          </w:r>
          <w:r>
            <w:tab/>
          </w:r>
          <w:r>
            <w:fldChar w:fldCharType="begin"/>
          </w:r>
          <w:r>
            <w:instrText xml:space="preserve"> PAGEREF _Toc3696 \h </w:instrText>
          </w:r>
          <w:r>
            <w:fldChar w:fldCharType="separate"/>
          </w:r>
          <w:r>
            <w:t>150</w:t>
          </w:r>
          <w:r>
            <w:fldChar w:fldCharType="end"/>
          </w:r>
          <w:r>
            <w:rPr>
              <w:rFonts w:hint="eastAsia" w:ascii="宋体" w:hAnsi="宋体" w:eastAsia="宋体" w:cs="宋体"/>
              <w:color w:val="auto"/>
              <w:szCs w:val="24"/>
              <w:highlight w:val="none"/>
            </w:rPr>
            <w:fldChar w:fldCharType="end"/>
          </w:r>
        </w:p>
        <w:p w14:paraId="004DFE2F">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_Toc25192 </w:instrText>
          </w:r>
          <w:r>
            <w:rPr>
              <w:rFonts w:hint="eastAsia" w:ascii="宋体" w:hAnsi="宋体" w:eastAsia="宋体" w:cs="宋体"/>
              <w:szCs w:val="24"/>
              <w:highlight w:val="none"/>
            </w:rPr>
            <w:fldChar w:fldCharType="separate"/>
          </w:r>
          <w:r>
            <w:rPr>
              <w:rFonts w:hint="eastAsia" w:ascii="宋体" w:hAnsi="宋体" w:eastAsia="宋体" w:cs="宋体"/>
              <w:spacing w:val="-7"/>
              <w:szCs w:val="28"/>
              <w:highlight w:val="none"/>
            </w:rPr>
            <w:t>12.暂停施工</w:t>
          </w:r>
          <w:r>
            <w:tab/>
          </w:r>
          <w:r>
            <w:fldChar w:fldCharType="begin"/>
          </w:r>
          <w:r>
            <w:instrText xml:space="preserve"> PAGEREF _Toc25192 \h </w:instrText>
          </w:r>
          <w:r>
            <w:fldChar w:fldCharType="separate"/>
          </w:r>
          <w:r>
            <w:t>151</w:t>
          </w:r>
          <w:r>
            <w:fldChar w:fldCharType="end"/>
          </w:r>
          <w:r>
            <w:rPr>
              <w:rFonts w:hint="eastAsia" w:ascii="宋体" w:hAnsi="宋体" w:eastAsia="宋体" w:cs="宋体"/>
              <w:color w:val="auto"/>
              <w:szCs w:val="24"/>
              <w:highlight w:val="none"/>
            </w:rPr>
            <w:fldChar w:fldCharType="end"/>
          </w:r>
        </w:p>
        <w:p w14:paraId="661B39AC">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_Toc29882 </w:instrText>
          </w:r>
          <w:r>
            <w:rPr>
              <w:rFonts w:hint="eastAsia" w:ascii="宋体" w:hAnsi="宋体" w:eastAsia="宋体" w:cs="宋体"/>
              <w:szCs w:val="24"/>
              <w:highlight w:val="none"/>
            </w:rPr>
            <w:fldChar w:fldCharType="separate"/>
          </w:r>
          <w:r>
            <w:rPr>
              <w:rFonts w:hint="eastAsia" w:ascii="宋体" w:hAnsi="宋体" w:eastAsia="宋体" w:cs="宋体"/>
              <w:spacing w:val="-6"/>
              <w:szCs w:val="28"/>
              <w:highlight w:val="none"/>
            </w:rPr>
            <w:t>13.工程质量</w:t>
          </w:r>
          <w:r>
            <w:tab/>
          </w:r>
          <w:r>
            <w:fldChar w:fldCharType="begin"/>
          </w:r>
          <w:r>
            <w:instrText xml:space="preserve"> PAGEREF _Toc29882 \h </w:instrText>
          </w:r>
          <w:r>
            <w:fldChar w:fldCharType="separate"/>
          </w:r>
          <w:r>
            <w:t>152</w:t>
          </w:r>
          <w:r>
            <w:fldChar w:fldCharType="end"/>
          </w:r>
          <w:r>
            <w:rPr>
              <w:rFonts w:hint="eastAsia" w:ascii="宋体" w:hAnsi="宋体" w:eastAsia="宋体" w:cs="宋体"/>
              <w:color w:val="auto"/>
              <w:szCs w:val="24"/>
              <w:highlight w:val="none"/>
            </w:rPr>
            <w:fldChar w:fldCharType="end"/>
          </w:r>
        </w:p>
        <w:p w14:paraId="35E421EC">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_Toc9473 </w:instrText>
          </w:r>
          <w:r>
            <w:rPr>
              <w:rFonts w:hint="eastAsia" w:ascii="宋体" w:hAnsi="宋体" w:eastAsia="宋体" w:cs="宋体"/>
              <w:szCs w:val="24"/>
              <w:highlight w:val="none"/>
            </w:rPr>
            <w:fldChar w:fldCharType="separate"/>
          </w:r>
          <w:r>
            <w:rPr>
              <w:rFonts w:hint="eastAsia" w:ascii="宋体" w:hAnsi="宋体" w:eastAsia="宋体" w:cs="宋体"/>
              <w:spacing w:val="-6"/>
              <w:szCs w:val="28"/>
              <w:highlight w:val="none"/>
            </w:rPr>
            <w:t>14.试验和检验</w:t>
          </w:r>
          <w:r>
            <w:tab/>
          </w:r>
          <w:r>
            <w:fldChar w:fldCharType="begin"/>
          </w:r>
          <w:r>
            <w:instrText xml:space="preserve"> PAGEREF _Toc9473 \h </w:instrText>
          </w:r>
          <w:r>
            <w:fldChar w:fldCharType="separate"/>
          </w:r>
          <w:r>
            <w:t>154</w:t>
          </w:r>
          <w:r>
            <w:fldChar w:fldCharType="end"/>
          </w:r>
          <w:r>
            <w:rPr>
              <w:rFonts w:hint="eastAsia" w:ascii="宋体" w:hAnsi="宋体" w:eastAsia="宋体" w:cs="宋体"/>
              <w:color w:val="auto"/>
              <w:szCs w:val="24"/>
              <w:highlight w:val="none"/>
            </w:rPr>
            <w:fldChar w:fldCharType="end"/>
          </w:r>
        </w:p>
        <w:p w14:paraId="0B7131A2">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_Toc26791 </w:instrText>
          </w:r>
          <w:r>
            <w:rPr>
              <w:rFonts w:hint="eastAsia" w:ascii="宋体" w:hAnsi="宋体" w:eastAsia="宋体" w:cs="宋体"/>
              <w:szCs w:val="24"/>
              <w:highlight w:val="none"/>
            </w:rPr>
            <w:fldChar w:fldCharType="separate"/>
          </w:r>
          <w:r>
            <w:rPr>
              <w:rFonts w:hint="eastAsia" w:ascii="宋体" w:hAnsi="宋体" w:eastAsia="宋体" w:cs="宋体"/>
              <w:spacing w:val="-12"/>
              <w:szCs w:val="28"/>
              <w:highlight w:val="none"/>
            </w:rPr>
            <w:t>15.变更</w:t>
          </w:r>
          <w:r>
            <w:tab/>
          </w:r>
          <w:r>
            <w:fldChar w:fldCharType="begin"/>
          </w:r>
          <w:r>
            <w:instrText xml:space="preserve"> PAGEREF _Toc26791 \h </w:instrText>
          </w:r>
          <w:r>
            <w:fldChar w:fldCharType="separate"/>
          </w:r>
          <w:r>
            <w:t>154</w:t>
          </w:r>
          <w:r>
            <w:fldChar w:fldCharType="end"/>
          </w:r>
          <w:r>
            <w:rPr>
              <w:rFonts w:hint="eastAsia" w:ascii="宋体" w:hAnsi="宋体" w:eastAsia="宋体" w:cs="宋体"/>
              <w:color w:val="auto"/>
              <w:szCs w:val="24"/>
              <w:highlight w:val="none"/>
            </w:rPr>
            <w:fldChar w:fldCharType="end"/>
          </w:r>
        </w:p>
        <w:p w14:paraId="6CE69AB9">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_Toc16822 </w:instrText>
          </w:r>
          <w:r>
            <w:rPr>
              <w:rFonts w:hint="eastAsia" w:ascii="宋体" w:hAnsi="宋体" w:eastAsia="宋体" w:cs="宋体"/>
              <w:szCs w:val="24"/>
              <w:highlight w:val="none"/>
            </w:rPr>
            <w:fldChar w:fldCharType="separate"/>
          </w:r>
          <w:r>
            <w:rPr>
              <w:rFonts w:hint="eastAsia" w:ascii="宋体" w:hAnsi="宋体" w:eastAsia="宋体" w:cs="宋体"/>
              <w:spacing w:val="-7"/>
              <w:szCs w:val="28"/>
              <w:highlight w:val="none"/>
            </w:rPr>
            <w:t>16.价格调整</w:t>
          </w:r>
          <w:r>
            <w:tab/>
          </w:r>
          <w:r>
            <w:fldChar w:fldCharType="begin"/>
          </w:r>
          <w:r>
            <w:instrText xml:space="preserve"> PAGEREF _Toc16822 \h </w:instrText>
          </w:r>
          <w:r>
            <w:fldChar w:fldCharType="separate"/>
          </w:r>
          <w:r>
            <w:t>155</w:t>
          </w:r>
          <w:r>
            <w:fldChar w:fldCharType="end"/>
          </w:r>
          <w:r>
            <w:rPr>
              <w:rFonts w:hint="eastAsia" w:ascii="宋体" w:hAnsi="宋体" w:eastAsia="宋体" w:cs="宋体"/>
              <w:color w:val="auto"/>
              <w:szCs w:val="24"/>
              <w:highlight w:val="none"/>
            </w:rPr>
            <w:fldChar w:fldCharType="end"/>
          </w:r>
        </w:p>
        <w:p w14:paraId="20EE24BB">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_Toc9777 </w:instrText>
          </w:r>
          <w:r>
            <w:rPr>
              <w:rFonts w:hint="eastAsia" w:ascii="宋体" w:hAnsi="宋体" w:eastAsia="宋体" w:cs="宋体"/>
              <w:szCs w:val="24"/>
              <w:highlight w:val="none"/>
            </w:rPr>
            <w:fldChar w:fldCharType="separate"/>
          </w:r>
          <w:r>
            <w:rPr>
              <w:rFonts w:hint="eastAsia" w:ascii="宋体" w:hAnsi="宋体" w:eastAsia="宋体" w:cs="宋体"/>
              <w:spacing w:val="-7"/>
              <w:szCs w:val="28"/>
              <w:highlight w:val="none"/>
            </w:rPr>
            <w:t>17.计量与支付</w:t>
          </w:r>
          <w:r>
            <w:tab/>
          </w:r>
          <w:r>
            <w:fldChar w:fldCharType="begin"/>
          </w:r>
          <w:r>
            <w:instrText xml:space="preserve"> PAGEREF _Toc9777 \h </w:instrText>
          </w:r>
          <w:r>
            <w:fldChar w:fldCharType="separate"/>
          </w:r>
          <w:r>
            <w:t>156</w:t>
          </w:r>
          <w:r>
            <w:fldChar w:fldCharType="end"/>
          </w:r>
          <w:r>
            <w:rPr>
              <w:rFonts w:hint="eastAsia" w:ascii="宋体" w:hAnsi="宋体" w:eastAsia="宋体" w:cs="宋体"/>
              <w:color w:val="auto"/>
              <w:szCs w:val="24"/>
              <w:highlight w:val="none"/>
            </w:rPr>
            <w:fldChar w:fldCharType="end"/>
          </w:r>
        </w:p>
        <w:p w14:paraId="29412D40">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_Toc22204 </w:instrText>
          </w:r>
          <w:r>
            <w:rPr>
              <w:rFonts w:hint="eastAsia" w:ascii="宋体" w:hAnsi="宋体" w:eastAsia="宋体" w:cs="宋体"/>
              <w:szCs w:val="24"/>
              <w:highlight w:val="none"/>
            </w:rPr>
            <w:fldChar w:fldCharType="separate"/>
          </w:r>
          <w:r>
            <w:rPr>
              <w:rFonts w:hint="eastAsia" w:ascii="宋体" w:hAnsi="宋体" w:eastAsia="宋体" w:cs="宋体"/>
              <w:spacing w:val="-7"/>
              <w:szCs w:val="28"/>
              <w:highlight w:val="none"/>
            </w:rPr>
            <w:t>18.交工验收</w:t>
          </w:r>
          <w:r>
            <w:tab/>
          </w:r>
          <w:r>
            <w:fldChar w:fldCharType="begin"/>
          </w:r>
          <w:r>
            <w:instrText xml:space="preserve"> PAGEREF _Toc22204 \h </w:instrText>
          </w:r>
          <w:r>
            <w:fldChar w:fldCharType="separate"/>
          </w:r>
          <w:r>
            <w:t>159</w:t>
          </w:r>
          <w:r>
            <w:fldChar w:fldCharType="end"/>
          </w:r>
          <w:r>
            <w:rPr>
              <w:rFonts w:hint="eastAsia" w:ascii="宋体" w:hAnsi="宋体" w:eastAsia="宋体" w:cs="宋体"/>
              <w:color w:val="auto"/>
              <w:szCs w:val="24"/>
              <w:highlight w:val="none"/>
            </w:rPr>
            <w:fldChar w:fldCharType="end"/>
          </w:r>
        </w:p>
        <w:p w14:paraId="50ECCF1D">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_Toc25687 </w:instrText>
          </w:r>
          <w:r>
            <w:rPr>
              <w:rFonts w:hint="eastAsia" w:ascii="宋体" w:hAnsi="宋体" w:eastAsia="宋体" w:cs="宋体"/>
              <w:szCs w:val="24"/>
              <w:highlight w:val="none"/>
            </w:rPr>
            <w:fldChar w:fldCharType="separate"/>
          </w:r>
          <w:r>
            <w:rPr>
              <w:rFonts w:hint="eastAsia" w:ascii="宋体" w:hAnsi="宋体" w:eastAsia="宋体" w:cs="宋体"/>
              <w:spacing w:val="-8"/>
              <w:szCs w:val="28"/>
              <w:highlight w:val="none"/>
            </w:rPr>
            <w:t>19.缺陷责任与保修责任</w:t>
          </w:r>
          <w:r>
            <w:tab/>
          </w:r>
          <w:r>
            <w:fldChar w:fldCharType="begin"/>
          </w:r>
          <w:r>
            <w:instrText xml:space="preserve"> PAGEREF _Toc25687 \h </w:instrText>
          </w:r>
          <w:r>
            <w:fldChar w:fldCharType="separate"/>
          </w:r>
          <w:r>
            <w:t>160</w:t>
          </w:r>
          <w:r>
            <w:fldChar w:fldCharType="end"/>
          </w:r>
          <w:r>
            <w:rPr>
              <w:rFonts w:hint="eastAsia" w:ascii="宋体" w:hAnsi="宋体" w:eastAsia="宋体" w:cs="宋体"/>
              <w:color w:val="auto"/>
              <w:szCs w:val="24"/>
              <w:highlight w:val="none"/>
            </w:rPr>
            <w:fldChar w:fldCharType="end"/>
          </w:r>
        </w:p>
        <w:p w14:paraId="5BC02B1B">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_Toc29255 </w:instrText>
          </w:r>
          <w:r>
            <w:rPr>
              <w:rFonts w:hint="eastAsia" w:ascii="宋体" w:hAnsi="宋体" w:eastAsia="宋体" w:cs="宋体"/>
              <w:szCs w:val="24"/>
              <w:highlight w:val="none"/>
            </w:rPr>
            <w:fldChar w:fldCharType="separate"/>
          </w:r>
          <w:r>
            <w:rPr>
              <w:rFonts w:hint="eastAsia" w:ascii="宋体" w:hAnsi="宋体" w:eastAsia="宋体" w:cs="宋体"/>
              <w:spacing w:val="-4"/>
              <w:szCs w:val="28"/>
              <w:highlight w:val="none"/>
            </w:rPr>
            <w:t>20.保险</w:t>
          </w:r>
          <w:r>
            <w:tab/>
          </w:r>
          <w:r>
            <w:fldChar w:fldCharType="begin"/>
          </w:r>
          <w:r>
            <w:instrText xml:space="preserve"> PAGEREF _Toc29255 \h </w:instrText>
          </w:r>
          <w:r>
            <w:fldChar w:fldCharType="separate"/>
          </w:r>
          <w:r>
            <w:t>161</w:t>
          </w:r>
          <w:r>
            <w:fldChar w:fldCharType="end"/>
          </w:r>
          <w:r>
            <w:rPr>
              <w:rFonts w:hint="eastAsia" w:ascii="宋体" w:hAnsi="宋体" w:eastAsia="宋体" w:cs="宋体"/>
              <w:color w:val="auto"/>
              <w:szCs w:val="24"/>
              <w:highlight w:val="none"/>
            </w:rPr>
            <w:fldChar w:fldCharType="end"/>
          </w:r>
        </w:p>
        <w:p w14:paraId="6D85D63D">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_Toc9956 </w:instrText>
          </w:r>
          <w:r>
            <w:rPr>
              <w:rFonts w:hint="eastAsia" w:ascii="宋体" w:hAnsi="宋体" w:eastAsia="宋体" w:cs="宋体"/>
              <w:szCs w:val="24"/>
              <w:highlight w:val="none"/>
            </w:rPr>
            <w:fldChar w:fldCharType="separate"/>
          </w:r>
          <w:r>
            <w:rPr>
              <w:rFonts w:hint="eastAsia" w:ascii="宋体" w:hAnsi="宋体" w:eastAsia="宋体" w:cs="宋体"/>
              <w:spacing w:val="-3"/>
              <w:szCs w:val="28"/>
              <w:highlight w:val="none"/>
            </w:rPr>
            <w:t>21.不可抗力</w:t>
          </w:r>
          <w:r>
            <w:tab/>
          </w:r>
          <w:r>
            <w:fldChar w:fldCharType="begin"/>
          </w:r>
          <w:r>
            <w:instrText xml:space="preserve"> PAGEREF _Toc9956 \h </w:instrText>
          </w:r>
          <w:r>
            <w:fldChar w:fldCharType="separate"/>
          </w:r>
          <w:r>
            <w:t>162</w:t>
          </w:r>
          <w:r>
            <w:fldChar w:fldCharType="end"/>
          </w:r>
          <w:r>
            <w:rPr>
              <w:rFonts w:hint="eastAsia" w:ascii="宋体" w:hAnsi="宋体" w:eastAsia="宋体" w:cs="宋体"/>
              <w:color w:val="auto"/>
              <w:szCs w:val="24"/>
              <w:highlight w:val="none"/>
            </w:rPr>
            <w:fldChar w:fldCharType="end"/>
          </w:r>
        </w:p>
        <w:p w14:paraId="73AED126">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_Toc27516 </w:instrText>
          </w:r>
          <w:r>
            <w:rPr>
              <w:rFonts w:hint="eastAsia" w:ascii="宋体" w:hAnsi="宋体" w:eastAsia="宋体" w:cs="宋体"/>
              <w:szCs w:val="24"/>
              <w:highlight w:val="none"/>
            </w:rPr>
            <w:fldChar w:fldCharType="separate"/>
          </w:r>
          <w:r>
            <w:rPr>
              <w:rFonts w:hint="eastAsia" w:ascii="宋体" w:hAnsi="宋体" w:eastAsia="宋体" w:cs="宋体"/>
              <w:spacing w:val="-4"/>
              <w:szCs w:val="28"/>
              <w:highlight w:val="none"/>
            </w:rPr>
            <w:t>22.违约</w:t>
          </w:r>
          <w:r>
            <w:tab/>
          </w:r>
          <w:r>
            <w:fldChar w:fldCharType="begin"/>
          </w:r>
          <w:r>
            <w:instrText xml:space="preserve"> PAGEREF _Toc27516 \h </w:instrText>
          </w:r>
          <w:r>
            <w:fldChar w:fldCharType="separate"/>
          </w:r>
          <w:r>
            <w:t>163</w:t>
          </w:r>
          <w:r>
            <w:fldChar w:fldCharType="end"/>
          </w:r>
          <w:r>
            <w:rPr>
              <w:rFonts w:hint="eastAsia" w:ascii="宋体" w:hAnsi="宋体" w:eastAsia="宋体" w:cs="宋体"/>
              <w:color w:val="auto"/>
              <w:szCs w:val="24"/>
              <w:highlight w:val="none"/>
            </w:rPr>
            <w:fldChar w:fldCharType="end"/>
          </w:r>
        </w:p>
        <w:p w14:paraId="622B2D47">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_Toc19181 </w:instrText>
          </w:r>
          <w:r>
            <w:rPr>
              <w:rFonts w:hint="eastAsia" w:ascii="宋体" w:hAnsi="宋体" w:eastAsia="宋体" w:cs="宋体"/>
              <w:szCs w:val="24"/>
              <w:highlight w:val="none"/>
            </w:rPr>
            <w:fldChar w:fldCharType="separate"/>
          </w:r>
          <w:r>
            <w:rPr>
              <w:rFonts w:hint="eastAsia" w:ascii="宋体" w:hAnsi="宋体" w:eastAsia="宋体" w:cs="宋体"/>
              <w:spacing w:val="-4"/>
              <w:szCs w:val="28"/>
              <w:highlight w:val="none"/>
            </w:rPr>
            <w:t>23.索赔</w:t>
          </w:r>
          <w:r>
            <w:tab/>
          </w:r>
          <w:r>
            <w:fldChar w:fldCharType="begin"/>
          </w:r>
          <w:r>
            <w:instrText xml:space="preserve"> PAGEREF _Toc19181 \h </w:instrText>
          </w:r>
          <w:r>
            <w:fldChar w:fldCharType="separate"/>
          </w:r>
          <w:r>
            <w:t>164</w:t>
          </w:r>
          <w:r>
            <w:fldChar w:fldCharType="end"/>
          </w:r>
          <w:r>
            <w:rPr>
              <w:rFonts w:hint="eastAsia" w:ascii="宋体" w:hAnsi="宋体" w:eastAsia="宋体" w:cs="宋体"/>
              <w:color w:val="auto"/>
              <w:szCs w:val="24"/>
              <w:highlight w:val="none"/>
            </w:rPr>
            <w:fldChar w:fldCharType="end"/>
          </w:r>
        </w:p>
        <w:p w14:paraId="33F3D07A">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_Toc29674 </w:instrText>
          </w:r>
          <w:r>
            <w:rPr>
              <w:rFonts w:hint="eastAsia" w:ascii="宋体" w:hAnsi="宋体" w:eastAsia="宋体" w:cs="宋体"/>
              <w:szCs w:val="24"/>
              <w:highlight w:val="none"/>
            </w:rPr>
            <w:fldChar w:fldCharType="separate"/>
          </w:r>
          <w:r>
            <w:rPr>
              <w:rFonts w:hint="eastAsia" w:ascii="宋体" w:hAnsi="宋体" w:eastAsia="宋体" w:cs="宋体"/>
              <w:spacing w:val="-4"/>
              <w:szCs w:val="28"/>
              <w:highlight w:val="none"/>
            </w:rPr>
            <w:t>24.争议的解决</w:t>
          </w:r>
          <w:r>
            <w:tab/>
          </w:r>
          <w:r>
            <w:fldChar w:fldCharType="begin"/>
          </w:r>
          <w:r>
            <w:instrText xml:space="preserve"> PAGEREF _Toc29674 \h </w:instrText>
          </w:r>
          <w:r>
            <w:fldChar w:fldCharType="separate"/>
          </w:r>
          <w:r>
            <w:t>165</w:t>
          </w:r>
          <w:r>
            <w:fldChar w:fldCharType="end"/>
          </w:r>
          <w:r>
            <w:rPr>
              <w:rFonts w:hint="eastAsia" w:ascii="宋体" w:hAnsi="宋体" w:eastAsia="宋体" w:cs="宋体"/>
              <w:color w:val="auto"/>
              <w:szCs w:val="24"/>
              <w:highlight w:val="none"/>
            </w:rPr>
            <w:fldChar w:fldCharType="end"/>
          </w:r>
        </w:p>
        <w:p w14:paraId="02541444">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_Toc22005 </w:instrText>
          </w:r>
          <w:r>
            <w:rPr>
              <w:rFonts w:hint="eastAsia" w:ascii="宋体" w:hAnsi="宋体" w:eastAsia="宋体" w:cs="宋体"/>
              <w:szCs w:val="24"/>
              <w:highlight w:val="none"/>
            </w:rPr>
            <w:fldChar w:fldCharType="separate"/>
          </w:r>
          <w:r>
            <w:rPr>
              <w:rFonts w:hint="eastAsia" w:ascii="宋体" w:hAnsi="宋体" w:eastAsia="宋体" w:cs="宋体"/>
              <w:spacing w:val="7"/>
              <w:szCs w:val="31"/>
              <w:highlight w:val="none"/>
            </w:rPr>
            <w:t>B.项目专用合同条款</w:t>
          </w:r>
          <w:r>
            <w:tab/>
          </w:r>
          <w:r>
            <w:fldChar w:fldCharType="begin"/>
          </w:r>
          <w:r>
            <w:instrText xml:space="preserve"> PAGEREF _Toc22005 \h </w:instrText>
          </w:r>
          <w:r>
            <w:fldChar w:fldCharType="separate"/>
          </w:r>
          <w:r>
            <w:t>167</w:t>
          </w:r>
          <w:r>
            <w:fldChar w:fldCharType="end"/>
          </w:r>
          <w:r>
            <w:rPr>
              <w:rFonts w:hint="eastAsia" w:ascii="宋体" w:hAnsi="宋体" w:eastAsia="宋体" w:cs="宋体"/>
              <w:color w:val="auto"/>
              <w:szCs w:val="24"/>
              <w:highlight w:val="none"/>
            </w:rPr>
            <w:fldChar w:fldCharType="end"/>
          </w:r>
        </w:p>
        <w:p w14:paraId="227557C9">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_Toc16387 </w:instrText>
          </w:r>
          <w:r>
            <w:rPr>
              <w:rFonts w:hint="eastAsia" w:ascii="宋体" w:hAnsi="宋体" w:eastAsia="宋体" w:cs="宋体"/>
              <w:szCs w:val="24"/>
              <w:highlight w:val="none"/>
            </w:rPr>
            <w:fldChar w:fldCharType="separate"/>
          </w:r>
          <w:r>
            <w:rPr>
              <w:rFonts w:hint="eastAsia" w:ascii="宋体" w:hAnsi="宋体" w:eastAsia="宋体" w:cs="宋体"/>
              <w:spacing w:val="8"/>
              <w:szCs w:val="31"/>
              <w:highlight w:val="none"/>
            </w:rPr>
            <w:t>项目专用合同条款数据表</w:t>
          </w:r>
          <w:r>
            <w:tab/>
          </w:r>
          <w:r>
            <w:fldChar w:fldCharType="begin"/>
          </w:r>
          <w:r>
            <w:instrText xml:space="preserve"> PAGEREF _Toc16387 \h </w:instrText>
          </w:r>
          <w:r>
            <w:fldChar w:fldCharType="separate"/>
          </w:r>
          <w:r>
            <w:t>168</w:t>
          </w:r>
          <w:r>
            <w:fldChar w:fldCharType="end"/>
          </w:r>
          <w:r>
            <w:rPr>
              <w:rFonts w:hint="eastAsia" w:ascii="宋体" w:hAnsi="宋体" w:eastAsia="宋体" w:cs="宋体"/>
              <w:color w:val="auto"/>
              <w:szCs w:val="24"/>
              <w:highlight w:val="none"/>
            </w:rPr>
            <w:fldChar w:fldCharType="end"/>
          </w:r>
        </w:p>
        <w:p w14:paraId="1BCB5A1D">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_Toc7097 </w:instrText>
          </w:r>
          <w:r>
            <w:rPr>
              <w:rFonts w:hint="eastAsia" w:ascii="宋体" w:hAnsi="宋体" w:eastAsia="宋体" w:cs="宋体"/>
              <w:szCs w:val="24"/>
              <w:highlight w:val="none"/>
            </w:rPr>
            <w:fldChar w:fldCharType="separate"/>
          </w:r>
          <w:r>
            <w:rPr>
              <w:rFonts w:hint="eastAsia" w:ascii="宋体" w:hAnsi="宋体" w:eastAsia="宋体" w:cs="宋体"/>
              <w:spacing w:val="8"/>
              <w:szCs w:val="31"/>
              <w:highlight w:val="none"/>
            </w:rPr>
            <w:t>项目专用合同条款</w:t>
          </w:r>
          <w:r>
            <w:tab/>
          </w:r>
          <w:r>
            <w:fldChar w:fldCharType="begin"/>
          </w:r>
          <w:r>
            <w:instrText xml:space="preserve"> PAGEREF _Toc7097 \h </w:instrText>
          </w:r>
          <w:r>
            <w:fldChar w:fldCharType="separate"/>
          </w:r>
          <w:r>
            <w:t>170</w:t>
          </w:r>
          <w:r>
            <w:fldChar w:fldCharType="end"/>
          </w:r>
          <w:r>
            <w:rPr>
              <w:rFonts w:hint="eastAsia" w:ascii="宋体" w:hAnsi="宋体" w:eastAsia="宋体" w:cs="宋体"/>
              <w:color w:val="auto"/>
              <w:szCs w:val="24"/>
              <w:highlight w:val="none"/>
            </w:rPr>
            <w:fldChar w:fldCharType="end"/>
          </w:r>
        </w:p>
        <w:p w14:paraId="7E15FC76">
          <w:pPr>
            <w:pStyle w:val="8"/>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_Toc7079 </w:instrText>
          </w:r>
          <w:r>
            <w:rPr>
              <w:rFonts w:hint="eastAsia" w:ascii="宋体" w:hAnsi="宋体" w:eastAsia="宋体" w:cs="宋体"/>
              <w:szCs w:val="24"/>
              <w:highlight w:val="none"/>
            </w:rPr>
            <w:fldChar w:fldCharType="separate"/>
          </w:r>
          <w:r>
            <w:rPr>
              <w:rFonts w:hint="eastAsia" w:ascii="宋体" w:hAnsi="宋体" w:eastAsia="宋体" w:cs="宋体"/>
              <w:bCs/>
              <w:spacing w:val="4"/>
              <w:szCs w:val="43"/>
              <w:highlight w:val="none"/>
            </w:rPr>
            <w:t>第三节合同附件格式</w:t>
          </w:r>
          <w:r>
            <w:tab/>
          </w:r>
          <w:r>
            <w:fldChar w:fldCharType="begin"/>
          </w:r>
          <w:r>
            <w:instrText xml:space="preserve"> PAGEREF _Toc7079 \h </w:instrText>
          </w:r>
          <w:r>
            <w:fldChar w:fldCharType="separate"/>
          </w:r>
          <w:r>
            <w:t>173</w:t>
          </w:r>
          <w:r>
            <w:fldChar w:fldCharType="end"/>
          </w:r>
          <w:r>
            <w:rPr>
              <w:rFonts w:hint="eastAsia" w:ascii="宋体" w:hAnsi="宋体" w:eastAsia="宋体" w:cs="宋体"/>
              <w:color w:val="auto"/>
              <w:szCs w:val="24"/>
              <w:highlight w:val="none"/>
            </w:rPr>
            <w:fldChar w:fldCharType="end"/>
          </w:r>
        </w:p>
        <w:p w14:paraId="12B816D4">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_Toc161 </w:instrText>
          </w:r>
          <w:r>
            <w:rPr>
              <w:rFonts w:hint="eastAsia" w:ascii="宋体" w:hAnsi="宋体" w:eastAsia="宋体" w:cs="宋体"/>
              <w:szCs w:val="24"/>
              <w:highlight w:val="none"/>
            </w:rPr>
            <w:fldChar w:fldCharType="separate"/>
          </w:r>
          <w:r>
            <w:rPr>
              <w:rFonts w:hint="eastAsia" w:ascii="宋体" w:hAnsi="宋体" w:eastAsia="宋体" w:cs="宋体"/>
              <w:spacing w:val="-3"/>
              <w:szCs w:val="24"/>
              <w:highlight w:val="none"/>
            </w:rPr>
            <w:t>附件一合同协议书</w:t>
          </w:r>
          <w:r>
            <w:tab/>
          </w:r>
          <w:r>
            <w:fldChar w:fldCharType="begin"/>
          </w:r>
          <w:r>
            <w:instrText xml:space="preserve"> PAGEREF _Toc161 \h </w:instrText>
          </w:r>
          <w:r>
            <w:fldChar w:fldCharType="separate"/>
          </w:r>
          <w:r>
            <w:t>174</w:t>
          </w:r>
          <w:r>
            <w:fldChar w:fldCharType="end"/>
          </w:r>
          <w:r>
            <w:rPr>
              <w:rFonts w:hint="eastAsia" w:ascii="宋体" w:hAnsi="宋体" w:eastAsia="宋体" w:cs="宋体"/>
              <w:color w:val="auto"/>
              <w:szCs w:val="24"/>
              <w:highlight w:val="none"/>
            </w:rPr>
            <w:fldChar w:fldCharType="end"/>
          </w:r>
        </w:p>
        <w:p w14:paraId="0705AED4">
          <w:pPr>
            <w:pStyle w:val="7"/>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_Toc2455 </w:instrText>
          </w:r>
          <w:r>
            <w:rPr>
              <w:rFonts w:hint="eastAsia" w:ascii="宋体" w:hAnsi="宋体" w:eastAsia="宋体" w:cs="宋体"/>
              <w:szCs w:val="24"/>
              <w:highlight w:val="none"/>
            </w:rPr>
            <w:fldChar w:fldCharType="separate"/>
          </w:r>
          <w:r>
            <w:rPr>
              <w:rFonts w:hint="eastAsia" w:ascii="宋体" w:hAnsi="宋体" w:eastAsia="宋体" w:cs="宋体"/>
              <w:bCs/>
              <w:kern w:val="44"/>
              <w:szCs w:val="32"/>
              <w:highlight w:val="none"/>
              <w:lang w:val="en-US" w:eastAsia="zh-CN" w:bidi="ar-SA"/>
            </w:rPr>
            <w:t>一、合同协议书</w:t>
          </w:r>
          <w:r>
            <w:tab/>
          </w:r>
          <w:r>
            <w:fldChar w:fldCharType="begin"/>
          </w:r>
          <w:r>
            <w:instrText xml:space="preserve"> PAGEREF _Toc2455 \h </w:instrText>
          </w:r>
          <w:r>
            <w:fldChar w:fldCharType="separate"/>
          </w:r>
          <w:r>
            <w:t>174</w:t>
          </w:r>
          <w:r>
            <w:fldChar w:fldCharType="end"/>
          </w:r>
          <w:r>
            <w:rPr>
              <w:rFonts w:hint="eastAsia" w:ascii="宋体" w:hAnsi="宋体" w:eastAsia="宋体" w:cs="宋体"/>
              <w:color w:val="auto"/>
              <w:szCs w:val="24"/>
              <w:highlight w:val="none"/>
            </w:rPr>
            <w:fldChar w:fldCharType="end"/>
          </w:r>
        </w:p>
        <w:p w14:paraId="364CE7C9">
          <w:pPr>
            <w:pStyle w:val="7"/>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_Toc23106 </w:instrText>
          </w:r>
          <w:r>
            <w:rPr>
              <w:rFonts w:hint="eastAsia" w:ascii="宋体" w:hAnsi="宋体" w:eastAsia="宋体" w:cs="宋体"/>
              <w:szCs w:val="24"/>
              <w:highlight w:val="none"/>
            </w:rPr>
            <w:fldChar w:fldCharType="separate"/>
          </w:r>
          <w:r>
            <w:rPr>
              <w:rFonts w:hint="eastAsia" w:ascii="宋体" w:hAnsi="宋体" w:eastAsia="宋体" w:cs="宋体"/>
              <w:kern w:val="44"/>
              <w:szCs w:val="32"/>
              <w:highlight w:val="none"/>
              <w:lang w:val="en-US" w:eastAsia="zh-CN" w:bidi="ar-SA"/>
            </w:rPr>
            <w:t>二、廉政合同</w:t>
          </w:r>
          <w:r>
            <w:tab/>
          </w:r>
          <w:r>
            <w:fldChar w:fldCharType="begin"/>
          </w:r>
          <w:r>
            <w:instrText xml:space="preserve"> PAGEREF _Toc23106 \h </w:instrText>
          </w:r>
          <w:r>
            <w:fldChar w:fldCharType="separate"/>
          </w:r>
          <w:r>
            <w:t>177</w:t>
          </w:r>
          <w:r>
            <w:fldChar w:fldCharType="end"/>
          </w:r>
          <w:r>
            <w:rPr>
              <w:rFonts w:hint="eastAsia" w:ascii="宋体" w:hAnsi="宋体" w:eastAsia="宋体" w:cs="宋体"/>
              <w:color w:val="auto"/>
              <w:szCs w:val="24"/>
              <w:highlight w:val="none"/>
            </w:rPr>
            <w:fldChar w:fldCharType="end"/>
          </w:r>
        </w:p>
        <w:p w14:paraId="046DFA61">
          <w:pPr>
            <w:pStyle w:val="7"/>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_Toc3730 </w:instrText>
          </w:r>
          <w:r>
            <w:rPr>
              <w:rFonts w:hint="eastAsia" w:ascii="宋体" w:hAnsi="宋体" w:eastAsia="宋体" w:cs="宋体"/>
              <w:szCs w:val="24"/>
              <w:highlight w:val="none"/>
            </w:rPr>
            <w:fldChar w:fldCharType="separate"/>
          </w:r>
          <w:r>
            <w:rPr>
              <w:rFonts w:hint="eastAsia" w:ascii="宋体" w:hAnsi="宋体" w:eastAsia="宋体" w:cs="宋体"/>
              <w:bCs/>
              <w:kern w:val="44"/>
              <w:szCs w:val="32"/>
              <w:highlight w:val="none"/>
              <w:lang w:val="en-US" w:eastAsia="zh-CN" w:bidi="ar-SA"/>
            </w:rPr>
            <w:t>三、安全生产合同</w:t>
          </w:r>
          <w:r>
            <w:tab/>
          </w:r>
          <w:r>
            <w:fldChar w:fldCharType="begin"/>
          </w:r>
          <w:r>
            <w:instrText xml:space="preserve"> PAGEREF _Toc3730 \h </w:instrText>
          </w:r>
          <w:r>
            <w:fldChar w:fldCharType="separate"/>
          </w:r>
          <w:r>
            <w:t>179</w:t>
          </w:r>
          <w:r>
            <w:fldChar w:fldCharType="end"/>
          </w:r>
          <w:r>
            <w:rPr>
              <w:rFonts w:hint="eastAsia" w:ascii="宋体" w:hAnsi="宋体" w:eastAsia="宋体" w:cs="宋体"/>
              <w:color w:val="auto"/>
              <w:szCs w:val="24"/>
              <w:highlight w:val="none"/>
            </w:rPr>
            <w:fldChar w:fldCharType="end"/>
          </w:r>
        </w:p>
        <w:p w14:paraId="524E1588">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_Toc30136 </w:instrText>
          </w:r>
          <w:r>
            <w:rPr>
              <w:rFonts w:hint="eastAsia" w:ascii="宋体" w:hAnsi="宋体" w:eastAsia="宋体" w:cs="宋体"/>
              <w:szCs w:val="24"/>
              <w:highlight w:val="none"/>
            </w:rPr>
            <w:fldChar w:fldCharType="separate"/>
          </w:r>
          <w:r>
            <w:rPr>
              <w:rFonts w:hint="eastAsia" w:ascii="宋体" w:hAnsi="宋体" w:eastAsia="宋体" w:cs="宋体"/>
              <w:spacing w:val="-2"/>
              <w:szCs w:val="24"/>
              <w:highlight w:val="none"/>
            </w:rPr>
            <w:t>附件四其他管理和技术人员最低要求</w:t>
          </w:r>
          <w:r>
            <w:rPr>
              <w:rFonts w:hint="eastAsia" w:ascii="宋体" w:hAnsi="宋体" w:eastAsia="宋体" w:cs="宋体"/>
              <w:bCs/>
              <w:spacing w:val="-2"/>
              <w:position w:val="10"/>
              <w:szCs w:val="12"/>
              <w:highlight w:val="none"/>
            </w:rPr>
            <w:t>①</w:t>
          </w:r>
          <w:r>
            <w:tab/>
          </w:r>
          <w:r>
            <w:fldChar w:fldCharType="begin"/>
          </w:r>
          <w:r>
            <w:instrText xml:space="preserve"> PAGEREF _Toc30136 \h </w:instrText>
          </w:r>
          <w:r>
            <w:fldChar w:fldCharType="separate"/>
          </w:r>
          <w:r>
            <w:t>181</w:t>
          </w:r>
          <w:r>
            <w:fldChar w:fldCharType="end"/>
          </w:r>
          <w:r>
            <w:rPr>
              <w:rFonts w:hint="eastAsia" w:ascii="宋体" w:hAnsi="宋体" w:eastAsia="宋体" w:cs="宋体"/>
              <w:color w:val="auto"/>
              <w:szCs w:val="24"/>
              <w:highlight w:val="none"/>
            </w:rPr>
            <w:fldChar w:fldCharType="end"/>
          </w:r>
        </w:p>
        <w:p w14:paraId="05DEB22F">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_Toc29815 </w:instrText>
          </w:r>
          <w:r>
            <w:rPr>
              <w:rFonts w:hint="eastAsia" w:ascii="宋体" w:hAnsi="宋体" w:eastAsia="宋体" w:cs="宋体"/>
              <w:szCs w:val="24"/>
              <w:highlight w:val="none"/>
            </w:rPr>
            <w:fldChar w:fldCharType="separate"/>
          </w:r>
          <w:r>
            <w:rPr>
              <w:rFonts w:hint="eastAsia" w:ascii="宋体" w:hAnsi="宋体" w:eastAsia="宋体" w:cs="宋体"/>
              <w:spacing w:val="-1"/>
              <w:szCs w:val="24"/>
              <w:highlight w:val="none"/>
            </w:rPr>
            <w:t>附件五主要机械设备和试验检测设备最低</w:t>
          </w:r>
          <w:r>
            <w:rPr>
              <w:rFonts w:hint="eastAsia" w:ascii="宋体" w:hAnsi="宋体" w:eastAsia="宋体" w:cs="宋体"/>
              <w:spacing w:val="-2"/>
              <w:szCs w:val="24"/>
              <w:highlight w:val="none"/>
            </w:rPr>
            <w:t>要求</w:t>
          </w:r>
          <w:r>
            <w:rPr>
              <w:rFonts w:hint="eastAsia" w:ascii="宋体" w:hAnsi="宋体" w:eastAsia="宋体" w:cs="宋体"/>
              <w:bCs/>
              <w:spacing w:val="-2"/>
              <w:position w:val="10"/>
              <w:szCs w:val="12"/>
              <w:highlight w:val="none"/>
            </w:rPr>
            <w:t>①</w:t>
          </w:r>
          <w:r>
            <w:tab/>
          </w:r>
          <w:r>
            <w:fldChar w:fldCharType="begin"/>
          </w:r>
          <w:r>
            <w:instrText xml:space="preserve"> PAGEREF _Toc29815 \h </w:instrText>
          </w:r>
          <w:r>
            <w:fldChar w:fldCharType="separate"/>
          </w:r>
          <w:r>
            <w:t>182</w:t>
          </w:r>
          <w:r>
            <w:fldChar w:fldCharType="end"/>
          </w:r>
          <w:r>
            <w:rPr>
              <w:rFonts w:hint="eastAsia" w:ascii="宋体" w:hAnsi="宋体" w:eastAsia="宋体" w:cs="宋体"/>
              <w:color w:val="auto"/>
              <w:szCs w:val="24"/>
              <w:highlight w:val="none"/>
            </w:rPr>
            <w:fldChar w:fldCharType="end"/>
          </w:r>
        </w:p>
        <w:p w14:paraId="1B196090">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_Toc23129 </w:instrText>
          </w:r>
          <w:r>
            <w:rPr>
              <w:rFonts w:hint="eastAsia" w:ascii="宋体" w:hAnsi="宋体" w:eastAsia="宋体" w:cs="宋体"/>
              <w:szCs w:val="24"/>
              <w:highlight w:val="none"/>
            </w:rPr>
            <w:fldChar w:fldCharType="separate"/>
          </w:r>
          <w:r>
            <w:rPr>
              <w:rFonts w:hint="eastAsia" w:ascii="宋体" w:hAnsi="宋体" w:eastAsia="宋体" w:cs="宋体"/>
              <w:spacing w:val="-3"/>
              <w:szCs w:val="24"/>
              <w:highlight w:val="none"/>
            </w:rPr>
            <w:t>附件六项目经理委任书</w:t>
          </w:r>
          <w:r>
            <w:tab/>
          </w:r>
          <w:r>
            <w:fldChar w:fldCharType="begin"/>
          </w:r>
          <w:r>
            <w:instrText xml:space="preserve"> PAGEREF _Toc23129 \h </w:instrText>
          </w:r>
          <w:r>
            <w:fldChar w:fldCharType="separate"/>
          </w:r>
          <w:r>
            <w:t>183</w:t>
          </w:r>
          <w:r>
            <w:fldChar w:fldCharType="end"/>
          </w:r>
          <w:r>
            <w:rPr>
              <w:rFonts w:hint="eastAsia" w:ascii="宋体" w:hAnsi="宋体" w:eastAsia="宋体" w:cs="宋体"/>
              <w:color w:val="auto"/>
              <w:szCs w:val="24"/>
              <w:highlight w:val="none"/>
            </w:rPr>
            <w:fldChar w:fldCharType="end"/>
          </w:r>
        </w:p>
        <w:p w14:paraId="4D1B27E9">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_Toc17985 </w:instrText>
          </w:r>
          <w:r>
            <w:rPr>
              <w:rFonts w:hint="eastAsia" w:ascii="宋体" w:hAnsi="宋体" w:eastAsia="宋体" w:cs="宋体"/>
              <w:szCs w:val="24"/>
              <w:highlight w:val="none"/>
            </w:rPr>
            <w:fldChar w:fldCharType="separate"/>
          </w:r>
          <w:r>
            <w:rPr>
              <w:rFonts w:hint="eastAsia" w:ascii="宋体" w:hAnsi="宋体" w:eastAsia="宋体" w:cs="宋体"/>
              <w:spacing w:val="-3"/>
              <w:szCs w:val="24"/>
              <w:highlight w:val="none"/>
            </w:rPr>
            <w:t>附件七履约保证金格式</w:t>
          </w:r>
          <w:r>
            <w:tab/>
          </w:r>
          <w:r>
            <w:fldChar w:fldCharType="begin"/>
          </w:r>
          <w:r>
            <w:instrText xml:space="preserve"> PAGEREF _Toc17985 \h </w:instrText>
          </w:r>
          <w:r>
            <w:fldChar w:fldCharType="separate"/>
          </w:r>
          <w:r>
            <w:t>184</w:t>
          </w:r>
          <w:r>
            <w:fldChar w:fldCharType="end"/>
          </w:r>
          <w:r>
            <w:rPr>
              <w:rFonts w:hint="eastAsia" w:ascii="宋体" w:hAnsi="宋体" w:eastAsia="宋体" w:cs="宋体"/>
              <w:color w:val="auto"/>
              <w:szCs w:val="24"/>
              <w:highlight w:val="none"/>
            </w:rPr>
            <w:fldChar w:fldCharType="end"/>
          </w:r>
        </w:p>
        <w:p w14:paraId="6FE88E2D">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_Toc7693 </w:instrText>
          </w:r>
          <w:r>
            <w:rPr>
              <w:rFonts w:hint="eastAsia" w:ascii="宋体" w:hAnsi="宋体" w:eastAsia="宋体" w:cs="宋体"/>
              <w:szCs w:val="24"/>
              <w:highlight w:val="none"/>
            </w:rPr>
            <w:fldChar w:fldCharType="separate"/>
          </w:r>
          <w:r>
            <w:rPr>
              <w:rFonts w:hint="eastAsia" w:ascii="宋体" w:hAnsi="宋体" w:eastAsia="宋体" w:cs="宋体"/>
              <w:spacing w:val="-2"/>
              <w:szCs w:val="24"/>
              <w:highlight w:val="none"/>
            </w:rPr>
            <w:t>附件八工程资金监管协议格式</w:t>
          </w:r>
          <w:r>
            <w:tab/>
          </w:r>
          <w:r>
            <w:fldChar w:fldCharType="begin"/>
          </w:r>
          <w:r>
            <w:instrText xml:space="preserve"> PAGEREF _Toc7693 \h </w:instrText>
          </w:r>
          <w:r>
            <w:fldChar w:fldCharType="separate"/>
          </w:r>
          <w:r>
            <w:t>185</w:t>
          </w:r>
          <w:r>
            <w:fldChar w:fldCharType="end"/>
          </w:r>
          <w:r>
            <w:rPr>
              <w:rFonts w:hint="eastAsia" w:ascii="宋体" w:hAnsi="宋体" w:eastAsia="宋体" w:cs="宋体"/>
              <w:color w:val="auto"/>
              <w:szCs w:val="24"/>
              <w:highlight w:val="none"/>
            </w:rPr>
            <w:fldChar w:fldCharType="end"/>
          </w:r>
        </w:p>
        <w:p w14:paraId="5D6BB155">
          <w:pPr>
            <w:pStyle w:val="7"/>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_Toc10131 </w:instrText>
          </w:r>
          <w:r>
            <w:rPr>
              <w:rFonts w:hint="eastAsia" w:ascii="宋体" w:hAnsi="宋体" w:eastAsia="宋体" w:cs="宋体"/>
              <w:szCs w:val="24"/>
              <w:highlight w:val="none"/>
            </w:rPr>
            <w:fldChar w:fldCharType="separate"/>
          </w:r>
          <w:r>
            <w:rPr>
              <w:rFonts w:hint="eastAsia" w:ascii="宋体" w:hAnsi="宋体" w:eastAsia="宋体" w:cs="宋体"/>
              <w:spacing w:val="8"/>
              <w:szCs w:val="35"/>
              <w:highlight w:val="none"/>
            </w:rPr>
            <w:t>第五章工程量清单</w:t>
          </w:r>
          <w:r>
            <w:tab/>
          </w:r>
          <w:r>
            <w:fldChar w:fldCharType="begin"/>
          </w:r>
          <w:r>
            <w:instrText xml:space="preserve"> PAGEREF _Toc10131 \h </w:instrText>
          </w:r>
          <w:r>
            <w:fldChar w:fldCharType="separate"/>
          </w:r>
          <w:r>
            <w:t>189</w:t>
          </w:r>
          <w:r>
            <w:fldChar w:fldCharType="end"/>
          </w:r>
          <w:r>
            <w:rPr>
              <w:rFonts w:hint="eastAsia" w:ascii="宋体" w:hAnsi="宋体" w:eastAsia="宋体" w:cs="宋体"/>
              <w:color w:val="auto"/>
              <w:szCs w:val="24"/>
              <w:highlight w:val="none"/>
            </w:rPr>
            <w:fldChar w:fldCharType="end"/>
          </w:r>
        </w:p>
        <w:p w14:paraId="4F8CD318">
          <w:pPr>
            <w:pStyle w:val="8"/>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_Toc28148 </w:instrText>
          </w:r>
          <w:r>
            <w:rPr>
              <w:rFonts w:hint="eastAsia" w:ascii="宋体" w:hAnsi="宋体" w:eastAsia="宋体" w:cs="宋体"/>
              <w:szCs w:val="24"/>
              <w:highlight w:val="none"/>
            </w:rPr>
            <w:fldChar w:fldCharType="separate"/>
          </w:r>
          <w:r>
            <w:rPr>
              <w:rFonts w:hint="eastAsia" w:ascii="宋体" w:hAnsi="宋体" w:eastAsia="宋体" w:cs="宋体"/>
              <w:spacing w:val="-4"/>
              <w:szCs w:val="28"/>
              <w:highlight w:val="none"/>
            </w:rPr>
            <w:t>1.</w:t>
          </w:r>
          <w:r>
            <w:rPr>
              <w:rFonts w:hint="eastAsia" w:ascii="宋体" w:hAnsi="宋体" w:eastAsia="宋体" w:cs="宋体"/>
              <w:spacing w:val="-4"/>
              <w:szCs w:val="24"/>
              <w:highlight w:val="none"/>
            </w:rPr>
            <w:t>工程量清单说明</w:t>
          </w:r>
          <w:r>
            <w:tab/>
          </w:r>
          <w:r>
            <w:fldChar w:fldCharType="begin"/>
          </w:r>
          <w:r>
            <w:instrText xml:space="preserve"> PAGEREF _Toc28148 \h </w:instrText>
          </w:r>
          <w:r>
            <w:fldChar w:fldCharType="separate"/>
          </w:r>
          <w:r>
            <w:t>189</w:t>
          </w:r>
          <w:r>
            <w:fldChar w:fldCharType="end"/>
          </w:r>
          <w:r>
            <w:rPr>
              <w:rFonts w:hint="eastAsia" w:ascii="宋体" w:hAnsi="宋体" w:eastAsia="宋体" w:cs="宋体"/>
              <w:color w:val="auto"/>
              <w:szCs w:val="24"/>
              <w:highlight w:val="none"/>
            </w:rPr>
            <w:fldChar w:fldCharType="end"/>
          </w:r>
        </w:p>
        <w:p w14:paraId="5A011371">
          <w:pPr>
            <w:pStyle w:val="8"/>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_Toc28902 </w:instrText>
          </w:r>
          <w:r>
            <w:rPr>
              <w:rFonts w:hint="eastAsia" w:ascii="宋体" w:hAnsi="宋体" w:eastAsia="宋体" w:cs="宋体"/>
              <w:szCs w:val="24"/>
              <w:highlight w:val="none"/>
            </w:rPr>
            <w:fldChar w:fldCharType="separate"/>
          </w:r>
          <w:r>
            <w:rPr>
              <w:rFonts w:hint="eastAsia" w:ascii="宋体" w:hAnsi="宋体" w:eastAsia="宋体" w:cs="宋体"/>
              <w:spacing w:val="-2"/>
              <w:szCs w:val="28"/>
              <w:highlight w:val="none"/>
            </w:rPr>
            <w:t>2.</w:t>
          </w:r>
          <w:r>
            <w:rPr>
              <w:rFonts w:hint="eastAsia" w:ascii="宋体" w:hAnsi="宋体" w:eastAsia="宋体" w:cs="宋体"/>
              <w:spacing w:val="-2"/>
              <w:szCs w:val="24"/>
              <w:highlight w:val="none"/>
            </w:rPr>
            <w:t>投标报价说明</w:t>
          </w:r>
          <w:r>
            <w:tab/>
          </w:r>
          <w:r>
            <w:fldChar w:fldCharType="begin"/>
          </w:r>
          <w:r>
            <w:instrText xml:space="preserve"> PAGEREF _Toc28902 \h </w:instrText>
          </w:r>
          <w:r>
            <w:fldChar w:fldCharType="separate"/>
          </w:r>
          <w:r>
            <w:t>189</w:t>
          </w:r>
          <w:r>
            <w:fldChar w:fldCharType="end"/>
          </w:r>
          <w:r>
            <w:rPr>
              <w:rFonts w:hint="eastAsia" w:ascii="宋体" w:hAnsi="宋体" w:eastAsia="宋体" w:cs="宋体"/>
              <w:color w:val="auto"/>
              <w:szCs w:val="24"/>
              <w:highlight w:val="none"/>
            </w:rPr>
            <w:fldChar w:fldCharType="end"/>
          </w:r>
        </w:p>
        <w:p w14:paraId="68F278A6">
          <w:pPr>
            <w:pStyle w:val="8"/>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_Toc10491 </w:instrText>
          </w:r>
          <w:r>
            <w:rPr>
              <w:rFonts w:hint="eastAsia" w:ascii="宋体" w:hAnsi="宋体" w:eastAsia="宋体" w:cs="宋体"/>
              <w:szCs w:val="24"/>
              <w:highlight w:val="none"/>
            </w:rPr>
            <w:fldChar w:fldCharType="separate"/>
          </w:r>
          <w:r>
            <w:rPr>
              <w:rFonts w:hint="eastAsia" w:ascii="宋体" w:hAnsi="宋体" w:eastAsia="宋体" w:cs="宋体"/>
              <w:spacing w:val="-3"/>
              <w:szCs w:val="28"/>
              <w:highlight w:val="none"/>
            </w:rPr>
            <w:t>3.</w:t>
          </w:r>
          <w:r>
            <w:rPr>
              <w:rFonts w:hint="eastAsia" w:ascii="宋体" w:hAnsi="宋体" w:eastAsia="宋体" w:cs="宋体"/>
              <w:spacing w:val="-3"/>
              <w:szCs w:val="24"/>
              <w:highlight w:val="none"/>
            </w:rPr>
            <w:t>计日工说明</w:t>
          </w:r>
          <w:r>
            <w:tab/>
          </w:r>
          <w:r>
            <w:fldChar w:fldCharType="begin"/>
          </w:r>
          <w:r>
            <w:instrText xml:space="preserve"> PAGEREF _Toc10491 \h </w:instrText>
          </w:r>
          <w:r>
            <w:fldChar w:fldCharType="separate"/>
          </w:r>
          <w:r>
            <w:t>190</w:t>
          </w:r>
          <w:r>
            <w:fldChar w:fldCharType="end"/>
          </w:r>
          <w:r>
            <w:rPr>
              <w:rFonts w:hint="eastAsia" w:ascii="宋体" w:hAnsi="宋体" w:eastAsia="宋体" w:cs="宋体"/>
              <w:color w:val="auto"/>
              <w:szCs w:val="24"/>
              <w:highlight w:val="none"/>
            </w:rPr>
            <w:fldChar w:fldCharType="end"/>
          </w:r>
        </w:p>
        <w:p w14:paraId="3E28CE21">
          <w:pPr>
            <w:pStyle w:val="8"/>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_Toc13421 </w:instrText>
          </w:r>
          <w:r>
            <w:rPr>
              <w:rFonts w:hint="eastAsia" w:ascii="宋体" w:hAnsi="宋体" w:eastAsia="宋体" w:cs="宋体"/>
              <w:szCs w:val="24"/>
              <w:highlight w:val="none"/>
            </w:rPr>
            <w:fldChar w:fldCharType="separate"/>
          </w:r>
          <w:r>
            <w:rPr>
              <w:rFonts w:hint="eastAsia" w:ascii="宋体" w:hAnsi="宋体" w:eastAsia="宋体" w:cs="宋体"/>
              <w:spacing w:val="-4"/>
              <w:szCs w:val="28"/>
              <w:highlight w:val="none"/>
            </w:rPr>
            <w:t>4.</w:t>
          </w:r>
          <w:r>
            <w:rPr>
              <w:rFonts w:hint="eastAsia" w:ascii="宋体" w:hAnsi="宋体" w:eastAsia="宋体" w:cs="宋体"/>
              <w:spacing w:val="-4"/>
              <w:szCs w:val="24"/>
              <w:highlight w:val="none"/>
            </w:rPr>
            <w:t>其他说明</w:t>
          </w:r>
          <w:r>
            <w:tab/>
          </w:r>
          <w:r>
            <w:fldChar w:fldCharType="begin"/>
          </w:r>
          <w:r>
            <w:instrText xml:space="preserve"> PAGEREF _Toc13421 \h </w:instrText>
          </w:r>
          <w:r>
            <w:fldChar w:fldCharType="separate"/>
          </w:r>
          <w:r>
            <w:t>191</w:t>
          </w:r>
          <w:r>
            <w:fldChar w:fldCharType="end"/>
          </w:r>
          <w:r>
            <w:rPr>
              <w:rFonts w:hint="eastAsia" w:ascii="宋体" w:hAnsi="宋体" w:eastAsia="宋体" w:cs="宋体"/>
              <w:color w:val="auto"/>
              <w:szCs w:val="24"/>
              <w:highlight w:val="none"/>
            </w:rPr>
            <w:fldChar w:fldCharType="end"/>
          </w:r>
        </w:p>
        <w:p w14:paraId="467E4AF7">
          <w:pPr>
            <w:pStyle w:val="7"/>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_Toc21432 </w:instrText>
          </w:r>
          <w:r>
            <w:rPr>
              <w:rFonts w:hint="eastAsia" w:ascii="宋体" w:hAnsi="宋体" w:eastAsia="宋体" w:cs="宋体"/>
              <w:szCs w:val="24"/>
              <w:highlight w:val="none"/>
            </w:rPr>
            <w:fldChar w:fldCharType="separate"/>
          </w:r>
          <w:r>
            <w:rPr>
              <w:rFonts w:hint="eastAsia" w:ascii="宋体" w:hAnsi="宋体" w:eastAsia="宋体" w:cs="宋体"/>
              <w:spacing w:val="-10"/>
              <w:szCs w:val="76"/>
              <w:highlight w:val="none"/>
            </w:rPr>
            <w:t>第二卷</w:t>
          </w:r>
          <w:r>
            <w:tab/>
          </w:r>
          <w:r>
            <w:fldChar w:fldCharType="begin"/>
          </w:r>
          <w:r>
            <w:instrText xml:space="preserve"> PAGEREF _Toc21432 \h </w:instrText>
          </w:r>
          <w:r>
            <w:fldChar w:fldCharType="separate"/>
          </w:r>
          <w:r>
            <w:t>192</w:t>
          </w:r>
          <w:r>
            <w:fldChar w:fldCharType="end"/>
          </w:r>
          <w:r>
            <w:rPr>
              <w:rFonts w:hint="eastAsia" w:ascii="宋体" w:hAnsi="宋体" w:eastAsia="宋体" w:cs="宋体"/>
              <w:color w:val="auto"/>
              <w:szCs w:val="24"/>
              <w:highlight w:val="none"/>
            </w:rPr>
            <w:fldChar w:fldCharType="end"/>
          </w:r>
        </w:p>
        <w:p w14:paraId="51EC8E96">
          <w:pPr>
            <w:pStyle w:val="7"/>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_Toc23265 </w:instrText>
          </w:r>
          <w:r>
            <w:rPr>
              <w:rFonts w:hint="eastAsia" w:ascii="宋体" w:hAnsi="宋体" w:eastAsia="宋体" w:cs="宋体"/>
              <w:szCs w:val="24"/>
              <w:highlight w:val="none"/>
            </w:rPr>
            <w:fldChar w:fldCharType="separate"/>
          </w:r>
          <w:r>
            <w:rPr>
              <w:rFonts w:hint="eastAsia" w:ascii="宋体" w:hAnsi="宋体" w:eastAsia="宋体" w:cs="宋体"/>
              <w:spacing w:val="6"/>
              <w:szCs w:val="55"/>
              <w:highlight w:val="none"/>
            </w:rPr>
            <w:t>第六章图纸（另册）</w:t>
          </w:r>
          <w:r>
            <w:tab/>
          </w:r>
          <w:r>
            <w:fldChar w:fldCharType="begin"/>
          </w:r>
          <w:r>
            <w:instrText xml:space="preserve"> PAGEREF _Toc23265 \h </w:instrText>
          </w:r>
          <w:r>
            <w:fldChar w:fldCharType="separate"/>
          </w:r>
          <w:r>
            <w:t>193</w:t>
          </w:r>
          <w:r>
            <w:fldChar w:fldCharType="end"/>
          </w:r>
          <w:r>
            <w:rPr>
              <w:rFonts w:hint="eastAsia" w:ascii="宋体" w:hAnsi="宋体" w:eastAsia="宋体" w:cs="宋体"/>
              <w:color w:val="auto"/>
              <w:szCs w:val="24"/>
              <w:highlight w:val="none"/>
            </w:rPr>
            <w:fldChar w:fldCharType="end"/>
          </w:r>
        </w:p>
        <w:p w14:paraId="395B104D">
          <w:pPr>
            <w:pStyle w:val="7"/>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_Toc22646 </w:instrText>
          </w:r>
          <w:r>
            <w:rPr>
              <w:rFonts w:hint="eastAsia" w:ascii="宋体" w:hAnsi="宋体" w:eastAsia="宋体" w:cs="宋体"/>
              <w:szCs w:val="24"/>
              <w:highlight w:val="none"/>
            </w:rPr>
            <w:fldChar w:fldCharType="separate"/>
          </w:r>
          <w:r>
            <w:rPr>
              <w:rFonts w:hint="eastAsia" w:ascii="宋体" w:hAnsi="宋体" w:eastAsia="宋体" w:cs="宋体"/>
              <w:spacing w:val="-10"/>
              <w:szCs w:val="76"/>
              <w:highlight w:val="none"/>
            </w:rPr>
            <w:t>第三卷</w:t>
          </w:r>
          <w:r>
            <w:tab/>
          </w:r>
          <w:r>
            <w:fldChar w:fldCharType="begin"/>
          </w:r>
          <w:r>
            <w:instrText xml:space="preserve"> PAGEREF _Toc22646 \h </w:instrText>
          </w:r>
          <w:r>
            <w:fldChar w:fldCharType="separate"/>
          </w:r>
          <w:r>
            <w:t>194</w:t>
          </w:r>
          <w:r>
            <w:fldChar w:fldCharType="end"/>
          </w:r>
          <w:r>
            <w:rPr>
              <w:rFonts w:hint="eastAsia" w:ascii="宋体" w:hAnsi="宋体" w:eastAsia="宋体" w:cs="宋体"/>
              <w:color w:val="auto"/>
              <w:szCs w:val="24"/>
              <w:highlight w:val="none"/>
            </w:rPr>
            <w:fldChar w:fldCharType="end"/>
          </w:r>
        </w:p>
        <w:p w14:paraId="01EA7E9F">
          <w:pPr>
            <w:pStyle w:val="7"/>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_Toc8185 </w:instrText>
          </w:r>
          <w:r>
            <w:rPr>
              <w:rFonts w:hint="eastAsia" w:ascii="宋体" w:hAnsi="宋体" w:eastAsia="宋体" w:cs="宋体"/>
              <w:szCs w:val="24"/>
              <w:highlight w:val="none"/>
            </w:rPr>
            <w:fldChar w:fldCharType="separate"/>
          </w:r>
          <w:r>
            <w:rPr>
              <w:rFonts w:hint="eastAsia" w:ascii="宋体" w:hAnsi="宋体" w:eastAsia="宋体" w:cs="宋体"/>
              <w:spacing w:val="7"/>
              <w:szCs w:val="55"/>
              <w:highlight w:val="none"/>
            </w:rPr>
            <w:t>第七章技术规范（另册）</w:t>
          </w:r>
          <w:r>
            <w:tab/>
          </w:r>
          <w:r>
            <w:fldChar w:fldCharType="begin"/>
          </w:r>
          <w:r>
            <w:instrText xml:space="preserve"> PAGEREF _Toc8185 \h </w:instrText>
          </w:r>
          <w:r>
            <w:fldChar w:fldCharType="separate"/>
          </w:r>
          <w:r>
            <w:t>195</w:t>
          </w:r>
          <w:r>
            <w:fldChar w:fldCharType="end"/>
          </w:r>
          <w:r>
            <w:rPr>
              <w:rFonts w:hint="eastAsia" w:ascii="宋体" w:hAnsi="宋体" w:eastAsia="宋体" w:cs="宋体"/>
              <w:color w:val="auto"/>
              <w:szCs w:val="24"/>
              <w:highlight w:val="none"/>
            </w:rPr>
            <w:fldChar w:fldCharType="end"/>
          </w:r>
        </w:p>
        <w:p w14:paraId="52FB3972">
          <w:pPr>
            <w:pStyle w:val="7"/>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_Toc23646 </w:instrText>
          </w:r>
          <w:r>
            <w:rPr>
              <w:rFonts w:hint="eastAsia" w:ascii="宋体" w:hAnsi="宋体" w:eastAsia="宋体" w:cs="宋体"/>
              <w:szCs w:val="24"/>
              <w:highlight w:val="none"/>
            </w:rPr>
            <w:fldChar w:fldCharType="separate"/>
          </w:r>
          <w:r>
            <w:rPr>
              <w:rFonts w:hint="eastAsia" w:ascii="宋体" w:hAnsi="宋体" w:eastAsia="宋体" w:cs="宋体"/>
              <w:spacing w:val="8"/>
              <w:szCs w:val="55"/>
              <w:highlight w:val="none"/>
            </w:rPr>
            <w:t>第八章工程量清单计量规则</w:t>
          </w:r>
          <w:r>
            <w:tab/>
          </w:r>
          <w:r>
            <w:fldChar w:fldCharType="begin"/>
          </w:r>
          <w:r>
            <w:instrText xml:space="preserve"> PAGEREF _Toc23646 \h </w:instrText>
          </w:r>
          <w:r>
            <w:fldChar w:fldCharType="separate"/>
          </w:r>
          <w:r>
            <w:t>196</w:t>
          </w:r>
          <w:r>
            <w:fldChar w:fldCharType="end"/>
          </w:r>
          <w:r>
            <w:rPr>
              <w:rFonts w:hint="eastAsia" w:ascii="宋体" w:hAnsi="宋体" w:eastAsia="宋体" w:cs="宋体"/>
              <w:color w:val="auto"/>
              <w:szCs w:val="24"/>
              <w:highlight w:val="none"/>
            </w:rPr>
            <w:fldChar w:fldCharType="end"/>
          </w:r>
        </w:p>
        <w:p w14:paraId="12F97F5A">
          <w:pPr>
            <w:pStyle w:val="7"/>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_Toc13145 </w:instrText>
          </w:r>
          <w:r>
            <w:rPr>
              <w:rFonts w:hint="eastAsia" w:ascii="宋体" w:hAnsi="宋体" w:eastAsia="宋体" w:cs="宋体"/>
              <w:szCs w:val="24"/>
              <w:highlight w:val="none"/>
            </w:rPr>
            <w:fldChar w:fldCharType="separate"/>
          </w:r>
          <w:r>
            <w:rPr>
              <w:rFonts w:hint="eastAsia" w:ascii="宋体" w:hAnsi="宋体" w:eastAsia="宋体" w:cs="宋体"/>
              <w:spacing w:val="-10"/>
              <w:szCs w:val="76"/>
              <w:highlight w:val="none"/>
            </w:rPr>
            <w:t>第四卷</w:t>
          </w:r>
          <w:r>
            <w:tab/>
          </w:r>
          <w:r>
            <w:fldChar w:fldCharType="begin"/>
          </w:r>
          <w:r>
            <w:instrText xml:space="preserve"> PAGEREF _Toc13145 \h </w:instrText>
          </w:r>
          <w:r>
            <w:fldChar w:fldCharType="separate"/>
          </w:r>
          <w:r>
            <w:t>197</w:t>
          </w:r>
          <w:r>
            <w:fldChar w:fldCharType="end"/>
          </w:r>
          <w:r>
            <w:rPr>
              <w:rFonts w:hint="eastAsia" w:ascii="宋体" w:hAnsi="宋体" w:eastAsia="宋体" w:cs="宋体"/>
              <w:color w:val="auto"/>
              <w:szCs w:val="24"/>
              <w:highlight w:val="none"/>
            </w:rPr>
            <w:fldChar w:fldCharType="end"/>
          </w:r>
        </w:p>
        <w:p w14:paraId="53822DE1">
          <w:pPr>
            <w:pStyle w:val="7"/>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_Toc31511 </w:instrText>
          </w:r>
          <w:r>
            <w:rPr>
              <w:rFonts w:hint="eastAsia" w:ascii="宋体" w:hAnsi="宋体" w:eastAsia="宋体" w:cs="宋体"/>
              <w:szCs w:val="24"/>
              <w:highlight w:val="none"/>
            </w:rPr>
            <w:fldChar w:fldCharType="separate"/>
          </w:r>
          <w:r>
            <w:rPr>
              <w:rFonts w:hint="eastAsia" w:ascii="宋体" w:hAnsi="宋体" w:eastAsia="宋体" w:cs="宋体"/>
              <w:spacing w:val="6"/>
              <w:szCs w:val="55"/>
              <w:highlight w:val="none"/>
            </w:rPr>
            <w:t>第九章投标文件格式</w:t>
          </w:r>
          <w:r>
            <w:rPr>
              <w:rFonts w:hint="eastAsia" w:ascii="宋体" w:hAnsi="宋体" w:eastAsia="宋体" w:cs="宋体"/>
              <w:bCs/>
              <w:spacing w:val="6"/>
              <w:position w:val="24"/>
              <w:szCs w:val="28"/>
              <w:highlight w:val="none"/>
            </w:rPr>
            <w:t>①</w:t>
          </w:r>
          <w:r>
            <w:tab/>
          </w:r>
          <w:r>
            <w:fldChar w:fldCharType="begin"/>
          </w:r>
          <w:r>
            <w:instrText xml:space="preserve"> PAGEREF _Toc31511 \h </w:instrText>
          </w:r>
          <w:r>
            <w:fldChar w:fldCharType="separate"/>
          </w:r>
          <w:r>
            <w:t>198</w:t>
          </w:r>
          <w:r>
            <w:fldChar w:fldCharType="end"/>
          </w:r>
          <w:r>
            <w:rPr>
              <w:rFonts w:hint="eastAsia" w:ascii="宋体" w:hAnsi="宋体" w:eastAsia="宋体" w:cs="宋体"/>
              <w:color w:val="auto"/>
              <w:szCs w:val="24"/>
              <w:highlight w:val="none"/>
            </w:rPr>
            <w:fldChar w:fldCharType="end"/>
          </w:r>
        </w:p>
        <w:p w14:paraId="369975B0">
          <w:pPr>
            <w:pStyle w:val="8"/>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_Toc10811 </w:instrText>
          </w:r>
          <w:r>
            <w:rPr>
              <w:rFonts w:hint="eastAsia" w:ascii="宋体" w:hAnsi="宋体" w:eastAsia="宋体" w:cs="宋体"/>
              <w:szCs w:val="24"/>
              <w:highlight w:val="none"/>
            </w:rPr>
            <w:fldChar w:fldCharType="separate"/>
          </w:r>
          <w:r>
            <w:rPr>
              <w:rFonts w:hint="eastAsia" w:ascii="宋体" w:hAnsi="宋体" w:eastAsia="宋体" w:cs="宋体"/>
              <w:spacing w:val="6"/>
              <w:szCs w:val="31"/>
              <w:highlight w:val="none"/>
            </w:rPr>
            <w:t>（第一信封商务及技术文件）</w:t>
          </w:r>
          <w:r>
            <w:tab/>
          </w:r>
          <w:r>
            <w:fldChar w:fldCharType="begin"/>
          </w:r>
          <w:r>
            <w:instrText xml:space="preserve"> PAGEREF _Toc10811 \h </w:instrText>
          </w:r>
          <w:r>
            <w:fldChar w:fldCharType="separate"/>
          </w:r>
          <w:r>
            <w:t>199</w:t>
          </w:r>
          <w:r>
            <w:fldChar w:fldCharType="end"/>
          </w:r>
          <w:r>
            <w:rPr>
              <w:rFonts w:hint="eastAsia" w:ascii="宋体" w:hAnsi="宋体" w:eastAsia="宋体" w:cs="宋体"/>
              <w:color w:val="auto"/>
              <w:szCs w:val="24"/>
              <w:highlight w:val="none"/>
            </w:rPr>
            <w:fldChar w:fldCharType="end"/>
          </w:r>
        </w:p>
        <w:p w14:paraId="647D3F02">
          <w:pPr>
            <w:pStyle w:val="8"/>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_Toc1123 </w:instrText>
          </w:r>
          <w:r>
            <w:rPr>
              <w:rFonts w:hint="eastAsia" w:ascii="宋体" w:hAnsi="宋体" w:eastAsia="宋体" w:cs="宋体"/>
              <w:szCs w:val="24"/>
              <w:highlight w:val="none"/>
            </w:rPr>
            <w:fldChar w:fldCharType="separate"/>
          </w:r>
          <w:r>
            <w:rPr>
              <w:rFonts w:hint="eastAsia" w:ascii="宋体" w:hAnsi="宋体" w:eastAsia="宋体" w:cs="宋体"/>
              <w:spacing w:val="-2"/>
              <w:szCs w:val="30"/>
              <w:highlight w:val="none"/>
            </w:rPr>
            <w:t>一、投标函及投标函附录</w:t>
          </w:r>
          <w:r>
            <w:tab/>
          </w:r>
          <w:r>
            <w:fldChar w:fldCharType="begin"/>
          </w:r>
          <w:r>
            <w:instrText xml:space="preserve"> PAGEREF _Toc1123 \h </w:instrText>
          </w:r>
          <w:r>
            <w:fldChar w:fldCharType="separate"/>
          </w:r>
          <w:r>
            <w:t>209</w:t>
          </w:r>
          <w:r>
            <w:fldChar w:fldCharType="end"/>
          </w:r>
          <w:r>
            <w:rPr>
              <w:rFonts w:hint="eastAsia" w:ascii="宋体" w:hAnsi="宋体" w:eastAsia="宋体" w:cs="宋体"/>
              <w:color w:val="auto"/>
              <w:szCs w:val="24"/>
              <w:highlight w:val="none"/>
            </w:rPr>
            <w:fldChar w:fldCharType="end"/>
          </w:r>
        </w:p>
        <w:p w14:paraId="650E2A79">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_Toc3875 </w:instrText>
          </w:r>
          <w:r>
            <w:rPr>
              <w:rFonts w:hint="eastAsia" w:ascii="宋体" w:hAnsi="宋体" w:eastAsia="宋体" w:cs="宋体"/>
              <w:szCs w:val="24"/>
              <w:highlight w:val="none"/>
            </w:rPr>
            <w:fldChar w:fldCharType="separate"/>
          </w:r>
          <w:r>
            <w:rPr>
              <w:rFonts w:hint="eastAsia" w:ascii="宋体" w:hAnsi="宋体" w:eastAsia="宋体" w:cs="宋体"/>
              <w:spacing w:val="-5"/>
              <w:szCs w:val="28"/>
              <w:highlight w:val="none"/>
            </w:rPr>
            <w:t>（一）投标函</w:t>
          </w:r>
          <w:r>
            <w:tab/>
          </w:r>
          <w:r>
            <w:fldChar w:fldCharType="begin"/>
          </w:r>
          <w:r>
            <w:instrText xml:space="preserve"> PAGEREF _Toc3875 \h </w:instrText>
          </w:r>
          <w:r>
            <w:fldChar w:fldCharType="separate"/>
          </w:r>
          <w:r>
            <w:t>209</w:t>
          </w:r>
          <w:r>
            <w:fldChar w:fldCharType="end"/>
          </w:r>
          <w:r>
            <w:rPr>
              <w:rFonts w:hint="eastAsia" w:ascii="宋体" w:hAnsi="宋体" w:eastAsia="宋体" w:cs="宋体"/>
              <w:color w:val="auto"/>
              <w:szCs w:val="24"/>
              <w:highlight w:val="none"/>
            </w:rPr>
            <w:fldChar w:fldCharType="end"/>
          </w:r>
        </w:p>
        <w:p w14:paraId="7806E7B5">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_Toc29551 </w:instrText>
          </w:r>
          <w:r>
            <w:rPr>
              <w:rFonts w:hint="eastAsia" w:ascii="宋体" w:hAnsi="宋体" w:eastAsia="宋体" w:cs="宋体"/>
              <w:szCs w:val="24"/>
              <w:highlight w:val="none"/>
            </w:rPr>
            <w:fldChar w:fldCharType="separate"/>
          </w:r>
          <w:r>
            <w:rPr>
              <w:rFonts w:hint="eastAsia" w:ascii="宋体" w:hAnsi="宋体" w:eastAsia="宋体" w:cs="宋体"/>
              <w:spacing w:val="-5"/>
              <w:szCs w:val="30"/>
              <w:highlight w:val="none"/>
            </w:rPr>
            <w:t>（二）投标函附录</w:t>
          </w:r>
          <w:r>
            <w:tab/>
          </w:r>
          <w:r>
            <w:fldChar w:fldCharType="begin"/>
          </w:r>
          <w:r>
            <w:instrText xml:space="preserve"> PAGEREF _Toc29551 \h </w:instrText>
          </w:r>
          <w:r>
            <w:fldChar w:fldCharType="separate"/>
          </w:r>
          <w:r>
            <w:t>210</w:t>
          </w:r>
          <w:r>
            <w:fldChar w:fldCharType="end"/>
          </w:r>
          <w:r>
            <w:rPr>
              <w:rFonts w:hint="eastAsia" w:ascii="宋体" w:hAnsi="宋体" w:eastAsia="宋体" w:cs="宋体"/>
              <w:color w:val="auto"/>
              <w:szCs w:val="24"/>
              <w:highlight w:val="none"/>
            </w:rPr>
            <w:fldChar w:fldCharType="end"/>
          </w:r>
        </w:p>
        <w:p w14:paraId="1BD5121D">
          <w:pPr>
            <w:pStyle w:val="8"/>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_Toc2130 </w:instrText>
          </w:r>
          <w:r>
            <w:rPr>
              <w:rFonts w:hint="eastAsia" w:ascii="宋体" w:hAnsi="宋体" w:eastAsia="宋体" w:cs="宋体"/>
              <w:szCs w:val="24"/>
              <w:highlight w:val="none"/>
            </w:rPr>
            <w:fldChar w:fldCharType="separate"/>
          </w:r>
          <w:r>
            <w:rPr>
              <w:rFonts w:hint="eastAsia" w:ascii="宋体" w:hAnsi="宋体" w:eastAsia="宋体" w:cs="宋体"/>
              <w:spacing w:val="-1"/>
              <w:szCs w:val="30"/>
              <w:highlight w:val="none"/>
            </w:rPr>
            <w:t>二、授权委托书或法定代表人身份证明</w:t>
          </w:r>
          <w:r>
            <w:tab/>
          </w:r>
          <w:r>
            <w:fldChar w:fldCharType="begin"/>
          </w:r>
          <w:r>
            <w:instrText xml:space="preserve"> PAGEREF _Toc2130 \h </w:instrText>
          </w:r>
          <w:r>
            <w:fldChar w:fldCharType="separate"/>
          </w:r>
          <w:r>
            <w:t>212</w:t>
          </w:r>
          <w:r>
            <w:fldChar w:fldCharType="end"/>
          </w:r>
          <w:r>
            <w:rPr>
              <w:rFonts w:hint="eastAsia" w:ascii="宋体" w:hAnsi="宋体" w:eastAsia="宋体" w:cs="宋体"/>
              <w:color w:val="auto"/>
              <w:szCs w:val="24"/>
              <w:highlight w:val="none"/>
            </w:rPr>
            <w:fldChar w:fldCharType="end"/>
          </w:r>
        </w:p>
        <w:p w14:paraId="52575D73">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_Toc22016 </w:instrText>
          </w:r>
          <w:r>
            <w:rPr>
              <w:rFonts w:hint="eastAsia" w:ascii="宋体" w:hAnsi="宋体" w:eastAsia="宋体" w:cs="宋体"/>
              <w:szCs w:val="24"/>
              <w:highlight w:val="none"/>
            </w:rPr>
            <w:fldChar w:fldCharType="separate"/>
          </w:r>
          <w:r>
            <w:rPr>
              <w:rFonts w:hint="eastAsia" w:ascii="宋体" w:hAnsi="宋体" w:eastAsia="宋体" w:cs="宋体"/>
              <w:bCs/>
              <w:spacing w:val="-4"/>
              <w:szCs w:val="28"/>
              <w:highlight w:val="none"/>
            </w:rPr>
            <w:t>（一）</w:t>
          </w:r>
          <w:r>
            <w:rPr>
              <w:rFonts w:hint="eastAsia" w:ascii="宋体" w:hAnsi="宋体" w:eastAsia="宋体" w:cs="宋体"/>
              <w:spacing w:val="-4"/>
              <w:szCs w:val="28"/>
              <w:highlight w:val="none"/>
            </w:rPr>
            <w:t>授权委托书</w:t>
          </w:r>
          <w:r>
            <w:rPr>
              <w:rFonts w:hint="eastAsia" w:ascii="宋体" w:hAnsi="宋体" w:eastAsia="宋体" w:cs="宋体"/>
              <w:bCs/>
              <w:spacing w:val="-4"/>
              <w:position w:val="12"/>
              <w:szCs w:val="13"/>
              <w:highlight w:val="none"/>
            </w:rPr>
            <w:t>①</w:t>
          </w:r>
          <w:r>
            <w:tab/>
          </w:r>
          <w:r>
            <w:fldChar w:fldCharType="begin"/>
          </w:r>
          <w:r>
            <w:instrText xml:space="preserve"> PAGEREF _Toc22016 \h </w:instrText>
          </w:r>
          <w:r>
            <w:fldChar w:fldCharType="separate"/>
          </w:r>
          <w:r>
            <w:t>212</w:t>
          </w:r>
          <w:r>
            <w:fldChar w:fldCharType="end"/>
          </w:r>
          <w:r>
            <w:rPr>
              <w:rFonts w:hint="eastAsia" w:ascii="宋体" w:hAnsi="宋体" w:eastAsia="宋体" w:cs="宋体"/>
              <w:color w:val="auto"/>
              <w:szCs w:val="24"/>
              <w:highlight w:val="none"/>
            </w:rPr>
            <w:fldChar w:fldCharType="end"/>
          </w:r>
        </w:p>
        <w:p w14:paraId="6D2F64F0">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_Toc4837 </w:instrText>
          </w:r>
          <w:r>
            <w:rPr>
              <w:rFonts w:hint="eastAsia" w:ascii="宋体" w:hAnsi="宋体" w:eastAsia="宋体" w:cs="宋体"/>
              <w:szCs w:val="24"/>
              <w:highlight w:val="none"/>
            </w:rPr>
            <w:fldChar w:fldCharType="separate"/>
          </w:r>
          <w:r>
            <w:rPr>
              <w:rFonts w:hint="eastAsia" w:ascii="宋体" w:hAnsi="宋体" w:eastAsia="宋体" w:cs="宋体"/>
              <w:spacing w:val="-3"/>
              <w:szCs w:val="28"/>
              <w:highlight w:val="none"/>
            </w:rPr>
            <w:t>（二）法定代表人身份证明</w:t>
          </w:r>
          <w:r>
            <w:tab/>
          </w:r>
          <w:r>
            <w:fldChar w:fldCharType="begin"/>
          </w:r>
          <w:r>
            <w:instrText xml:space="preserve"> PAGEREF _Toc4837 \h </w:instrText>
          </w:r>
          <w:r>
            <w:fldChar w:fldCharType="separate"/>
          </w:r>
          <w:r>
            <w:t>213</w:t>
          </w:r>
          <w:r>
            <w:fldChar w:fldCharType="end"/>
          </w:r>
          <w:r>
            <w:rPr>
              <w:rFonts w:hint="eastAsia" w:ascii="宋体" w:hAnsi="宋体" w:eastAsia="宋体" w:cs="宋体"/>
              <w:color w:val="auto"/>
              <w:szCs w:val="24"/>
              <w:highlight w:val="none"/>
            </w:rPr>
            <w:fldChar w:fldCharType="end"/>
          </w:r>
        </w:p>
        <w:p w14:paraId="3DED46A8">
          <w:pPr>
            <w:pStyle w:val="8"/>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_Toc18844 </w:instrText>
          </w:r>
          <w:r>
            <w:rPr>
              <w:rFonts w:hint="eastAsia" w:ascii="宋体" w:hAnsi="宋体" w:eastAsia="宋体" w:cs="宋体"/>
              <w:szCs w:val="24"/>
              <w:highlight w:val="none"/>
            </w:rPr>
            <w:fldChar w:fldCharType="separate"/>
          </w:r>
          <w:r>
            <w:rPr>
              <w:rFonts w:hint="eastAsia" w:ascii="宋体" w:hAnsi="宋体" w:eastAsia="宋体" w:cs="宋体"/>
              <w:bCs/>
              <w:spacing w:val="-2"/>
              <w:szCs w:val="30"/>
              <w:highlight w:val="none"/>
            </w:rPr>
            <w:t>三、</w:t>
          </w:r>
          <w:r>
            <w:rPr>
              <w:rFonts w:hint="eastAsia" w:ascii="宋体" w:hAnsi="宋体" w:eastAsia="宋体" w:cs="宋体"/>
              <w:spacing w:val="-2"/>
              <w:szCs w:val="30"/>
              <w:highlight w:val="none"/>
            </w:rPr>
            <w:t>联合体协议书</w:t>
          </w:r>
          <w:r>
            <w:rPr>
              <w:rFonts w:hint="eastAsia" w:ascii="宋体" w:hAnsi="宋体" w:eastAsia="宋体" w:cs="宋体"/>
              <w:bCs/>
              <w:spacing w:val="-2"/>
              <w:position w:val="12"/>
              <w:szCs w:val="13"/>
              <w:highlight w:val="none"/>
            </w:rPr>
            <w:t>①</w:t>
          </w:r>
          <w:r>
            <w:tab/>
          </w:r>
          <w:r>
            <w:fldChar w:fldCharType="begin"/>
          </w:r>
          <w:r>
            <w:instrText xml:space="preserve"> PAGEREF _Toc18844 \h </w:instrText>
          </w:r>
          <w:r>
            <w:fldChar w:fldCharType="separate"/>
          </w:r>
          <w:r>
            <w:t>214</w:t>
          </w:r>
          <w:r>
            <w:fldChar w:fldCharType="end"/>
          </w:r>
          <w:r>
            <w:rPr>
              <w:rFonts w:hint="eastAsia" w:ascii="宋体" w:hAnsi="宋体" w:eastAsia="宋体" w:cs="宋体"/>
              <w:color w:val="auto"/>
              <w:szCs w:val="24"/>
              <w:highlight w:val="none"/>
            </w:rPr>
            <w:fldChar w:fldCharType="end"/>
          </w:r>
        </w:p>
        <w:p w14:paraId="7E0C8546">
          <w:pPr>
            <w:pStyle w:val="8"/>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_Toc32694 </w:instrText>
          </w:r>
          <w:r>
            <w:rPr>
              <w:rFonts w:hint="eastAsia" w:ascii="宋体" w:hAnsi="宋体" w:eastAsia="宋体" w:cs="宋体"/>
              <w:szCs w:val="24"/>
              <w:highlight w:val="none"/>
            </w:rPr>
            <w:fldChar w:fldCharType="separate"/>
          </w:r>
          <w:r>
            <w:rPr>
              <w:rFonts w:hint="eastAsia" w:ascii="宋体" w:hAnsi="宋体" w:eastAsia="宋体" w:cs="宋体"/>
              <w:spacing w:val="-4"/>
              <w:szCs w:val="28"/>
              <w:highlight w:val="none"/>
            </w:rPr>
            <w:t>四、投标保证金</w:t>
          </w:r>
          <w:r>
            <w:tab/>
          </w:r>
          <w:r>
            <w:fldChar w:fldCharType="begin"/>
          </w:r>
          <w:r>
            <w:instrText xml:space="preserve"> PAGEREF _Toc32694 \h </w:instrText>
          </w:r>
          <w:r>
            <w:fldChar w:fldCharType="separate"/>
          </w:r>
          <w:r>
            <w:t>215</w:t>
          </w:r>
          <w:r>
            <w:fldChar w:fldCharType="end"/>
          </w:r>
          <w:r>
            <w:rPr>
              <w:rFonts w:hint="eastAsia" w:ascii="宋体" w:hAnsi="宋体" w:eastAsia="宋体" w:cs="宋体"/>
              <w:color w:val="auto"/>
              <w:szCs w:val="24"/>
              <w:highlight w:val="none"/>
            </w:rPr>
            <w:fldChar w:fldCharType="end"/>
          </w:r>
        </w:p>
        <w:p w14:paraId="24ACD11A">
          <w:pPr>
            <w:pStyle w:val="8"/>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_Toc10076 </w:instrText>
          </w:r>
          <w:r>
            <w:rPr>
              <w:rFonts w:hint="eastAsia" w:ascii="宋体" w:hAnsi="宋体" w:eastAsia="宋体" w:cs="宋体"/>
              <w:szCs w:val="24"/>
              <w:highlight w:val="none"/>
            </w:rPr>
            <w:fldChar w:fldCharType="separate"/>
          </w:r>
          <w:r>
            <w:rPr>
              <w:rFonts w:hint="eastAsia" w:ascii="宋体" w:hAnsi="宋体" w:eastAsia="宋体" w:cs="宋体"/>
              <w:spacing w:val="-3"/>
              <w:szCs w:val="28"/>
              <w:highlight w:val="none"/>
            </w:rPr>
            <w:t>五、施工组织设计</w:t>
          </w:r>
          <w:r>
            <w:tab/>
          </w:r>
          <w:r>
            <w:fldChar w:fldCharType="begin"/>
          </w:r>
          <w:r>
            <w:instrText xml:space="preserve"> PAGEREF _Toc10076 \h </w:instrText>
          </w:r>
          <w:r>
            <w:fldChar w:fldCharType="separate"/>
          </w:r>
          <w:r>
            <w:t>217</w:t>
          </w:r>
          <w:r>
            <w:fldChar w:fldCharType="end"/>
          </w:r>
          <w:r>
            <w:rPr>
              <w:rFonts w:hint="eastAsia" w:ascii="宋体" w:hAnsi="宋体" w:eastAsia="宋体" w:cs="宋体"/>
              <w:color w:val="auto"/>
              <w:szCs w:val="24"/>
              <w:highlight w:val="none"/>
            </w:rPr>
            <w:fldChar w:fldCharType="end"/>
          </w:r>
        </w:p>
        <w:p w14:paraId="231E05FA">
          <w:pPr>
            <w:pStyle w:val="8"/>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_Toc2171 </w:instrText>
          </w:r>
          <w:r>
            <w:rPr>
              <w:rFonts w:hint="eastAsia" w:ascii="宋体" w:hAnsi="宋体" w:eastAsia="宋体" w:cs="宋体"/>
              <w:szCs w:val="24"/>
              <w:highlight w:val="none"/>
            </w:rPr>
            <w:fldChar w:fldCharType="separate"/>
          </w:r>
          <w:r>
            <w:rPr>
              <w:rFonts w:hint="eastAsia" w:ascii="宋体" w:hAnsi="宋体" w:eastAsia="宋体" w:cs="宋体"/>
              <w:spacing w:val="-3"/>
              <w:szCs w:val="28"/>
              <w:highlight w:val="none"/>
            </w:rPr>
            <w:t>五、施工组织设计</w:t>
          </w:r>
          <w:r>
            <w:tab/>
          </w:r>
          <w:r>
            <w:fldChar w:fldCharType="begin"/>
          </w:r>
          <w:r>
            <w:instrText xml:space="preserve"> PAGEREF _Toc2171 \h </w:instrText>
          </w:r>
          <w:r>
            <w:fldChar w:fldCharType="separate"/>
          </w:r>
          <w:r>
            <w:t>218</w:t>
          </w:r>
          <w:r>
            <w:fldChar w:fldCharType="end"/>
          </w:r>
          <w:r>
            <w:rPr>
              <w:rFonts w:hint="eastAsia" w:ascii="宋体" w:hAnsi="宋体" w:eastAsia="宋体" w:cs="宋体"/>
              <w:color w:val="auto"/>
              <w:szCs w:val="24"/>
              <w:highlight w:val="none"/>
            </w:rPr>
            <w:fldChar w:fldCharType="end"/>
          </w:r>
        </w:p>
        <w:p w14:paraId="77575668">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_Toc31513 </w:instrText>
          </w:r>
          <w:r>
            <w:rPr>
              <w:rFonts w:hint="eastAsia" w:ascii="宋体" w:hAnsi="宋体" w:eastAsia="宋体" w:cs="宋体"/>
              <w:szCs w:val="24"/>
              <w:highlight w:val="none"/>
            </w:rPr>
            <w:fldChar w:fldCharType="separate"/>
          </w:r>
          <w:r>
            <w:rPr>
              <w:rFonts w:hint="eastAsia" w:ascii="宋体" w:hAnsi="宋体" w:eastAsia="宋体" w:cs="宋体"/>
              <w:spacing w:val="-3"/>
              <w:szCs w:val="28"/>
              <w:highlight w:val="none"/>
            </w:rPr>
            <w:t>附表一施工总体计划表</w:t>
          </w:r>
          <w:r>
            <w:tab/>
          </w:r>
          <w:r>
            <w:fldChar w:fldCharType="begin"/>
          </w:r>
          <w:r>
            <w:instrText xml:space="preserve"> PAGEREF _Toc31513 \h </w:instrText>
          </w:r>
          <w:r>
            <w:fldChar w:fldCharType="separate"/>
          </w:r>
          <w:r>
            <w:t>219</w:t>
          </w:r>
          <w:r>
            <w:fldChar w:fldCharType="end"/>
          </w:r>
          <w:r>
            <w:rPr>
              <w:rFonts w:hint="eastAsia" w:ascii="宋体" w:hAnsi="宋体" w:eastAsia="宋体" w:cs="宋体"/>
              <w:color w:val="auto"/>
              <w:szCs w:val="24"/>
              <w:highlight w:val="none"/>
            </w:rPr>
            <w:fldChar w:fldCharType="end"/>
          </w:r>
        </w:p>
        <w:p w14:paraId="6D8672D2">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_Toc18110 </w:instrText>
          </w:r>
          <w:r>
            <w:rPr>
              <w:rFonts w:hint="eastAsia" w:ascii="宋体" w:hAnsi="宋体" w:eastAsia="宋体" w:cs="宋体"/>
              <w:szCs w:val="24"/>
              <w:highlight w:val="none"/>
            </w:rPr>
            <w:fldChar w:fldCharType="separate"/>
          </w:r>
          <w:r>
            <w:rPr>
              <w:rFonts w:hint="eastAsia" w:ascii="宋体" w:hAnsi="宋体" w:eastAsia="宋体" w:cs="宋体"/>
              <w:spacing w:val="-2"/>
              <w:szCs w:val="28"/>
              <w:highlight w:val="none"/>
            </w:rPr>
            <w:t>附表二分项工程进度率计划（斜率图）</w:t>
          </w:r>
          <w:r>
            <w:tab/>
          </w:r>
          <w:r>
            <w:fldChar w:fldCharType="begin"/>
          </w:r>
          <w:r>
            <w:instrText xml:space="preserve"> PAGEREF _Toc18110 \h </w:instrText>
          </w:r>
          <w:r>
            <w:fldChar w:fldCharType="separate"/>
          </w:r>
          <w:r>
            <w:t>220</w:t>
          </w:r>
          <w:r>
            <w:fldChar w:fldCharType="end"/>
          </w:r>
          <w:r>
            <w:rPr>
              <w:rFonts w:hint="eastAsia" w:ascii="宋体" w:hAnsi="宋体" w:eastAsia="宋体" w:cs="宋体"/>
              <w:color w:val="auto"/>
              <w:szCs w:val="24"/>
              <w:highlight w:val="none"/>
            </w:rPr>
            <w:fldChar w:fldCharType="end"/>
          </w:r>
        </w:p>
        <w:p w14:paraId="66D2BF82">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_Toc2305 </w:instrText>
          </w:r>
          <w:r>
            <w:rPr>
              <w:rFonts w:hint="eastAsia" w:ascii="宋体" w:hAnsi="宋体" w:eastAsia="宋体" w:cs="宋体"/>
              <w:szCs w:val="24"/>
              <w:highlight w:val="none"/>
            </w:rPr>
            <w:fldChar w:fldCharType="separate"/>
          </w:r>
          <w:r>
            <w:rPr>
              <w:rFonts w:hint="eastAsia" w:ascii="宋体" w:hAnsi="宋体" w:eastAsia="宋体" w:cs="宋体"/>
              <w:spacing w:val="-3"/>
              <w:szCs w:val="28"/>
              <w:highlight w:val="none"/>
            </w:rPr>
            <w:t>附表三工程管理曲线</w:t>
          </w:r>
          <w:r>
            <w:tab/>
          </w:r>
          <w:r>
            <w:fldChar w:fldCharType="begin"/>
          </w:r>
          <w:r>
            <w:instrText xml:space="preserve"> PAGEREF _Toc2305 \h </w:instrText>
          </w:r>
          <w:r>
            <w:fldChar w:fldCharType="separate"/>
          </w:r>
          <w:r>
            <w:t>221</w:t>
          </w:r>
          <w:r>
            <w:fldChar w:fldCharType="end"/>
          </w:r>
          <w:r>
            <w:rPr>
              <w:rFonts w:hint="eastAsia" w:ascii="宋体" w:hAnsi="宋体" w:eastAsia="宋体" w:cs="宋体"/>
              <w:color w:val="auto"/>
              <w:szCs w:val="24"/>
              <w:highlight w:val="none"/>
            </w:rPr>
            <w:fldChar w:fldCharType="end"/>
          </w:r>
        </w:p>
        <w:p w14:paraId="579BCCB7">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_Toc25497 </w:instrText>
          </w:r>
          <w:r>
            <w:rPr>
              <w:rFonts w:hint="eastAsia" w:ascii="宋体" w:hAnsi="宋体" w:eastAsia="宋体" w:cs="宋体"/>
              <w:szCs w:val="24"/>
              <w:highlight w:val="none"/>
            </w:rPr>
            <w:fldChar w:fldCharType="separate"/>
          </w:r>
          <w:r>
            <w:rPr>
              <w:rFonts w:hint="eastAsia" w:ascii="宋体" w:hAnsi="宋体" w:eastAsia="宋体" w:cs="宋体"/>
              <w:spacing w:val="-2"/>
              <w:szCs w:val="28"/>
              <w:highlight w:val="none"/>
            </w:rPr>
            <w:t>附表四分项工程生产率和施工周期表</w:t>
          </w:r>
          <w:r>
            <w:tab/>
          </w:r>
          <w:r>
            <w:fldChar w:fldCharType="begin"/>
          </w:r>
          <w:r>
            <w:instrText xml:space="preserve"> PAGEREF _Toc25497 \h </w:instrText>
          </w:r>
          <w:r>
            <w:fldChar w:fldCharType="separate"/>
          </w:r>
          <w:r>
            <w:t>222</w:t>
          </w:r>
          <w:r>
            <w:fldChar w:fldCharType="end"/>
          </w:r>
          <w:r>
            <w:rPr>
              <w:rFonts w:hint="eastAsia" w:ascii="宋体" w:hAnsi="宋体" w:eastAsia="宋体" w:cs="宋体"/>
              <w:color w:val="auto"/>
              <w:szCs w:val="24"/>
              <w:highlight w:val="none"/>
            </w:rPr>
            <w:fldChar w:fldCharType="end"/>
          </w:r>
        </w:p>
        <w:p w14:paraId="20CA7DF5">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_Toc31963 </w:instrText>
          </w:r>
          <w:r>
            <w:rPr>
              <w:rFonts w:hint="eastAsia" w:ascii="宋体" w:hAnsi="宋体" w:eastAsia="宋体" w:cs="宋体"/>
              <w:szCs w:val="24"/>
              <w:highlight w:val="none"/>
            </w:rPr>
            <w:fldChar w:fldCharType="separate"/>
          </w:r>
          <w:r>
            <w:rPr>
              <w:rFonts w:hint="eastAsia" w:ascii="宋体" w:hAnsi="宋体" w:eastAsia="宋体" w:cs="宋体"/>
              <w:spacing w:val="-3"/>
              <w:szCs w:val="28"/>
              <w:highlight w:val="none"/>
            </w:rPr>
            <w:t>附表五施工总平面图</w:t>
          </w:r>
          <w:r>
            <w:tab/>
          </w:r>
          <w:r>
            <w:fldChar w:fldCharType="begin"/>
          </w:r>
          <w:r>
            <w:instrText xml:space="preserve"> PAGEREF _Toc31963 \h </w:instrText>
          </w:r>
          <w:r>
            <w:fldChar w:fldCharType="separate"/>
          </w:r>
          <w:r>
            <w:t>223</w:t>
          </w:r>
          <w:r>
            <w:fldChar w:fldCharType="end"/>
          </w:r>
          <w:r>
            <w:rPr>
              <w:rFonts w:hint="eastAsia" w:ascii="宋体" w:hAnsi="宋体" w:eastAsia="宋体" w:cs="宋体"/>
              <w:color w:val="auto"/>
              <w:szCs w:val="24"/>
              <w:highlight w:val="none"/>
            </w:rPr>
            <w:fldChar w:fldCharType="end"/>
          </w:r>
        </w:p>
        <w:p w14:paraId="0AA5432B">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_Toc20069 </w:instrText>
          </w:r>
          <w:r>
            <w:rPr>
              <w:rFonts w:hint="eastAsia" w:ascii="宋体" w:hAnsi="宋体" w:eastAsia="宋体" w:cs="宋体"/>
              <w:szCs w:val="24"/>
              <w:highlight w:val="none"/>
            </w:rPr>
            <w:fldChar w:fldCharType="separate"/>
          </w:r>
          <w:r>
            <w:rPr>
              <w:rFonts w:hint="eastAsia" w:ascii="宋体" w:hAnsi="宋体" w:eastAsia="宋体" w:cs="宋体"/>
              <w:spacing w:val="-3"/>
              <w:szCs w:val="28"/>
              <w:highlight w:val="none"/>
            </w:rPr>
            <w:t>附表六劳动力计划表</w:t>
          </w:r>
          <w:r>
            <w:tab/>
          </w:r>
          <w:r>
            <w:fldChar w:fldCharType="begin"/>
          </w:r>
          <w:r>
            <w:instrText xml:space="preserve"> PAGEREF _Toc20069 \h </w:instrText>
          </w:r>
          <w:r>
            <w:fldChar w:fldCharType="separate"/>
          </w:r>
          <w:r>
            <w:t>224</w:t>
          </w:r>
          <w:r>
            <w:fldChar w:fldCharType="end"/>
          </w:r>
          <w:r>
            <w:rPr>
              <w:rFonts w:hint="eastAsia" w:ascii="宋体" w:hAnsi="宋体" w:eastAsia="宋体" w:cs="宋体"/>
              <w:color w:val="auto"/>
              <w:szCs w:val="24"/>
              <w:highlight w:val="none"/>
            </w:rPr>
            <w:fldChar w:fldCharType="end"/>
          </w:r>
        </w:p>
        <w:p w14:paraId="0B8C6ABB">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_Toc30860 </w:instrText>
          </w:r>
          <w:r>
            <w:rPr>
              <w:rFonts w:hint="eastAsia" w:ascii="宋体" w:hAnsi="宋体" w:eastAsia="宋体" w:cs="宋体"/>
              <w:szCs w:val="24"/>
              <w:highlight w:val="none"/>
            </w:rPr>
            <w:fldChar w:fldCharType="separate"/>
          </w:r>
          <w:r>
            <w:rPr>
              <w:rFonts w:hint="eastAsia" w:ascii="宋体" w:hAnsi="宋体" w:eastAsia="宋体" w:cs="宋体"/>
              <w:spacing w:val="-2"/>
              <w:szCs w:val="28"/>
              <w:highlight w:val="none"/>
            </w:rPr>
            <w:t>附表八外供电力需求计划表</w:t>
          </w:r>
          <w:r>
            <w:tab/>
          </w:r>
          <w:r>
            <w:fldChar w:fldCharType="begin"/>
          </w:r>
          <w:r>
            <w:instrText xml:space="preserve"> PAGEREF _Toc30860 \h </w:instrText>
          </w:r>
          <w:r>
            <w:fldChar w:fldCharType="separate"/>
          </w:r>
          <w:r>
            <w:t>226</w:t>
          </w:r>
          <w:r>
            <w:fldChar w:fldCharType="end"/>
          </w:r>
          <w:r>
            <w:rPr>
              <w:rFonts w:hint="eastAsia" w:ascii="宋体" w:hAnsi="宋体" w:eastAsia="宋体" w:cs="宋体"/>
              <w:color w:val="auto"/>
              <w:szCs w:val="24"/>
              <w:highlight w:val="none"/>
            </w:rPr>
            <w:fldChar w:fldCharType="end"/>
          </w:r>
        </w:p>
        <w:p w14:paraId="372D8E34">
          <w:pPr>
            <w:pStyle w:val="8"/>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_Toc9113 </w:instrText>
          </w:r>
          <w:r>
            <w:rPr>
              <w:rFonts w:hint="eastAsia" w:ascii="宋体" w:hAnsi="宋体" w:eastAsia="宋体" w:cs="宋体"/>
              <w:szCs w:val="24"/>
              <w:highlight w:val="none"/>
            </w:rPr>
            <w:fldChar w:fldCharType="separate"/>
          </w:r>
          <w:r>
            <w:rPr>
              <w:rFonts w:hint="eastAsia" w:ascii="宋体" w:hAnsi="宋体" w:eastAsia="宋体" w:cs="宋体"/>
              <w:spacing w:val="-3"/>
              <w:szCs w:val="28"/>
              <w:highlight w:val="none"/>
            </w:rPr>
            <w:t>六、项目管理机构</w:t>
          </w:r>
          <w:r>
            <w:tab/>
          </w:r>
          <w:r>
            <w:fldChar w:fldCharType="begin"/>
          </w:r>
          <w:r>
            <w:instrText xml:space="preserve"> PAGEREF _Toc9113 \h </w:instrText>
          </w:r>
          <w:r>
            <w:fldChar w:fldCharType="separate"/>
          </w:r>
          <w:r>
            <w:t>227</w:t>
          </w:r>
          <w:r>
            <w:fldChar w:fldCharType="end"/>
          </w:r>
          <w:r>
            <w:rPr>
              <w:rFonts w:hint="eastAsia" w:ascii="宋体" w:hAnsi="宋体" w:eastAsia="宋体" w:cs="宋体"/>
              <w:color w:val="auto"/>
              <w:szCs w:val="24"/>
              <w:highlight w:val="none"/>
            </w:rPr>
            <w:fldChar w:fldCharType="end"/>
          </w:r>
        </w:p>
        <w:p w14:paraId="41114703">
          <w:pPr>
            <w:pStyle w:val="8"/>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_Toc22861 </w:instrText>
          </w:r>
          <w:r>
            <w:rPr>
              <w:rFonts w:hint="eastAsia" w:ascii="宋体" w:hAnsi="宋体" w:eastAsia="宋体" w:cs="宋体"/>
              <w:szCs w:val="24"/>
              <w:highlight w:val="none"/>
            </w:rPr>
            <w:fldChar w:fldCharType="separate"/>
          </w:r>
          <w:r>
            <w:rPr>
              <w:rFonts w:hint="eastAsia" w:ascii="宋体" w:hAnsi="宋体" w:eastAsia="宋体" w:cs="宋体"/>
              <w:spacing w:val="-1"/>
              <w:szCs w:val="28"/>
              <w:highlight w:val="none"/>
            </w:rPr>
            <w:t>七、拟分包项目情况表</w:t>
          </w:r>
          <w:r>
            <w:tab/>
          </w:r>
          <w:r>
            <w:fldChar w:fldCharType="begin"/>
          </w:r>
          <w:r>
            <w:instrText xml:space="preserve"> PAGEREF _Toc22861 \h </w:instrText>
          </w:r>
          <w:r>
            <w:fldChar w:fldCharType="separate"/>
          </w:r>
          <w:r>
            <w:t>228</w:t>
          </w:r>
          <w:r>
            <w:fldChar w:fldCharType="end"/>
          </w:r>
          <w:r>
            <w:rPr>
              <w:rFonts w:hint="eastAsia" w:ascii="宋体" w:hAnsi="宋体" w:eastAsia="宋体" w:cs="宋体"/>
              <w:color w:val="auto"/>
              <w:szCs w:val="24"/>
              <w:highlight w:val="none"/>
            </w:rPr>
            <w:fldChar w:fldCharType="end"/>
          </w:r>
        </w:p>
        <w:p w14:paraId="0BE8FE94">
          <w:pPr>
            <w:pStyle w:val="8"/>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_Toc11177 </w:instrText>
          </w:r>
          <w:r>
            <w:rPr>
              <w:rFonts w:hint="eastAsia" w:ascii="宋体" w:hAnsi="宋体" w:eastAsia="宋体" w:cs="宋体"/>
              <w:szCs w:val="24"/>
              <w:highlight w:val="none"/>
            </w:rPr>
            <w:fldChar w:fldCharType="separate"/>
          </w:r>
          <w:r>
            <w:rPr>
              <w:rFonts w:hint="eastAsia" w:ascii="宋体" w:hAnsi="宋体" w:eastAsia="宋体" w:cs="宋体"/>
              <w:spacing w:val="-1"/>
              <w:szCs w:val="28"/>
              <w:highlight w:val="none"/>
            </w:rPr>
            <w:t>八、资格审查资料（适用于已进行资格预审的）</w:t>
          </w:r>
          <w:r>
            <w:tab/>
          </w:r>
          <w:r>
            <w:fldChar w:fldCharType="begin"/>
          </w:r>
          <w:r>
            <w:instrText xml:space="preserve"> PAGEREF _Toc11177 \h </w:instrText>
          </w:r>
          <w:r>
            <w:fldChar w:fldCharType="separate"/>
          </w:r>
          <w:r>
            <w:t>229</w:t>
          </w:r>
          <w:r>
            <w:fldChar w:fldCharType="end"/>
          </w:r>
          <w:r>
            <w:rPr>
              <w:rFonts w:hint="eastAsia" w:ascii="宋体" w:hAnsi="宋体" w:eastAsia="宋体" w:cs="宋体"/>
              <w:color w:val="auto"/>
              <w:szCs w:val="24"/>
              <w:highlight w:val="none"/>
            </w:rPr>
            <w:fldChar w:fldCharType="end"/>
          </w:r>
        </w:p>
        <w:p w14:paraId="4DA70DC8">
          <w:pPr>
            <w:pStyle w:val="8"/>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_Toc28953 </w:instrText>
          </w:r>
          <w:r>
            <w:rPr>
              <w:rFonts w:hint="eastAsia" w:ascii="宋体" w:hAnsi="宋体" w:eastAsia="宋体" w:cs="宋体"/>
              <w:szCs w:val="24"/>
              <w:highlight w:val="none"/>
            </w:rPr>
            <w:fldChar w:fldCharType="separate"/>
          </w:r>
          <w:r>
            <w:rPr>
              <w:rFonts w:hint="eastAsia" w:ascii="宋体" w:hAnsi="宋体" w:eastAsia="宋体" w:cs="宋体"/>
              <w:spacing w:val="-1"/>
              <w:szCs w:val="28"/>
              <w:highlight w:val="none"/>
            </w:rPr>
            <w:t>八、资格审查资料（适用于未进行资格预审的）</w:t>
          </w:r>
          <w:r>
            <w:tab/>
          </w:r>
          <w:r>
            <w:fldChar w:fldCharType="begin"/>
          </w:r>
          <w:r>
            <w:instrText xml:space="preserve"> PAGEREF _Toc28953 \h </w:instrText>
          </w:r>
          <w:r>
            <w:fldChar w:fldCharType="separate"/>
          </w:r>
          <w:r>
            <w:t>230</w:t>
          </w:r>
          <w:r>
            <w:fldChar w:fldCharType="end"/>
          </w:r>
          <w:r>
            <w:rPr>
              <w:rFonts w:hint="eastAsia" w:ascii="宋体" w:hAnsi="宋体" w:eastAsia="宋体" w:cs="宋体"/>
              <w:color w:val="auto"/>
              <w:szCs w:val="24"/>
              <w:highlight w:val="none"/>
            </w:rPr>
            <w:fldChar w:fldCharType="end"/>
          </w:r>
        </w:p>
        <w:p w14:paraId="59B68A8C">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_Toc26219 </w:instrText>
          </w:r>
          <w:r>
            <w:rPr>
              <w:rFonts w:hint="eastAsia" w:ascii="宋体" w:hAnsi="宋体" w:eastAsia="宋体" w:cs="宋体"/>
              <w:szCs w:val="24"/>
              <w:highlight w:val="none"/>
            </w:rPr>
            <w:fldChar w:fldCharType="separate"/>
          </w:r>
          <w:r>
            <w:rPr>
              <w:rFonts w:hint="eastAsia" w:ascii="宋体" w:hAnsi="宋体" w:eastAsia="宋体" w:cs="宋体"/>
              <w:spacing w:val="-3"/>
              <w:szCs w:val="24"/>
              <w:highlight w:val="none"/>
            </w:rPr>
            <w:t>（一）投标人基本情况表</w:t>
          </w:r>
          <w:r>
            <w:tab/>
          </w:r>
          <w:r>
            <w:fldChar w:fldCharType="begin"/>
          </w:r>
          <w:r>
            <w:instrText xml:space="preserve"> PAGEREF _Toc26219 \h </w:instrText>
          </w:r>
          <w:r>
            <w:fldChar w:fldCharType="separate"/>
          </w:r>
          <w:r>
            <w:t>230</w:t>
          </w:r>
          <w:r>
            <w:fldChar w:fldCharType="end"/>
          </w:r>
          <w:r>
            <w:rPr>
              <w:rFonts w:hint="eastAsia" w:ascii="宋体" w:hAnsi="宋体" w:eastAsia="宋体" w:cs="宋体"/>
              <w:color w:val="auto"/>
              <w:szCs w:val="24"/>
              <w:highlight w:val="none"/>
            </w:rPr>
            <w:fldChar w:fldCharType="end"/>
          </w:r>
        </w:p>
        <w:p w14:paraId="045343EE">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_Toc1028 </w:instrText>
          </w:r>
          <w:r>
            <w:rPr>
              <w:rFonts w:hint="eastAsia" w:ascii="宋体" w:hAnsi="宋体" w:eastAsia="宋体" w:cs="宋体"/>
              <w:szCs w:val="24"/>
              <w:highlight w:val="none"/>
            </w:rPr>
            <w:fldChar w:fldCharType="separate"/>
          </w:r>
          <w:r>
            <w:rPr>
              <w:rFonts w:hint="eastAsia" w:ascii="宋体" w:hAnsi="宋体" w:eastAsia="宋体" w:cs="宋体"/>
              <w:spacing w:val="-3"/>
              <w:szCs w:val="24"/>
              <w:highlight w:val="none"/>
            </w:rPr>
            <w:t>（二）投标人企业组织机构框图</w:t>
          </w:r>
          <w:r>
            <w:tab/>
          </w:r>
          <w:r>
            <w:fldChar w:fldCharType="begin"/>
          </w:r>
          <w:r>
            <w:instrText xml:space="preserve"> PAGEREF _Toc1028 \h </w:instrText>
          </w:r>
          <w:r>
            <w:fldChar w:fldCharType="separate"/>
          </w:r>
          <w:r>
            <w:t>231</w:t>
          </w:r>
          <w:r>
            <w:fldChar w:fldCharType="end"/>
          </w:r>
          <w:r>
            <w:rPr>
              <w:rFonts w:hint="eastAsia" w:ascii="宋体" w:hAnsi="宋体" w:eastAsia="宋体" w:cs="宋体"/>
              <w:color w:val="auto"/>
              <w:szCs w:val="24"/>
              <w:highlight w:val="none"/>
            </w:rPr>
            <w:fldChar w:fldCharType="end"/>
          </w:r>
        </w:p>
        <w:p w14:paraId="741D212B">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_Toc1855 </w:instrText>
          </w:r>
          <w:r>
            <w:rPr>
              <w:rFonts w:hint="eastAsia" w:ascii="宋体" w:hAnsi="宋体" w:eastAsia="宋体" w:cs="宋体"/>
              <w:szCs w:val="24"/>
              <w:highlight w:val="none"/>
            </w:rPr>
            <w:fldChar w:fldCharType="separate"/>
          </w:r>
          <w:r>
            <w:rPr>
              <w:rFonts w:hint="eastAsia" w:ascii="宋体" w:hAnsi="宋体" w:eastAsia="宋体" w:cs="宋体"/>
              <w:bCs/>
              <w:spacing w:val="6"/>
              <w:szCs w:val="20"/>
              <w:highlight w:val="none"/>
            </w:rPr>
            <w:t>（三）近年财务状况</w:t>
          </w:r>
          <w:r>
            <w:tab/>
          </w:r>
          <w:r>
            <w:fldChar w:fldCharType="begin"/>
          </w:r>
          <w:r>
            <w:instrText xml:space="preserve"> PAGEREF _Toc1855 \h </w:instrText>
          </w:r>
          <w:r>
            <w:fldChar w:fldCharType="separate"/>
          </w:r>
          <w:r>
            <w:t>232</w:t>
          </w:r>
          <w:r>
            <w:fldChar w:fldCharType="end"/>
          </w:r>
          <w:r>
            <w:rPr>
              <w:rFonts w:hint="eastAsia" w:ascii="宋体" w:hAnsi="宋体" w:eastAsia="宋体" w:cs="宋体"/>
              <w:color w:val="auto"/>
              <w:szCs w:val="24"/>
              <w:highlight w:val="none"/>
            </w:rPr>
            <w:fldChar w:fldCharType="end"/>
          </w:r>
        </w:p>
        <w:p w14:paraId="638EE6FF">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_Toc11111 </w:instrText>
          </w:r>
          <w:r>
            <w:rPr>
              <w:rFonts w:hint="eastAsia" w:ascii="宋体" w:hAnsi="宋体" w:eastAsia="宋体" w:cs="宋体"/>
              <w:szCs w:val="24"/>
              <w:highlight w:val="none"/>
            </w:rPr>
            <w:fldChar w:fldCharType="separate"/>
          </w:r>
          <w:r>
            <w:rPr>
              <w:rFonts w:hint="eastAsia" w:ascii="宋体" w:hAnsi="宋体" w:eastAsia="宋体" w:cs="宋体"/>
              <w:spacing w:val="-3"/>
              <w:szCs w:val="24"/>
              <w:highlight w:val="none"/>
            </w:rPr>
            <w:t>（四）近年完成的类似项目情况表</w:t>
          </w:r>
          <w:r>
            <w:tab/>
          </w:r>
          <w:r>
            <w:fldChar w:fldCharType="begin"/>
          </w:r>
          <w:r>
            <w:instrText xml:space="preserve"> PAGEREF _Toc11111 \h </w:instrText>
          </w:r>
          <w:r>
            <w:fldChar w:fldCharType="separate"/>
          </w:r>
          <w:r>
            <w:t>234</w:t>
          </w:r>
          <w:r>
            <w:fldChar w:fldCharType="end"/>
          </w:r>
          <w:r>
            <w:rPr>
              <w:rFonts w:hint="eastAsia" w:ascii="宋体" w:hAnsi="宋体" w:eastAsia="宋体" w:cs="宋体"/>
              <w:color w:val="auto"/>
              <w:szCs w:val="24"/>
              <w:highlight w:val="none"/>
            </w:rPr>
            <w:fldChar w:fldCharType="end"/>
          </w:r>
        </w:p>
        <w:p w14:paraId="32D4B2DA">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_Toc12182 </w:instrText>
          </w:r>
          <w:r>
            <w:rPr>
              <w:rFonts w:hint="eastAsia" w:ascii="宋体" w:hAnsi="宋体" w:eastAsia="宋体" w:cs="宋体"/>
              <w:szCs w:val="24"/>
              <w:highlight w:val="none"/>
            </w:rPr>
            <w:fldChar w:fldCharType="separate"/>
          </w:r>
          <w:r>
            <w:rPr>
              <w:rFonts w:hint="eastAsia" w:ascii="宋体" w:hAnsi="宋体" w:eastAsia="宋体" w:cs="宋体"/>
              <w:spacing w:val="-4"/>
              <w:szCs w:val="24"/>
              <w:highlight w:val="none"/>
            </w:rPr>
            <w:t>（五）企业获奖情况表</w:t>
          </w:r>
          <w:r>
            <w:tab/>
          </w:r>
          <w:r>
            <w:fldChar w:fldCharType="begin"/>
          </w:r>
          <w:r>
            <w:instrText xml:space="preserve"> PAGEREF _Toc12182 \h </w:instrText>
          </w:r>
          <w:r>
            <w:fldChar w:fldCharType="separate"/>
          </w:r>
          <w:r>
            <w:t>235</w:t>
          </w:r>
          <w:r>
            <w:fldChar w:fldCharType="end"/>
          </w:r>
          <w:r>
            <w:rPr>
              <w:rFonts w:hint="eastAsia" w:ascii="宋体" w:hAnsi="宋体" w:eastAsia="宋体" w:cs="宋体"/>
              <w:color w:val="auto"/>
              <w:szCs w:val="24"/>
              <w:highlight w:val="none"/>
            </w:rPr>
            <w:fldChar w:fldCharType="end"/>
          </w:r>
        </w:p>
        <w:p w14:paraId="4A7222FE">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_Toc8839 </w:instrText>
          </w:r>
          <w:r>
            <w:rPr>
              <w:rFonts w:hint="eastAsia" w:ascii="宋体" w:hAnsi="宋体" w:eastAsia="宋体" w:cs="宋体"/>
              <w:szCs w:val="24"/>
              <w:highlight w:val="none"/>
            </w:rPr>
            <w:fldChar w:fldCharType="separate"/>
          </w:r>
          <w:r>
            <w:rPr>
              <w:rFonts w:hint="eastAsia" w:ascii="宋体" w:hAnsi="宋体" w:eastAsia="宋体" w:cs="宋体"/>
              <w:spacing w:val="-2"/>
              <w:szCs w:val="24"/>
              <w:highlight w:val="none"/>
            </w:rPr>
            <w:t>（六）拟委任的项目经理和项目总工资历表</w:t>
          </w:r>
          <w:r>
            <w:tab/>
          </w:r>
          <w:r>
            <w:fldChar w:fldCharType="begin"/>
          </w:r>
          <w:r>
            <w:instrText xml:space="preserve"> PAGEREF _Toc8839 \h </w:instrText>
          </w:r>
          <w:r>
            <w:fldChar w:fldCharType="separate"/>
          </w:r>
          <w:r>
            <w:t>236</w:t>
          </w:r>
          <w:r>
            <w:fldChar w:fldCharType="end"/>
          </w:r>
          <w:r>
            <w:rPr>
              <w:rFonts w:hint="eastAsia" w:ascii="宋体" w:hAnsi="宋体" w:eastAsia="宋体" w:cs="宋体"/>
              <w:color w:val="auto"/>
              <w:szCs w:val="24"/>
              <w:highlight w:val="none"/>
            </w:rPr>
            <w:fldChar w:fldCharType="end"/>
          </w:r>
        </w:p>
        <w:p w14:paraId="40D0AE23">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_Toc5864 </w:instrText>
          </w:r>
          <w:r>
            <w:rPr>
              <w:rFonts w:hint="eastAsia" w:ascii="宋体" w:hAnsi="宋体" w:eastAsia="宋体" w:cs="宋体"/>
              <w:szCs w:val="24"/>
              <w:highlight w:val="none"/>
            </w:rPr>
            <w:fldChar w:fldCharType="separate"/>
          </w:r>
          <w:r>
            <w:rPr>
              <w:rFonts w:hint="eastAsia" w:ascii="宋体" w:hAnsi="宋体" w:eastAsia="宋体" w:cs="宋体"/>
              <w:spacing w:val="-2"/>
              <w:szCs w:val="24"/>
              <w:highlight w:val="none"/>
            </w:rPr>
            <w:t>（七）拟委任的其他管理和技术人员汇总表</w:t>
          </w:r>
          <w:r>
            <w:rPr>
              <w:rFonts w:hint="eastAsia" w:ascii="宋体" w:hAnsi="宋体" w:eastAsia="宋体" w:cs="宋体"/>
              <w:spacing w:val="-2"/>
              <w:position w:val="10"/>
              <w:szCs w:val="12"/>
              <w:highlight w:val="none"/>
            </w:rPr>
            <w:t>①</w:t>
          </w:r>
          <w:r>
            <w:tab/>
          </w:r>
          <w:r>
            <w:fldChar w:fldCharType="begin"/>
          </w:r>
          <w:r>
            <w:instrText xml:space="preserve"> PAGEREF _Toc5864 \h </w:instrText>
          </w:r>
          <w:r>
            <w:fldChar w:fldCharType="separate"/>
          </w:r>
          <w:r>
            <w:t>237</w:t>
          </w:r>
          <w:r>
            <w:fldChar w:fldCharType="end"/>
          </w:r>
          <w:r>
            <w:rPr>
              <w:rFonts w:hint="eastAsia" w:ascii="宋体" w:hAnsi="宋体" w:eastAsia="宋体" w:cs="宋体"/>
              <w:color w:val="auto"/>
              <w:szCs w:val="24"/>
              <w:highlight w:val="none"/>
            </w:rPr>
            <w:fldChar w:fldCharType="end"/>
          </w:r>
        </w:p>
        <w:p w14:paraId="7C5F5E84">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_Toc12060 </w:instrText>
          </w:r>
          <w:r>
            <w:rPr>
              <w:rFonts w:hint="eastAsia" w:ascii="宋体" w:hAnsi="宋体" w:eastAsia="宋体" w:cs="宋体"/>
              <w:szCs w:val="24"/>
              <w:highlight w:val="none"/>
            </w:rPr>
            <w:fldChar w:fldCharType="separate"/>
          </w:r>
          <w:r>
            <w:rPr>
              <w:rFonts w:hint="eastAsia" w:ascii="宋体" w:hAnsi="宋体" w:eastAsia="宋体" w:cs="宋体"/>
              <w:spacing w:val="-2"/>
              <w:szCs w:val="24"/>
              <w:highlight w:val="none"/>
            </w:rPr>
            <w:t>（八）拟委任的其他管理和技术人员资历表</w:t>
          </w:r>
          <w:r>
            <w:rPr>
              <w:rFonts w:hint="eastAsia" w:ascii="宋体" w:hAnsi="宋体" w:eastAsia="宋体" w:cs="宋体"/>
              <w:spacing w:val="-2"/>
              <w:position w:val="10"/>
              <w:szCs w:val="12"/>
              <w:highlight w:val="none"/>
            </w:rPr>
            <w:t>①</w:t>
          </w:r>
          <w:r>
            <w:tab/>
          </w:r>
          <w:r>
            <w:fldChar w:fldCharType="begin"/>
          </w:r>
          <w:r>
            <w:instrText xml:space="preserve"> PAGEREF _Toc12060 \h </w:instrText>
          </w:r>
          <w:r>
            <w:fldChar w:fldCharType="separate"/>
          </w:r>
          <w:r>
            <w:t>238</w:t>
          </w:r>
          <w:r>
            <w:fldChar w:fldCharType="end"/>
          </w:r>
          <w:r>
            <w:rPr>
              <w:rFonts w:hint="eastAsia" w:ascii="宋体" w:hAnsi="宋体" w:eastAsia="宋体" w:cs="宋体"/>
              <w:color w:val="auto"/>
              <w:szCs w:val="24"/>
              <w:highlight w:val="none"/>
            </w:rPr>
            <w:fldChar w:fldCharType="end"/>
          </w:r>
        </w:p>
        <w:p w14:paraId="43ACC76B">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_Toc12198 </w:instrText>
          </w:r>
          <w:r>
            <w:rPr>
              <w:rFonts w:hint="eastAsia" w:ascii="宋体" w:hAnsi="宋体" w:eastAsia="宋体" w:cs="宋体"/>
              <w:szCs w:val="24"/>
              <w:highlight w:val="none"/>
            </w:rPr>
            <w:fldChar w:fldCharType="separate"/>
          </w:r>
          <w:r>
            <w:rPr>
              <w:rFonts w:hint="eastAsia" w:ascii="宋体" w:hAnsi="宋体" w:eastAsia="宋体" w:cs="宋体"/>
              <w:spacing w:val="-2"/>
              <w:szCs w:val="24"/>
              <w:highlight w:val="none"/>
            </w:rPr>
            <w:t>（九）拟投入本标段的主要施工机械表</w:t>
          </w:r>
          <w:r>
            <w:rPr>
              <w:rFonts w:hint="eastAsia" w:ascii="宋体" w:hAnsi="宋体" w:eastAsia="宋体" w:cs="宋体"/>
              <w:spacing w:val="-2"/>
              <w:position w:val="10"/>
              <w:szCs w:val="12"/>
              <w:highlight w:val="none"/>
            </w:rPr>
            <w:t>①</w:t>
          </w:r>
          <w:r>
            <w:tab/>
          </w:r>
          <w:r>
            <w:fldChar w:fldCharType="begin"/>
          </w:r>
          <w:r>
            <w:instrText xml:space="preserve"> PAGEREF _Toc12198 \h </w:instrText>
          </w:r>
          <w:r>
            <w:fldChar w:fldCharType="separate"/>
          </w:r>
          <w:r>
            <w:t>239</w:t>
          </w:r>
          <w:r>
            <w:fldChar w:fldCharType="end"/>
          </w:r>
          <w:r>
            <w:rPr>
              <w:rFonts w:hint="eastAsia" w:ascii="宋体" w:hAnsi="宋体" w:eastAsia="宋体" w:cs="宋体"/>
              <w:color w:val="auto"/>
              <w:szCs w:val="24"/>
              <w:highlight w:val="none"/>
            </w:rPr>
            <w:fldChar w:fldCharType="end"/>
          </w:r>
        </w:p>
        <w:p w14:paraId="6AAD39AC">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_Toc5892 </w:instrText>
          </w:r>
          <w:r>
            <w:rPr>
              <w:rFonts w:hint="eastAsia" w:ascii="宋体" w:hAnsi="宋体" w:eastAsia="宋体" w:cs="宋体"/>
              <w:szCs w:val="24"/>
              <w:highlight w:val="none"/>
            </w:rPr>
            <w:fldChar w:fldCharType="separate"/>
          </w:r>
          <w:r>
            <w:rPr>
              <w:rFonts w:hint="eastAsia" w:ascii="宋体" w:hAnsi="宋体" w:eastAsia="宋体" w:cs="宋体"/>
              <w:spacing w:val="-1"/>
              <w:szCs w:val="24"/>
              <w:highlight w:val="none"/>
            </w:rPr>
            <w:t>（十）拟配备本标段的主要材料试验、测量、质检仪器设</w:t>
          </w:r>
          <w:r>
            <w:rPr>
              <w:rFonts w:hint="eastAsia" w:ascii="宋体" w:hAnsi="宋体" w:eastAsia="宋体" w:cs="宋体"/>
              <w:spacing w:val="-2"/>
              <w:szCs w:val="24"/>
              <w:highlight w:val="none"/>
            </w:rPr>
            <w:t>备表</w:t>
          </w:r>
          <w:r>
            <w:rPr>
              <w:rFonts w:hint="eastAsia" w:ascii="宋体" w:hAnsi="宋体" w:eastAsia="宋体" w:cs="宋体"/>
              <w:spacing w:val="-2"/>
              <w:position w:val="10"/>
              <w:szCs w:val="12"/>
              <w:highlight w:val="none"/>
            </w:rPr>
            <w:t>①</w:t>
          </w:r>
          <w:r>
            <w:tab/>
          </w:r>
          <w:r>
            <w:fldChar w:fldCharType="begin"/>
          </w:r>
          <w:r>
            <w:instrText xml:space="preserve"> PAGEREF _Toc5892 \h </w:instrText>
          </w:r>
          <w:r>
            <w:fldChar w:fldCharType="separate"/>
          </w:r>
          <w:r>
            <w:t>240</w:t>
          </w:r>
          <w:r>
            <w:fldChar w:fldCharType="end"/>
          </w:r>
          <w:r>
            <w:rPr>
              <w:rFonts w:hint="eastAsia" w:ascii="宋体" w:hAnsi="宋体" w:eastAsia="宋体" w:cs="宋体"/>
              <w:color w:val="auto"/>
              <w:szCs w:val="24"/>
              <w:highlight w:val="none"/>
            </w:rPr>
            <w:fldChar w:fldCharType="end"/>
          </w:r>
        </w:p>
        <w:p w14:paraId="261D059F">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_Toc6308 </w:instrText>
          </w:r>
          <w:r>
            <w:rPr>
              <w:rFonts w:hint="eastAsia" w:ascii="宋体" w:hAnsi="宋体" w:eastAsia="宋体" w:cs="宋体"/>
              <w:szCs w:val="24"/>
              <w:highlight w:val="none"/>
            </w:rPr>
            <w:fldChar w:fldCharType="separate"/>
          </w:r>
          <w:r>
            <w:rPr>
              <w:rFonts w:hint="eastAsia" w:ascii="宋体" w:hAnsi="宋体" w:eastAsia="宋体" w:cs="宋体"/>
              <w:spacing w:val="-1"/>
              <w:szCs w:val="24"/>
              <w:highlight w:val="none"/>
            </w:rPr>
            <w:t>投标人的信誉情况表</w:t>
          </w:r>
          <w:r>
            <w:tab/>
          </w:r>
          <w:r>
            <w:fldChar w:fldCharType="begin"/>
          </w:r>
          <w:r>
            <w:instrText xml:space="preserve"> PAGEREF _Toc6308 \h </w:instrText>
          </w:r>
          <w:r>
            <w:fldChar w:fldCharType="separate"/>
          </w:r>
          <w:r>
            <w:t>241</w:t>
          </w:r>
          <w:r>
            <w:fldChar w:fldCharType="end"/>
          </w:r>
          <w:r>
            <w:rPr>
              <w:rFonts w:hint="eastAsia" w:ascii="宋体" w:hAnsi="宋体" w:eastAsia="宋体" w:cs="宋体"/>
              <w:color w:val="auto"/>
              <w:szCs w:val="24"/>
              <w:highlight w:val="none"/>
            </w:rPr>
            <w:fldChar w:fldCharType="end"/>
          </w:r>
        </w:p>
        <w:p w14:paraId="27415156">
          <w:pPr>
            <w:pStyle w:val="5"/>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_Toc21641 </w:instrText>
          </w:r>
          <w:r>
            <w:rPr>
              <w:rFonts w:hint="eastAsia" w:ascii="宋体" w:hAnsi="宋体" w:eastAsia="宋体" w:cs="宋体"/>
              <w:szCs w:val="24"/>
              <w:highlight w:val="none"/>
            </w:rPr>
            <w:fldChar w:fldCharType="separate"/>
          </w:r>
          <w:r>
            <w:rPr>
              <w:rFonts w:hint="eastAsia" w:ascii="宋体" w:hAnsi="宋体" w:eastAsia="宋体" w:cs="宋体"/>
              <w:bCs/>
              <w:spacing w:val="-3"/>
              <w:szCs w:val="28"/>
              <w:highlight w:val="none"/>
            </w:rPr>
            <w:t>农民工工资保证金承诺书</w:t>
          </w:r>
          <w:r>
            <w:tab/>
          </w:r>
          <w:r>
            <w:fldChar w:fldCharType="begin"/>
          </w:r>
          <w:r>
            <w:instrText xml:space="preserve"> PAGEREF _Toc21641 \h </w:instrText>
          </w:r>
          <w:r>
            <w:fldChar w:fldCharType="separate"/>
          </w:r>
          <w:r>
            <w:t>242</w:t>
          </w:r>
          <w:r>
            <w:fldChar w:fldCharType="end"/>
          </w:r>
          <w:r>
            <w:rPr>
              <w:rFonts w:hint="eastAsia" w:ascii="宋体" w:hAnsi="宋体" w:eastAsia="宋体" w:cs="宋体"/>
              <w:color w:val="auto"/>
              <w:szCs w:val="24"/>
              <w:highlight w:val="none"/>
            </w:rPr>
            <w:fldChar w:fldCharType="end"/>
          </w:r>
        </w:p>
        <w:p w14:paraId="6A447456">
          <w:pPr>
            <w:pStyle w:val="8"/>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_Toc26302 </w:instrText>
          </w:r>
          <w:r>
            <w:rPr>
              <w:rFonts w:hint="eastAsia" w:ascii="宋体" w:hAnsi="宋体" w:eastAsia="宋体" w:cs="宋体"/>
              <w:szCs w:val="24"/>
              <w:highlight w:val="none"/>
            </w:rPr>
            <w:fldChar w:fldCharType="separate"/>
          </w:r>
          <w:r>
            <w:rPr>
              <w:rFonts w:hint="eastAsia" w:ascii="宋体" w:hAnsi="宋体" w:eastAsia="宋体" w:cs="宋体"/>
              <w:spacing w:val="-3"/>
              <w:szCs w:val="28"/>
              <w:highlight w:val="none"/>
            </w:rPr>
            <w:t>九、其他资料</w:t>
          </w:r>
          <w:r>
            <w:tab/>
          </w:r>
          <w:r>
            <w:fldChar w:fldCharType="begin"/>
          </w:r>
          <w:r>
            <w:instrText xml:space="preserve"> PAGEREF _Toc26302 \h </w:instrText>
          </w:r>
          <w:r>
            <w:fldChar w:fldCharType="separate"/>
          </w:r>
          <w:r>
            <w:t>243</w:t>
          </w:r>
          <w:r>
            <w:fldChar w:fldCharType="end"/>
          </w:r>
          <w:r>
            <w:rPr>
              <w:rFonts w:hint="eastAsia" w:ascii="宋体" w:hAnsi="宋体" w:eastAsia="宋体" w:cs="宋体"/>
              <w:color w:val="auto"/>
              <w:szCs w:val="24"/>
              <w:highlight w:val="none"/>
            </w:rPr>
            <w:fldChar w:fldCharType="end"/>
          </w:r>
        </w:p>
        <w:p w14:paraId="2B16947C">
          <w:pPr>
            <w:pStyle w:val="8"/>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_Toc1508 </w:instrText>
          </w:r>
          <w:r>
            <w:rPr>
              <w:rFonts w:hint="eastAsia" w:ascii="宋体" w:hAnsi="宋体" w:eastAsia="宋体" w:cs="宋体"/>
              <w:szCs w:val="24"/>
              <w:highlight w:val="none"/>
            </w:rPr>
            <w:fldChar w:fldCharType="separate"/>
          </w:r>
          <w:r>
            <w:rPr>
              <w:rFonts w:hint="eastAsia" w:ascii="宋体" w:hAnsi="宋体" w:eastAsia="宋体" w:cs="宋体"/>
              <w:spacing w:val="8"/>
              <w:szCs w:val="30"/>
              <w:highlight w:val="none"/>
            </w:rPr>
            <w:t>广西壮族自治区</w:t>
          </w:r>
          <w:r>
            <w:tab/>
          </w:r>
          <w:r>
            <w:fldChar w:fldCharType="begin"/>
          </w:r>
          <w:r>
            <w:instrText xml:space="preserve"> PAGEREF _Toc1508 \h </w:instrText>
          </w:r>
          <w:r>
            <w:fldChar w:fldCharType="separate"/>
          </w:r>
          <w:r>
            <w:t>247</w:t>
          </w:r>
          <w:r>
            <w:fldChar w:fldCharType="end"/>
          </w:r>
          <w:r>
            <w:rPr>
              <w:rFonts w:hint="eastAsia" w:ascii="宋体" w:hAnsi="宋体" w:eastAsia="宋体" w:cs="宋体"/>
              <w:color w:val="auto"/>
              <w:szCs w:val="24"/>
              <w:highlight w:val="none"/>
            </w:rPr>
            <w:fldChar w:fldCharType="end"/>
          </w:r>
        </w:p>
        <w:p w14:paraId="5CA4D6A3">
          <w:pPr>
            <w:pStyle w:val="8"/>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_Toc28878 </w:instrText>
          </w:r>
          <w:r>
            <w:rPr>
              <w:rFonts w:hint="eastAsia" w:ascii="宋体" w:hAnsi="宋体" w:eastAsia="宋体" w:cs="宋体"/>
              <w:szCs w:val="24"/>
              <w:highlight w:val="none"/>
            </w:rPr>
            <w:fldChar w:fldCharType="separate"/>
          </w:r>
          <w:r>
            <w:rPr>
              <w:rFonts w:hint="eastAsia" w:ascii="宋体" w:hAnsi="宋体" w:eastAsia="宋体" w:cs="宋体"/>
              <w:spacing w:val="5"/>
              <w:szCs w:val="31"/>
              <w:highlight w:val="none"/>
            </w:rPr>
            <w:t>（第二信封报价文件）</w:t>
          </w:r>
          <w:r>
            <w:tab/>
          </w:r>
          <w:r>
            <w:fldChar w:fldCharType="begin"/>
          </w:r>
          <w:r>
            <w:instrText xml:space="preserve"> PAGEREF _Toc28878 \h </w:instrText>
          </w:r>
          <w:r>
            <w:fldChar w:fldCharType="separate"/>
          </w:r>
          <w:r>
            <w:t>247</w:t>
          </w:r>
          <w:r>
            <w:fldChar w:fldCharType="end"/>
          </w:r>
          <w:r>
            <w:rPr>
              <w:rFonts w:hint="eastAsia" w:ascii="宋体" w:hAnsi="宋体" w:eastAsia="宋体" w:cs="宋体"/>
              <w:color w:val="auto"/>
              <w:szCs w:val="24"/>
              <w:highlight w:val="none"/>
            </w:rPr>
            <w:fldChar w:fldCharType="end"/>
          </w:r>
        </w:p>
        <w:p w14:paraId="2ACC6861">
          <w:pPr>
            <w:pStyle w:val="8"/>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_Toc14829 </w:instrText>
          </w:r>
          <w:r>
            <w:rPr>
              <w:rFonts w:hint="eastAsia" w:ascii="宋体" w:hAnsi="宋体" w:eastAsia="宋体" w:cs="宋体"/>
              <w:szCs w:val="24"/>
              <w:highlight w:val="none"/>
            </w:rPr>
            <w:fldChar w:fldCharType="separate"/>
          </w:r>
          <w:r>
            <w:rPr>
              <w:rFonts w:hint="eastAsia" w:ascii="宋体" w:hAnsi="宋体" w:eastAsia="宋体" w:cs="宋体"/>
              <w:spacing w:val="-33"/>
              <w:szCs w:val="40"/>
              <w:highlight w:val="none"/>
            </w:rPr>
            <w:t>目录</w:t>
          </w:r>
          <w:r>
            <w:tab/>
          </w:r>
          <w:r>
            <w:fldChar w:fldCharType="begin"/>
          </w:r>
          <w:r>
            <w:instrText xml:space="preserve"> PAGEREF _Toc14829 \h </w:instrText>
          </w:r>
          <w:r>
            <w:fldChar w:fldCharType="separate"/>
          </w:r>
          <w:r>
            <w:t>248</w:t>
          </w:r>
          <w:r>
            <w:fldChar w:fldCharType="end"/>
          </w:r>
          <w:r>
            <w:rPr>
              <w:rFonts w:hint="eastAsia" w:ascii="宋体" w:hAnsi="宋体" w:eastAsia="宋体" w:cs="宋体"/>
              <w:color w:val="auto"/>
              <w:szCs w:val="24"/>
              <w:highlight w:val="none"/>
            </w:rPr>
            <w:fldChar w:fldCharType="end"/>
          </w:r>
        </w:p>
        <w:p w14:paraId="68506B33">
          <w:pPr>
            <w:pStyle w:val="8"/>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_Toc22573 </w:instrText>
          </w:r>
          <w:r>
            <w:rPr>
              <w:rFonts w:hint="eastAsia" w:ascii="宋体" w:hAnsi="宋体" w:eastAsia="宋体" w:cs="宋体"/>
              <w:szCs w:val="24"/>
              <w:highlight w:val="none"/>
            </w:rPr>
            <w:fldChar w:fldCharType="separate"/>
          </w:r>
          <w:r>
            <w:rPr>
              <w:rFonts w:hint="eastAsia" w:ascii="宋体" w:hAnsi="宋体" w:eastAsia="宋体" w:cs="宋体"/>
              <w:spacing w:val="-1"/>
              <w:szCs w:val="30"/>
              <w:highlight w:val="none"/>
            </w:rPr>
            <w:t>调价函格式（如有）</w:t>
          </w:r>
          <w:r>
            <w:rPr>
              <w:rFonts w:hint="eastAsia" w:ascii="宋体" w:hAnsi="宋体" w:eastAsia="宋体" w:cs="宋体"/>
              <w:bCs/>
              <w:spacing w:val="-1"/>
              <w:position w:val="13"/>
              <w:szCs w:val="14"/>
              <w:highlight w:val="none"/>
            </w:rPr>
            <w:t>①</w:t>
          </w:r>
          <w:r>
            <w:tab/>
          </w:r>
          <w:r>
            <w:fldChar w:fldCharType="begin"/>
          </w:r>
          <w:r>
            <w:instrText xml:space="preserve"> PAGEREF _Toc22573 \h </w:instrText>
          </w:r>
          <w:r>
            <w:fldChar w:fldCharType="separate"/>
          </w:r>
          <w:r>
            <w:t>249</w:t>
          </w:r>
          <w:r>
            <w:fldChar w:fldCharType="end"/>
          </w:r>
          <w:r>
            <w:rPr>
              <w:rFonts w:hint="eastAsia" w:ascii="宋体" w:hAnsi="宋体" w:eastAsia="宋体" w:cs="宋体"/>
              <w:color w:val="auto"/>
              <w:szCs w:val="24"/>
              <w:highlight w:val="none"/>
            </w:rPr>
            <w:fldChar w:fldCharType="end"/>
          </w:r>
        </w:p>
        <w:p w14:paraId="04FE322F">
          <w:pPr>
            <w:pStyle w:val="8"/>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_Toc2825 </w:instrText>
          </w:r>
          <w:r>
            <w:rPr>
              <w:rFonts w:hint="eastAsia" w:ascii="宋体" w:hAnsi="宋体" w:eastAsia="宋体" w:cs="宋体"/>
              <w:szCs w:val="24"/>
              <w:highlight w:val="none"/>
            </w:rPr>
            <w:fldChar w:fldCharType="separate"/>
          </w:r>
          <w:r>
            <w:rPr>
              <w:rFonts w:hint="eastAsia" w:ascii="宋体" w:hAnsi="宋体" w:eastAsia="宋体" w:cs="宋体"/>
              <w:spacing w:val="-4"/>
              <w:szCs w:val="30"/>
              <w:highlight w:val="none"/>
            </w:rPr>
            <w:t>一、投标函</w:t>
          </w:r>
          <w:r>
            <w:tab/>
          </w:r>
          <w:r>
            <w:fldChar w:fldCharType="begin"/>
          </w:r>
          <w:r>
            <w:instrText xml:space="preserve"> PAGEREF _Toc2825 \h </w:instrText>
          </w:r>
          <w:r>
            <w:fldChar w:fldCharType="separate"/>
          </w:r>
          <w:r>
            <w:t>250</w:t>
          </w:r>
          <w:r>
            <w:fldChar w:fldCharType="end"/>
          </w:r>
          <w:r>
            <w:rPr>
              <w:rFonts w:hint="eastAsia" w:ascii="宋体" w:hAnsi="宋体" w:eastAsia="宋体" w:cs="宋体"/>
              <w:color w:val="auto"/>
              <w:szCs w:val="24"/>
              <w:highlight w:val="none"/>
            </w:rPr>
            <w:fldChar w:fldCharType="end"/>
          </w:r>
        </w:p>
        <w:p w14:paraId="2691C15F">
          <w:pPr>
            <w:pStyle w:val="8"/>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_Toc6735 </w:instrText>
          </w:r>
          <w:r>
            <w:rPr>
              <w:rFonts w:hint="eastAsia" w:ascii="宋体" w:hAnsi="宋体" w:eastAsia="宋体" w:cs="宋体"/>
              <w:szCs w:val="24"/>
              <w:highlight w:val="none"/>
            </w:rPr>
            <w:fldChar w:fldCharType="separate"/>
          </w:r>
          <w:r>
            <w:rPr>
              <w:rFonts w:hint="eastAsia" w:ascii="宋体" w:hAnsi="宋体" w:eastAsia="宋体" w:cs="宋体"/>
              <w:spacing w:val="-2"/>
              <w:szCs w:val="28"/>
              <w:highlight w:val="none"/>
            </w:rPr>
            <w:t>二、已标价工程量清单</w:t>
          </w:r>
          <w:r>
            <w:tab/>
          </w:r>
          <w:r>
            <w:fldChar w:fldCharType="begin"/>
          </w:r>
          <w:r>
            <w:instrText xml:space="preserve"> PAGEREF _Toc6735 \h </w:instrText>
          </w:r>
          <w:r>
            <w:fldChar w:fldCharType="separate"/>
          </w:r>
          <w:r>
            <w:t>251</w:t>
          </w:r>
          <w:r>
            <w:fldChar w:fldCharType="end"/>
          </w:r>
          <w:r>
            <w:rPr>
              <w:rFonts w:hint="eastAsia" w:ascii="宋体" w:hAnsi="宋体" w:eastAsia="宋体" w:cs="宋体"/>
              <w:color w:val="auto"/>
              <w:szCs w:val="24"/>
              <w:highlight w:val="none"/>
            </w:rPr>
            <w:fldChar w:fldCharType="end"/>
          </w:r>
        </w:p>
        <w:p w14:paraId="1D7DB61D">
          <w:pPr>
            <w:pStyle w:val="8"/>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_Toc17118 </w:instrText>
          </w:r>
          <w:r>
            <w:rPr>
              <w:rFonts w:hint="eastAsia" w:ascii="宋体" w:hAnsi="宋体" w:eastAsia="宋体" w:cs="宋体"/>
              <w:szCs w:val="24"/>
              <w:highlight w:val="none"/>
            </w:rPr>
            <w:fldChar w:fldCharType="separate"/>
          </w:r>
          <w:r>
            <w:rPr>
              <w:rFonts w:hint="eastAsia" w:ascii="宋体" w:hAnsi="宋体" w:eastAsia="宋体" w:cs="宋体"/>
              <w:spacing w:val="-2"/>
              <w:szCs w:val="28"/>
              <w:highlight w:val="none"/>
            </w:rPr>
            <w:t>三、合同用款估算表</w:t>
          </w:r>
          <w:r>
            <w:tab/>
          </w:r>
          <w:r>
            <w:fldChar w:fldCharType="begin"/>
          </w:r>
          <w:r>
            <w:instrText xml:space="preserve"> PAGEREF _Toc17118 \h </w:instrText>
          </w:r>
          <w:r>
            <w:fldChar w:fldCharType="separate"/>
          </w:r>
          <w:r>
            <w:t>252</w:t>
          </w:r>
          <w:r>
            <w:fldChar w:fldCharType="end"/>
          </w:r>
          <w:r>
            <w:rPr>
              <w:rFonts w:hint="eastAsia" w:ascii="宋体" w:hAnsi="宋体" w:eastAsia="宋体" w:cs="宋体"/>
              <w:color w:val="auto"/>
              <w:szCs w:val="24"/>
              <w:highlight w:val="none"/>
            </w:rPr>
            <w:fldChar w:fldCharType="end"/>
          </w:r>
        </w:p>
        <w:p w14:paraId="02CC3012">
          <w:pPr>
            <w:pStyle w:val="8"/>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_Toc7233 </w:instrText>
          </w:r>
          <w:r>
            <w:rPr>
              <w:rFonts w:hint="eastAsia" w:ascii="宋体" w:hAnsi="宋体" w:eastAsia="宋体" w:cs="宋体"/>
              <w:szCs w:val="24"/>
              <w:highlight w:val="none"/>
            </w:rPr>
            <w:fldChar w:fldCharType="separate"/>
          </w:r>
          <w:r>
            <w:rPr>
              <w:rFonts w:hint="eastAsia" w:ascii="宋体" w:hAnsi="宋体" w:eastAsia="宋体" w:cs="宋体"/>
              <w:spacing w:val="-5"/>
              <w:szCs w:val="28"/>
              <w:highlight w:val="none"/>
            </w:rPr>
            <w:t>四、其他资料</w:t>
          </w:r>
          <w:r>
            <w:tab/>
          </w:r>
          <w:r>
            <w:fldChar w:fldCharType="begin"/>
          </w:r>
          <w:r>
            <w:instrText xml:space="preserve"> PAGEREF _Toc7233 \h </w:instrText>
          </w:r>
          <w:r>
            <w:fldChar w:fldCharType="separate"/>
          </w:r>
          <w:r>
            <w:t>253</w:t>
          </w:r>
          <w:r>
            <w:fldChar w:fldCharType="end"/>
          </w:r>
          <w:r>
            <w:rPr>
              <w:rFonts w:hint="eastAsia" w:ascii="宋体" w:hAnsi="宋体" w:eastAsia="宋体" w:cs="宋体"/>
              <w:color w:val="auto"/>
              <w:szCs w:val="24"/>
              <w:highlight w:val="none"/>
            </w:rPr>
            <w:fldChar w:fldCharType="end"/>
          </w:r>
        </w:p>
        <w:p w14:paraId="4F8768F0">
          <w:pPr>
            <w:pStyle w:val="8"/>
            <w:tabs>
              <w:tab w:val="right" w:leader="dot" w:pos="8831"/>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_Toc21588 </w:instrText>
          </w:r>
          <w:r>
            <w:rPr>
              <w:rFonts w:hint="eastAsia" w:ascii="宋体" w:hAnsi="宋体" w:eastAsia="宋体" w:cs="宋体"/>
              <w:szCs w:val="24"/>
              <w:highlight w:val="none"/>
            </w:rPr>
            <w:fldChar w:fldCharType="separate"/>
          </w:r>
          <w:r>
            <w:rPr>
              <w:rFonts w:hint="eastAsia" w:ascii="宋体" w:hAnsi="宋体" w:eastAsia="宋体" w:cs="宋体"/>
              <w:bCs/>
              <w:spacing w:val="5"/>
              <w:szCs w:val="31"/>
              <w:highlight w:val="none"/>
            </w:rPr>
            <w:t>工程量清单说明</w:t>
          </w:r>
          <w:r>
            <w:tab/>
          </w:r>
          <w:r>
            <w:fldChar w:fldCharType="begin"/>
          </w:r>
          <w:r>
            <w:instrText xml:space="preserve"> PAGEREF _Toc21588 \h </w:instrText>
          </w:r>
          <w:r>
            <w:fldChar w:fldCharType="separate"/>
          </w:r>
          <w:r>
            <w:t>254</w:t>
          </w:r>
          <w:r>
            <w:fldChar w:fldCharType="end"/>
          </w:r>
          <w:r>
            <w:rPr>
              <w:rFonts w:hint="eastAsia" w:ascii="宋体" w:hAnsi="宋体" w:eastAsia="宋体" w:cs="宋体"/>
              <w:color w:val="auto"/>
              <w:szCs w:val="24"/>
              <w:highlight w:val="none"/>
            </w:rPr>
            <w:fldChar w:fldCharType="end"/>
          </w:r>
        </w:p>
        <w:p w14:paraId="4EE373A8">
          <w:pPr>
            <w:spacing w:line="219" w:lineRule="auto"/>
            <w:rPr>
              <w:rFonts w:hint="eastAsia" w:ascii="宋体" w:hAnsi="宋体" w:eastAsia="宋体" w:cs="宋体"/>
              <w:snapToGrid w:val="0"/>
              <w:color w:val="auto"/>
              <w:kern w:val="0"/>
              <w:sz w:val="21"/>
              <w:szCs w:val="24"/>
              <w:highlight w:val="none"/>
              <w:lang w:val="en-US" w:eastAsia="en-US" w:bidi="ar-SA"/>
            </w:rPr>
          </w:pPr>
          <w:r>
            <w:rPr>
              <w:rFonts w:hint="eastAsia" w:ascii="宋体" w:hAnsi="宋体" w:eastAsia="宋体" w:cs="宋体"/>
              <w:color w:val="auto"/>
              <w:szCs w:val="24"/>
              <w:highlight w:val="none"/>
            </w:rPr>
            <w:fldChar w:fldCharType="end"/>
          </w:r>
        </w:p>
      </w:sdtContent>
    </w:sdt>
    <w:p w14:paraId="120A4B91">
      <w:pPr>
        <w:pStyle w:val="2"/>
        <w:rPr>
          <w:rFonts w:hint="eastAsia"/>
          <w:color w:val="auto"/>
          <w:highlight w:val="none"/>
        </w:rPr>
        <w:sectPr>
          <w:footerReference r:id="rId228" w:type="default"/>
          <w:pgSz w:w="11907" w:h="16840"/>
          <w:pgMar w:top="1182" w:right="1290" w:bottom="1014" w:left="1786" w:header="849" w:footer="852" w:gutter="0"/>
          <w:pgNumType w:fmt="decimal"/>
          <w:cols w:space="720" w:num="1"/>
        </w:sectPr>
      </w:pPr>
    </w:p>
    <w:p w14:paraId="17DBF22D">
      <w:pPr>
        <w:pStyle w:val="4"/>
        <w:spacing w:line="295" w:lineRule="auto"/>
        <w:rPr>
          <w:rFonts w:hint="eastAsia" w:ascii="宋体" w:hAnsi="宋体" w:eastAsia="宋体" w:cs="宋体"/>
          <w:color w:val="auto"/>
          <w:highlight w:val="none"/>
        </w:rPr>
      </w:pPr>
    </w:p>
    <w:p w14:paraId="3C737E4E">
      <w:pPr>
        <w:pStyle w:val="4"/>
        <w:spacing w:line="295" w:lineRule="auto"/>
        <w:rPr>
          <w:rFonts w:hint="eastAsia" w:ascii="宋体" w:hAnsi="宋体" w:eastAsia="宋体" w:cs="宋体"/>
          <w:color w:val="auto"/>
          <w:highlight w:val="none"/>
        </w:rPr>
      </w:pPr>
    </w:p>
    <w:p w14:paraId="391C9DA0">
      <w:pPr>
        <w:spacing w:before="97" w:line="222" w:lineRule="auto"/>
        <w:ind w:left="2930"/>
        <w:outlineLvl w:val="1"/>
        <w:rPr>
          <w:rFonts w:hint="eastAsia" w:ascii="宋体" w:hAnsi="宋体" w:eastAsia="宋体" w:cs="宋体"/>
          <w:color w:val="auto"/>
          <w:sz w:val="30"/>
          <w:szCs w:val="30"/>
          <w:highlight w:val="none"/>
        </w:rPr>
      </w:pPr>
      <w:bookmarkStart w:id="835" w:name="_Toc7688"/>
      <w:bookmarkStart w:id="836" w:name="_Toc10391"/>
      <w:bookmarkStart w:id="837" w:name="_Toc12328"/>
      <w:bookmarkStart w:id="838" w:name="_Toc31883"/>
      <w:bookmarkStart w:id="839" w:name="_Toc1123"/>
      <w:r>
        <w:rPr>
          <w:rFonts w:hint="eastAsia" w:ascii="宋体" w:hAnsi="宋体" w:eastAsia="宋体" w:cs="宋体"/>
          <w:color w:val="auto"/>
          <w:spacing w:val="-2"/>
          <w:sz w:val="30"/>
          <w:szCs w:val="30"/>
          <w:highlight w:val="none"/>
        </w:rPr>
        <w:t>一、投标函及投标函附录</w:t>
      </w:r>
      <w:bookmarkEnd w:id="835"/>
      <w:bookmarkEnd w:id="836"/>
      <w:bookmarkEnd w:id="837"/>
      <w:bookmarkEnd w:id="838"/>
      <w:bookmarkEnd w:id="839"/>
    </w:p>
    <w:p w14:paraId="5825866C">
      <w:pPr>
        <w:pStyle w:val="4"/>
        <w:spacing w:line="302" w:lineRule="auto"/>
        <w:rPr>
          <w:rFonts w:hint="eastAsia" w:ascii="宋体" w:hAnsi="宋体" w:eastAsia="宋体" w:cs="宋体"/>
          <w:color w:val="auto"/>
          <w:highlight w:val="none"/>
        </w:rPr>
      </w:pPr>
    </w:p>
    <w:p w14:paraId="0D6757B4">
      <w:pPr>
        <w:spacing w:before="91" w:line="223" w:lineRule="auto"/>
        <w:ind w:left="3514"/>
        <w:outlineLvl w:val="2"/>
        <w:rPr>
          <w:rFonts w:hint="eastAsia" w:ascii="宋体" w:hAnsi="宋体" w:eastAsia="宋体" w:cs="宋体"/>
          <w:color w:val="auto"/>
          <w:sz w:val="28"/>
          <w:szCs w:val="28"/>
          <w:highlight w:val="none"/>
        </w:rPr>
      </w:pPr>
      <w:bookmarkStart w:id="840" w:name="_Toc7647"/>
      <w:bookmarkStart w:id="841" w:name="_Toc5801"/>
      <w:bookmarkStart w:id="842" w:name="_Toc7567"/>
      <w:bookmarkStart w:id="843" w:name="_Toc27785"/>
      <w:bookmarkStart w:id="844" w:name="_Toc3875"/>
      <w:r>
        <w:rPr>
          <w:rFonts w:hint="eastAsia" w:ascii="宋体" w:hAnsi="宋体" w:eastAsia="宋体" w:cs="宋体"/>
          <w:color w:val="auto"/>
          <w:spacing w:val="-5"/>
          <w:sz w:val="28"/>
          <w:szCs w:val="28"/>
          <w:highlight w:val="none"/>
        </w:rPr>
        <w:t>（一）投标函</w:t>
      </w:r>
      <w:bookmarkEnd w:id="840"/>
      <w:bookmarkEnd w:id="841"/>
      <w:bookmarkEnd w:id="842"/>
      <w:bookmarkEnd w:id="843"/>
      <w:bookmarkEnd w:id="844"/>
    </w:p>
    <w:p w14:paraId="229CDEC3">
      <w:pPr>
        <w:tabs>
          <w:tab w:val="left" w:pos="3376"/>
        </w:tabs>
        <w:spacing w:before="316" w:line="220" w:lineRule="auto"/>
        <w:ind w:left="49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auto"/>
        </w:rPr>
        <w:tab/>
      </w:r>
      <w:r>
        <w:rPr>
          <w:rFonts w:hint="eastAsia" w:ascii="宋体" w:hAnsi="宋体" w:eastAsia="宋体" w:cs="宋体"/>
          <w:color w:val="auto"/>
          <w:sz w:val="24"/>
          <w:szCs w:val="24"/>
          <w:highlight w:val="none"/>
        </w:rPr>
        <w:t>（招标人名称</w:t>
      </w:r>
      <w:r>
        <w:rPr>
          <w:rFonts w:hint="eastAsia" w:ascii="宋体" w:hAnsi="宋体" w:eastAsia="宋体" w:cs="宋体"/>
          <w:color w:val="auto"/>
          <w:spacing w:val="-55"/>
          <w:w w:val="86"/>
          <w:sz w:val="24"/>
          <w:szCs w:val="24"/>
          <w:highlight w:val="none"/>
        </w:rPr>
        <w:t>：）</w:t>
      </w:r>
    </w:p>
    <w:p w14:paraId="7FC804D0">
      <w:pPr>
        <w:spacing w:before="200" w:line="264" w:lineRule="auto"/>
        <w:ind w:left="387" w:right="282" w:firstLine="497"/>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1．我方已仔细研究（项目名称）</w:t>
      </w:r>
      <w:r>
        <w:rPr>
          <w:rFonts w:hint="eastAsia" w:ascii="宋体" w:hAnsi="宋体" w:eastAsia="宋体" w:cs="宋体"/>
          <w:color w:val="auto"/>
          <w:spacing w:val="-4"/>
          <w:sz w:val="24"/>
          <w:szCs w:val="24"/>
          <w:highlight w:val="none"/>
        </w:rPr>
        <w:t>标段施工</w:t>
      </w:r>
      <w:r>
        <w:rPr>
          <w:rFonts w:hint="eastAsia" w:ascii="宋体" w:hAnsi="宋体" w:eastAsia="宋体" w:cs="宋体"/>
          <w:color w:val="auto"/>
          <w:spacing w:val="-5"/>
          <w:sz w:val="24"/>
          <w:szCs w:val="24"/>
          <w:highlight w:val="none"/>
        </w:rPr>
        <w:t>招标文件的全部内容（含补遗书第号至第号</w:t>
      </w:r>
      <w:r>
        <w:rPr>
          <w:rFonts w:hint="eastAsia" w:ascii="宋体" w:hAnsi="宋体" w:eastAsia="宋体" w:cs="宋体"/>
          <w:color w:val="auto"/>
          <w:spacing w:val="-32"/>
          <w:w w:val="50"/>
          <w:sz w:val="24"/>
          <w:szCs w:val="24"/>
          <w:highlight w:val="none"/>
        </w:rPr>
        <w:t>），</w:t>
      </w:r>
      <w:r>
        <w:rPr>
          <w:rFonts w:hint="eastAsia" w:ascii="宋体" w:hAnsi="宋体" w:eastAsia="宋体" w:cs="宋体"/>
          <w:color w:val="auto"/>
          <w:spacing w:val="-5"/>
          <w:sz w:val="24"/>
          <w:szCs w:val="24"/>
          <w:highlight w:val="none"/>
        </w:rPr>
        <w:t>在考察工程现场</w:t>
      </w:r>
      <w:r>
        <w:rPr>
          <w:rFonts w:hint="eastAsia" w:ascii="宋体" w:hAnsi="宋体" w:eastAsia="宋体" w:cs="宋体"/>
          <w:color w:val="auto"/>
          <w:spacing w:val="-6"/>
          <w:sz w:val="24"/>
          <w:szCs w:val="24"/>
          <w:highlight w:val="none"/>
        </w:rPr>
        <w:t>后，愿意以第</w:t>
      </w:r>
      <w:r>
        <w:rPr>
          <w:rFonts w:hint="eastAsia" w:ascii="宋体" w:hAnsi="宋体" w:eastAsia="宋体" w:cs="宋体"/>
          <w:color w:val="auto"/>
          <w:spacing w:val="-3"/>
          <w:sz w:val="24"/>
          <w:szCs w:val="24"/>
          <w:highlight w:val="none"/>
        </w:rPr>
        <w:t>二个信封（报价文件）中的投标总报价（或根据招标文件规定修正核实后确定的</w:t>
      </w:r>
      <w:r>
        <w:rPr>
          <w:rFonts w:hint="eastAsia" w:ascii="宋体" w:hAnsi="宋体" w:eastAsia="宋体" w:cs="宋体"/>
          <w:color w:val="auto"/>
          <w:spacing w:val="-1"/>
          <w:sz w:val="24"/>
          <w:szCs w:val="24"/>
          <w:highlight w:val="none"/>
        </w:rPr>
        <w:t>另一金额</w:t>
      </w:r>
      <w:r>
        <w:rPr>
          <w:rFonts w:hint="eastAsia" w:ascii="宋体" w:hAnsi="宋体" w:eastAsia="宋体" w:cs="宋体"/>
          <w:color w:val="auto"/>
          <w:spacing w:val="-45"/>
          <w:w w:val="72"/>
          <w:sz w:val="24"/>
          <w:szCs w:val="24"/>
          <w:highlight w:val="none"/>
        </w:rPr>
        <w:t>，）</w:t>
      </w:r>
      <w:r>
        <w:rPr>
          <w:rFonts w:hint="eastAsia" w:ascii="宋体" w:hAnsi="宋体" w:eastAsia="宋体" w:cs="宋体"/>
          <w:color w:val="auto"/>
          <w:spacing w:val="-1"/>
          <w:sz w:val="24"/>
          <w:szCs w:val="24"/>
          <w:highlight w:val="none"/>
        </w:rPr>
        <w:t>按合同约定实施和完成承包工程，修补工程中的任何缺陷。</w:t>
      </w:r>
    </w:p>
    <w:p w14:paraId="7F4D6C35">
      <w:pPr>
        <w:spacing w:before="78" w:line="219" w:lineRule="auto"/>
        <w:ind w:left="86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2．我方承诺在招标文件规定的投标有效期内不撤销投标文件。</w:t>
      </w:r>
    </w:p>
    <w:p w14:paraId="043E6B16">
      <w:pPr>
        <w:spacing w:before="79" w:line="230" w:lineRule="auto"/>
        <w:ind w:left="449" w:right="76" w:firstLine="417"/>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3．工程质量</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7"/>
          <w:sz w:val="24"/>
          <w:szCs w:val="24"/>
          <w:highlight w:val="none"/>
        </w:rPr>
        <w:t>安全目标</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7"/>
          <w:sz w:val="24"/>
          <w:szCs w:val="24"/>
          <w:highlight w:val="none"/>
        </w:rPr>
        <w:t>工期：个月或日</w:t>
      </w:r>
      <w:r>
        <w:rPr>
          <w:rFonts w:hint="eastAsia" w:ascii="宋体" w:hAnsi="宋体" w:eastAsia="宋体" w:cs="宋体"/>
          <w:color w:val="auto"/>
          <w:spacing w:val="-5"/>
          <w:sz w:val="24"/>
          <w:szCs w:val="24"/>
          <w:highlight w:val="none"/>
        </w:rPr>
        <w:t>历天。</w:t>
      </w:r>
    </w:p>
    <w:p w14:paraId="7DFC9564">
      <w:pPr>
        <w:spacing w:before="77" w:line="219" w:lineRule="auto"/>
        <w:ind w:left="86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4．如我方中标，我方承诺：</w:t>
      </w:r>
    </w:p>
    <w:p w14:paraId="32C9DC7C">
      <w:pPr>
        <w:spacing w:before="79" w:line="219" w:lineRule="auto"/>
        <w:ind w:left="877"/>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（1）在收到中标通知书后，在中标通知书规定的期限内与你方签订合同；</w:t>
      </w:r>
    </w:p>
    <w:p w14:paraId="21559772">
      <w:pPr>
        <w:spacing w:before="78" w:line="219" w:lineRule="auto"/>
        <w:ind w:left="87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（2）在签订合同时不向你方提出附加条件；</w:t>
      </w:r>
    </w:p>
    <w:p w14:paraId="3489A19E">
      <w:pPr>
        <w:spacing w:before="81" w:line="219" w:lineRule="auto"/>
        <w:ind w:left="87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（3）按照招标文件要求提交履约保证金；</w:t>
      </w:r>
    </w:p>
    <w:p w14:paraId="30AB2537">
      <w:pPr>
        <w:spacing w:before="78" w:line="219" w:lineRule="auto"/>
        <w:ind w:left="877"/>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（4）在合同约定的期限内完成合同规定的全部义务；</w:t>
      </w:r>
    </w:p>
    <w:p w14:paraId="037A3762">
      <w:pPr>
        <w:spacing w:before="81" w:line="264" w:lineRule="auto"/>
        <w:ind w:left="385" w:right="280" w:firstLine="492"/>
        <w:rPr>
          <w:rFonts w:hint="eastAsia" w:ascii="宋体" w:hAnsi="宋体" w:eastAsia="宋体" w:cs="宋体"/>
          <w:color w:val="auto"/>
          <w:sz w:val="12"/>
          <w:szCs w:val="12"/>
          <w:highlight w:val="none"/>
        </w:rPr>
      </w:pPr>
      <w:r>
        <w:rPr>
          <w:rFonts w:hint="eastAsia" w:ascii="宋体" w:hAnsi="宋体" w:eastAsia="宋体" w:cs="宋体"/>
          <w:color w:val="auto"/>
          <w:spacing w:val="-7"/>
          <w:sz w:val="24"/>
          <w:szCs w:val="24"/>
          <w:highlight w:val="none"/>
        </w:rPr>
        <w:t>（5）在你方和我方进行合同谈判之前，我方将按照合同附件提出的最低要求</w:t>
      </w:r>
      <w:r>
        <w:rPr>
          <w:rFonts w:hint="eastAsia" w:ascii="宋体" w:hAnsi="宋体" w:eastAsia="宋体" w:cs="宋体"/>
          <w:color w:val="auto"/>
          <w:spacing w:val="-9"/>
          <w:sz w:val="24"/>
          <w:szCs w:val="24"/>
          <w:highlight w:val="none"/>
        </w:rPr>
        <w:t>填报派驻本标段的其他管理和技术人员及主要机械设备和试</w:t>
      </w:r>
      <w:r>
        <w:rPr>
          <w:rFonts w:hint="eastAsia" w:ascii="宋体" w:hAnsi="宋体" w:eastAsia="宋体" w:cs="宋体"/>
          <w:color w:val="auto"/>
          <w:spacing w:val="-10"/>
          <w:sz w:val="24"/>
          <w:szCs w:val="24"/>
          <w:highlight w:val="none"/>
        </w:rPr>
        <w:t>验检测设备，经你方审</w:t>
      </w:r>
      <w:r>
        <w:rPr>
          <w:rFonts w:hint="eastAsia" w:ascii="宋体" w:hAnsi="宋体" w:eastAsia="宋体" w:cs="宋体"/>
          <w:color w:val="auto"/>
          <w:spacing w:val="-9"/>
          <w:sz w:val="24"/>
          <w:szCs w:val="24"/>
          <w:highlight w:val="none"/>
        </w:rPr>
        <w:t>批后作为派驻本标段的项目管理机构主要人员和主要设备且</w:t>
      </w:r>
      <w:r>
        <w:rPr>
          <w:rFonts w:hint="eastAsia" w:ascii="宋体" w:hAnsi="宋体" w:eastAsia="宋体" w:cs="宋体"/>
          <w:color w:val="auto"/>
          <w:spacing w:val="-10"/>
          <w:sz w:val="24"/>
          <w:szCs w:val="24"/>
          <w:highlight w:val="none"/>
        </w:rPr>
        <w:t>不进行更换。如我方拟</w:t>
      </w:r>
      <w:r>
        <w:rPr>
          <w:rFonts w:hint="eastAsia" w:ascii="宋体" w:hAnsi="宋体" w:eastAsia="宋体" w:cs="宋体"/>
          <w:color w:val="auto"/>
          <w:spacing w:val="-6"/>
          <w:sz w:val="24"/>
          <w:szCs w:val="24"/>
          <w:highlight w:val="none"/>
        </w:rPr>
        <w:t>派驻的人员和设备不满足合同附件要求，你方有权取消我方中标资格。</w:t>
      </w:r>
      <w:r>
        <w:rPr>
          <w:rFonts w:hint="eastAsia" w:ascii="宋体" w:hAnsi="宋体" w:eastAsia="宋体" w:cs="宋体"/>
          <w:color w:val="auto"/>
          <w:spacing w:val="-6"/>
          <w:position w:val="10"/>
          <w:sz w:val="12"/>
          <w:szCs w:val="12"/>
          <w:highlight w:val="none"/>
        </w:rPr>
        <w:t>①</w:t>
      </w:r>
    </w:p>
    <w:p w14:paraId="520D7158">
      <w:pPr>
        <w:spacing w:before="79" w:line="249" w:lineRule="auto"/>
        <w:ind w:left="385" w:right="376" w:firstLine="483"/>
        <w:rPr>
          <w:rFonts w:hint="eastAsia" w:ascii="宋体" w:hAnsi="宋体" w:eastAsia="宋体" w:cs="宋体"/>
          <w:color w:val="auto"/>
          <w:sz w:val="24"/>
          <w:szCs w:val="24"/>
          <w:highlight w:val="none"/>
        </w:rPr>
      </w:pPr>
      <w:r>
        <w:rPr>
          <w:rFonts w:hint="eastAsia" w:ascii="宋体" w:hAnsi="宋体" w:eastAsia="宋体" w:cs="宋体"/>
          <w:color w:val="auto"/>
          <w:spacing w:val="-16"/>
          <w:sz w:val="24"/>
          <w:szCs w:val="24"/>
          <w:highlight w:val="none"/>
        </w:rPr>
        <w:t>5．我方在此声明，所递交的投标文件及有关资料内容完整、真实和准确，且不</w:t>
      </w:r>
      <w:r>
        <w:rPr>
          <w:rFonts w:hint="eastAsia" w:ascii="宋体" w:hAnsi="宋体" w:eastAsia="宋体" w:cs="宋体"/>
          <w:color w:val="auto"/>
          <w:spacing w:val="-8"/>
          <w:sz w:val="24"/>
          <w:szCs w:val="24"/>
          <w:highlight w:val="none"/>
        </w:rPr>
        <w:t>存在招标文件第二章“投标人须知”第1.4.3项和第1.4.4项规定的任何一</w:t>
      </w:r>
      <w:r>
        <w:rPr>
          <w:rFonts w:hint="eastAsia" w:ascii="宋体" w:hAnsi="宋体" w:eastAsia="宋体" w:cs="宋体"/>
          <w:color w:val="auto"/>
          <w:spacing w:val="-9"/>
          <w:sz w:val="24"/>
          <w:szCs w:val="24"/>
          <w:highlight w:val="none"/>
        </w:rPr>
        <w:t>种情形。</w:t>
      </w:r>
    </w:p>
    <w:p w14:paraId="56397387">
      <w:pPr>
        <w:spacing w:before="81" w:line="249" w:lineRule="auto"/>
        <w:ind w:left="386" w:right="268" w:firstLine="480"/>
        <w:rPr>
          <w:rFonts w:hint="eastAsia" w:ascii="宋体" w:hAnsi="宋体" w:eastAsia="宋体" w:cs="宋体"/>
          <w:color w:val="auto"/>
          <w:sz w:val="24"/>
          <w:szCs w:val="24"/>
          <w:highlight w:val="none"/>
        </w:rPr>
      </w:pPr>
      <w:r>
        <w:rPr>
          <w:rFonts w:hint="eastAsia" w:ascii="宋体" w:hAnsi="宋体" w:eastAsia="宋体" w:cs="宋体"/>
          <w:color w:val="auto"/>
          <w:spacing w:val="-19"/>
          <w:sz w:val="24"/>
          <w:szCs w:val="24"/>
          <w:highlight w:val="none"/>
        </w:rPr>
        <w:t>6．在合同协议书正式签署生效之前，本投标函连同你方的中标通知书将构成我们</w:t>
      </w:r>
      <w:r>
        <w:rPr>
          <w:rFonts w:hint="eastAsia" w:ascii="宋体" w:hAnsi="宋体" w:eastAsia="宋体" w:cs="宋体"/>
          <w:color w:val="auto"/>
          <w:spacing w:val="-15"/>
          <w:sz w:val="24"/>
          <w:szCs w:val="24"/>
          <w:highlight w:val="none"/>
        </w:rPr>
        <w:t>双方之间共同遵守的文件，对双方具有约束力。</w:t>
      </w:r>
    </w:p>
    <w:p w14:paraId="509BCD85">
      <w:pPr>
        <w:spacing w:before="78" w:line="219" w:lineRule="auto"/>
        <w:ind w:left="865"/>
        <w:rPr>
          <w:rFonts w:hint="eastAsia" w:ascii="宋体" w:hAnsi="宋体" w:eastAsia="宋体" w:cs="宋体"/>
          <w:color w:val="auto"/>
          <w:sz w:val="24"/>
          <w:szCs w:val="24"/>
          <w:highlight w:val="none"/>
        </w:rPr>
      </w:pPr>
      <w:r>
        <w:rPr>
          <w:rFonts w:hint="eastAsia" w:ascii="宋体" w:hAnsi="宋体" w:eastAsia="宋体" w:cs="宋体"/>
          <w:color w:val="auto"/>
          <w:spacing w:val="-15"/>
          <w:sz w:val="24"/>
          <w:szCs w:val="24"/>
          <w:highlight w:val="none"/>
        </w:rPr>
        <w:t>7</w:t>
      </w:r>
      <w:r>
        <w:rPr>
          <w:rFonts w:hint="eastAsia" w:ascii="宋体" w:hAnsi="宋体" w:eastAsia="宋体" w:cs="宋体"/>
          <w:color w:val="auto"/>
          <w:spacing w:val="-31"/>
          <w:sz w:val="24"/>
          <w:szCs w:val="24"/>
          <w:highlight w:val="none"/>
        </w:rPr>
        <w:t>．（</w:t>
      </w:r>
      <w:r>
        <w:rPr>
          <w:rFonts w:hint="eastAsia" w:ascii="宋体" w:hAnsi="宋体" w:eastAsia="宋体" w:cs="宋体"/>
          <w:color w:val="auto"/>
          <w:spacing w:val="-15"/>
          <w:sz w:val="24"/>
          <w:szCs w:val="24"/>
          <w:highlight w:val="none"/>
        </w:rPr>
        <w:t>其他补充说明。）</w:t>
      </w:r>
    </w:p>
    <w:p w14:paraId="1DBE3C74">
      <w:pPr>
        <w:spacing w:before="20" w:line="224" w:lineRule="auto"/>
        <w:ind w:left="3809"/>
        <w:rPr>
          <w:rFonts w:hint="eastAsia" w:ascii="宋体" w:hAnsi="宋体" w:eastAsia="宋体" w:cs="宋体"/>
          <w:color w:val="auto"/>
          <w:sz w:val="12"/>
          <w:szCs w:val="12"/>
          <w:highlight w:val="none"/>
        </w:rPr>
      </w:pPr>
      <w:r>
        <w:rPr>
          <w:rFonts w:hint="eastAsia" w:ascii="宋体" w:hAnsi="宋体" w:eastAsia="宋体" w:cs="宋体"/>
          <w:color w:val="auto"/>
          <w:sz w:val="24"/>
          <w:szCs w:val="24"/>
          <w:highlight w:val="none"/>
        </w:rPr>
        <w:t>投标人</w:t>
      </w:r>
      <w:r>
        <w:rPr>
          <w:rFonts w:hint="eastAsia" w:ascii="宋体" w:hAnsi="宋体" w:eastAsia="宋体" w:cs="宋体"/>
          <w:color w:val="auto"/>
          <w:spacing w:val="-23"/>
          <w:sz w:val="24"/>
          <w:szCs w:val="24"/>
          <w:highlight w:val="none"/>
        </w:rPr>
        <w:t>：（</w:t>
      </w:r>
      <w:r>
        <w:rPr>
          <w:rFonts w:hint="eastAsia" w:ascii="宋体" w:hAnsi="宋体" w:eastAsia="宋体" w:cs="宋体"/>
          <w:color w:val="auto"/>
          <w:sz w:val="24"/>
          <w:szCs w:val="24"/>
          <w:highlight w:val="none"/>
        </w:rPr>
        <w:t>盖单位章）</w:t>
      </w:r>
      <w:r>
        <w:rPr>
          <w:rFonts w:hint="eastAsia" w:ascii="宋体" w:hAnsi="宋体" w:eastAsia="宋体" w:cs="宋体"/>
          <w:color w:val="auto"/>
          <w:position w:val="10"/>
          <w:sz w:val="12"/>
          <w:szCs w:val="12"/>
          <w:highlight w:val="none"/>
        </w:rPr>
        <w:t>②</w:t>
      </w:r>
    </w:p>
    <w:p w14:paraId="4E1E4E75">
      <w:pPr>
        <w:spacing w:before="77" w:line="219" w:lineRule="auto"/>
        <w:ind w:left="3807"/>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法定代表人</w:t>
      </w:r>
      <w:r>
        <w:rPr>
          <w:rFonts w:hint="eastAsia" w:ascii="宋体" w:hAnsi="宋体" w:eastAsia="宋体" w:cs="宋体"/>
          <w:color w:val="auto"/>
          <w:spacing w:val="-30"/>
          <w:sz w:val="24"/>
          <w:szCs w:val="24"/>
          <w:highlight w:val="none"/>
        </w:rPr>
        <w:t>：（</w:t>
      </w:r>
      <w:r>
        <w:rPr>
          <w:rFonts w:hint="eastAsia" w:ascii="宋体" w:hAnsi="宋体" w:eastAsia="宋体" w:cs="宋体"/>
          <w:color w:val="auto"/>
          <w:spacing w:val="3"/>
          <w:sz w:val="24"/>
          <w:szCs w:val="24"/>
          <w:highlight w:val="none"/>
        </w:rPr>
        <w:t>签章）</w:t>
      </w:r>
    </w:p>
    <w:p w14:paraId="19DCB138">
      <w:pPr>
        <w:spacing w:before="81" w:line="229" w:lineRule="auto"/>
        <w:ind w:left="3926"/>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7"/>
          <w:sz w:val="24"/>
          <w:szCs w:val="24"/>
          <w:highlight w:val="none"/>
        </w:rPr>
        <w:t>地址：</w:t>
      </w:r>
    </w:p>
    <w:p w14:paraId="30ABA634">
      <w:pPr>
        <w:spacing w:before="65" w:line="224" w:lineRule="auto"/>
        <w:ind w:left="3824"/>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4"/>
          <w:sz w:val="24"/>
          <w:szCs w:val="24"/>
          <w:highlight w:val="none"/>
        </w:rPr>
        <w:t>网址：</w:t>
      </w:r>
    </w:p>
    <w:p w14:paraId="7B2B73D2">
      <w:pPr>
        <w:spacing w:before="70" w:line="219" w:lineRule="auto"/>
        <w:ind w:left="3804"/>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7"/>
          <w:sz w:val="24"/>
          <w:szCs w:val="24"/>
          <w:highlight w:val="none"/>
        </w:rPr>
        <w:t>传真：</w:t>
      </w:r>
    </w:p>
    <w:p w14:paraId="1952CBD4">
      <w:pPr>
        <w:spacing w:before="81" w:line="219" w:lineRule="auto"/>
        <w:ind w:left="3823"/>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6"/>
          <w:sz w:val="24"/>
          <w:szCs w:val="24"/>
          <w:highlight w:val="none"/>
        </w:rPr>
        <w:t>邮政编码：</w:t>
      </w:r>
    </w:p>
    <w:p w14:paraId="1A32477E">
      <w:pPr>
        <w:tabs>
          <w:tab w:val="left" w:pos="6195"/>
        </w:tabs>
        <w:spacing w:before="152" w:line="175" w:lineRule="auto"/>
        <w:ind w:left="511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auto"/>
        </w:rPr>
        <w:tab/>
      </w:r>
      <w:r>
        <w:rPr>
          <w:rFonts w:hint="eastAsia" w:ascii="宋体" w:hAnsi="宋体" w:eastAsia="宋体" w:cs="宋体"/>
          <w:color w:val="auto"/>
          <w:spacing w:val="-9"/>
          <w:sz w:val="24"/>
          <w:szCs w:val="24"/>
          <w:highlight w:val="none"/>
        </w:rPr>
        <w:t>年月日</w:t>
      </w:r>
    </w:p>
    <w:p w14:paraId="0406DB7D">
      <w:pPr>
        <w:pStyle w:val="4"/>
        <w:tabs>
          <w:tab w:val="left" w:pos="2881"/>
        </w:tabs>
        <w:spacing w:before="1" w:line="227" w:lineRule="auto"/>
        <w:rPr>
          <w:rFonts w:hint="eastAsia" w:ascii="宋体" w:hAnsi="宋体" w:eastAsia="宋体" w:cs="宋体"/>
          <w:color w:val="auto"/>
          <w:highlight w:val="none"/>
        </w:rPr>
      </w:pPr>
      <w:r>
        <w:rPr>
          <w:rFonts w:hint="eastAsia" w:ascii="宋体" w:hAnsi="宋体" w:eastAsia="宋体" w:cs="宋体"/>
          <w:color w:val="auto"/>
          <w:highlight w:val="none"/>
          <w:u w:val="single" w:color="auto"/>
        </w:rPr>
        <w:tab/>
      </w:r>
    </w:p>
    <w:p w14:paraId="793F7D05">
      <w:pPr>
        <w:spacing w:before="118" w:line="281" w:lineRule="auto"/>
        <w:ind w:left="565" w:right="285" w:hanging="185"/>
        <w:rPr>
          <w:rFonts w:hint="eastAsia" w:ascii="宋体" w:hAnsi="宋体" w:eastAsia="宋体" w:cs="宋体"/>
          <w:color w:val="auto"/>
          <w:sz w:val="19"/>
          <w:szCs w:val="19"/>
          <w:highlight w:val="none"/>
        </w:rPr>
      </w:pPr>
      <w:r>
        <w:rPr>
          <w:rFonts w:hint="eastAsia" w:ascii="宋体" w:hAnsi="宋体" w:eastAsia="宋体" w:cs="宋体"/>
          <w:color w:val="auto"/>
          <w:spacing w:val="9"/>
          <w:position w:val="9"/>
          <w:sz w:val="10"/>
          <w:szCs w:val="10"/>
          <w:highlight w:val="none"/>
        </w:rPr>
        <w:t>①</w:t>
      </w:r>
      <w:r>
        <w:rPr>
          <w:rFonts w:hint="eastAsia" w:ascii="宋体" w:hAnsi="宋体" w:eastAsia="宋体" w:cs="宋体"/>
          <w:color w:val="auto"/>
          <w:spacing w:val="9"/>
          <w:sz w:val="19"/>
          <w:szCs w:val="19"/>
          <w:highlight w:val="none"/>
        </w:rPr>
        <w:t>本条款不适用于已按资格预审文件或招标文件</w:t>
      </w:r>
      <w:r>
        <w:rPr>
          <w:rFonts w:hint="eastAsia" w:ascii="宋体" w:hAnsi="宋体" w:eastAsia="宋体" w:cs="宋体"/>
          <w:color w:val="auto"/>
          <w:spacing w:val="8"/>
          <w:sz w:val="19"/>
          <w:szCs w:val="19"/>
          <w:highlight w:val="none"/>
        </w:rPr>
        <w:t>要求提供了其他管理和技术人员、主要机械设备和试验检测设备的项目。</w:t>
      </w:r>
    </w:p>
    <w:p w14:paraId="250EAF25">
      <w:pPr>
        <w:spacing w:before="85" w:line="232" w:lineRule="auto"/>
        <w:ind w:left="379"/>
        <w:rPr>
          <w:rFonts w:hint="eastAsia" w:ascii="宋体" w:hAnsi="宋体" w:eastAsia="宋体" w:cs="宋体"/>
          <w:color w:val="auto"/>
          <w:sz w:val="18"/>
          <w:szCs w:val="18"/>
          <w:highlight w:val="none"/>
        </w:rPr>
      </w:pPr>
      <w:r>
        <w:rPr>
          <w:rFonts w:hint="eastAsia" w:ascii="宋体" w:hAnsi="宋体" w:eastAsia="宋体" w:cs="宋体"/>
          <w:color w:val="auto"/>
          <w:position w:val="9"/>
          <w:sz w:val="8"/>
          <w:szCs w:val="8"/>
          <w:highlight w:val="none"/>
        </w:rPr>
        <w:t>②</w:t>
      </w:r>
      <w:r>
        <w:rPr>
          <w:rFonts w:hint="eastAsia" w:ascii="宋体" w:hAnsi="宋体" w:eastAsia="宋体" w:cs="宋体"/>
          <w:color w:val="auto"/>
          <w:sz w:val="18"/>
          <w:szCs w:val="18"/>
          <w:highlight w:val="none"/>
        </w:rPr>
        <w:t>投标人仅须在投标函上加盖单位章，或加盖法定代表</w:t>
      </w:r>
      <w:r>
        <w:rPr>
          <w:rFonts w:hint="eastAsia" w:ascii="宋体" w:hAnsi="宋体" w:eastAsia="宋体" w:cs="宋体"/>
          <w:color w:val="auto"/>
          <w:spacing w:val="-1"/>
          <w:sz w:val="18"/>
          <w:szCs w:val="18"/>
          <w:highlight w:val="none"/>
        </w:rPr>
        <w:t>人签章。</w:t>
      </w:r>
    </w:p>
    <w:p w14:paraId="7AEF4BEE">
      <w:pPr>
        <w:spacing w:line="232" w:lineRule="auto"/>
        <w:rPr>
          <w:rFonts w:hint="eastAsia" w:ascii="宋体" w:hAnsi="宋体" w:eastAsia="宋体" w:cs="宋体"/>
          <w:color w:val="auto"/>
          <w:sz w:val="18"/>
          <w:szCs w:val="18"/>
          <w:highlight w:val="none"/>
        </w:rPr>
        <w:sectPr>
          <w:headerReference r:id="rId229" w:type="default"/>
          <w:footerReference r:id="rId230" w:type="default"/>
          <w:pgSz w:w="11907" w:h="16840"/>
          <w:pgMar w:top="1182" w:right="1290" w:bottom="1014" w:left="1643" w:header="849" w:footer="852" w:gutter="0"/>
          <w:pgNumType w:fmt="decimal"/>
          <w:cols w:space="720" w:num="1"/>
        </w:sectPr>
      </w:pPr>
    </w:p>
    <w:p w14:paraId="74DCCFCC">
      <w:pPr>
        <w:spacing w:before="302" w:line="222" w:lineRule="auto"/>
        <w:ind w:left="3256"/>
        <w:outlineLvl w:val="2"/>
        <w:rPr>
          <w:rFonts w:hint="eastAsia" w:ascii="宋体" w:hAnsi="宋体" w:eastAsia="宋体" w:cs="宋体"/>
          <w:color w:val="auto"/>
          <w:sz w:val="30"/>
          <w:szCs w:val="30"/>
          <w:highlight w:val="none"/>
        </w:rPr>
      </w:pPr>
      <w:bookmarkStart w:id="845" w:name="_Toc8868"/>
      <w:bookmarkStart w:id="846" w:name="_Toc1104"/>
      <w:bookmarkStart w:id="847" w:name="_Toc73"/>
      <w:bookmarkStart w:id="848" w:name="_Toc27668"/>
      <w:bookmarkStart w:id="849" w:name="_Toc29551"/>
      <w:r>
        <w:rPr>
          <w:rFonts w:hint="eastAsia" w:ascii="宋体" w:hAnsi="宋体" w:eastAsia="宋体" w:cs="宋体"/>
          <w:color w:val="auto"/>
          <w:spacing w:val="-5"/>
          <w:sz w:val="30"/>
          <w:szCs w:val="30"/>
          <w:highlight w:val="none"/>
        </w:rPr>
        <w:t>（二）投标函附录</w:t>
      </w:r>
      <w:bookmarkEnd w:id="845"/>
      <w:bookmarkEnd w:id="846"/>
      <w:bookmarkEnd w:id="847"/>
      <w:bookmarkEnd w:id="848"/>
      <w:bookmarkEnd w:id="849"/>
    </w:p>
    <w:p w14:paraId="3C12B30B">
      <w:pPr>
        <w:spacing w:line="230" w:lineRule="exact"/>
        <w:rPr>
          <w:rFonts w:hint="eastAsia" w:ascii="宋体" w:hAnsi="宋体" w:eastAsia="宋体" w:cs="宋体"/>
          <w:color w:val="auto"/>
          <w:highlight w:val="none"/>
        </w:rPr>
      </w:pPr>
    </w:p>
    <w:tbl>
      <w:tblPr>
        <w:tblStyle w:val="24"/>
        <w:tblW w:w="8948" w:type="dxa"/>
        <w:tblInd w:w="11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6"/>
        <w:gridCol w:w="2710"/>
        <w:gridCol w:w="1185"/>
        <w:gridCol w:w="3614"/>
        <w:gridCol w:w="753"/>
      </w:tblGrid>
      <w:tr w14:paraId="15D660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trPr>
        <w:tc>
          <w:tcPr>
            <w:tcW w:w="686" w:type="dxa"/>
            <w:vAlign w:val="top"/>
          </w:tcPr>
          <w:p w14:paraId="29FE4D08">
            <w:pPr>
              <w:pStyle w:val="25"/>
              <w:spacing w:before="144" w:line="214" w:lineRule="auto"/>
              <w:ind w:left="132"/>
              <w:rPr>
                <w:rFonts w:hint="eastAsia" w:ascii="宋体" w:hAnsi="宋体" w:eastAsia="宋体" w:cs="宋体"/>
                <w:color w:val="auto"/>
                <w:sz w:val="22"/>
                <w:szCs w:val="22"/>
                <w:highlight w:val="none"/>
              </w:rPr>
            </w:pPr>
            <w:r>
              <w:rPr>
                <w:rFonts w:hint="eastAsia" w:ascii="宋体" w:hAnsi="宋体" w:eastAsia="宋体" w:cs="宋体"/>
                <w:b/>
                <w:bCs/>
                <w:color w:val="auto"/>
                <w:spacing w:val="-6"/>
                <w:sz w:val="22"/>
                <w:szCs w:val="22"/>
                <w:highlight w:val="none"/>
              </w:rPr>
              <w:t>序号</w:t>
            </w:r>
          </w:p>
        </w:tc>
        <w:tc>
          <w:tcPr>
            <w:tcW w:w="2710" w:type="dxa"/>
            <w:vAlign w:val="top"/>
          </w:tcPr>
          <w:p w14:paraId="237E18A4">
            <w:pPr>
              <w:pStyle w:val="25"/>
              <w:spacing w:before="144" w:line="214" w:lineRule="auto"/>
              <w:ind w:left="924"/>
              <w:rPr>
                <w:rFonts w:hint="eastAsia" w:ascii="宋体" w:hAnsi="宋体" w:eastAsia="宋体" w:cs="宋体"/>
                <w:color w:val="auto"/>
                <w:sz w:val="22"/>
                <w:szCs w:val="22"/>
                <w:highlight w:val="none"/>
              </w:rPr>
            </w:pPr>
            <w:r>
              <w:rPr>
                <w:rFonts w:hint="eastAsia" w:ascii="宋体" w:hAnsi="宋体" w:eastAsia="宋体" w:cs="宋体"/>
                <w:b/>
                <w:bCs/>
                <w:color w:val="auto"/>
                <w:spacing w:val="-5"/>
                <w:sz w:val="22"/>
                <w:szCs w:val="22"/>
                <w:highlight w:val="none"/>
              </w:rPr>
              <w:t>条款名称</w:t>
            </w:r>
          </w:p>
        </w:tc>
        <w:tc>
          <w:tcPr>
            <w:tcW w:w="1185" w:type="dxa"/>
            <w:vAlign w:val="top"/>
          </w:tcPr>
          <w:p w14:paraId="54FC1296">
            <w:pPr>
              <w:pStyle w:val="25"/>
              <w:spacing w:before="144" w:line="214" w:lineRule="auto"/>
              <w:ind w:left="50"/>
              <w:rPr>
                <w:rFonts w:hint="eastAsia" w:ascii="宋体" w:hAnsi="宋体" w:eastAsia="宋体" w:cs="宋体"/>
                <w:color w:val="auto"/>
                <w:sz w:val="22"/>
                <w:szCs w:val="22"/>
                <w:highlight w:val="none"/>
              </w:rPr>
            </w:pPr>
            <w:r>
              <w:rPr>
                <w:rFonts w:hint="eastAsia" w:ascii="宋体" w:hAnsi="宋体" w:eastAsia="宋体" w:cs="宋体"/>
                <w:b/>
                <w:bCs/>
                <w:color w:val="auto"/>
                <w:spacing w:val="-4"/>
                <w:sz w:val="22"/>
                <w:szCs w:val="22"/>
                <w:highlight w:val="none"/>
              </w:rPr>
              <w:t>合同条目号</w:t>
            </w:r>
          </w:p>
        </w:tc>
        <w:tc>
          <w:tcPr>
            <w:tcW w:w="3614" w:type="dxa"/>
            <w:vAlign w:val="top"/>
          </w:tcPr>
          <w:p w14:paraId="618B8859">
            <w:pPr>
              <w:pStyle w:val="25"/>
              <w:spacing w:before="144" w:line="214" w:lineRule="auto"/>
              <w:ind w:left="1379"/>
              <w:rPr>
                <w:rFonts w:hint="eastAsia" w:ascii="宋体" w:hAnsi="宋体" w:eastAsia="宋体" w:cs="宋体"/>
                <w:color w:val="auto"/>
                <w:sz w:val="22"/>
                <w:szCs w:val="22"/>
                <w:highlight w:val="none"/>
              </w:rPr>
            </w:pPr>
            <w:r>
              <w:rPr>
                <w:rFonts w:hint="eastAsia" w:ascii="宋体" w:hAnsi="宋体" w:eastAsia="宋体" w:cs="宋体"/>
                <w:b/>
                <w:bCs/>
                <w:color w:val="auto"/>
                <w:spacing w:val="-5"/>
                <w:sz w:val="22"/>
                <w:szCs w:val="22"/>
                <w:highlight w:val="none"/>
              </w:rPr>
              <w:t>约定内容</w:t>
            </w:r>
          </w:p>
        </w:tc>
        <w:tc>
          <w:tcPr>
            <w:tcW w:w="753" w:type="dxa"/>
            <w:vAlign w:val="top"/>
          </w:tcPr>
          <w:p w14:paraId="7D1D67BB">
            <w:pPr>
              <w:pStyle w:val="25"/>
              <w:spacing w:before="144" w:line="214" w:lineRule="auto"/>
              <w:ind w:left="172"/>
              <w:rPr>
                <w:rFonts w:hint="eastAsia" w:ascii="宋体" w:hAnsi="宋体" w:eastAsia="宋体" w:cs="宋体"/>
                <w:color w:val="auto"/>
                <w:sz w:val="22"/>
                <w:szCs w:val="22"/>
                <w:highlight w:val="none"/>
              </w:rPr>
            </w:pPr>
            <w:r>
              <w:rPr>
                <w:rFonts w:hint="eastAsia" w:ascii="宋体" w:hAnsi="宋体" w:eastAsia="宋体" w:cs="宋体"/>
                <w:b/>
                <w:bCs/>
                <w:color w:val="auto"/>
                <w:spacing w:val="-8"/>
                <w:sz w:val="22"/>
                <w:szCs w:val="22"/>
                <w:highlight w:val="none"/>
              </w:rPr>
              <w:t>备注</w:t>
            </w:r>
          </w:p>
        </w:tc>
      </w:tr>
      <w:tr w14:paraId="33B71A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686" w:type="dxa"/>
            <w:vAlign w:val="top"/>
          </w:tcPr>
          <w:p w14:paraId="03F9021A">
            <w:pPr>
              <w:spacing w:before="178" w:line="189" w:lineRule="auto"/>
              <w:ind w:left="316"/>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2710" w:type="dxa"/>
            <w:vAlign w:val="top"/>
          </w:tcPr>
          <w:p w14:paraId="33500CEE">
            <w:pPr>
              <w:pStyle w:val="25"/>
              <w:spacing w:before="140" w:line="212" w:lineRule="auto"/>
              <w:ind w:left="812"/>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缺陷责任期</w:t>
            </w:r>
          </w:p>
        </w:tc>
        <w:tc>
          <w:tcPr>
            <w:tcW w:w="1185" w:type="dxa"/>
            <w:vAlign w:val="top"/>
          </w:tcPr>
          <w:p w14:paraId="1DDC2CFD">
            <w:pPr>
              <w:spacing w:before="178" w:line="189" w:lineRule="auto"/>
              <w:ind w:left="316"/>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1.1.4.5</w:t>
            </w:r>
          </w:p>
        </w:tc>
        <w:tc>
          <w:tcPr>
            <w:tcW w:w="3614" w:type="dxa"/>
            <w:vAlign w:val="top"/>
          </w:tcPr>
          <w:p w14:paraId="23623336">
            <w:pPr>
              <w:pStyle w:val="25"/>
              <w:spacing w:before="140" w:line="212" w:lineRule="auto"/>
              <w:ind w:left="153"/>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自实际交工日期起计算</w:t>
            </w:r>
            <w:r>
              <w:rPr>
                <w:rFonts w:hint="eastAsia" w:ascii="宋体" w:hAnsi="宋体" w:eastAsia="宋体" w:cs="宋体"/>
                <w:color w:val="auto"/>
                <w:spacing w:val="-4"/>
                <w:sz w:val="22"/>
                <w:szCs w:val="22"/>
                <w:highlight w:val="none"/>
                <w:u w:val="single"/>
                <w:lang w:val="en-US" w:eastAsia="zh-CN"/>
              </w:rPr>
              <w:t xml:space="preserve">  </w:t>
            </w:r>
            <w:r>
              <w:rPr>
                <w:rFonts w:hint="eastAsia" w:ascii="宋体" w:hAnsi="宋体" w:eastAsia="宋体" w:cs="宋体"/>
                <w:color w:val="auto"/>
                <w:spacing w:val="-4"/>
                <w:sz w:val="22"/>
                <w:szCs w:val="22"/>
                <w:highlight w:val="none"/>
              </w:rPr>
              <w:t>年</w:t>
            </w:r>
          </w:p>
        </w:tc>
        <w:tc>
          <w:tcPr>
            <w:tcW w:w="753" w:type="dxa"/>
            <w:vAlign w:val="top"/>
          </w:tcPr>
          <w:p w14:paraId="66876709">
            <w:pPr>
              <w:rPr>
                <w:rFonts w:hint="eastAsia" w:ascii="宋体" w:hAnsi="宋体" w:eastAsia="宋体" w:cs="宋体"/>
                <w:color w:val="auto"/>
                <w:sz w:val="21"/>
                <w:highlight w:val="none"/>
              </w:rPr>
            </w:pPr>
          </w:p>
        </w:tc>
      </w:tr>
      <w:tr w14:paraId="42683E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686" w:type="dxa"/>
            <w:vAlign w:val="top"/>
          </w:tcPr>
          <w:p w14:paraId="125FCF2B">
            <w:pPr>
              <w:spacing w:before="182" w:line="189" w:lineRule="auto"/>
              <w:ind w:left="294"/>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w:t>
            </w:r>
          </w:p>
        </w:tc>
        <w:tc>
          <w:tcPr>
            <w:tcW w:w="2710" w:type="dxa"/>
            <w:vAlign w:val="top"/>
          </w:tcPr>
          <w:p w14:paraId="3E9A23B5">
            <w:pPr>
              <w:pStyle w:val="25"/>
              <w:spacing w:before="139" w:line="214" w:lineRule="auto"/>
              <w:ind w:left="592"/>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逾期交工违约金</w:t>
            </w:r>
          </w:p>
        </w:tc>
        <w:tc>
          <w:tcPr>
            <w:tcW w:w="1185" w:type="dxa"/>
            <w:vAlign w:val="top"/>
          </w:tcPr>
          <w:p w14:paraId="6CE07915">
            <w:pPr>
              <w:pStyle w:val="25"/>
              <w:spacing w:before="139" w:line="214" w:lineRule="auto"/>
              <w:ind w:left="150"/>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11.5（3）</w:t>
            </w:r>
          </w:p>
        </w:tc>
        <w:tc>
          <w:tcPr>
            <w:tcW w:w="3614" w:type="dxa"/>
            <w:vAlign w:val="top"/>
          </w:tcPr>
          <w:p w14:paraId="413D5A29">
            <w:pPr>
              <w:pStyle w:val="25"/>
              <w:tabs>
                <w:tab w:val="left" w:pos="530"/>
              </w:tabs>
              <w:spacing w:before="139" w:line="214" w:lineRule="auto"/>
              <w:ind w:left="10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u w:val="single" w:color="auto"/>
              </w:rPr>
              <w:tab/>
            </w:r>
            <w:r>
              <w:rPr>
                <w:rFonts w:hint="eastAsia" w:ascii="宋体" w:hAnsi="宋体" w:eastAsia="宋体" w:cs="宋体"/>
                <w:color w:val="auto"/>
                <w:spacing w:val="-3"/>
                <w:sz w:val="22"/>
                <w:szCs w:val="22"/>
                <w:highlight w:val="none"/>
              </w:rPr>
              <w:t>元/天</w:t>
            </w:r>
          </w:p>
        </w:tc>
        <w:tc>
          <w:tcPr>
            <w:tcW w:w="753" w:type="dxa"/>
            <w:vAlign w:val="top"/>
          </w:tcPr>
          <w:p w14:paraId="6DAFAE47">
            <w:pPr>
              <w:rPr>
                <w:rFonts w:hint="eastAsia" w:ascii="宋体" w:hAnsi="宋体" w:eastAsia="宋体" w:cs="宋体"/>
                <w:color w:val="auto"/>
                <w:sz w:val="21"/>
                <w:highlight w:val="none"/>
              </w:rPr>
            </w:pPr>
          </w:p>
        </w:tc>
      </w:tr>
      <w:tr w14:paraId="4746CA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6" w:hRule="atLeast"/>
        </w:trPr>
        <w:tc>
          <w:tcPr>
            <w:tcW w:w="686" w:type="dxa"/>
            <w:vAlign w:val="top"/>
          </w:tcPr>
          <w:p w14:paraId="72795FF0">
            <w:pPr>
              <w:spacing w:before="183" w:line="183" w:lineRule="auto"/>
              <w:ind w:left="29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w:t>
            </w:r>
          </w:p>
        </w:tc>
        <w:tc>
          <w:tcPr>
            <w:tcW w:w="2710" w:type="dxa"/>
            <w:vAlign w:val="top"/>
          </w:tcPr>
          <w:p w14:paraId="7F9BC189">
            <w:pPr>
              <w:pStyle w:val="25"/>
              <w:spacing w:before="140" w:line="198" w:lineRule="auto"/>
              <w:ind w:left="371"/>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逾期交工违约金限额</w:t>
            </w:r>
          </w:p>
        </w:tc>
        <w:tc>
          <w:tcPr>
            <w:tcW w:w="1185" w:type="dxa"/>
            <w:vAlign w:val="top"/>
          </w:tcPr>
          <w:p w14:paraId="14B5E9DA">
            <w:pPr>
              <w:pStyle w:val="25"/>
              <w:spacing w:before="140" w:line="198" w:lineRule="auto"/>
              <w:ind w:left="150"/>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11.5（3）</w:t>
            </w:r>
          </w:p>
        </w:tc>
        <w:tc>
          <w:tcPr>
            <w:tcW w:w="3614" w:type="dxa"/>
            <w:vAlign w:val="top"/>
          </w:tcPr>
          <w:p w14:paraId="7BDA5AAD">
            <w:pPr>
              <w:pStyle w:val="25"/>
              <w:spacing w:before="140" w:line="198" w:lineRule="auto"/>
              <w:ind w:left="432"/>
              <w:rPr>
                <w:rFonts w:hint="eastAsia" w:ascii="宋体" w:hAnsi="宋体" w:eastAsia="宋体" w:cs="宋体"/>
                <w:color w:val="auto"/>
                <w:sz w:val="22"/>
                <w:szCs w:val="22"/>
                <w:highlight w:val="none"/>
              </w:rPr>
            </w:pPr>
            <w:r>
              <w:rPr>
                <w:rFonts w:hint="eastAsia" w:ascii="宋体" w:hAnsi="宋体" w:eastAsia="宋体" w:cs="宋体"/>
                <w:color w:val="auto"/>
                <w:spacing w:val="-5"/>
                <w:sz w:val="22"/>
                <w:szCs w:val="22"/>
                <w:highlight w:val="none"/>
              </w:rPr>
              <w:t>%签约合同价</w:t>
            </w:r>
          </w:p>
        </w:tc>
        <w:tc>
          <w:tcPr>
            <w:tcW w:w="753" w:type="dxa"/>
            <w:vAlign w:val="top"/>
          </w:tcPr>
          <w:p w14:paraId="626A312C">
            <w:pPr>
              <w:rPr>
                <w:rFonts w:hint="eastAsia" w:ascii="宋体" w:hAnsi="宋体" w:eastAsia="宋体" w:cs="宋体"/>
                <w:color w:val="auto"/>
                <w:sz w:val="21"/>
                <w:highlight w:val="none"/>
              </w:rPr>
            </w:pPr>
          </w:p>
        </w:tc>
      </w:tr>
      <w:tr w14:paraId="1147D9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686" w:type="dxa"/>
            <w:tcBorders>
              <w:bottom w:val="single" w:color="000000" w:sz="4" w:space="0"/>
            </w:tcBorders>
            <w:vAlign w:val="top"/>
          </w:tcPr>
          <w:p w14:paraId="7B0519A1">
            <w:pPr>
              <w:spacing w:before="200" w:line="184" w:lineRule="auto"/>
              <w:ind w:left="293"/>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w:t>
            </w:r>
          </w:p>
        </w:tc>
        <w:tc>
          <w:tcPr>
            <w:tcW w:w="2710" w:type="dxa"/>
            <w:tcBorders>
              <w:bottom w:val="single" w:color="000000" w:sz="4" w:space="0"/>
            </w:tcBorders>
            <w:vAlign w:val="top"/>
          </w:tcPr>
          <w:p w14:paraId="41C7091B">
            <w:pPr>
              <w:pStyle w:val="25"/>
              <w:spacing w:before="156" w:line="199" w:lineRule="auto"/>
              <w:ind w:left="595"/>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提前交工的奖金</w:t>
            </w:r>
          </w:p>
        </w:tc>
        <w:tc>
          <w:tcPr>
            <w:tcW w:w="1185" w:type="dxa"/>
            <w:tcBorders>
              <w:bottom w:val="single" w:color="000000" w:sz="4" w:space="0"/>
            </w:tcBorders>
            <w:vAlign w:val="top"/>
          </w:tcPr>
          <w:p w14:paraId="4FDB9607">
            <w:pPr>
              <w:spacing w:before="200" w:line="184" w:lineRule="auto"/>
              <w:ind w:left="426"/>
              <w:rPr>
                <w:rFonts w:hint="eastAsia" w:ascii="宋体" w:hAnsi="宋体" w:eastAsia="宋体" w:cs="宋体"/>
                <w:color w:val="auto"/>
                <w:sz w:val="22"/>
                <w:szCs w:val="22"/>
                <w:highlight w:val="none"/>
              </w:rPr>
            </w:pPr>
            <w:r>
              <w:rPr>
                <w:rFonts w:hint="eastAsia" w:ascii="宋体" w:hAnsi="宋体" w:eastAsia="宋体" w:cs="宋体"/>
                <w:color w:val="auto"/>
                <w:spacing w:val="-7"/>
                <w:sz w:val="22"/>
                <w:szCs w:val="22"/>
                <w:highlight w:val="none"/>
              </w:rPr>
              <w:t>11.6</w:t>
            </w:r>
          </w:p>
        </w:tc>
        <w:tc>
          <w:tcPr>
            <w:tcW w:w="3614" w:type="dxa"/>
            <w:tcBorders>
              <w:bottom w:val="single" w:color="000000" w:sz="4" w:space="0"/>
            </w:tcBorders>
            <w:vAlign w:val="top"/>
          </w:tcPr>
          <w:p w14:paraId="40E47841">
            <w:pPr>
              <w:pStyle w:val="25"/>
              <w:spacing w:before="156" w:line="199" w:lineRule="auto"/>
              <w:ind w:left="541"/>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元/天</w:t>
            </w:r>
          </w:p>
        </w:tc>
        <w:tc>
          <w:tcPr>
            <w:tcW w:w="753" w:type="dxa"/>
            <w:tcBorders>
              <w:bottom w:val="single" w:color="000000" w:sz="4" w:space="0"/>
            </w:tcBorders>
            <w:vAlign w:val="top"/>
          </w:tcPr>
          <w:p w14:paraId="7488EE9A">
            <w:pPr>
              <w:rPr>
                <w:rFonts w:hint="eastAsia" w:ascii="宋体" w:hAnsi="宋体" w:eastAsia="宋体" w:cs="宋体"/>
                <w:color w:val="auto"/>
                <w:sz w:val="21"/>
                <w:highlight w:val="none"/>
              </w:rPr>
            </w:pPr>
          </w:p>
        </w:tc>
      </w:tr>
      <w:tr w14:paraId="4B55CF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686" w:type="dxa"/>
            <w:tcBorders>
              <w:top w:val="single" w:color="000000" w:sz="4" w:space="0"/>
            </w:tcBorders>
            <w:vAlign w:val="top"/>
          </w:tcPr>
          <w:p w14:paraId="55F6BEF8">
            <w:pPr>
              <w:spacing w:before="202" w:line="186" w:lineRule="auto"/>
              <w:ind w:left="3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w:t>
            </w:r>
          </w:p>
        </w:tc>
        <w:tc>
          <w:tcPr>
            <w:tcW w:w="2710" w:type="dxa"/>
            <w:tcBorders>
              <w:top w:val="single" w:color="000000" w:sz="4" w:space="0"/>
            </w:tcBorders>
            <w:vAlign w:val="top"/>
          </w:tcPr>
          <w:p w14:paraId="6A9A7814">
            <w:pPr>
              <w:pStyle w:val="25"/>
              <w:spacing w:before="156" w:line="213" w:lineRule="auto"/>
              <w:ind w:left="374"/>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提前交工的奖金限额</w:t>
            </w:r>
          </w:p>
        </w:tc>
        <w:tc>
          <w:tcPr>
            <w:tcW w:w="1185" w:type="dxa"/>
            <w:tcBorders>
              <w:top w:val="single" w:color="000000" w:sz="4" w:space="0"/>
            </w:tcBorders>
            <w:vAlign w:val="top"/>
          </w:tcPr>
          <w:p w14:paraId="225717B6">
            <w:pPr>
              <w:spacing w:before="199" w:line="189" w:lineRule="auto"/>
              <w:ind w:left="426"/>
              <w:rPr>
                <w:rFonts w:hint="eastAsia" w:ascii="宋体" w:hAnsi="宋体" w:eastAsia="宋体" w:cs="宋体"/>
                <w:color w:val="auto"/>
                <w:sz w:val="22"/>
                <w:szCs w:val="22"/>
                <w:highlight w:val="none"/>
              </w:rPr>
            </w:pPr>
            <w:r>
              <w:rPr>
                <w:rFonts w:hint="eastAsia" w:ascii="宋体" w:hAnsi="宋体" w:eastAsia="宋体" w:cs="宋体"/>
                <w:color w:val="auto"/>
                <w:spacing w:val="-7"/>
                <w:sz w:val="22"/>
                <w:szCs w:val="22"/>
                <w:highlight w:val="none"/>
              </w:rPr>
              <w:t>11.6</w:t>
            </w:r>
          </w:p>
        </w:tc>
        <w:tc>
          <w:tcPr>
            <w:tcW w:w="3614" w:type="dxa"/>
            <w:tcBorders>
              <w:top w:val="single" w:color="000000" w:sz="4" w:space="0"/>
            </w:tcBorders>
            <w:vAlign w:val="top"/>
          </w:tcPr>
          <w:p w14:paraId="1B8AE7C5">
            <w:pPr>
              <w:pStyle w:val="25"/>
              <w:tabs>
                <w:tab w:val="left" w:pos="530"/>
              </w:tabs>
              <w:spacing w:before="156" w:line="213" w:lineRule="auto"/>
              <w:ind w:left="10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u w:val="single" w:color="auto"/>
              </w:rPr>
              <w:tab/>
            </w:r>
            <w:r>
              <w:rPr>
                <w:rFonts w:hint="eastAsia" w:ascii="宋体" w:hAnsi="宋体" w:eastAsia="宋体" w:cs="宋体"/>
                <w:color w:val="auto"/>
                <w:spacing w:val="-5"/>
                <w:sz w:val="22"/>
                <w:szCs w:val="22"/>
                <w:highlight w:val="none"/>
              </w:rPr>
              <w:t>%签约合同价</w:t>
            </w:r>
          </w:p>
        </w:tc>
        <w:tc>
          <w:tcPr>
            <w:tcW w:w="753" w:type="dxa"/>
            <w:tcBorders>
              <w:top w:val="single" w:color="000000" w:sz="4" w:space="0"/>
            </w:tcBorders>
            <w:vAlign w:val="top"/>
          </w:tcPr>
          <w:p w14:paraId="694DEFDC">
            <w:pPr>
              <w:rPr>
                <w:rFonts w:hint="eastAsia" w:ascii="宋体" w:hAnsi="宋体" w:eastAsia="宋体" w:cs="宋体"/>
                <w:color w:val="auto"/>
                <w:sz w:val="21"/>
                <w:highlight w:val="none"/>
              </w:rPr>
            </w:pPr>
          </w:p>
        </w:tc>
      </w:tr>
      <w:tr w14:paraId="65D6A7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686" w:type="dxa"/>
            <w:vAlign w:val="top"/>
          </w:tcPr>
          <w:p w14:paraId="631CCA1E">
            <w:pPr>
              <w:spacing w:before="182" w:line="189" w:lineRule="auto"/>
              <w:ind w:left="29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w:t>
            </w:r>
          </w:p>
        </w:tc>
        <w:tc>
          <w:tcPr>
            <w:tcW w:w="2710" w:type="dxa"/>
            <w:vAlign w:val="top"/>
          </w:tcPr>
          <w:p w14:paraId="19DC8727">
            <w:pPr>
              <w:pStyle w:val="25"/>
              <w:spacing w:before="141" w:line="213" w:lineRule="auto"/>
              <w:ind w:left="374"/>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价格调整的差额计算</w:t>
            </w:r>
          </w:p>
        </w:tc>
        <w:tc>
          <w:tcPr>
            <w:tcW w:w="1185" w:type="dxa"/>
            <w:vAlign w:val="top"/>
          </w:tcPr>
          <w:p w14:paraId="6505C873">
            <w:pPr>
              <w:spacing w:before="182" w:line="189" w:lineRule="auto"/>
              <w:ind w:left="342"/>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16.1.1</w:t>
            </w:r>
          </w:p>
        </w:tc>
        <w:tc>
          <w:tcPr>
            <w:tcW w:w="3614" w:type="dxa"/>
            <w:vAlign w:val="top"/>
          </w:tcPr>
          <w:p w14:paraId="03EDBCB1">
            <w:pPr>
              <w:pStyle w:val="25"/>
              <w:spacing w:before="141" w:line="213" w:lineRule="auto"/>
              <w:ind w:left="120"/>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见价格指数和权重表</w:t>
            </w:r>
          </w:p>
        </w:tc>
        <w:tc>
          <w:tcPr>
            <w:tcW w:w="753" w:type="dxa"/>
            <w:vAlign w:val="top"/>
          </w:tcPr>
          <w:p w14:paraId="5A50433E">
            <w:pPr>
              <w:rPr>
                <w:rFonts w:hint="eastAsia" w:ascii="宋体" w:hAnsi="宋体" w:eastAsia="宋体" w:cs="宋体"/>
                <w:color w:val="auto"/>
                <w:sz w:val="21"/>
                <w:highlight w:val="none"/>
              </w:rPr>
            </w:pPr>
          </w:p>
        </w:tc>
      </w:tr>
      <w:tr w14:paraId="49A14E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3" w:hRule="atLeast"/>
        </w:trPr>
        <w:tc>
          <w:tcPr>
            <w:tcW w:w="686" w:type="dxa"/>
            <w:vAlign w:val="top"/>
          </w:tcPr>
          <w:p w14:paraId="2DCBE33E">
            <w:pPr>
              <w:spacing w:before="183" w:line="180" w:lineRule="auto"/>
              <w:ind w:left="298"/>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w:t>
            </w:r>
          </w:p>
        </w:tc>
        <w:tc>
          <w:tcPr>
            <w:tcW w:w="2710" w:type="dxa"/>
            <w:vAlign w:val="top"/>
          </w:tcPr>
          <w:p w14:paraId="5488D884">
            <w:pPr>
              <w:pStyle w:val="25"/>
              <w:spacing w:before="139" w:line="196" w:lineRule="auto"/>
              <w:ind w:left="595"/>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开工预付款金额</w:t>
            </w:r>
          </w:p>
        </w:tc>
        <w:tc>
          <w:tcPr>
            <w:tcW w:w="1185" w:type="dxa"/>
            <w:vAlign w:val="top"/>
          </w:tcPr>
          <w:p w14:paraId="283DD3F4">
            <w:pPr>
              <w:pStyle w:val="25"/>
              <w:spacing w:before="139" w:line="196" w:lineRule="auto"/>
              <w:jc w:val="right"/>
              <w:rPr>
                <w:rFonts w:hint="eastAsia" w:ascii="宋体" w:hAnsi="宋体" w:eastAsia="宋体" w:cs="宋体"/>
                <w:color w:val="auto"/>
                <w:sz w:val="22"/>
                <w:szCs w:val="22"/>
                <w:highlight w:val="none"/>
              </w:rPr>
            </w:pPr>
            <w:r>
              <w:rPr>
                <w:rFonts w:hint="eastAsia" w:ascii="宋体" w:hAnsi="宋体" w:eastAsia="宋体" w:cs="宋体"/>
                <w:color w:val="auto"/>
                <w:spacing w:val="-5"/>
                <w:sz w:val="22"/>
                <w:szCs w:val="22"/>
                <w:highlight w:val="none"/>
              </w:rPr>
              <w:t>17.2.1（1）</w:t>
            </w:r>
          </w:p>
        </w:tc>
        <w:tc>
          <w:tcPr>
            <w:tcW w:w="3614" w:type="dxa"/>
            <w:vAlign w:val="top"/>
          </w:tcPr>
          <w:p w14:paraId="34EBA698">
            <w:pPr>
              <w:pStyle w:val="25"/>
              <w:spacing w:before="139" w:line="196" w:lineRule="auto"/>
              <w:ind w:left="432"/>
              <w:rPr>
                <w:rFonts w:hint="eastAsia" w:ascii="宋体" w:hAnsi="宋体" w:eastAsia="宋体" w:cs="宋体"/>
                <w:color w:val="auto"/>
                <w:sz w:val="22"/>
                <w:szCs w:val="22"/>
                <w:highlight w:val="none"/>
              </w:rPr>
            </w:pPr>
            <w:r>
              <w:rPr>
                <w:rFonts w:hint="eastAsia" w:ascii="宋体" w:hAnsi="宋体" w:eastAsia="宋体" w:cs="宋体"/>
                <w:color w:val="auto"/>
                <w:spacing w:val="-5"/>
                <w:sz w:val="22"/>
                <w:szCs w:val="22"/>
                <w:highlight w:val="none"/>
              </w:rPr>
              <w:t>%签约合同价</w:t>
            </w:r>
          </w:p>
        </w:tc>
        <w:tc>
          <w:tcPr>
            <w:tcW w:w="753" w:type="dxa"/>
            <w:vAlign w:val="top"/>
          </w:tcPr>
          <w:p w14:paraId="2D67F2D0">
            <w:pPr>
              <w:rPr>
                <w:rFonts w:hint="eastAsia" w:ascii="宋体" w:hAnsi="宋体" w:eastAsia="宋体" w:cs="宋体"/>
                <w:color w:val="auto"/>
                <w:sz w:val="21"/>
                <w:highlight w:val="none"/>
              </w:rPr>
            </w:pPr>
          </w:p>
        </w:tc>
      </w:tr>
      <w:tr w14:paraId="27B5A8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5" w:hRule="atLeast"/>
        </w:trPr>
        <w:tc>
          <w:tcPr>
            <w:tcW w:w="686" w:type="dxa"/>
            <w:vAlign w:val="top"/>
          </w:tcPr>
          <w:p w14:paraId="25DAEEE3">
            <w:pPr>
              <w:spacing w:line="364" w:lineRule="auto"/>
              <w:rPr>
                <w:rFonts w:hint="eastAsia" w:ascii="宋体" w:hAnsi="宋体" w:eastAsia="宋体" w:cs="宋体"/>
                <w:color w:val="auto"/>
                <w:sz w:val="21"/>
                <w:highlight w:val="none"/>
              </w:rPr>
            </w:pPr>
          </w:p>
          <w:p w14:paraId="08A16A76">
            <w:pPr>
              <w:spacing w:before="64" w:line="189" w:lineRule="auto"/>
              <w:ind w:left="303"/>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8</w:t>
            </w:r>
          </w:p>
        </w:tc>
        <w:tc>
          <w:tcPr>
            <w:tcW w:w="2710" w:type="dxa"/>
            <w:vAlign w:val="top"/>
          </w:tcPr>
          <w:p w14:paraId="4ACF7CBB">
            <w:pPr>
              <w:spacing w:line="312" w:lineRule="auto"/>
              <w:rPr>
                <w:rFonts w:hint="eastAsia" w:ascii="宋体" w:hAnsi="宋体" w:eastAsia="宋体" w:cs="宋体"/>
                <w:color w:val="auto"/>
                <w:sz w:val="21"/>
                <w:highlight w:val="none"/>
              </w:rPr>
            </w:pPr>
          </w:p>
          <w:p w14:paraId="7D6A28B1">
            <w:pPr>
              <w:pStyle w:val="25"/>
              <w:spacing w:before="71" w:line="219" w:lineRule="auto"/>
              <w:ind w:left="294"/>
              <w:rPr>
                <w:rFonts w:hint="eastAsia" w:ascii="宋体" w:hAnsi="宋体" w:eastAsia="宋体" w:cs="宋体"/>
                <w:color w:val="auto"/>
                <w:sz w:val="22"/>
                <w:szCs w:val="22"/>
                <w:highlight w:val="none"/>
              </w:rPr>
            </w:pPr>
            <w:r>
              <w:rPr>
                <w:rFonts w:hint="eastAsia" w:ascii="宋体" w:hAnsi="宋体" w:eastAsia="宋体" w:cs="宋体"/>
                <w:color w:val="auto"/>
                <w:spacing w:val="-7"/>
                <w:sz w:val="22"/>
                <w:szCs w:val="22"/>
                <w:highlight w:val="none"/>
              </w:rPr>
              <w:t>材料、设备预付款比例</w:t>
            </w:r>
          </w:p>
        </w:tc>
        <w:tc>
          <w:tcPr>
            <w:tcW w:w="1185" w:type="dxa"/>
            <w:vAlign w:val="top"/>
          </w:tcPr>
          <w:p w14:paraId="35D6AF92">
            <w:pPr>
              <w:spacing w:line="312" w:lineRule="auto"/>
              <w:rPr>
                <w:rFonts w:hint="eastAsia" w:ascii="宋体" w:hAnsi="宋体" w:eastAsia="宋体" w:cs="宋体"/>
                <w:color w:val="auto"/>
                <w:sz w:val="21"/>
                <w:highlight w:val="none"/>
              </w:rPr>
            </w:pPr>
          </w:p>
          <w:p w14:paraId="626B8234">
            <w:pPr>
              <w:pStyle w:val="25"/>
              <w:spacing w:before="71" w:line="232" w:lineRule="auto"/>
              <w:jc w:val="right"/>
              <w:rPr>
                <w:rFonts w:hint="eastAsia" w:ascii="宋体" w:hAnsi="宋体" w:eastAsia="宋体" w:cs="宋体"/>
                <w:color w:val="auto"/>
                <w:sz w:val="22"/>
                <w:szCs w:val="22"/>
                <w:highlight w:val="none"/>
              </w:rPr>
            </w:pPr>
            <w:r>
              <w:rPr>
                <w:rFonts w:hint="eastAsia" w:ascii="宋体" w:hAnsi="宋体" w:eastAsia="宋体" w:cs="宋体"/>
                <w:color w:val="auto"/>
                <w:spacing w:val="-5"/>
                <w:sz w:val="22"/>
                <w:szCs w:val="22"/>
                <w:highlight w:val="none"/>
              </w:rPr>
              <w:t>17.2.1（2）</w:t>
            </w:r>
          </w:p>
        </w:tc>
        <w:tc>
          <w:tcPr>
            <w:tcW w:w="3614" w:type="dxa"/>
            <w:vAlign w:val="top"/>
          </w:tcPr>
          <w:p w14:paraId="47F4F6E6">
            <w:pPr>
              <w:pStyle w:val="25"/>
              <w:tabs>
                <w:tab w:val="left" w:pos="530"/>
              </w:tabs>
              <w:spacing w:before="166" w:line="268" w:lineRule="auto"/>
              <w:ind w:left="134" w:right="99" w:hanging="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u w:val="single" w:color="auto"/>
              </w:rPr>
              <w:tab/>
            </w:r>
            <w:r>
              <w:rPr>
                <w:rFonts w:hint="eastAsia" w:ascii="宋体" w:hAnsi="宋体" w:eastAsia="宋体" w:cs="宋体"/>
                <w:color w:val="auto"/>
                <w:sz w:val="22"/>
                <w:szCs w:val="22"/>
                <w:highlight w:val="none"/>
                <w:u w:val="single" w:color="auto"/>
              </w:rPr>
              <w:tab/>
            </w:r>
            <w:r>
              <w:rPr>
                <w:rFonts w:hint="eastAsia" w:ascii="宋体" w:hAnsi="宋体" w:eastAsia="宋体" w:cs="宋体"/>
                <w:color w:val="auto"/>
                <w:spacing w:val="-8"/>
                <w:sz w:val="22"/>
                <w:szCs w:val="22"/>
                <w:highlight w:val="none"/>
              </w:rPr>
              <w:t>等主要材料、设备单据所列费用</w:t>
            </w:r>
            <w:r>
              <w:rPr>
                <w:rFonts w:hint="eastAsia" w:ascii="宋体" w:hAnsi="宋体" w:eastAsia="宋体" w:cs="宋体"/>
                <w:color w:val="auto"/>
                <w:spacing w:val="-9"/>
                <w:sz w:val="22"/>
                <w:szCs w:val="22"/>
                <w:highlight w:val="none"/>
              </w:rPr>
              <w:t>的%</w:t>
            </w:r>
          </w:p>
        </w:tc>
        <w:tc>
          <w:tcPr>
            <w:tcW w:w="753" w:type="dxa"/>
            <w:vAlign w:val="top"/>
          </w:tcPr>
          <w:p w14:paraId="56604039">
            <w:pPr>
              <w:rPr>
                <w:rFonts w:hint="eastAsia" w:ascii="宋体" w:hAnsi="宋体" w:eastAsia="宋体" w:cs="宋体"/>
                <w:color w:val="auto"/>
                <w:sz w:val="21"/>
                <w:highlight w:val="none"/>
              </w:rPr>
            </w:pPr>
          </w:p>
        </w:tc>
      </w:tr>
      <w:tr w14:paraId="39421D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5" w:hRule="atLeast"/>
        </w:trPr>
        <w:tc>
          <w:tcPr>
            <w:tcW w:w="686" w:type="dxa"/>
            <w:vAlign w:val="top"/>
          </w:tcPr>
          <w:p w14:paraId="1588986F">
            <w:pPr>
              <w:spacing w:before="193" w:line="189" w:lineRule="auto"/>
              <w:ind w:left="29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9</w:t>
            </w:r>
          </w:p>
        </w:tc>
        <w:tc>
          <w:tcPr>
            <w:tcW w:w="2710" w:type="dxa"/>
            <w:vAlign w:val="top"/>
          </w:tcPr>
          <w:p w14:paraId="7A5DD982">
            <w:pPr>
              <w:pStyle w:val="25"/>
              <w:spacing w:before="151" w:line="211" w:lineRule="auto"/>
              <w:ind w:left="371"/>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进度付款证书最低限</w:t>
            </w:r>
          </w:p>
          <w:p w14:paraId="71A84E8B">
            <w:pPr>
              <w:pStyle w:val="25"/>
              <w:spacing w:before="1" w:line="194" w:lineRule="auto"/>
              <w:ind w:left="1254"/>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额</w:t>
            </w:r>
          </w:p>
        </w:tc>
        <w:tc>
          <w:tcPr>
            <w:tcW w:w="1185" w:type="dxa"/>
            <w:vAlign w:val="top"/>
          </w:tcPr>
          <w:p w14:paraId="6EF25FD6">
            <w:pPr>
              <w:pStyle w:val="25"/>
              <w:spacing w:before="151" w:line="232" w:lineRule="auto"/>
              <w:jc w:val="right"/>
              <w:rPr>
                <w:rFonts w:hint="eastAsia" w:ascii="宋体" w:hAnsi="宋体" w:eastAsia="宋体" w:cs="宋体"/>
                <w:color w:val="auto"/>
                <w:sz w:val="22"/>
                <w:szCs w:val="22"/>
                <w:highlight w:val="none"/>
              </w:rPr>
            </w:pPr>
            <w:r>
              <w:rPr>
                <w:rFonts w:hint="eastAsia" w:ascii="宋体" w:hAnsi="宋体" w:eastAsia="宋体" w:cs="宋体"/>
                <w:color w:val="auto"/>
                <w:spacing w:val="-5"/>
                <w:sz w:val="22"/>
                <w:szCs w:val="22"/>
                <w:highlight w:val="none"/>
              </w:rPr>
              <w:t>17.3.3（1）</w:t>
            </w:r>
          </w:p>
        </w:tc>
        <w:tc>
          <w:tcPr>
            <w:tcW w:w="3614" w:type="dxa"/>
            <w:vAlign w:val="top"/>
          </w:tcPr>
          <w:p w14:paraId="7CFCD089">
            <w:pPr>
              <w:pStyle w:val="25"/>
              <w:tabs>
                <w:tab w:val="left" w:pos="530"/>
              </w:tabs>
              <w:spacing w:before="150" w:line="219" w:lineRule="auto"/>
              <w:ind w:left="10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u w:val="single" w:color="auto"/>
              </w:rPr>
              <w:tab/>
            </w:r>
            <w:r>
              <w:rPr>
                <w:rFonts w:hint="eastAsia" w:ascii="宋体" w:hAnsi="宋体" w:eastAsia="宋体" w:cs="宋体"/>
                <w:color w:val="auto"/>
                <w:spacing w:val="-4"/>
                <w:sz w:val="22"/>
                <w:szCs w:val="22"/>
                <w:highlight w:val="none"/>
              </w:rPr>
              <w:t>%签约合同价或万元</w:t>
            </w:r>
          </w:p>
        </w:tc>
        <w:tc>
          <w:tcPr>
            <w:tcW w:w="753" w:type="dxa"/>
            <w:vAlign w:val="top"/>
          </w:tcPr>
          <w:p w14:paraId="29586317">
            <w:pPr>
              <w:rPr>
                <w:rFonts w:hint="eastAsia" w:ascii="宋体" w:hAnsi="宋体" w:eastAsia="宋体" w:cs="宋体"/>
                <w:color w:val="auto"/>
                <w:sz w:val="21"/>
                <w:highlight w:val="none"/>
              </w:rPr>
            </w:pPr>
          </w:p>
        </w:tc>
      </w:tr>
      <w:tr w14:paraId="04379E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7" w:hRule="atLeast"/>
        </w:trPr>
        <w:tc>
          <w:tcPr>
            <w:tcW w:w="686" w:type="dxa"/>
            <w:vAlign w:val="top"/>
          </w:tcPr>
          <w:p w14:paraId="64CEE7EB">
            <w:pPr>
              <w:spacing w:before="184" w:line="189" w:lineRule="auto"/>
              <w:ind w:left="260"/>
              <w:rPr>
                <w:rFonts w:hint="eastAsia" w:ascii="宋体" w:hAnsi="宋体" w:eastAsia="宋体" w:cs="宋体"/>
                <w:color w:val="auto"/>
                <w:sz w:val="22"/>
                <w:szCs w:val="22"/>
                <w:highlight w:val="none"/>
              </w:rPr>
            </w:pPr>
            <w:r>
              <w:rPr>
                <w:rFonts w:hint="eastAsia" w:ascii="宋体" w:hAnsi="宋体" w:eastAsia="宋体" w:cs="宋体"/>
                <w:color w:val="auto"/>
                <w:spacing w:val="-13"/>
                <w:sz w:val="22"/>
                <w:szCs w:val="22"/>
                <w:highlight w:val="none"/>
              </w:rPr>
              <w:t>10</w:t>
            </w:r>
          </w:p>
        </w:tc>
        <w:tc>
          <w:tcPr>
            <w:tcW w:w="2710" w:type="dxa"/>
            <w:vAlign w:val="top"/>
          </w:tcPr>
          <w:p w14:paraId="349A2A76">
            <w:pPr>
              <w:pStyle w:val="25"/>
              <w:spacing w:before="144" w:line="211" w:lineRule="auto"/>
              <w:ind w:left="371"/>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逾期付款违约金的利</w:t>
            </w:r>
          </w:p>
          <w:p w14:paraId="338367D7">
            <w:pPr>
              <w:pStyle w:val="25"/>
              <w:spacing w:before="1" w:line="193" w:lineRule="auto"/>
              <w:ind w:left="1256"/>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率</w:t>
            </w:r>
          </w:p>
        </w:tc>
        <w:tc>
          <w:tcPr>
            <w:tcW w:w="1185" w:type="dxa"/>
            <w:vAlign w:val="top"/>
          </w:tcPr>
          <w:p w14:paraId="1AA6CD7C">
            <w:pPr>
              <w:pStyle w:val="25"/>
              <w:spacing w:before="144" w:line="232" w:lineRule="auto"/>
              <w:jc w:val="right"/>
              <w:rPr>
                <w:rFonts w:hint="eastAsia" w:ascii="宋体" w:hAnsi="宋体" w:eastAsia="宋体" w:cs="宋体"/>
                <w:color w:val="auto"/>
                <w:sz w:val="22"/>
                <w:szCs w:val="22"/>
                <w:highlight w:val="none"/>
              </w:rPr>
            </w:pPr>
            <w:r>
              <w:rPr>
                <w:rFonts w:hint="eastAsia" w:ascii="宋体" w:hAnsi="宋体" w:eastAsia="宋体" w:cs="宋体"/>
                <w:color w:val="auto"/>
                <w:spacing w:val="-5"/>
                <w:sz w:val="22"/>
                <w:szCs w:val="22"/>
                <w:highlight w:val="none"/>
              </w:rPr>
              <w:t>17.3.3（2）</w:t>
            </w:r>
          </w:p>
        </w:tc>
        <w:tc>
          <w:tcPr>
            <w:tcW w:w="3614" w:type="dxa"/>
            <w:vAlign w:val="top"/>
          </w:tcPr>
          <w:p w14:paraId="1709BE74">
            <w:pPr>
              <w:pStyle w:val="25"/>
              <w:tabs>
                <w:tab w:val="left" w:pos="632"/>
              </w:tabs>
              <w:spacing w:before="143" w:line="221" w:lineRule="auto"/>
              <w:ind w:left="10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u w:val="single" w:color="auto"/>
              </w:rPr>
              <w:tab/>
            </w:r>
            <w:r>
              <w:rPr>
                <w:rFonts w:hint="eastAsia" w:ascii="宋体" w:hAnsi="宋体" w:eastAsia="宋体" w:cs="宋体"/>
                <w:color w:val="auto"/>
                <w:spacing w:val="-2"/>
                <w:sz w:val="22"/>
                <w:szCs w:val="22"/>
                <w:highlight w:val="none"/>
              </w:rPr>
              <w:t>‰/天</w:t>
            </w:r>
          </w:p>
        </w:tc>
        <w:tc>
          <w:tcPr>
            <w:tcW w:w="753" w:type="dxa"/>
            <w:vAlign w:val="top"/>
          </w:tcPr>
          <w:p w14:paraId="614F5055">
            <w:pPr>
              <w:rPr>
                <w:rFonts w:hint="eastAsia" w:ascii="宋体" w:hAnsi="宋体" w:eastAsia="宋体" w:cs="宋体"/>
                <w:color w:val="auto"/>
                <w:sz w:val="21"/>
                <w:highlight w:val="none"/>
              </w:rPr>
            </w:pPr>
          </w:p>
        </w:tc>
      </w:tr>
      <w:tr w14:paraId="24297A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00" w:hRule="atLeast"/>
        </w:trPr>
        <w:tc>
          <w:tcPr>
            <w:tcW w:w="686" w:type="dxa"/>
            <w:vAlign w:val="top"/>
          </w:tcPr>
          <w:p w14:paraId="46CE4F57">
            <w:pPr>
              <w:spacing w:line="316" w:lineRule="auto"/>
              <w:rPr>
                <w:rFonts w:hint="eastAsia" w:ascii="宋体" w:hAnsi="宋体" w:eastAsia="宋体" w:cs="宋体"/>
                <w:color w:val="auto"/>
                <w:sz w:val="21"/>
                <w:highlight w:val="none"/>
              </w:rPr>
            </w:pPr>
          </w:p>
          <w:p w14:paraId="0A292E57">
            <w:pPr>
              <w:spacing w:line="316" w:lineRule="auto"/>
              <w:rPr>
                <w:rFonts w:hint="eastAsia" w:ascii="宋体" w:hAnsi="宋体" w:eastAsia="宋体" w:cs="宋体"/>
                <w:color w:val="auto"/>
                <w:sz w:val="21"/>
                <w:highlight w:val="none"/>
              </w:rPr>
            </w:pPr>
          </w:p>
          <w:p w14:paraId="70C905D7">
            <w:pPr>
              <w:spacing w:line="317" w:lineRule="auto"/>
              <w:rPr>
                <w:rFonts w:hint="eastAsia" w:ascii="宋体" w:hAnsi="宋体" w:eastAsia="宋体" w:cs="宋体"/>
                <w:color w:val="auto"/>
                <w:sz w:val="21"/>
                <w:highlight w:val="none"/>
              </w:rPr>
            </w:pPr>
          </w:p>
          <w:p w14:paraId="54B5D49E">
            <w:pPr>
              <w:spacing w:before="63" w:line="189" w:lineRule="auto"/>
              <w:ind w:left="260"/>
              <w:rPr>
                <w:rFonts w:hint="eastAsia" w:ascii="宋体" w:hAnsi="宋体" w:eastAsia="宋体" w:cs="宋体"/>
                <w:color w:val="auto"/>
                <w:sz w:val="22"/>
                <w:szCs w:val="22"/>
                <w:highlight w:val="none"/>
              </w:rPr>
            </w:pPr>
            <w:r>
              <w:rPr>
                <w:rFonts w:hint="eastAsia" w:ascii="宋体" w:hAnsi="宋体" w:eastAsia="宋体" w:cs="宋体"/>
                <w:color w:val="auto"/>
                <w:spacing w:val="-13"/>
                <w:sz w:val="22"/>
                <w:szCs w:val="22"/>
                <w:highlight w:val="none"/>
              </w:rPr>
              <w:t>11</w:t>
            </w:r>
          </w:p>
        </w:tc>
        <w:tc>
          <w:tcPr>
            <w:tcW w:w="2710" w:type="dxa"/>
            <w:vAlign w:val="top"/>
          </w:tcPr>
          <w:p w14:paraId="1D9F2270">
            <w:pPr>
              <w:spacing w:line="298" w:lineRule="auto"/>
              <w:rPr>
                <w:rFonts w:hint="eastAsia" w:ascii="宋体" w:hAnsi="宋体" w:eastAsia="宋体" w:cs="宋体"/>
                <w:color w:val="auto"/>
                <w:sz w:val="21"/>
                <w:highlight w:val="none"/>
              </w:rPr>
            </w:pPr>
          </w:p>
          <w:p w14:paraId="586696BD">
            <w:pPr>
              <w:spacing w:line="299" w:lineRule="auto"/>
              <w:rPr>
                <w:rFonts w:hint="eastAsia" w:ascii="宋体" w:hAnsi="宋体" w:eastAsia="宋体" w:cs="宋体"/>
                <w:color w:val="auto"/>
                <w:sz w:val="21"/>
                <w:highlight w:val="none"/>
              </w:rPr>
            </w:pPr>
          </w:p>
          <w:p w14:paraId="206F41B1">
            <w:pPr>
              <w:spacing w:line="299" w:lineRule="auto"/>
              <w:rPr>
                <w:rFonts w:hint="eastAsia" w:ascii="宋体" w:hAnsi="宋体" w:eastAsia="宋体" w:cs="宋体"/>
                <w:color w:val="auto"/>
                <w:sz w:val="21"/>
                <w:highlight w:val="none"/>
              </w:rPr>
            </w:pPr>
          </w:p>
          <w:p w14:paraId="5912096E">
            <w:pPr>
              <w:pStyle w:val="25"/>
              <w:spacing w:before="71" w:line="220" w:lineRule="auto"/>
              <w:ind w:left="595"/>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质量保证金金额</w:t>
            </w:r>
          </w:p>
        </w:tc>
        <w:tc>
          <w:tcPr>
            <w:tcW w:w="1185" w:type="dxa"/>
            <w:vAlign w:val="top"/>
          </w:tcPr>
          <w:p w14:paraId="42CCB2FE">
            <w:pPr>
              <w:spacing w:line="316" w:lineRule="auto"/>
              <w:rPr>
                <w:rFonts w:hint="eastAsia" w:ascii="宋体" w:hAnsi="宋体" w:eastAsia="宋体" w:cs="宋体"/>
                <w:color w:val="auto"/>
                <w:sz w:val="21"/>
                <w:highlight w:val="none"/>
              </w:rPr>
            </w:pPr>
          </w:p>
          <w:p w14:paraId="1B3D6D74">
            <w:pPr>
              <w:spacing w:line="316" w:lineRule="auto"/>
              <w:rPr>
                <w:rFonts w:hint="eastAsia" w:ascii="宋体" w:hAnsi="宋体" w:eastAsia="宋体" w:cs="宋体"/>
                <w:color w:val="auto"/>
                <w:sz w:val="21"/>
                <w:highlight w:val="none"/>
              </w:rPr>
            </w:pPr>
          </w:p>
          <w:p w14:paraId="70F9736C">
            <w:pPr>
              <w:spacing w:line="317" w:lineRule="auto"/>
              <w:rPr>
                <w:rFonts w:hint="eastAsia" w:ascii="宋体" w:hAnsi="宋体" w:eastAsia="宋体" w:cs="宋体"/>
                <w:color w:val="auto"/>
                <w:sz w:val="21"/>
                <w:highlight w:val="none"/>
              </w:rPr>
            </w:pPr>
          </w:p>
          <w:p w14:paraId="165CBE96">
            <w:pPr>
              <w:spacing w:before="63" w:line="189" w:lineRule="auto"/>
              <w:ind w:left="342"/>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17.4.1</w:t>
            </w:r>
          </w:p>
        </w:tc>
        <w:tc>
          <w:tcPr>
            <w:tcW w:w="3614" w:type="dxa"/>
            <w:vAlign w:val="top"/>
          </w:tcPr>
          <w:p w14:paraId="4DDE0ED3">
            <w:pPr>
              <w:pStyle w:val="25"/>
              <w:tabs>
                <w:tab w:val="left" w:pos="1205"/>
              </w:tabs>
              <w:spacing w:before="164" w:line="352" w:lineRule="auto"/>
              <w:ind w:left="116" w:right="80" w:hanging="9"/>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u w:val="single" w:color="auto"/>
              </w:rPr>
              <w:tab/>
            </w:r>
            <w:r>
              <w:rPr>
                <w:rFonts w:hint="eastAsia" w:ascii="宋体" w:hAnsi="宋体" w:eastAsia="宋体" w:cs="宋体"/>
                <w:color w:val="auto"/>
                <w:sz w:val="22"/>
                <w:szCs w:val="22"/>
                <w:highlight w:val="none"/>
                <w:u w:val="single" w:color="auto"/>
              </w:rPr>
              <w:tab/>
            </w:r>
            <w:r>
              <w:rPr>
                <w:rFonts w:hint="eastAsia" w:ascii="宋体" w:hAnsi="宋体" w:eastAsia="宋体" w:cs="宋体"/>
                <w:color w:val="auto"/>
                <w:spacing w:val="-7"/>
                <w:sz w:val="22"/>
                <w:szCs w:val="22"/>
                <w:highlight w:val="none"/>
              </w:rPr>
              <w:t>%合同价格，若交工验收时承包人具备被招标项目所在地省级交通运输主管部门评定的最高信用等</w:t>
            </w:r>
            <w:r>
              <w:rPr>
                <w:rFonts w:hint="eastAsia" w:ascii="宋体" w:hAnsi="宋体" w:eastAsia="宋体" w:cs="宋体"/>
                <w:color w:val="auto"/>
                <w:spacing w:val="-2"/>
                <w:sz w:val="22"/>
                <w:szCs w:val="22"/>
                <w:highlight w:val="none"/>
              </w:rPr>
              <w:t>级，发包人给予%合同价格质量保</w:t>
            </w:r>
            <w:r>
              <w:rPr>
                <w:rFonts w:hint="eastAsia" w:ascii="宋体" w:hAnsi="宋体" w:eastAsia="宋体" w:cs="宋体"/>
                <w:color w:val="auto"/>
                <w:spacing w:val="2"/>
                <w:sz w:val="22"/>
                <w:szCs w:val="22"/>
                <w:highlight w:val="none"/>
              </w:rPr>
              <w:t>证金</w:t>
            </w:r>
          </w:p>
          <w:p w14:paraId="210BD7BF">
            <w:pPr>
              <w:pStyle w:val="25"/>
              <w:spacing w:line="191" w:lineRule="auto"/>
              <w:ind w:left="135"/>
              <w:rPr>
                <w:rFonts w:hint="eastAsia" w:ascii="宋体" w:hAnsi="宋体" w:eastAsia="宋体" w:cs="宋体"/>
                <w:color w:val="auto"/>
                <w:sz w:val="22"/>
                <w:szCs w:val="22"/>
                <w:highlight w:val="none"/>
              </w:rPr>
            </w:pPr>
            <w:r>
              <w:rPr>
                <w:rFonts w:hint="eastAsia" w:ascii="宋体" w:hAnsi="宋体" w:eastAsia="宋体" w:cs="宋体"/>
                <w:color w:val="auto"/>
                <w:spacing w:val="-9"/>
                <w:sz w:val="22"/>
                <w:szCs w:val="22"/>
                <w:highlight w:val="none"/>
              </w:rPr>
              <w:t>的优惠</w:t>
            </w:r>
          </w:p>
        </w:tc>
        <w:tc>
          <w:tcPr>
            <w:tcW w:w="753" w:type="dxa"/>
            <w:vAlign w:val="top"/>
          </w:tcPr>
          <w:p w14:paraId="1E3B7BDD">
            <w:pPr>
              <w:rPr>
                <w:rFonts w:hint="eastAsia" w:ascii="宋体" w:hAnsi="宋体" w:eastAsia="宋体" w:cs="宋体"/>
                <w:color w:val="auto"/>
                <w:sz w:val="21"/>
                <w:highlight w:val="none"/>
              </w:rPr>
            </w:pPr>
          </w:p>
        </w:tc>
      </w:tr>
      <w:tr w14:paraId="764412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trPr>
        <w:tc>
          <w:tcPr>
            <w:tcW w:w="686" w:type="dxa"/>
            <w:vAlign w:val="top"/>
          </w:tcPr>
          <w:p w14:paraId="5F0227AF">
            <w:pPr>
              <w:spacing w:before="186" w:line="189" w:lineRule="auto"/>
              <w:ind w:left="260"/>
              <w:rPr>
                <w:rFonts w:hint="eastAsia" w:ascii="宋体" w:hAnsi="宋体" w:eastAsia="宋体" w:cs="宋体"/>
                <w:color w:val="auto"/>
                <w:sz w:val="22"/>
                <w:szCs w:val="22"/>
                <w:highlight w:val="none"/>
              </w:rPr>
            </w:pPr>
            <w:r>
              <w:rPr>
                <w:rFonts w:hint="eastAsia" w:ascii="宋体" w:hAnsi="宋体" w:eastAsia="宋体" w:cs="宋体"/>
                <w:color w:val="auto"/>
                <w:spacing w:val="-13"/>
                <w:sz w:val="22"/>
                <w:szCs w:val="22"/>
                <w:highlight w:val="none"/>
              </w:rPr>
              <w:t>12</w:t>
            </w:r>
          </w:p>
        </w:tc>
        <w:tc>
          <w:tcPr>
            <w:tcW w:w="2710" w:type="dxa"/>
            <w:vAlign w:val="top"/>
          </w:tcPr>
          <w:p w14:paraId="59C7D94B">
            <w:pPr>
              <w:pStyle w:val="25"/>
              <w:spacing w:before="145" w:line="213" w:lineRule="auto"/>
              <w:ind w:left="1034"/>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保修期</w:t>
            </w:r>
          </w:p>
        </w:tc>
        <w:tc>
          <w:tcPr>
            <w:tcW w:w="1185" w:type="dxa"/>
            <w:vAlign w:val="top"/>
          </w:tcPr>
          <w:p w14:paraId="120EA6A5">
            <w:pPr>
              <w:pStyle w:val="25"/>
              <w:spacing w:before="145" w:line="213" w:lineRule="auto"/>
              <w:ind w:left="152"/>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19.7（1）</w:t>
            </w:r>
          </w:p>
        </w:tc>
        <w:tc>
          <w:tcPr>
            <w:tcW w:w="3614" w:type="dxa"/>
            <w:vAlign w:val="top"/>
          </w:tcPr>
          <w:p w14:paraId="7F44E1B8">
            <w:pPr>
              <w:pStyle w:val="25"/>
              <w:spacing w:before="145" w:line="213" w:lineRule="auto"/>
              <w:ind w:left="153"/>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自实际交工日期起计算年</w:t>
            </w:r>
          </w:p>
        </w:tc>
        <w:tc>
          <w:tcPr>
            <w:tcW w:w="753" w:type="dxa"/>
            <w:vAlign w:val="top"/>
          </w:tcPr>
          <w:p w14:paraId="59F577A3">
            <w:pPr>
              <w:rPr>
                <w:rFonts w:hint="eastAsia" w:ascii="宋体" w:hAnsi="宋体" w:eastAsia="宋体" w:cs="宋体"/>
                <w:color w:val="auto"/>
                <w:sz w:val="21"/>
                <w:highlight w:val="none"/>
              </w:rPr>
            </w:pPr>
          </w:p>
        </w:tc>
      </w:tr>
    </w:tbl>
    <w:p w14:paraId="76192148">
      <w:pPr>
        <w:spacing w:before="261" w:line="253" w:lineRule="auto"/>
        <w:ind w:left="19" w:right="429"/>
        <w:rPr>
          <w:rFonts w:hint="eastAsia" w:ascii="宋体" w:hAnsi="宋体" w:eastAsia="宋体" w:cs="宋体"/>
          <w:color w:val="auto"/>
          <w:sz w:val="19"/>
          <w:szCs w:val="19"/>
          <w:highlight w:val="none"/>
        </w:rPr>
      </w:pPr>
      <w:r>
        <w:rPr>
          <w:rFonts w:hint="eastAsia" w:ascii="宋体" w:hAnsi="宋体" w:eastAsia="宋体" w:cs="宋体"/>
          <w:color w:val="auto"/>
          <w:spacing w:val="9"/>
          <w:sz w:val="19"/>
          <w:szCs w:val="19"/>
          <w:highlight w:val="none"/>
        </w:rPr>
        <w:t>注：投标人应结合招标文件第四章《合同条款》第二节《专用合同条款》B部分《项目专用合同条</w:t>
      </w:r>
      <w:r>
        <w:rPr>
          <w:rFonts w:hint="eastAsia" w:ascii="宋体" w:hAnsi="宋体" w:eastAsia="宋体" w:cs="宋体"/>
          <w:color w:val="auto"/>
          <w:spacing w:val="6"/>
          <w:sz w:val="19"/>
          <w:szCs w:val="19"/>
          <w:highlight w:val="none"/>
        </w:rPr>
        <w:t>款》中的《项目专用合同条款数据表》中的要求进行填写。</w:t>
      </w:r>
    </w:p>
    <w:p w14:paraId="61B845CD">
      <w:pPr>
        <w:spacing w:line="253" w:lineRule="auto"/>
        <w:rPr>
          <w:rFonts w:hint="eastAsia" w:ascii="宋体" w:hAnsi="宋体" w:eastAsia="宋体" w:cs="宋体"/>
          <w:color w:val="auto"/>
          <w:sz w:val="19"/>
          <w:szCs w:val="19"/>
          <w:highlight w:val="none"/>
        </w:rPr>
        <w:sectPr>
          <w:headerReference r:id="rId231" w:type="default"/>
          <w:footerReference r:id="rId232" w:type="default"/>
          <w:pgSz w:w="11907" w:h="16840"/>
          <w:pgMar w:top="1182" w:right="1050" w:bottom="1014" w:left="1786" w:header="849" w:footer="852" w:gutter="0"/>
          <w:pgNumType w:fmt="decimal"/>
          <w:cols w:space="720" w:num="1"/>
        </w:sectPr>
      </w:pPr>
    </w:p>
    <w:p w14:paraId="07B33439">
      <w:pPr>
        <w:pStyle w:val="4"/>
        <w:spacing w:line="372" w:lineRule="auto"/>
        <w:rPr>
          <w:rFonts w:hint="eastAsia" w:ascii="宋体" w:hAnsi="宋体" w:eastAsia="宋体" w:cs="宋体"/>
          <w:color w:val="auto"/>
          <w:highlight w:val="none"/>
        </w:rPr>
      </w:pPr>
    </w:p>
    <w:p w14:paraId="766FA054">
      <w:pPr>
        <w:spacing w:before="78" w:line="222" w:lineRule="auto"/>
        <w:ind w:left="343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价格指数和权重表</w:t>
      </w:r>
    </w:p>
    <w:p w14:paraId="1D2D36F6">
      <w:pPr>
        <w:spacing w:before="44"/>
        <w:rPr>
          <w:rFonts w:hint="eastAsia" w:ascii="宋体" w:hAnsi="宋体" w:eastAsia="宋体" w:cs="宋体"/>
          <w:color w:val="auto"/>
          <w:highlight w:val="none"/>
        </w:rPr>
      </w:pPr>
    </w:p>
    <w:p w14:paraId="201AFD74">
      <w:pPr>
        <w:spacing w:before="44"/>
        <w:rPr>
          <w:rFonts w:hint="eastAsia" w:ascii="宋体" w:hAnsi="宋体" w:eastAsia="宋体" w:cs="宋体"/>
          <w:color w:val="auto"/>
          <w:highlight w:val="none"/>
        </w:rPr>
      </w:pPr>
    </w:p>
    <w:tbl>
      <w:tblPr>
        <w:tblStyle w:val="24"/>
        <w:tblW w:w="8464" w:type="dxa"/>
        <w:tblInd w:w="22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31"/>
        <w:gridCol w:w="870"/>
        <w:gridCol w:w="749"/>
        <w:gridCol w:w="900"/>
        <w:gridCol w:w="648"/>
        <w:gridCol w:w="1264"/>
        <w:gridCol w:w="1628"/>
        <w:gridCol w:w="1974"/>
      </w:tblGrid>
      <w:tr w14:paraId="4870AF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2" w:hRule="atLeast"/>
        </w:trPr>
        <w:tc>
          <w:tcPr>
            <w:tcW w:w="1301" w:type="dxa"/>
            <w:gridSpan w:val="2"/>
            <w:vMerge w:val="restart"/>
            <w:tcBorders>
              <w:bottom w:val="nil"/>
            </w:tcBorders>
            <w:vAlign w:val="top"/>
          </w:tcPr>
          <w:p w14:paraId="762AA38A">
            <w:pPr>
              <w:spacing w:line="268" w:lineRule="auto"/>
              <w:rPr>
                <w:rFonts w:hint="eastAsia" w:ascii="宋体" w:hAnsi="宋体" w:eastAsia="宋体" w:cs="宋体"/>
                <w:color w:val="auto"/>
                <w:sz w:val="21"/>
                <w:highlight w:val="none"/>
              </w:rPr>
            </w:pPr>
          </w:p>
          <w:p w14:paraId="461C2B2F">
            <w:pPr>
              <w:spacing w:line="268" w:lineRule="auto"/>
              <w:rPr>
                <w:rFonts w:hint="eastAsia" w:ascii="宋体" w:hAnsi="宋体" w:eastAsia="宋体" w:cs="宋体"/>
                <w:color w:val="auto"/>
                <w:sz w:val="21"/>
                <w:highlight w:val="none"/>
              </w:rPr>
            </w:pPr>
          </w:p>
          <w:p w14:paraId="5E05CED0">
            <w:pPr>
              <w:spacing w:line="268" w:lineRule="auto"/>
              <w:rPr>
                <w:rFonts w:hint="eastAsia" w:ascii="宋体" w:hAnsi="宋体" w:eastAsia="宋体" w:cs="宋体"/>
                <w:color w:val="auto"/>
                <w:sz w:val="21"/>
                <w:highlight w:val="none"/>
              </w:rPr>
            </w:pPr>
          </w:p>
          <w:p w14:paraId="61AF9127">
            <w:pPr>
              <w:spacing w:line="269" w:lineRule="auto"/>
              <w:rPr>
                <w:rFonts w:hint="eastAsia" w:ascii="宋体" w:hAnsi="宋体" w:eastAsia="宋体" w:cs="宋体"/>
                <w:color w:val="auto"/>
                <w:sz w:val="21"/>
                <w:highlight w:val="none"/>
              </w:rPr>
            </w:pPr>
          </w:p>
          <w:p w14:paraId="4063A8D1">
            <w:pPr>
              <w:pStyle w:val="25"/>
              <w:spacing w:before="71" w:line="222" w:lineRule="auto"/>
              <w:ind w:left="455"/>
              <w:rPr>
                <w:rFonts w:hint="eastAsia" w:ascii="宋体" w:hAnsi="宋体" w:eastAsia="宋体" w:cs="宋体"/>
                <w:color w:val="auto"/>
                <w:sz w:val="22"/>
                <w:szCs w:val="22"/>
                <w:highlight w:val="none"/>
              </w:rPr>
            </w:pPr>
            <w:r>
              <w:rPr>
                <w:rFonts w:hint="eastAsia" w:ascii="宋体" w:hAnsi="宋体" w:eastAsia="宋体" w:cs="宋体"/>
                <w:color w:val="auto"/>
                <w:spacing w:val="-5"/>
                <w:sz w:val="22"/>
                <w:szCs w:val="22"/>
                <w:highlight w:val="none"/>
              </w:rPr>
              <w:t>名称</w:t>
            </w:r>
          </w:p>
        </w:tc>
        <w:tc>
          <w:tcPr>
            <w:tcW w:w="1649" w:type="dxa"/>
            <w:gridSpan w:val="2"/>
            <w:vAlign w:val="top"/>
          </w:tcPr>
          <w:p w14:paraId="1CE05AA1">
            <w:pPr>
              <w:spacing w:line="447" w:lineRule="auto"/>
              <w:rPr>
                <w:rFonts w:hint="eastAsia" w:ascii="宋体" w:hAnsi="宋体" w:eastAsia="宋体" w:cs="宋体"/>
                <w:color w:val="auto"/>
                <w:sz w:val="21"/>
                <w:highlight w:val="none"/>
              </w:rPr>
            </w:pPr>
          </w:p>
          <w:p w14:paraId="69F3CED3">
            <w:pPr>
              <w:pStyle w:val="25"/>
              <w:spacing w:before="72" w:line="219" w:lineRule="auto"/>
              <w:ind w:left="205"/>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基本价格指数</w:t>
            </w:r>
          </w:p>
        </w:tc>
        <w:tc>
          <w:tcPr>
            <w:tcW w:w="3540" w:type="dxa"/>
            <w:gridSpan w:val="3"/>
            <w:vAlign w:val="top"/>
          </w:tcPr>
          <w:p w14:paraId="37BC952A">
            <w:pPr>
              <w:spacing w:line="448" w:lineRule="auto"/>
              <w:rPr>
                <w:rFonts w:hint="eastAsia" w:ascii="宋体" w:hAnsi="宋体" w:eastAsia="宋体" w:cs="宋体"/>
                <w:color w:val="auto"/>
                <w:sz w:val="21"/>
                <w:highlight w:val="none"/>
              </w:rPr>
            </w:pPr>
          </w:p>
          <w:p w14:paraId="4DB6FB5F">
            <w:pPr>
              <w:pStyle w:val="25"/>
              <w:spacing w:before="71" w:line="220" w:lineRule="auto"/>
              <w:ind w:left="1202"/>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权重</w:t>
            </w:r>
          </w:p>
        </w:tc>
        <w:tc>
          <w:tcPr>
            <w:tcW w:w="1974" w:type="dxa"/>
            <w:vMerge w:val="restart"/>
            <w:tcBorders>
              <w:bottom w:val="nil"/>
            </w:tcBorders>
            <w:vAlign w:val="top"/>
          </w:tcPr>
          <w:p w14:paraId="746EA12F">
            <w:pPr>
              <w:spacing w:line="268" w:lineRule="auto"/>
              <w:rPr>
                <w:rFonts w:hint="eastAsia" w:ascii="宋体" w:hAnsi="宋体" w:eastAsia="宋体" w:cs="宋体"/>
                <w:color w:val="auto"/>
                <w:sz w:val="21"/>
                <w:highlight w:val="none"/>
              </w:rPr>
            </w:pPr>
          </w:p>
          <w:p w14:paraId="389F9B21">
            <w:pPr>
              <w:spacing w:line="268" w:lineRule="auto"/>
              <w:rPr>
                <w:rFonts w:hint="eastAsia" w:ascii="宋体" w:hAnsi="宋体" w:eastAsia="宋体" w:cs="宋体"/>
                <w:color w:val="auto"/>
                <w:sz w:val="21"/>
                <w:highlight w:val="none"/>
              </w:rPr>
            </w:pPr>
          </w:p>
          <w:p w14:paraId="254CE1F8">
            <w:pPr>
              <w:spacing w:line="268" w:lineRule="auto"/>
              <w:rPr>
                <w:rFonts w:hint="eastAsia" w:ascii="宋体" w:hAnsi="宋体" w:eastAsia="宋体" w:cs="宋体"/>
                <w:color w:val="auto"/>
                <w:sz w:val="21"/>
                <w:highlight w:val="none"/>
              </w:rPr>
            </w:pPr>
          </w:p>
          <w:p w14:paraId="51F1A7EF">
            <w:pPr>
              <w:spacing w:line="268" w:lineRule="auto"/>
              <w:rPr>
                <w:rFonts w:hint="eastAsia" w:ascii="宋体" w:hAnsi="宋体" w:eastAsia="宋体" w:cs="宋体"/>
                <w:color w:val="auto"/>
                <w:sz w:val="21"/>
                <w:highlight w:val="none"/>
              </w:rPr>
            </w:pPr>
          </w:p>
          <w:p w14:paraId="5E58149B">
            <w:pPr>
              <w:pStyle w:val="25"/>
              <w:spacing w:before="72" w:line="219" w:lineRule="auto"/>
              <w:ind w:left="368"/>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价格指数来源</w:t>
            </w:r>
          </w:p>
        </w:tc>
      </w:tr>
      <w:tr w14:paraId="71B167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7" w:hRule="atLeast"/>
        </w:trPr>
        <w:tc>
          <w:tcPr>
            <w:tcW w:w="1301" w:type="dxa"/>
            <w:gridSpan w:val="2"/>
            <w:vMerge w:val="continue"/>
            <w:tcBorders>
              <w:top w:val="nil"/>
            </w:tcBorders>
            <w:vAlign w:val="top"/>
          </w:tcPr>
          <w:p w14:paraId="65826DC3">
            <w:pPr>
              <w:rPr>
                <w:rFonts w:hint="eastAsia" w:ascii="宋体" w:hAnsi="宋体" w:eastAsia="宋体" w:cs="宋体"/>
                <w:color w:val="auto"/>
                <w:sz w:val="21"/>
                <w:highlight w:val="none"/>
              </w:rPr>
            </w:pPr>
          </w:p>
        </w:tc>
        <w:tc>
          <w:tcPr>
            <w:tcW w:w="749" w:type="dxa"/>
            <w:vAlign w:val="top"/>
          </w:tcPr>
          <w:p w14:paraId="57CDE154">
            <w:pPr>
              <w:spacing w:line="444" w:lineRule="auto"/>
              <w:rPr>
                <w:rFonts w:hint="eastAsia" w:ascii="宋体" w:hAnsi="宋体" w:eastAsia="宋体" w:cs="宋体"/>
                <w:color w:val="auto"/>
                <w:sz w:val="21"/>
                <w:highlight w:val="none"/>
              </w:rPr>
            </w:pPr>
          </w:p>
          <w:p w14:paraId="4B19F89B">
            <w:pPr>
              <w:pStyle w:val="25"/>
              <w:spacing w:before="72" w:line="220" w:lineRule="auto"/>
              <w:ind w:left="172"/>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代号</w:t>
            </w:r>
          </w:p>
        </w:tc>
        <w:tc>
          <w:tcPr>
            <w:tcW w:w="900" w:type="dxa"/>
            <w:vAlign w:val="top"/>
          </w:tcPr>
          <w:p w14:paraId="7E53189C">
            <w:pPr>
              <w:spacing w:line="444" w:lineRule="auto"/>
              <w:rPr>
                <w:rFonts w:hint="eastAsia" w:ascii="宋体" w:hAnsi="宋体" w:eastAsia="宋体" w:cs="宋体"/>
                <w:color w:val="auto"/>
                <w:sz w:val="21"/>
                <w:highlight w:val="none"/>
              </w:rPr>
            </w:pPr>
          </w:p>
          <w:p w14:paraId="11B8BCF0">
            <w:pPr>
              <w:pStyle w:val="25"/>
              <w:spacing w:before="72" w:line="220" w:lineRule="auto"/>
              <w:ind w:left="145"/>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指数值</w:t>
            </w:r>
          </w:p>
        </w:tc>
        <w:tc>
          <w:tcPr>
            <w:tcW w:w="648" w:type="dxa"/>
            <w:vAlign w:val="top"/>
          </w:tcPr>
          <w:p w14:paraId="09C9BA78">
            <w:pPr>
              <w:spacing w:line="444" w:lineRule="auto"/>
              <w:rPr>
                <w:rFonts w:hint="eastAsia" w:ascii="宋体" w:hAnsi="宋体" w:eastAsia="宋体" w:cs="宋体"/>
                <w:color w:val="auto"/>
                <w:sz w:val="21"/>
                <w:highlight w:val="none"/>
              </w:rPr>
            </w:pPr>
          </w:p>
          <w:p w14:paraId="625E3A19">
            <w:pPr>
              <w:pStyle w:val="25"/>
              <w:spacing w:before="72" w:line="220" w:lineRule="auto"/>
              <w:ind w:left="119"/>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代号</w:t>
            </w:r>
          </w:p>
        </w:tc>
        <w:tc>
          <w:tcPr>
            <w:tcW w:w="1264" w:type="dxa"/>
            <w:vAlign w:val="top"/>
          </w:tcPr>
          <w:p w14:paraId="1FDAF84C">
            <w:pPr>
              <w:spacing w:line="444" w:lineRule="auto"/>
              <w:rPr>
                <w:rFonts w:hint="eastAsia" w:ascii="宋体" w:hAnsi="宋体" w:eastAsia="宋体" w:cs="宋体"/>
                <w:color w:val="auto"/>
                <w:sz w:val="21"/>
                <w:highlight w:val="none"/>
              </w:rPr>
            </w:pPr>
          </w:p>
          <w:p w14:paraId="4A77FFCF">
            <w:pPr>
              <w:pStyle w:val="25"/>
              <w:spacing w:before="72" w:line="220" w:lineRule="auto"/>
              <w:ind w:left="229"/>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允许范围</w:t>
            </w:r>
          </w:p>
        </w:tc>
        <w:tc>
          <w:tcPr>
            <w:tcW w:w="1628" w:type="dxa"/>
            <w:vAlign w:val="top"/>
          </w:tcPr>
          <w:p w14:paraId="0DD572D7">
            <w:pPr>
              <w:spacing w:line="444" w:lineRule="auto"/>
              <w:rPr>
                <w:rFonts w:hint="eastAsia" w:ascii="宋体" w:hAnsi="宋体" w:eastAsia="宋体" w:cs="宋体"/>
                <w:color w:val="auto"/>
                <w:sz w:val="21"/>
                <w:highlight w:val="none"/>
              </w:rPr>
            </w:pPr>
          </w:p>
          <w:p w14:paraId="7B3EAA45">
            <w:pPr>
              <w:pStyle w:val="25"/>
              <w:spacing w:before="72" w:line="220" w:lineRule="auto"/>
              <w:ind w:left="198"/>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投标人建议值</w:t>
            </w:r>
          </w:p>
        </w:tc>
        <w:tc>
          <w:tcPr>
            <w:tcW w:w="1974" w:type="dxa"/>
            <w:vMerge w:val="continue"/>
            <w:tcBorders>
              <w:top w:val="nil"/>
            </w:tcBorders>
            <w:vAlign w:val="top"/>
          </w:tcPr>
          <w:p w14:paraId="06CB6C3B">
            <w:pPr>
              <w:rPr>
                <w:rFonts w:hint="eastAsia" w:ascii="宋体" w:hAnsi="宋体" w:eastAsia="宋体" w:cs="宋体"/>
                <w:color w:val="auto"/>
                <w:sz w:val="21"/>
                <w:highlight w:val="none"/>
              </w:rPr>
            </w:pPr>
          </w:p>
        </w:tc>
      </w:tr>
      <w:tr w14:paraId="45C89E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5" w:hRule="atLeast"/>
        </w:trPr>
        <w:tc>
          <w:tcPr>
            <w:tcW w:w="1301" w:type="dxa"/>
            <w:gridSpan w:val="2"/>
            <w:vAlign w:val="top"/>
          </w:tcPr>
          <w:p w14:paraId="56BDF8C1">
            <w:pPr>
              <w:spacing w:line="445" w:lineRule="auto"/>
              <w:rPr>
                <w:rFonts w:hint="eastAsia" w:ascii="宋体" w:hAnsi="宋体" w:eastAsia="宋体" w:cs="宋体"/>
                <w:color w:val="auto"/>
                <w:sz w:val="21"/>
                <w:highlight w:val="none"/>
              </w:rPr>
            </w:pPr>
          </w:p>
          <w:p w14:paraId="704404DF">
            <w:pPr>
              <w:pStyle w:val="25"/>
              <w:spacing w:before="72" w:line="220" w:lineRule="auto"/>
              <w:ind w:left="246"/>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定值部分</w:t>
            </w:r>
          </w:p>
        </w:tc>
        <w:tc>
          <w:tcPr>
            <w:tcW w:w="749" w:type="dxa"/>
            <w:vAlign w:val="top"/>
          </w:tcPr>
          <w:p w14:paraId="080DB93C">
            <w:pPr>
              <w:rPr>
                <w:rFonts w:hint="eastAsia" w:ascii="宋体" w:hAnsi="宋体" w:eastAsia="宋体" w:cs="宋体"/>
                <w:color w:val="auto"/>
                <w:sz w:val="21"/>
                <w:highlight w:val="none"/>
              </w:rPr>
            </w:pPr>
          </w:p>
        </w:tc>
        <w:tc>
          <w:tcPr>
            <w:tcW w:w="900" w:type="dxa"/>
            <w:vAlign w:val="top"/>
          </w:tcPr>
          <w:p w14:paraId="3ADD5E57">
            <w:pPr>
              <w:rPr>
                <w:rFonts w:hint="eastAsia" w:ascii="宋体" w:hAnsi="宋体" w:eastAsia="宋体" w:cs="宋体"/>
                <w:color w:val="auto"/>
                <w:sz w:val="21"/>
                <w:highlight w:val="none"/>
              </w:rPr>
            </w:pPr>
          </w:p>
        </w:tc>
        <w:tc>
          <w:tcPr>
            <w:tcW w:w="648" w:type="dxa"/>
            <w:vAlign w:val="top"/>
          </w:tcPr>
          <w:p w14:paraId="31CA2813">
            <w:pPr>
              <w:spacing w:line="478" w:lineRule="auto"/>
              <w:rPr>
                <w:rFonts w:hint="eastAsia" w:ascii="宋体" w:hAnsi="宋体" w:eastAsia="宋体" w:cs="宋体"/>
                <w:color w:val="auto"/>
                <w:sz w:val="21"/>
                <w:highlight w:val="none"/>
              </w:rPr>
            </w:pPr>
          </w:p>
          <w:p w14:paraId="45A47296">
            <w:pPr>
              <w:pStyle w:val="25"/>
              <w:spacing w:before="72" w:line="185" w:lineRule="auto"/>
              <w:ind w:left="10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A</w:t>
            </w:r>
          </w:p>
        </w:tc>
        <w:tc>
          <w:tcPr>
            <w:tcW w:w="1264" w:type="dxa"/>
            <w:vAlign w:val="top"/>
          </w:tcPr>
          <w:p w14:paraId="5C1B6CC7">
            <w:pPr>
              <w:rPr>
                <w:rFonts w:hint="eastAsia" w:ascii="宋体" w:hAnsi="宋体" w:eastAsia="宋体" w:cs="宋体"/>
                <w:color w:val="auto"/>
                <w:sz w:val="21"/>
                <w:highlight w:val="none"/>
              </w:rPr>
            </w:pPr>
          </w:p>
        </w:tc>
        <w:tc>
          <w:tcPr>
            <w:tcW w:w="1628" w:type="dxa"/>
            <w:vAlign w:val="top"/>
          </w:tcPr>
          <w:p w14:paraId="3B1BD795">
            <w:pPr>
              <w:rPr>
                <w:rFonts w:hint="eastAsia" w:ascii="宋体" w:hAnsi="宋体" w:eastAsia="宋体" w:cs="宋体"/>
                <w:color w:val="auto"/>
                <w:sz w:val="21"/>
                <w:highlight w:val="none"/>
              </w:rPr>
            </w:pPr>
          </w:p>
        </w:tc>
        <w:tc>
          <w:tcPr>
            <w:tcW w:w="1974" w:type="dxa"/>
            <w:vAlign w:val="top"/>
          </w:tcPr>
          <w:p w14:paraId="2F1596E9">
            <w:pPr>
              <w:rPr>
                <w:rFonts w:hint="eastAsia" w:ascii="宋体" w:hAnsi="宋体" w:eastAsia="宋体" w:cs="宋体"/>
                <w:color w:val="auto"/>
                <w:sz w:val="21"/>
                <w:highlight w:val="none"/>
              </w:rPr>
            </w:pPr>
          </w:p>
        </w:tc>
      </w:tr>
      <w:tr w14:paraId="315A56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7" w:hRule="atLeast"/>
        </w:trPr>
        <w:tc>
          <w:tcPr>
            <w:tcW w:w="431" w:type="dxa"/>
            <w:vMerge w:val="restart"/>
            <w:tcBorders>
              <w:bottom w:val="nil"/>
            </w:tcBorders>
            <w:textDirection w:val="tbRlV"/>
            <w:vAlign w:val="top"/>
          </w:tcPr>
          <w:p w14:paraId="1EB19DD1">
            <w:pPr>
              <w:pStyle w:val="25"/>
              <w:spacing w:before="91" w:line="209" w:lineRule="auto"/>
              <w:ind w:left="2622"/>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变值部分</w:t>
            </w:r>
          </w:p>
        </w:tc>
        <w:tc>
          <w:tcPr>
            <w:tcW w:w="870" w:type="dxa"/>
            <w:vAlign w:val="top"/>
          </w:tcPr>
          <w:p w14:paraId="2AC2DCDE">
            <w:pPr>
              <w:spacing w:line="446" w:lineRule="auto"/>
              <w:rPr>
                <w:rFonts w:hint="eastAsia" w:ascii="宋体" w:hAnsi="宋体" w:eastAsia="宋体" w:cs="宋体"/>
                <w:color w:val="auto"/>
                <w:sz w:val="21"/>
                <w:highlight w:val="none"/>
              </w:rPr>
            </w:pPr>
          </w:p>
          <w:p w14:paraId="4BC96C85">
            <w:pPr>
              <w:pStyle w:val="25"/>
              <w:spacing w:before="71" w:line="221" w:lineRule="auto"/>
              <w:ind w:left="116"/>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人工费</w:t>
            </w:r>
          </w:p>
        </w:tc>
        <w:tc>
          <w:tcPr>
            <w:tcW w:w="749" w:type="dxa"/>
            <w:vAlign w:val="top"/>
          </w:tcPr>
          <w:p w14:paraId="4559834A">
            <w:pPr>
              <w:rPr>
                <w:rFonts w:hint="eastAsia" w:ascii="宋体" w:hAnsi="宋体" w:eastAsia="宋体" w:cs="宋体"/>
                <w:color w:val="auto"/>
                <w:sz w:val="21"/>
                <w:highlight w:val="none"/>
              </w:rPr>
            </w:pPr>
          </w:p>
          <w:p w14:paraId="3F2D05AD">
            <w:pPr>
              <w:rPr>
                <w:rFonts w:hint="eastAsia" w:ascii="宋体" w:hAnsi="宋体" w:eastAsia="宋体" w:cs="宋体"/>
                <w:color w:val="auto"/>
                <w:sz w:val="21"/>
                <w:highlight w:val="none"/>
              </w:rPr>
            </w:pPr>
          </w:p>
          <w:p w14:paraId="34093868">
            <w:pPr>
              <w:pStyle w:val="25"/>
              <w:spacing w:before="71" w:line="206" w:lineRule="auto"/>
              <w:ind w:left="115"/>
              <w:rPr>
                <w:rFonts w:hint="eastAsia" w:ascii="宋体" w:hAnsi="宋体" w:eastAsia="宋体" w:cs="宋体"/>
                <w:color w:val="auto"/>
                <w:sz w:val="10"/>
                <w:szCs w:val="10"/>
                <w:highlight w:val="none"/>
              </w:rPr>
            </w:pPr>
            <w:r>
              <w:rPr>
                <w:rFonts w:hint="eastAsia" w:ascii="宋体" w:hAnsi="宋体" w:eastAsia="宋体" w:cs="宋体"/>
                <w:color w:val="auto"/>
                <w:spacing w:val="1"/>
                <w:sz w:val="22"/>
                <w:szCs w:val="22"/>
                <w:highlight w:val="none"/>
              </w:rPr>
              <w:t>F</w:t>
            </w:r>
            <w:r>
              <w:rPr>
                <w:rFonts w:hint="eastAsia" w:ascii="宋体" w:hAnsi="宋体" w:eastAsia="宋体" w:cs="宋体"/>
                <w:color w:val="auto"/>
                <w:spacing w:val="1"/>
                <w:sz w:val="10"/>
                <w:szCs w:val="10"/>
                <w:highlight w:val="none"/>
              </w:rPr>
              <w:t>01</w:t>
            </w:r>
          </w:p>
        </w:tc>
        <w:tc>
          <w:tcPr>
            <w:tcW w:w="900" w:type="dxa"/>
            <w:vAlign w:val="top"/>
          </w:tcPr>
          <w:p w14:paraId="7AB41142">
            <w:pPr>
              <w:rPr>
                <w:rFonts w:hint="eastAsia" w:ascii="宋体" w:hAnsi="宋体" w:eastAsia="宋体" w:cs="宋体"/>
                <w:color w:val="auto"/>
                <w:sz w:val="21"/>
                <w:highlight w:val="none"/>
              </w:rPr>
            </w:pPr>
          </w:p>
        </w:tc>
        <w:tc>
          <w:tcPr>
            <w:tcW w:w="648" w:type="dxa"/>
            <w:vAlign w:val="top"/>
          </w:tcPr>
          <w:p w14:paraId="6907EE00">
            <w:pPr>
              <w:spacing w:line="479" w:lineRule="auto"/>
              <w:rPr>
                <w:rFonts w:hint="eastAsia" w:ascii="宋体" w:hAnsi="宋体" w:eastAsia="宋体" w:cs="宋体"/>
                <w:color w:val="auto"/>
                <w:sz w:val="21"/>
                <w:highlight w:val="none"/>
              </w:rPr>
            </w:pPr>
          </w:p>
          <w:p w14:paraId="1E447499">
            <w:pPr>
              <w:pStyle w:val="25"/>
              <w:spacing w:before="72" w:line="207" w:lineRule="auto"/>
              <w:ind w:left="110"/>
              <w:rPr>
                <w:rFonts w:hint="eastAsia" w:ascii="宋体" w:hAnsi="宋体" w:eastAsia="宋体" w:cs="宋体"/>
                <w:color w:val="auto"/>
                <w:sz w:val="10"/>
                <w:szCs w:val="10"/>
                <w:highlight w:val="none"/>
              </w:rPr>
            </w:pPr>
            <w:r>
              <w:rPr>
                <w:rFonts w:hint="eastAsia" w:ascii="宋体" w:hAnsi="宋体" w:eastAsia="宋体" w:cs="宋体"/>
                <w:color w:val="auto"/>
                <w:sz w:val="22"/>
                <w:szCs w:val="22"/>
                <w:highlight w:val="none"/>
              </w:rPr>
              <w:t>B</w:t>
            </w:r>
            <w:r>
              <w:rPr>
                <w:rFonts w:hint="eastAsia" w:ascii="宋体" w:hAnsi="宋体" w:eastAsia="宋体" w:cs="宋体"/>
                <w:color w:val="auto"/>
                <w:sz w:val="10"/>
                <w:szCs w:val="10"/>
                <w:highlight w:val="none"/>
              </w:rPr>
              <w:t>1</w:t>
            </w:r>
          </w:p>
        </w:tc>
        <w:tc>
          <w:tcPr>
            <w:tcW w:w="1264" w:type="dxa"/>
            <w:vAlign w:val="top"/>
          </w:tcPr>
          <w:p w14:paraId="323EFC1C">
            <w:pPr>
              <w:spacing w:line="446" w:lineRule="auto"/>
              <w:rPr>
                <w:rFonts w:hint="eastAsia" w:ascii="宋体" w:hAnsi="宋体" w:eastAsia="宋体" w:cs="宋体"/>
                <w:color w:val="auto"/>
                <w:sz w:val="21"/>
                <w:highlight w:val="none"/>
              </w:rPr>
            </w:pPr>
          </w:p>
          <w:p w14:paraId="777B8DA5">
            <w:pPr>
              <w:pStyle w:val="25"/>
              <w:tabs>
                <w:tab w:val="left" w:pos="327"/>
              </w:tabs>
              <w:spacing w:before="72" w:line="232" w:lineRule="auto"/>
              <w:ind w:left="106"/>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u w:val="single" w:color="auto"/>
              </w:rPr>
              <w:tab/>
            </w:r>
            <w:r>
              <w:rPr>
                <w:rFonts w:hint="eastAsia" w:ascii="宋体" w:hAnsi="宋体" w:eastAsia="宋体" w:cs="宋体"/>
                <w:color w:val="auto"/>
                <w:spacing w:val="-10"/>
                <w:sz w:val="22"/>
                <w:szCs w:val="22"/>
                <w:highlight w:val="none"/>
              </w:rPr>
              <w:t>至</w:t>
            </w:r>
          </w:p>
        </w:tc>
        <w:tc>
          <w:tcPr>
            <w:tcW w:w="1628" w:type="dxa"/>
            <w:vAlign w:val="top"/>
          </w:tcPr>
          <w:p w14:paraId="5DD59965">
            <w:pPr>
              <w:rPr>
                <w:rFonts w:hint="eastAsia" w:ascii="宋体" w:hAnsi="宋体" w:eastAsia="宋体" w:cs="宋体"/>
                <w:color w:val="auto"/>
                <w:sz w:val="21"/>
                <w:highlight w:val="none"/>
              </w:rPr>
            </w:pPr>
          </w:p>
        </w:tc>
        <w:tc>
          <w:tcPr>
            <w:tcW w:w="1974" w:type="dxa"/>
            <w:vAlign w:val="top"/>
          </w:tcPr>
          <w:p w14:paraId="53A09189">
            <w:pPr>
              <w:rPr>
                <w:rFonts w:hint="eastAsia" w:ascii="宋体" w:hAnsi="宋体" w:eastAsia="宋体" w:cs="宋体"/>
                <w:color w:val="auto"/>
                <w:sz w:val="21"/>
                <w:highlight w:val="none"/>
              </w:rPr>
            </w:pPr>
          </w:p>
        </w:tc>
      </w:tr>
      <w:tr w14:paraId="6661A2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7" w:hRule="atLeast"/>
        </w:trPr>
        <w:tc>
          <w:tcPr>
            <w:tcW w:w="431" w:type="dxa"/>
            <w:vMerge w:val="continue"/>
            <w:tcBorders>
              <w:top w:val="nil"/>
              <w:bottom w:val="nil"/>
            </w:tcBorders>
            <w:textDirection w:val="tbRlV"/>
            <w:vAlign w:val="top"/>
          </w:tcPr>
          <w:p w14:paraId="43E7B985">
            <w:pPr>
              <w:rPr>
                <w:rFonts w:hint="eastAsia" w:ascii="宋体" w:hAnsi="宋体" w:eastAsia="宋体" w:cs="宋体"/>
                <w:color w:val="auto"/>
                <w:sz w:val="21"/>
                <w:highlight w:val="none"/>
              </w:rPr>
            </w:pPr>
          </w:p>
        </w:tc>
        <w:tc>
          <w:tcPr>
            <w:tcW w:w="870" w:type="dxa"/>
            <w:vAlign w:val="top"/>
          </w:tcPr>
          <w:p w14:paraId="479F2EA5">
            <w:pPr>
              <w:spacing w:line="448" w:lineRule="auto"/>
              <w:rPr>
                <w:rFonts w:hint="eastAsia" w:ascii="宋体" w:hAnsi="宋体" w:eastAsia="宋体" w:cs="宋体"/>
                <w:color w:val="auto"/>
                <w:sz w:val="21"/>
                <w:highlight w:val="none"/>
              </w:rPr>
            </w:pPr>
          </w:p>
          <w:p w14:paraId="486F7D9B">
            <w:pPr>
              <w:pStyle w:val="25"/>
              <w:spacing w:before="71" w:line="219" w:lineRule="auto"/>
              <w:ind w:left="113"/>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钢材</w:t>
            </w:r>
          </w:p>
        </w:tc>
        <w:tc>
          <w:tcPr>
            <w:tcW w:w="749" w:type="dxa"/>
            <w:vAlign w:val="top"/>
          </w:tcPr>
          <w:p w14:paraId="1486A951">
            <w:pPr>
              <w:spacing w:line="241" w:lineRule="auto"/>
              <w:rPr>
                <w:rFonts w:hint="eastAsia" w:ascii="宋体" w:hAnsi="宋体" w:eastAsia="宋体" w:cs="宋体"/>
                <w:color w:val="auto"/>
                <w:sz w:val="21"/>
                <w:highlight w:val="none"/>
              </w:rPr>
            </w:pPr>
          </w:p>
          <w:p w14:paraId="0064A7E0">
            <w:pPr>
              <w:spacing w:line="242" w:lineRule="auto"/>
              <w:rPr>
                <w:rFonts w:hint="eastAsia" w:ascii="宋体" w:hAnsi="宋体" w:eastAsia="宋体" w:cs="宋体"/>
                <w:color w:val="auto"/>
                <w:sz w:val="21"/>
                <w:highlight w:val="none"/>
              </w:rPr>
            </w:pPr>
          </w:p>
          <w:p w14:paraId="6D24780A">
            <w:pPr>
              <w:pStyle w:val="25"/>
              <w:spacing w:before="72" w:line="204" w:lineRule="auto"/>
              <w:ind w:left="115"/>
              <w:rPr>
                <w:rFonts w:hint="eastAsia" w:ascii="宋体" w:hAnsi="宋体" w:eastAsia="宋体" w:cs="宋体"/>
                <w:color w:val="auto"/>
                <w:sz w:val="10"/>
                <w:szCs w:val="10"/>
                <w:highlight w:val="none"/>
              </w:rPr>
            </w:pPr>
            <w:r>
              <w:rPr>
                <w:rFonts w:hint="eastAsia" w:ascii="宋体" w:hAnsi="宋体" w:eastAsia="宋体" w:cs="宋体"/>
                <w:color w:val="auto"/>
                <w:spacing w:val="1"/>
                <w:sz w:val="22"/>
                <w:szCs w:val="22"/>
                <w:highlight w:val="none"/>
              </w:rPr>
              <w:t>F</w:t>
            </w:r>
            <w:r>
              <w:rPr>
                <w:rFonts w:hint="eastAsia" w:ascii="宋体" w:hAnsi="宋体" w:eastAsia="宋体" w:cs="宋体"/>
                <w:color w:val="auto"/>
                <w:spacing w:val="1"/>
                <w:sz w:val="10"/>
                <w:szCs w:val="10"/>
                <w:highlight w:val="none"/>
              </w:rPr>
              <w:t>02</w:t>
            </w:r>
          </w:p>
        </w:tc>
        <w:tc>
          <w:tcPr>
            <w:tcW w:w="900" w:type="dxa"/>
            <w:vAlign w:val="top"/>
          </w:tcPr>
          <w:p w14:paraId="60DEA75D">
            <w:pPr>
              <w:rPr>
                <w:rFonts w:hint="eastAsia" w:ascii="宋体" w:hAnsi="宋体" w:eastAsia="宋体" w:cs="宋体"/>
                <w:color w:val="auto"/>
                <w:sz w:val="21"/>
                <w:highlight w:val="none"/>
              </w:rPr>
            </w:pPr>
          </w:p>
        </w:tc>
        <w:tc>
          <w:tcPr>
            <w:tcW w:w="648" w:type="dxa"/>
            <w:vAlign w:val="top"/>
          </w:tcPr>
          <w:p w14:paraId="77D0EF7F">
            <w:pPr>
              <w:spacing w:line="241" w:lineRule="auto"/>
              <w:rPr>
                <w:rFonts w:hint="eastAsia" w:ascii="宋体" w:hAnsi="宋体" w:eastAsia="宋体" w:cs="宋体"/>
                <w:color w:val="auto"/>
                <w:sz w:val="21"/>
                <w:highlight w:val="none"/>
              </w:rPr>
            </w:pPr>
          </w:p>
          <w:p w14:paraId="04EEF462">
            <w:pPr>
              <w:spacing w:line="242" w:lineRule="auto"/>
              <w:rPr>
                <w:rFonts w:hint="eastAsia" w:ascii="宋体" w:hAnsi="宋体" w:eastAsia="宋体" w:cs="宋体"/>
                <w:color w:val="auto"/>
                <w:sz w:val="21"/>
                <w:highlight w:val="none"/>
              </w:rPr>
            </w:pPr>
          </w:p>
          <w:p w14:paraId="78A66662">
            <w:pPr>
              <w:pStyle w:val="25"/>
              <w:spacing w:before="71" w:line="205" w:lineRule="auto"/>
              <w:ind w:left="110"/>
              <w:rPr>
                <w:rFonts w:hint="eastAsia" w:ascii="宋体" w:hAnsi="宋体" w:eastAsia="宋体" w:cs="宋体"/>
                <w:color w:val="auto"/>
                <w:sz w:val="10"/>
                <w:szCs w:val="10"/>
                <w:highlight w:val="none"/>
              </w:rPr>
            </w:pPr>
            <w:r>
              <w:rPr>
                <w:rFonts w:hint="eastAsia" w:ascii="宋体" w:hAnsi="宋体" w:eastAsia="宋体" w:cs="宋体"/>
                <w:color w:val="auto"/>
                <w:sz w:val="22"/>
                <w:szCs w:val="22"/>
                <w:highlight w:val="none"/>
              </w:rPr>
              <w:t>B</w:t>
            </w:r>
            <w:r>
              <w:rPr>
                <w:rFonts w:hint="eastAsia" w:ascii="宋体" w:hAnsi="宋体" w:eastAsia="宋体" w:cs="宋体"/>
                <w:color w:val="auto"/>
                <w:sz w:val="10"/>
                <w:szCs w:val="10"/>
                <w:highlight w:val="none"/>
              </w:rPr>
              <w:t>2</w:t>
            </w:r>
          </w:p>
        </w:tc>
        <w:tc>
          <w:tcPr>
            <w:tcW w:w="1264" w:type="dxa"/>
            <w:vAlign w:val="top"/>
          </w:tcPr>
          <w:p w14:paraId="5AAF3A34">
            <w:pPr>
              <w:spacing w:line="448" w:lineRule="auto"/>
              <w:rPr>
                <w:rFonts w:hint="eastAsia" w:ascii="宋体" w:hAnsi="宋体" w:eastAsia="宋体" w:cs="宋体"/>
                <w:color w:val="auto"/>
                <w:sz w:val="21"/>
                <w:highlight w:val="none"/>
              </w:rPr>
            </w:pPr>
          </w:p>
          <w:p w14:paraId="720A3859">
            <w:pPr>
              <w:pStyle w:val="25"/>
              <w:tabs>
                <w:tab w:val="left" w:pos="327"/>
              </w:tabs>
              <w:spacing w:before="71" w:line="232" w:lineRule="auto"/>
              <w:ind w:left="106"/>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u w:val="single" w:color="auto"/>
              </w:rPr>
              <w:tab/>
            </w:r>
            <w:r>
              <w:rPr>
                <w:rFonts w:hint="eastAsia" w:ascii="宋体" w:hAnsi="宋体" w:eastAsia="宋体" w:cs="宋体"/>
                <w:color w:val="auto"/>
                <w:spacing w:val="-10"/>
                <w:sz w:val="22"/>
                <w:szCs w:val="22"/>
                <w:highlight w:val="none"/>
              </w:rPr>
              <w:t>至</w:t>
            </w:r>
          </w:p>
        </w:tc>
        <w:tc>
          <w:tcPr>
            <w:tcW w:w="1628" w:type="dxa"/>
            <w:vAlign w:val="top"/>
          </w:tcPr>
          <w:p w14:paraId="1432205C">
            <w:pPr>
              <w:rPr>
                <w:rFonts w:hint="eastAsia" w:ascii="宋体" w:hAnsi="宋体" w:eastAsia="宋体" w:cs="宋体"/>
                <w:color w:val="auto"/>
                <w:sz w:val="21"/>
                <w:highlight w:val="none"/>
              </w:rPr>
            </w:pPr>
          </w:p>
        </w:tc>
        <w:tc>
          <w:tcPr>
            <w:tcW w:w="1974" w:type="dxa"/>
            <w:vAlign w:val="top"/>
          </w:tcPr>
          <w:p w14:paraId="07F2D842">
            <w:pPr>
              <w:rPr>
                <w:rFonts w:hint="eastAsia" w:ascii="宋体" w:hAnsi="宋体" w:eastAsia="宋体" w:cs="宋体"/>
                <w:color w:val="auto"/>
                <w:sz w:val="21"/>
                <w:highlight w:val="none"/>
              </w:rPr>
            </w:pPr>
          </w:p>
        </w:tc>
      </w:tr>
      <w:tr w14:paraId="5D8B9A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5" w:hRule="atLeast"/>
        </w:trPr>
        <w:tc>
          <w:tcPr>
            <w:tcW w:w="431" w:type="dxa"/>
            <w:vMerge w:val="continue"/>
            <w:tcBorders>
              <w:top w:val="nil"/>
              <w:bottom w:val="nil"/>
            </w:tcBorders>
            <w:textDirection w:val="tbRlV"/>
            <w:vAlign w:val="top"/>
          </w:tcPr>
          <w:p w14:paraId="2AFC6235">
            <w:pPr>
              <w:rPr>
                <w:rFonts w:hint="eastAsia" w:ascii="宋体" w:hAnsi="宋体" w:eastAsia="宋体" w:cs="宋体"/>
                <w:color w:val="auto"/>
                <w:sz w:val="21"/>
                <w:highlight w:val="none"/>
              </w:rPr>
            </w:pPr>
          </w:p>
        </w:tc>
        <w:tc>
          <w:tcPr>
            <w:tcW w:w="870" w:type="dxa"/>
            <w:vAlign w:val="top"/>
          </w:tcPr>
          <w:p w14:paraId="1DBB8FBC">
            <w:pPr>
              <w:spacing w:line="448" w:lineRule="auto"/>
              <w:rPr>
                <w:rFonts w:hint="eastAsia" w:ascii="宋体" w:hAnsi="宋体" w:eastAsia="宋体" w:cs="宋体"/>
                <w:color w:val="auto"/>
                <w:sz w:val="21"/>
                <w:highlight w:val="none"/>
              </w:rPr>
            </w:pPr>
          </w:p>
          <w:p w14:paraId="38DE1E8C">
            <w:pPr>
              <w:pStyle w:val="25"/>
              <w:spacing w:before="72" w:line="220" w:lineRule="auto"/>
              <w:ind w:left="117"/>
              <w:rPr>
                <w:rFonts w:hint="eastAsia" w:ascii="宋体" w:hAnsi="宋体" w:eastAsia="宋体" w:cs="宋体"/>
                <w:color w:val="auto"/>
                <w:sz w:val="22"/>
                <w:szCs w:val="22"/>
                <w:highlight w:val="none"/>
              </w:rPr>
            </w:pPr>
            <w:r>
              <w:rPr>
                <w:rFonts w:hint="eastAsia" w:ascii="宋体" w:hAnsi="宋体" w:eastAsia="宋体" w:cs="宋体"/>
                <w:color w:val="auto"/>
                <w:spacing w:val="-5"/>
                <w:sz w:val="22"/>
                <w:szCs w:val="22"/>
                <w:highlight w:val="none"/>
              </w:rPr>
              <w:t>水泥</w:t>
            </w:r>
          </w:p>
        </w:tc>
        <w:tc>
          <w:tcPr>
            <w:tcW w:w="749" w:type="dxa"/>
            <w:vAlign w:val="top"/>
          </w:tcPr>
          <w:p w14:paraId="33CFBC54">
            <w:pPr>
              <w:spacing w:line="241" w:lineRule="auto"/>
              <w:rPr>
                <w:rFonts w:hint="eastAsia" w:ascii="宋体" w:hAnsi="宋体" w:eastAsia="宋体" w:cs="宋体"/>
                <w:color w:val="auto"/>
                <w:sz w:val="21"/>
                <w:highlight w:val="none"/>
              </w:rPr>
            </w:pPr>
          </w:p>
          <w:p w14:paraId="4B7A4D30">
            <w:pPr>
              <w:spacing w:line="241" w:lineRule="auto"/>
              <w:rPr>
                <w:rFonts w:hint="eastAsia" w:ascii="宋体" w:hAnsi="宋体" w:eastAsia="宋体" w:cs="宋体"/>
                <w:color w:val="auto"/>
                <w:sz w:val="21"/>
                <w:highlight w:val="none"/>
              </w:rPr>
            </w:pPr>
          </w:p>
          <w:p w14:paraId="581F5A0E">
            <w:pPr>
              <w:pStyle w:val="25"/>
              <w:spacing w:before="72" w:line="204" w:lineRule="auto"/>
              <w:ind w:left="115"/>
              <w:rPr>
                <w:rFonts w:hint="eastAsia" w:ascii="宋体" w:hAnsi="宋体" w:eastAsia="宋体" w:cs="宋体"/>
                <w:color w:val="auto"/>
                <w:sz w:val="10"/>
                <w:szCs w:val="10"/>
                <w:highlight w:val="none"/>
              </w:rPr>
            </w:pPr>
            <w:r>
              <w:rPr>
                <w:rFonts w:hint="eastAsia" w:ascii="宋体" w:hAnsi="宋体" w:eastAsia="宋体" w:cs="宋体"/>
                <w:color w:val="auto"/>
                <w:spacing w:val="1"/>
                <w:sz w:val="22"/>
                <w:szCs w:val="22"/>
                <w:highlight w:val="none"/>
              </w:rPr>
              <w:t>F</w:t>
            </w:r>
            <w:r>
              <w:rPr>
                <w:rFonts w:hint="eastAsia" w:ascii="宋体" w:hAnsi="宋体" w:eastAsia="宋体" w:cs="宋体"/>
                <w:color w:val="auto"/>
                <w:spacing w:val="1"/>
                <w:sz w:val="10"/>
                <w:szCs w:val="10"/>
                <w:highlight w:val="none"/>
              </w:rPr>
              <w:t>03</w:t>
            </w:r>
          </w:p>
        </w:tc>
        <w:tc>
          <w:tcPr>
            <w:tcW w:w="900" w:type="dxa"/>
            <w:vAlign w:val="top"/>
          </w:tcPr>
          <w:p w14:paraId="42E9D268">
            <w:pPr>
              <w:rPr>
                <w:rFonts w:hint="eastAsia" w:ascii="宋体" w:hAnsi="宋体" w:eastAsia="宋体" w:cs="宋体"/>
                <w:color w:val="auto"/>
                <w:sz w:val="21"/>
                <w:highlight w:val="none"/>
              </w:rPr>
            </w:pPr>
          </w:p>
        </w:tc>
        <w:tc>
          <w:tcPr>
            <w:tcW w:w="648" w:type="dxa"/>
            <w:vAlign w:val="top"/>
          </w:tcPr>
          <w:p w14:paraId="1D9C7E10">
            <w:pPr>
              <w:spacing w:line="241" w:lineRule="auto"/>
              <w:rPr>
                <w:rFonts w:hint="eastAsia" w:ascii="宋体" w:hAnsi="宋体" w:eastAsia="宋体" w:cs="宋体"/>
                <w:color w:val="auto"/>
                <w:sz w:val="21"/>
                <w:highlight w:val="none"/>
              </w:rPr>
            </w:pPr>
          </w:p>
          <w:p w14:paraId="4F85C8D2">
            <w:pPr>
              <w:spacing w:line="241" w:lineRule="auto"/>
              <w:rPr>
                <w:rFonts w:hint="eastAsia" w:ascii="宋体" w:hAnsi="宋体" w:eastAsia="宋体" w:cs="宋体"/>
                <w:color w:val="auto"/>
                <w:sz w:val="21"/>
                <w:highlight w:val="none"/>
              </w:rPr>
            </w:pPr>
          </w:p>
          <w:p w14:paraId="072F8598">
            <w:pPr>
              <w:pStyle w:val="25"/>
              <w:spacing w:before="72" w:line="204" w:lineRule="auto"/>
              <w:ind w:left="110"/>
              <w:rPr>
                <w:rFonts w:hint="eastAsia" w:ascii="宋体" w:hAnsi="宋体" w:eastAsia="宋体" w:cs="宋体"/>
                <w:color w:val="auto"/>
                <w:sz w:val="10"/>
                <w:szCs w:val="10"/>
                <w:highlight w:val="none"/>
              </w:rPr>
            </w:pPr>
            <w:r>
              <w:rPr>
                <w:rFonts w:hint="eastAsia" w:ascii="宋体" w:hAnsi="宋体" w:eastAsia="宋体" w:cs="宋体"/>
                <w:color w:val="auto"/>
                <w:sz w:val="22"/>
                <w:szCs w:val="22"/>
                <w:highlight w:val="none"/>
              </w:rPr>
              <w:t>B</w:t>
            </w:r>
            <w:r>
              <w:rPr>
                <w:rFonts w:hint="eastAsia" w:ascii="宋体" w:hAnsi="宋体" w:eastAsia="宋体" w:cs="宋体"/>
                <w:color w:val="auto"/>
                <w:sz w:val="10"/>
                <w:szCs w:val="10"/>
                <w:highlight w:val="none"/>
              </w:rPr>
              <w:t>3</w:t>
            </w:r>
          </w:p>
        </w:tc>
        <w:tc>
          <w:tcPr>
            <w:tcW w:w="1264" w:type="dxa"/>
            <w:vAlign w:val="top"/>
          </w:tcPr>
          <w:p w14:paraId="1BC3EB81">
            <w:pPr>
              <w:spacing w:line="449" w:lineRule="auto"/>
              <w:rPr>
                <w:rFonts w:hint="eastAsia" w:ascii="宋体" w:hAnsi="宋体" w:eastAsia="宋体" w:cs="宋体"/>
                <w:color w:val="auto"/>
                <w:sz w:val="21"/>
                <w:highlight w:val="none"/>
              </w:rPr>
            </w:pPr>
          </w:p>
          <w:p w14:paraId="5271E283">
            <w:pPr>
              <w:pStyle w:val="25"/>
              <w:tabs>
                <w:tab w:val="left" w:pos="327"/>
              </w:tabs>
              <w:spacing w:before="71" w:line="232" w:lineRule="auto"/>
              <w:ind w:left="106"/>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u w:val="single" w:color="auto"/>
              </w:rPr>
              <w:tab/>
            </w:r>
            <w:r>
              <w:rPr>
                <w:rFonts w:hint="eastAsia" w:ascii="宋体" w:hAnsi="宋体" w:eastAsia="宋体" w:cs="宋体"/>
                <w:color w:val="auto"/>
                <w:spacing w:val="-10"/>
                <w:sz w:val="22"/>
                <w:szCs w:val="22"/>
                <w:highlight w:val="none"/>
              </w:rPr>
              <w:t>至</w:t>
            </w:r>
          </w:p>
        </w:tc>
        <w:tc>
          <w:tcPr>
            <w:tcW w:w="1628" w:type="dxa"/>
            <w:vAlign w:val="top"/>
          </w:tcPr>
          <w:p w14:paraId="16F0851E">
            <w:pPr>
              <w:rPr>
                <w:rFonts w:hint="eastAsia" w:ascii="宋体" w:hAnsi="宋体" w:eastAsia="宋体" w:cs="宋体"/>
                <w:color w:val="auto"/>
                <w:sz w:val="21"/>
                <w:highlight w:val="none"/>
              </w:rPr>
            </w:pPr>
          </w:p>
        </w:tc>
        <w:tc>
          <w:tcPr>
            <w:tcW w:w="1974" w:type="dxa"/>
            <w:vAlign w:val="top"/>
          </w:tcPr>
          <w:p w14:paraId="6CC9B75B">
            <w:pPr>
              <w:rPr>
                <w:rFonts w:hint="eastAsia" w:ascii="宋体" w:hAnsi="宋体" w:eastAsia="宋体" w:cs="宋体"/>
                <w:color w:val="auto"/>
                <w:sz w:val="21"/>
                <w:highlight w:val="none"/>
              </w:rPr>
            </w:pPr>
          </w:p>
        </w:tc>
      </w:tr>
      <w:tr w14:paraId="19F868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7" w:hRule="atLeast"/>
        </w:trPr>
        <w:tc>
          <w:tcPr>
            <w:tcW w:w="431" w:type="dxa"/>
            <w:vMerge w:val="continue"/>
            <w:tcBorders>
              <w:top w:val="nil"/>
              <w:bottom w:val="nil"/>
            </w:tcBorders>
            <w:textDirection w:val="tbRlV"/>
            <w:vAlign w:val="top"/>
          </w:tcPr>
          <w:p w14:paraId="7CAF2B25">
            <w:pPr>
              <w:rPr>
                <w:rFonts w:hint="eastAsia" w:ascii="宋体" w:hAnsi="宋体" w:eastAsia="宋体" w:cs="宋体"/>
                <w:color w:val="auto"/>
                <w:sz w:val="21"/>
                <w:highlight w:val="none"/>
              </w:rPr>
            </w:pPr>
          </w:p>
        </w:tc>
        <w:tc>
          <w:tcPr>
            <w:tcW w:w="870" w:type="dxa"/>
            <w:vAlign w:val="top"/>
          </w:tcPr>
          <w:p w14:paraId="09475B0B">
            <w:pPr>
              <w:spacing w:line="447" w:lineRule="auto"/>
              <w:rPr>
                <w:rFonts w:hint="eastAsia" w:ascii="宋体" w:hAnsi="宋体" w:eastAsia="宋体" w:cs="宋体"/>
                <w:color w:val="auto"/>
                <w:sz w:val="21"/>
                <w:highlight w:val="none"/>
              </w:rPr>
            </w:pPr>
          </w:p>
          <w:p w14:paraId="234BA19A">
            <w:pPr>
              <w:pStyle w:val="25"/>
              <w:spacing w:before="71" w:line="348" w:lineRule="exact"/>
              <w:ind w:left="128"/>
              <w:rPr>
                <w:rFonts w:hint="eastAsia" w:ascii="宋体" w:hAnsi="宋体" w:eastAsia="宋体" w:cs="宋体"/>
                <w:color w:val="auto"/>
                <w:sz w:val="22"/>
                <w:szCs w:val="22"/>
                <w:highlight w:val="none"/>
              </w:rPr>
            </w:pPr>
            <w:r>
              <w:rPr>
                <w:rFonts w:hint="eastAsia" w:ascii="宋体" w:hAnsi="宋体" w:eastAsia="宋体" w:cs="宋体"/>
                <w:color w:val="auto"/>
                <w:spacing w:val="-11"/>
                <w:position w:val="2"/>
                <w:sz w:val="22"/>
                <w:szCs w:val="22"/>
                <w:highlight w:val="none"/>
              </w:rPr>
              <w:t>……</w:t>
            </w:r>
          </w:p>
        </w:tc>
        <w:tc>
          <w:tcPr>
            <w:tcW w:w="749" w:type="dxa"/>
            <w:vAlign w:val="top"/>
          </w:tcPr>
          <w:p w14:paraId="60942991">
            <w:pPr>
              <w:spacing w:line="447" w:lineRule="auto"/>
              <w:rPr>
                <w:rFonts w:hint="eastAsia" w:ascii="宋体" w:hAnsi="宋体" w:eastAsia="宋体" w:cs="宋体"/>
                <w:color w:val="auto"/>
                <w:sz w:val="21"/>
                <w:highlight w:val="none"/>
              </w:rPr>
            </w:pPr>
          </w:p>
          <w:p w14:paraId="711788F0">
            <w:pPr>
              <w:pStyle w:val="25"/>
              <w:spacing w:before="71" w:line="348" w:lineRule="exact"/>
              <w:ind w:left="132"/>
              <w:rPr>
                <w:rFonts w:hint="eastAsia" w:ascii="宋体" w:hAnsi="宋体" w:eastAsia="宋体" w:cs="宋体"/>
                <w:color w:val="auto"/>
                <w:sz w:val="22"/>
                <w:szCs w:val="22"/>
                <w:highlight w:val="none"/>
              </w:rPr>
            </w:pPr>
            <w:r>
              <w:rPr>
                <w:rFonts w:hint="eastAsia" w:ascii="宋体" w:hAnsi="宋体" w:eastAsia="宋体" w:cs="宋体"/>
                <w:color w:val="auto"/>
                <w:spacing w:val="-11"/>
                <w:position w:val="2"/>
                <w:sz w:val="22"/>
                <w:szCs w:val="22"/>
                <w:highlight w:val="none"/>
              </w:rPr>
              <w:t>……</w:t>
            </w:r>
          </w:p>
        </w:tc>
        <w:tc>
          <w:tcPr>
            <w:tcW w:w="900" w:type="dxa"/>
            <w:vAlign w:val="top"/>
          </w:tcPr>
          <w:p w14:paraId="2276D6CC">
            <w:pPr>
              <w:rPr>
                <w:rFonts w:hint="eastAsia" w:ascii="宋体" w:hAnsi="宋体" w:eastAsia="宋体" w:cs="宋体"/>
                <w:color w:val="auto"/>
                <w:sz w:val="21"/>
                <w:highlight w:val="none"/>
              </w:rPr>
            </w:pPr>
          </w:p>
        </w:tc>
        <w:tc>
          <w:tcPr>
            <w:tcW w:w="648" w:type="dxa"/>
            <w:vAlign w:val="top"/>
          </w:tcPr>
          <w:p w14:paraId="32827D89">
            <w:pPr>
              <w:spacing w:line="447" w:lineRule="auto"/>
              <w:rPr>
                <w:rFonts w:hint="eastAsia" w:ascii="宋体" w:hAnsi="宋体" w:eastAsia="宋体" w:cs="宋体"/>
                <w:color w:val="auto"/>
                <w:sz w:val="21"/>
                <w:highlight w:val="none"/>
              </w:rPr>
            </w:pPr>
          </w:p>
          <w:p w14:paraId="2947FC00">
            <w:pPr>
              <w:pStyle w:val="25"/>
              <w:spacing w:before="71" w:line="348" w:lineRule="exact"/>
              <w:ind w:left="129"/>
              <w:rPr>
                <w:rFonts w:hint="eastAsia" w:ascii="宋体" w:hAnsi="宋体" w:eastAsia="宋体" w:cs="宋体"/>
                <w:color w:val="auto"/>
                <w:sz w:val="22"/>
                <w:szCs w:val="22"/>
                <w:highlight w:val="none"/>
              </w:rPr>
            </w:pPr>
            <w:r>
              <w:rPr>
                <w:rFonts w:hint="eastAsia" w:ascii="宋体" w:hAnsi="宋体" w:eastAsia="宋体" w:cs="宋体"/>
                <w:color w:val="auto"/>
                <w:spacing w:val="-11"/>
                <w:position w:val="2"/>
                <w:sz w:val="22"/>
                <w:szCs w:val="22"/>
                <w:highlight w:val="none"/>
              </w:rPr>
              <w:t>……</w:t>
            </w:r>
          </w:p>
        </w:tc>
        <w:tc>
          <w:tcPr>
            <w:tcW w:w="1264" w:type="dxa"/>
            <w:vAlign w:val="top"/>
          </w:tcPr>
          <w:p w14:paraId="48364357">
            <w:pPr>
              <w:spacing w:line="447" w:lineRule="auto"/>
              <w:rPr>
                <w:rFonts w:hint="eastAsia" w:ascii="宋体" w:hAnsi="宋体" w:eastAsia="宋体" w:cs="宋体"/>
                <w:color w:val="auto"/>
                <w:sz w:val="21"/>
                <w:highlight w:val="none"/>
              </w:rPr>
            </w:pPr>
          </w:p>
          <w:p w14:paraId="1C90C2EA">
            <w:pPr>
              <w:pStyle w:val="25"/>
              <w:spacing w:before="71" w:line="348" w:lineRule="exact"/>
              <w:ind w:left="129"/>
              <w:rPr>
                <w:rFonts w:hint="eastAsia" w:ascii="宋体" w:hAnsi="宋体" w:eastAsia="宋体" w:cs="宋体"/>
                <w:color w:val="auto"/>
                <w:sz w:val="22"/>
                <w:szCs w:val="22"/>
                <w:highlight w:val="none"/>
              </w:rPr>
            </w:pPr>
            <w:r>
              <w:rPr>
                <w:rFonts w:hint="eastAsia" w:ascii="宋体" w:hAnsi="宋体" w:eastAsia="宋体" w:cs="宋体"/>
                <w:color w:val="auto"/>
                <w:spacing w:val="-11"/>
                <w:position w:val="2"/>
                <w:sz w:val="22"/>
                <w:szCs w:val="22"/>
                <w:highlight w:val="none"/>
              </w:rPr>
              <w:t>……</w:t>
            </w:r>
          </w:p>
        </w:tc>
        <w:tc>
          <w:tcPr>
            <w:tcW w:w="1628" w:type="dxa"/>
            <w:vAlign w:val="top"/>
          </w:tcPr>
          <w:p w14:paraId="581ADAED">
            <w:pPr>
              <w:rPr>
                <w:rFonts w:hint="eastAsia" w:ascii="宋体" w:hAnsi="宋体" w:eastAsia="宋体" w:cs="宋体"/>
                <w:color w:val="auto"/>
                <w:sz w:val="21"/>
                <w:highlight w:val="none"/>
              </w:rPr>
            </w:pPr>
          </w:p>
        </w:tc>
        <w:tc>
          <w:tcPr>
            <w:tcW w:w="1974" w:type="dxa"/>
            <w:vAlign w:val="top"/>
          </w:tcPr>
          <w:p w14:paraId="5A38FCDE">
            <w:pPr>
              <w:rPr>
                <w:rFonts w:hint="eastAsia" w:ascii="宋体" w:hAnsi="宋体" w:eastAsia="宋体" w:cs="宋体"/>
                <w:color w:val="auto"/>
                <w:sz w:val="21"/>
                <w:highlight w:val="none"/>
              </w:rPr>
            </w:pPr>
          </w:p>
        </w:tc>
      </w:tr>
      <w:tr w14:paraId="6FC0D9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5" w:hRule="atLeast"/>
        </w:trPr>
        <w:tc>
          <w:tcPr>
            <w:tcW w:w="431" w:type="dxa"/>
            <w:vMerge w:val="continue"/>
            <w:tcBorders>
              <w:top w:val="nil"/>
            </w:tcBorders>
            <w:textDirection w:val="tbRlV"/>
            <w:vAlign w:val="top"/>
          </w:tcPr>
          <w:p w14:paraId="7BE42AEE">
            <w:pPr>
              <w:rPr>
                <w:rFonts w:hint="eastAsia" w:ascii="宋体" w:hAnsi="宋体" w:eastAsia="宋体" w:cs="宋体"/>
                <w:color w:val="auto"/>
                <w:sz w:val="21"/>
                <w:highlight w:val="none"/>
              </w:rPr>
            </w:pPr>
          </w:p>
        </w:tc>
        <w:tc>
          <w:tcPr>
            <w:tcW w:w="870" w:type="dxa"/>
            <w:vAlign w:val="top"/>
          </w:tcPr>
          <w:p w14:paraId="04C63368">
            <w:pPr>
              <w:rPr>
                <w:rFonts w:hint="eastAsia" w:ascii="宋体" w:hAnsi="宋体" w:eastAsia="宋体" w:cs="宋体"/>
                <w:color w:val="auto"/>
                <w:sz w:val="21"/>
                <w:highlight w:val="none"/>
              </w:rPr>
            </w:pPr>
          </w:p>
        </w:tc>
        <w:tc>
          <w:tcPr>
            <w:tcW w:w="749" w:type="dxa"/>
            <w:vAlign w:val="top"/>
          </w:tcPr>
          <w:p w14:paraId="44A170F3">
            <w:pPr>
              <w:rPr>
                <w:rFonts w:hint="eastAsia" w:ascii="宋体" w:hAnsi="宋体" w:eastAsia="宋体" w:cs="宋体"/>
                <w:color w:val="auto"/>
                <w:sz w:val="21"/>
                <w:highlight w:val="none"/>
              </w:rPr>
            </w:pPr>
          </w:p>
        </w:tc>
        <w:tc>
          <w:tcPr>
            <w:tcW w:w="900" w:type="dxa"/>
            <w:vAlign w:val="top"/>
          </w:tcPr>
          <w:p w14:paraId="50413122">
            <w:pPr>
              <w:rPr>
                <w:rFonts w:hint="eastAsia" w:ascii="宋体" w:hAnsi="宋体" w:eastAsia="宋体" w:cs="宋体"/>
                <w:color w:val="auto"/>
                <w:sz w:val="21"/>
                <w:highlight w:val="none"/>
              </w:rPr>
            </w:pPr>
          </w:p>
        </w:tc>
        <w:tc>
          <w:tcPr>
            <w:tcW w:w="648" w:type="dxa"/>
            <w:vAlign w:val="top"/>
          </w:tcPr>
          <w:p w14:paraId="70342548">
            <w:pPr>
              <w:rPr>
                <w:rFonts w:hint="eastAsia" w:ascii="宋体" w:hAnsi="宋体" w:eastAsia="宋体" w:cs="宋体"/>
                <w:color w:val="auto"/>
                <w:sz w:val="21"/>
                <w:highlight w:val="none"/>
              </w:rPr>
            </w:pPr>
          </w:p>
        </w:tc>
        <w:tc>
          <w:tcPr>
            <w:tcW w:w="1264" w:type="dxa"/>
            <w:vAlign w:val="top"/>
          </w:tcPr>
          <w:p w14:paraId="46627C09">
            <w:pPr>
              <w:rPr>
                <w:rFonts w:hint="eastAsia" w:ascii="宋体" w:hAnsi="宋体" w:eastAsia="宋体" w:cs="宋体"/>
                <w:color w:val="auto"/>
                <w:sz w:val="21"/>
                <w:highlight w:val="none"/>
              </w:rPr>
            </w:pPr>
          </w:p>
        </w:tc>
        <w:tc>
          <w:tcPr>
            <w:tcW w:w="1628" w:type="dxa"/>
            <w:vAlign w:val="top"/>
          </w:tcPr>
          <w:p w14:paraId="0307BA65">
            <w:pPr>
              <w:rPr>
                <w:rFonts w:hint="eastAsia" w:ascii="宋体" w:hAnsi="宋体" w:eastAsia="宋体" w:cs="宋体"/>
                <w:color w:val="auto"/>
                <w:sz w:val="21"/>
                <w:highlight w:val="none"/>
              </w:rPr>
            </w:pPr>
          </w:p>
        </w:tc>
        <w:tc>
          <w:tcPr>
            <w:tcW w:w="1974" w:type="dxa"/>
            <w:vAlign w:val="top"/>
          </w:tcPr>
          <w:p w14:paraId="5728132D">
            <w:pPr>
              <w:rPr>
                <w:rFonts w:hint="eastAsia" w:ascii="宋体" w:hAnsi="宋体" w:eastAsia="宋体" w:cs="宋体"/>
                <w:color w:val="auto"/>
                <w:sz w:val="21"/>
                <w:highlight w:val="none"/>
              </w:rPr>
            </w:pPr>
          </w:p>
        </w:tc>
      </w:tr>
      <w:tr w14:paraId="28B894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2" w:hRule="atLeast"/>
        </w:trPr>
        <w:tc>
          <w:tcPr>
            <w:tcW w:w="4862" w:type="dxa"/>
            <w:gridSpan w:val="6"/>
            <w:vAlign w:val="top"/>
          </w:tcPr>
          <w:p w14:paraId="18B34067">
            <w:pPr>
              <w:spacing w:line="274" w:lineRule="auto"/>
              <w:rPr>
                <w:rFonts w:hint="eastAsia" w:ascii="宋体" w:hAnsi="宋体" w:eastAsia="宋体" w:cs="宋体"/>
                <w:color w:val="auto"/>
                <w:sz w:val="21"/>
                <w:highlight w:val="none"/>
              </w:rPr>
            </w:pPr>
          </w:p>
          <w:p w14:paraId="0D4FE9DB">
            <w:pPr>
              <w:spacing w:line="274" w:lineRule="auto"/>
              <w:rPr>
                <w:rFonts w:hint="eastAsia" w:ascii="宋体" w:hAnsi="宋体" w:eastAsia="宋体" w:cs="宋体"/>
                <w:color w:val="auto"/>
                <w:sz w:val="21"/>
                <w:highlight w:val="none"/>
              </w:rPr>
            </w:pPr>
          </w:p>
          <w:p w14:paraId="506703BC">
            <w:pPr>
              <w:pStyle w:val="25"/>
              <w:spacing w:before="72" w:line="222" w:lineRule="auto"/>
              <w:ind w:left="921"/>
              <w:rPr>
                <w:rFonts w:hint="eastAsia" w:ascii="宋体" w:hAnsi="宋体" w:eastAsia="宋体" w:cs="宋体"/>
                <w:color w:val="auto"/>
                <w:sz w:val="22"/>
                <w:szCs w:val="22"/>
                <w:highlight w:val="none"/>
              </w:rPr>
            </w:pPr>
            <w:r>
              <w:rPr>
                <w:rFonts w:hint="eastAsia" w:ascii="宋体" w:hAnsi="宋体" w:eastAsia="宋体" w:cs="宋体"/>
                <w:color w:val="auto"/>
                <w:spacing w:val="-5"/>
                <w:sz w:val="22"/>
                <w:szCs w:val="22"/>
                <w:highlight w:val="none"/>
              </w:rPr>
              <w:t>合计</w:t>
            </w:r>
          </w:p>
        </w:tc>
        <w:tc>
          <w:tcPr>
            <w:tcW w:w="1628" w:type="dxa"/>
            <w:vAlign w:val="top"/>
          </w:tcPr>
          <w:p w14:paraId="54AFDC15">
            <w:pPr>
              <w:spacing w:line="451" w:lineRule="auto"/>
              <w:rPr>
                <w:rFonts w:hint="eastAsia" w:ascii="宋体" w:hAnsi="宋体" w:eastAsia="宋体" w:cs="宋体"/>
                <w:color w:val="auto"/>
                <w:sz w:val="21"/>
                <w:highlight w:val="none"/>
              </w:rPr>
            </w:pPr>
          </w:p>
          <w:p w14:paraId="5175FC6C">
            <w:pPr>
              <w:pStyle w:val="25"/>
              <w:spacing w:before="71"/>
              <w:ind w:left="632"/>
              <w:rPr>
                <w:rFonts w:hint="eastAsia" w:ascii="宋体" w:hAnsi="宋体" w:eastAsia="宋体" w:cs="宋体"/>
                <w:color w:val="auto"/>
                <w:sz w:val="22"/>
                <w:szCs w:val="22"/>
                <w:highlight w:val="none"/>
              </w:rPr>
            </w:pPr>
            <w:r>
              <w:rPr>
                <w:rFonts w:hint="eastAsia" w:ascii="宋体" w:hAnsi="宋体" w:eastAsia="宋体" w:cs="宋体"/>
                <w:color w:val="auto"/>
                <w:spacing w:val="-6"/>
                <w:sz w:val="22"/>
                <w:szCs w:val="22"/>
                <w:highlight w:val="none"/>
              </w:rPr>
              <w:t>1.00</w:t>
            </w:r>
          </w:p>
        </w:tc>
        <w:tc>
          <w:tcPr>
            <w:tcW w:w="1974" w:type="dxa"/>
            <w:vAlign w:val="top"/>
          </w:tcPr>
          <w:p w14:paraId="0B2C6F16">
            <w:pPr>
              <w:rPr>
                <w:rFonts w:hint="eastAsia" w:ascii="宋体" w:hAnsi="宋体" w:eastAsia="宋体" w:cs="宋体"/>
                <w:color w:val="auto"/>
                <w:sz w:val="21"/>
                <w:highlight w:val="none"/>
              </w:rPr>
            </w:pPr>
          </w:p>
        </w:tc>
      </w:tr>
    </w:tbl>
    <w:p w14:paraId="4CEC4E89">
      <w:pPr>
        <w:pStyle w:val="4"/>
        <w:rPr>
          <w:rFonts w:hint="eastAsia" w:ascii="宋体" w:hAnsi="宋体" w:eastAsia="宋体" w:cs="宋体"/>
          <w:color w:val="auto"/>
          <w:highlight w:val="none"/>
        </w:rPr>
      </w:pPr>
    </w:p>
    <w:p w14:paraId="672B40A9">
      <w:pPr>
        <w:rPr>
          <w:rFonts w:hint="eastAsia" w:ascii="宋体" w:hAnsi="宋体" w:eastAsia="宋体" w:cs="宋体"/>
          <w:color w:val="auto"/>
          <w:highlight w:val="none"/>
        </w:rPr>
        <w:sectPr>
          <w:headerReference r:id="rId233" w:type="default"/>
          <w:footerReference r:id="rId234" w:type="default"/>
          <w:pgSz w:w="11907" w:h="16840"/>
          <w:pgMar w:top="1182" w:right="1290" w:bottom="1014" w:left="1786" w:header="849" w:footer="852" w:gutter="0"/>
          <w:pgNumType w:fmt="decimal"/>
          <w:cols w:space="720" w:num="1"/>
        </w:sectPr>
      </w:pPr>
    </w:p>
    <w:p w14:paraId="07BD70F4">
      <w:pPr>
        <w:pStyle w:val="4"/>
        <w:spacing w:line="476" w:lineRule="auto"/>
        <w:rPr>
          <w:rFonts w:hint="eastAsia" w:ascii="宋体" w:hAnsi="宋体" w:eastAsia="宋体" w:cs="宋体"/>
          <w:color w:val="auto"/>
          <w:highlight w:val="none"/>
        </w:rPr>
      </w:pPr>
    </w:p>
    <w:p w14:paraId="4C1BAFD5">
      <w:pPr>
        <w:spacing w:before="97" w:line="221" w:lineRule="auto"/>
        <w:ind w:left="2030"/>
        <w:outlineLvl w:val="1"/>
        <w:rPr>
          <w:rFonts w:hint="eastAsia" w:ascii="宋体" w:hAnsi="宋体" w:eastAsia="宋体" w:cs="宋体"/>
          <w:color w:val="auto"/>
          <w:sz w:val="30"/>
          <w:szCs w:val="30"/>
          <w:highlight w:val="none"/>
        </w:rPr>
      </w:pPr>
      <w:bookmarkStart w:id="850" w:name="_Toc2130"/>
      <w:bookmarkStart w:id="851" w:name="_Toc2099"/>
      <w:bookmarkStart w:id="852" w:name="_Toc716"/>
      <w:bookmarkStart w:id="853" w:name="_Toc12664"/>
      <w:bookmarkStart w:id="854" w:name="_Toc10856"/>
      <w:r>
        <w:rPr>
          <w:rFonts w:hint="eastAsia" w:ascii="宋体" w:hAnsi="宋体" w:eastAsia="宋体" w:cs="宋体"/>
          <w:color w:val="auto"/>
          <w:spacing w:val="-1"/>
          <w:sz w:val="30"/>
          <w:szCs w:val="30"/>
          <w:highlight w:val="none"/>
        </w:rPr>
        <w:t>二、授权委托书或法定代表人身份证明</w:t>
      </w:r>
      <w:bookmarkEnd w:id="850"/>
      <w:bookmarkEnd w:id="851"/>
      <w:bookmarkEnd w:id="852"/>
      <w:bookmarkEnd w:id="853"/>
      <w:bookmarkEnd w:id="854"/>
    </w:p>
    <w:p w14:paraId="5552148C">
      <w:pPr>
        <w:pStyle w:val="4"/>
        <w:spacing w:line="312" w:lineRule="auto"/>
        <w:rPr>
          <w:rFonts w:hint="eastAsia" w:ascii="宋体" w:hAnsi="宋体" w:eastAsia="宋体" w:cs="宋体"/>
          <w:color w:val="auto"/>
          <w:highlight w:val="none"/>
        </w:rPr>
      </w:pPr>
    </w:p>
    <w:p w14:paraId="686CE584">
      <w:pPr>
        <w:spacing w:before="91" w:line="228" w:lineRule="auto"/>
        <w:ind w:left="3370"/>
        <w:outlineLvl w:val="2"/>
        <w:rPr>
          <w:rFonts w:hint="eastAsia" w:ascii="宋体" w:hAnsi="宋体" w:eastAsia="宋体" w:cs="宋体"/>
          <w:color w:val="auto"/>
          <w:sz w:val="13"/>
          <w:szCs w:val="13"/>
          <w:highlight w:val="none"/>
        </w:rPr>
      </w:pPr>
      <w:bookmarkStart w:id="855" w:name="_Toc502"/>
      <w:bookmarkStart w:id="856" w:name="_Toc22016"/>
      <w:bookmarkStart w:id="857" w:name="_Toc16844"/>
      <w:bookmarkStart w:id="858" w:name="_Toc4044"/>
      <w:bookmarkStart w:id="859" w:name="_Toc17218"/>
      <w:r>
        <w:rPr>
          <w:rFonts w:hint="eastAsia" w:ascii="宋体" w:hAnsi="宋体" w:eastAsia="宋体" w:cs="宋体"/>
          <w:b/>
          <w:bCs/>
          <w:color w:val="auto"/>
          <w:spacing w:val="-4"/>
          <w:sz w:val="28"/>
          <w:szCs w:val="28"/>
          <w:highlight w:val="none"/>
        </w:rPr>
        <w:t>（一）</w:t>
      </w:r>
      <w:r>
        <w:rPr>
          <w:rFonts w:hint="eastAsia" w:ascii="宋体" w:hAnsi="宋体" w:eastAsia="宋体" w:cs="宋体"/>
          <w:color w:val="auto"/>
          <w:spacing w:val="-4"/>
          <w:sz w:val="28"/>
          <w:szCs w:val="28"/>
          <w:highlight w:val="none"/>
        </w:rPr>
        <w:t>授权委托书</w:t>
      </w:r>
      <w:r>
        <w:rPr>
          <w:rFonts w:hint="eastAsia" w:ascii="宋体" w:hAnsi="宋体" w:eastAsia="宋体" w:cs="宋体"/>
          <w:b/>
          <w:bCs/>
          <w:color w:val="auto"/>
          <w:spacing w:val="-4"/>
          <w:position w:val="12"/>
          <w:sz w:val="13"/>
          <w:szCs w:val="13"/>
          <w:highlight w:val="none"/>
        </w:rPr>
        <w:t>①</w:t>
      </w:r>
      <w:bookmarkEnd w:id="855"/>
      <w:bookmarkEnd w:id="856"/>
      <w:bookmarkEnd w:id="857"/>
      <w:bookmarkEnd w:id="858"/>
      <w:bookmarkEnd w:id="859"/>
    </w:p>
    <w:p w14:paraId="641EDB17">
      <w:pPr>
        <w:pStyle w:val="4"/>
        <w:spacing w:line="246" w:lineRule="auto"/>
        <w:rPr>
          <w:rFonts w:hint="eastAsia" w:ascii="宋体" w:hAnsi="宋体" w:eastAsia="宋体" w:cs="宋体"/>
          <w:color w:val="auto"/>
          <w:highlight w:val="none"/>
        </w:rPr>
      </w:pPr>
    </w:p>
    <w:p w14:paraId="0D5792B4">
      <w:pPr>
        <w:pStyle w:val="4"/>
        <w:spacing w:line="247" w:lineRule="auto"/>
        <w:rPr>
          <w:rFonts w:hint="eastAsia" w:ascii="宋体" w:hAnsi="宋体" w:eastAsia="宋体" w:cs="宋体"/>
          <w:color w:val="auto"/>
          <w:highlight w:val="none"/>
        </w:rPr>
      </w:pPr>
    </w:p>
    <w:p w14:paraId="05BE2DD3">
      <w:pPr>
        <w:pStyle w:val="4"/>
        <w:spacing w:line="247" w:lineRule="auto"/>
        <w:rPr>
          <w:rFonts w:hint="eastAsia" w:ascii="宋体" w:hAnsi="宋体" w:eastAsia="宋体" w:cs="宋体"/>
          <w:color w:val="auto"/>
          <w:highlight w:val="none"/>
        </w:rPr>
      </w:pPr>
    </w:p>
    <w:p w14:paraId="0FE07676">
      <w:pPr>
        <w:tabs>
          <w:tab w:val="left" w:pos="2316"/>
        </w:tabs>
        <w:spacing w:before="78" w:line="342" w:lineRule="auto"/>
        <w:ind w:left="376" w:right="282" w:firstLine="491"/>
        <w:rPr>
          <w:rFonts w:hint="eastAsia" w:ascii="宋体" w:hAnsi="宋体" w:eastAsia="宋体" w:cs="宋体"/>
          <w:color w:val="auto"/>
          <w:sz w:val="24"/>
          <w:szCs w:val="24"/>
          <w:highlight w:val="none"/>
        </w:rPr>
      </w:pPr>
      <w:r>
        <w:rPr>
          <w:rFonts w:hint="eastAsia" w:ascii="宋体" w:hAnsi="宋体" w:eastAsia="宋体" w:cs="宋体"/>
          <w:color w:val="auto"/>
          <w:spacing w:val="-23"/>
          <w:sz w:val="24"/>
          <w:szCs w:val="24"/>
          <w:highlight w:val="none"/>
        </w:rPr>
        <w:t>本人</w:t>
      </w:r>
      <w:r>
        <w:rPr>
          <w:rFonts w:hint="eastAsia" w:ascii="宋体" w:hAnsi="宋体" w:eastAsia="宋体" w:cs="宋体"/>
          <w:color w:val="auto"/>
          <w:spacing w:val="-23"/>
          <w:sz w:val="24"/>
          <w:szCs w:val="24"/>
          <w:highlight w:val="none"/>
          <w:u w:val="single" w:color="auto"/>
        </w:rPr>
        <w:t>（</w:t>
      </w:r>
      <w:r>
        <w:rPr>
          <w:rFonts w:hint="eastAsia" w:ascii="宋体" w:hAnsi="宋体" w:eastAsia="宋体" w:cs="宋体"/>
          <w:color w:val="auto"/>
          <w:spacing w:val="-23"/>
          <w:sz w:val="24"/>
          <w:szCs w:val="24"/>
          <w:highlight w:val="none"/>
        </w:rPr>
        <w:t>姓名）系</w:t>
      </w:r>
      <w:r>
        <w:rPr>
          <w:rFonts w:hint="eastAsia" w:ascii="宋体" w:hAnsi="宋体" w:eastAsia="宋体" w:cs="宋体"/>
          <w:color w:val="auto"/>
          <w:spacing w:val="-23"/>
          <w:sz w:val="24"/>
          <w:szCs w:val="24"/>
          <w:highlight w:val="none"/>
          <w:u w:val="single" w:color="auto"/>
        </w:rPr>
        <w:t>（</w:t>
      </w:r>
      <w:r>
        <w:rPr>
          <w:rFonts w:hint="eastAsia" w:ascii="宋体" w:hAnsi="宋体" w:eastAsia="宋体" w:cs="宋体"/>
          <w:color w:val="auto"/>
          <w:spacing w:val="-23"/>
          <w:sz w:val="24"/>
          <w:szCs w:val="24"/>
          <w:highlight w:val="none"/>
        </w:rPr>
        <w:t>投标人名称）的法定代表</w:t>
      </w:r>
      <w:r>
        <w:rPr>
          <w:rFonts w:hint="eastAsia" w:ascii="宋体" w:hAnsi="宋体" w:eastAsia="宋体" w:cs="宋体"/>
          <w:color w:val="auto"/>
          <w:spacing w:val="-24"/>
          <w:sz w:val="24"/>
          <w:szCs w:val="24"/>
          <w:highlight w:val="none"/>
        </w:rPr>
        <w:t>人，现委托</w:t>
      </w:r>
      <w:r>
        <w:rPr>
          <w:rFonts w:hint="eastAsia" w:ascii="宋体" w:hAnsi="宋体" w:eastAsia="宋体" w:cs="宋体"/>
          <w:color w:val="auto"/>
          <w:sz w:val="24"/>
          <w:szCs w:val="24"/>
          <w:highlight w:val="none"/>
          <w:u w:val="single" w:color="auto"/>
        </w:rPr>
        <w:tab/>
      </w:r>
      <w:r>
        <w:rPr>
          <w:rFonts w:hint="eastAsia" w:ascii="宋体" w:hAnsi="宋体" w:eastAsia="宋体" w:cs="宋体"/>
          <w:color w:val="auto"/>
          <w:spacing w:val="-4"/>
          <w:sz w:val="24"/>
          <w:szCs w:val="24"/>
          <w:highlight w:val="none"/>
          <w:u w:val="single" w:color="auto"/>
        </w:rPr>
        <w:t>（</w:t>
      </w:r>
      <w:r>
        <w:rPr>
          <w:rFonts w:hint="eastAsia" w:ascii="宋体" w:hAnsi="宋体" w:eastAsia="宋体" w:cs="宋体"/>
          <w:color w:val="auto"/>
          <w:spacing w:val="-4"/>
          <w:sz w:val="24"/>
          <w:szCs w:val="24"/>
          <w:highlight w:val="none"/>
        </w:rPr>
        <w:t>姓名）为我方代理人。代理人根据授权，以我方名义签署、</w:t>
      </w:r>
      <w:r>
        <w:rPr>
          <w:rFonts w:hint="eastAsia" w:ascii="宋体" w:hAnsi="宋体" w:eastAsia="宋体" w:cs="宋体"/>
          <w:color w:val="auto"/>
          <w:sz w:val="24"/>
          <w:szCs w:val="24"/>
          <w:highlight w:val="none"/>
        </w:rPr>
        <w:t>澄清确认、递交、撤回、修改</w:t>
      </w:r>
      <w:r>
        <w:rPr>
          <w:rFonts w:hint="eastAsia" w:ascii="宋体" w:hAnsi="宋体" w:eastAsia="宋体" w:cs="宋体"/>
          <w:color w:val="auto"/>
          <w:sz w:val="24"/>
          <w:szCs w:val="24"/>
          <w:highlight w:val="none"/>
          <w:u w:val="single" w:color="auto"/>
        </w:rPr>
        <w:tab/>
      </w:r>
      <w:r>
        <w:rPr>
          <w:rFonts w:hint="eastAsia" w:ascii="宋体" w:hAnsi="宋体" w:eastAsia="宋体" w:cs="宋体"/>
          <w:color w:val="auto"/>
          <w:sz w:val="24"/>
          <w:szCs w:val="24"/>
          <w:highlight w:val="none"/>
          <w:u w:val="single" w:color="auto"/>
          <w:lang w:val="en-US" w:eastAsia="zh-CN"/>
        </w:rPr>
        <w:t xml:space="preserve">    </w:t>
      </w:r>
      <w:r>
        <w:rPr>
          <w:rFonts w:hint="eastAsia" w:ascii="宋体" w:hAnsi="宋体" w:eastAsia="宋体" w:cs="宋体"/>
          <w:color w:val="auto"/>
          <w:spacing w:val="-8"/>
          <w:sz w:val="24"/>
          <w:szCs w:val="24"/>
          <w:highlight w:val="none"/>
        </w:rPr>
        <w:t>（项目名称）标段施工投标文件、签订</w:t>
      </w:r>
      <w:r>
        <w:rPr>
          <w:rFonts w:hint="eastAsia" w:ascii="宋体" w:hAnsi="宋体" w:eastAsia="宋体" w:cs="宋体"/>
          <w:color w:val="auto"/>
          <w:spacing w:val="-1"/>
          <w:sz w:val="24"/>
          <w:szCs w:val="24"/>
          <w:highlight w:val="none"/>
        </w:rPr>
        <w:t>合同和处理有关事宜，其法律后果由我方承担。</w:t>
      </w:r>
    </w:p>
    <w:p w14:paraId="6218146E">
      <w:pPr>
        <w:spacing w:before="1" w:line="218" w:lineRule="auto"/>
        <w:ind w:left="86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委托期限：自本委托书签署之日起至投标有效期期</w:t>
      </w:r>
      <w:r>
        <w:rPr>
          <w:rFonts w:hint="eastAsia" w:ascii="宋体" w:hAnsi="宋体" w:eastAsia="宋体" w:cs="宋体"/>
          <w:color w:val="auto"/>
          <w:spacing w:val="-1"/>
          <w:sz w:val="24"/>
          <w:szCs w:val="24"/>
          <w:highlight w:val="none"/>
        </w:rPr>
        <w:t>满。代理人无转委托权。</w:t>
      </w:r>
    </w:p>
    <w:p w14:paraId="32A61395">
      <w:pPr>
        <w:pStyle w:val="4"/>
        <w:spacing w:line="280" w:lineRule="auto"/>
        <w:rPr>
          <w:rFonts w:hint="eastAsia" w:ascii="宋体" w:hAnsi="宋体" w:eastAsia="宋体" w:cs="宋体"/>
          <w:color w:val="auto"/>
          <w:highlight w:val="none"/>
        </w:rPr>
      </w:pPr>
    </w:p>
    <w:p w14:paraId="03AE4FF4">
      <w:pPr>
        <w:pStyle w:val="4"/>
        <w:spacing w:line="280" w:lineRule="auto"/>
        <w:rPr>
          <w:rFonts w:hint="eastAsia" w:ascii="宋体" w:hAnsi="宋体" w:eastAsia="宋体" w:cs="宋体"/>
          <w:color w:val="auto"/>
          <w:highlight w:val="none"/>
        </w:rPr>
      </w:pPr>
    </w:p>
    <w:p w14:paraId="1961C28C">
      <w:pPr>
        <w:spacing w:before="66" w:line="227" w:lineRule="auto"/>
        <w:ind w:left="401"/>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附：法定代表人身份证复印件及委托代理人身份证复印件。</w:t>
      </w:r>
    </w:p>
    <w:p w14:paraId="673A5DBD">
      <w:pPr>
        <w:pStyle w:val="4"/>
        <w:spacing w:line="256" w:lineRule="auto"/>
        <w:rPr>
          <w:rFonts w:hint="eastAsia" w:ascii="宋体" w:hAnsi="宋体" w:eastAsia="宋体" w:cs="宋体"/>
          <w:color w:val="auto"/>
          <w:highlight w:val="none"/>
        </w:rPr>
      </w:pPr>
    </w:p>
    <w:p w14:paraId="7757A235">
      <w:pPr>
        <w:pStyle w:val="4"/>
        <w:spacing w:line="256" w:lineRule="auto"/>
        <w:rPr>
          <w:rFonts w:hint="eastAsia" w:ascii="宋体" w:hAnsi="宋体" w:eastAsia="宋体" w:cs="宋体"/>
          <w:color w:val="auto"/>
          <w:highlight w:val="none"/>
        </w:rPr>
      </w:pPr>
    </w:p>
    <w:p w14:paraId="02052270">
      <w:pPr>
        <w:spacing w:before="78" w:line="219" w:lineRule="auto"/>
        <w:ind w:left="391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2"/>
          <w:sz w:val="24"/>
          <w:szCs w:val="24"/>
          <w:highlight w:val="none"/>
        </w:rPr>
        <w:t>盖单位章）</w:t>
      </w:r>
    </w:p>
    <w:p w14:paraId="0824DAF0">
      <w:pPr>
        <w:pStyle w:val="4"/>
        <w:spacing w:line="444" w:lineRule="auto"/>
        <w:rPr>
          <w:rFonts w:hint="eastAsia" w:ascii="宋体" w:hAnsi="宋体" w:eastAsia="宋体" w:cs="宋体"/>
          <w:color w:val="auto"/>
          <w:highlight w:val="none"/>
        </w:rPr>
      </w:pPr>
    </w:p>
    <w:p w14:paraId="07EC9776">
      <w:pPr>
        <w:spacing w:before="78" w:line="219" w:lineRule="auto"/>
        <w:ind w:left="3883"/>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法定代表人</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3"/>
          <w:sz w:val="24"/>
          <w:szCs w:val="24"/>
          <w:highlight w:val="none"/>
        </w:rPr>
        <w:t>签字）</w:t>
      </w:r>
    </w:p>
    <w:p w14:paraId="418ABD2E">
      <w:pPr>
        <w:pStyle w:val="4"/>
        <w:spacing w:line="443" w:lineRule="auto"/>
        <w:rPr>
          <w:rFonts w:hint="eastAsia" w:ascii="宋体" w:hAnsi="宋体" w:eastAsia="宋体" w:cs="宋体"/>
          <w:color w:val="auto"/>
          <w:highlight w:val="none"/>
        </w:rPr>
      </w:pPr>
    </w:p>
    <w:p w14:paraId="6345D52F">
      <w:pPr>
        <w:spacing w:before="79" w:line="219" w:lineRule="auto"/>
        <w:ind w:left="3923"/>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rPr>
        <w:t>身份证号码：</w:t>
      </w:r>
    </w:p>
    <w:p w14:paraId="1407953E">
      <w:pPr>
        <w:pStyle w:val="4"/>
        <w:spacing w:line="445" w:lineRule="auto"/>
        <w:rPr>
          <w:rFonts w:hint="eastAsia" w:ascii="宋体" w:hAnsi="宋体" w:eastAsia="宋体" w:cs="宋体"/>
          <w:color w:val="auto"/>
          <w:highlight w:val="none"/>
        </w:rPr>
      </w:pPr>
    </w:p>
    <w:p w14:paraId="2C8BCBE3">
      <w:pPr>
        <w:spacing w:before="79" w:line="219" w:lineRule="auto"/>
        <w:ind w:left="391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委托代理人</w:t>
      </w:r>
      <w:r>
        <w:rPr>
          <w:rFonts w:hint="eastAsia" w:ascii="宋体" w:hAnsi="宋体" w:eastAsia="宋体" w:cs="宋体"/>
          <w:color w:val="auto"/>
          <w:spacing w:val="-17"/>
          <w:sz w:val="24"/>
          <w:szCs w:val="24"/>
          <w:highlight w:val="none"/>
        </w:rPr>
        <w:t>：（</w:t>
      </w:r>
      <w:r>
        <w:rPr>
          <w:rFonts w:hint="eastAsia" w:ascii="宋体" w:hAnsi="宋体" w:eastAsia="宋体" w:cs="宋体"/>
          <w:color w:val="auto"/>
          <w:spacing w:val="3"/>
          <w:sz w:val="24"/>
          <w:szCs w:val="24"/>
          <w:highlight w:val="none"/>
        </w:rPr>
        <w:t>签字）</w:t>
      </w:r>
    </w:p>
    <w:p w14:paraId="632A26C8">
      <w:pPr>
        <w:pStyle w:val="4"/>
        <w:spacing w:line="448" w:lineRule="auto"/>
        <w:rPr>
          <w:rFonts w:hint="eastAsia" w:ascii="宋体" w:hAnsi="宋体" w:eastAsia="宋体" w:cs="宋体"/>
          <w:color w:val="auto"/>
          <w:highlight w:val="none"/>
        </w:rPr>
      </w:pPr>
    </w:p>
    <w:p w14:paraId="05DBF1EB">
      <w:pPr>
        <w:spacing w:before="78" w:line="219" w:lineRule="auto"/>
        <w:ind w:left="3923"/>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rPr>
        <w:t>身份证号码：</w:t>
      </w:r>
    </w:p>
    <w:p w14:paraId="67587BBC">
      <w:pPr>
        <w:pStyle w:val="4"/>
        <w:spacing w:line="448" w:lineRule="auto"/>
        <w:rPr>
          <w:rFonts w:hint="eastAsia" w:ascii="宋体" w:hAnsi="宋体" w:eastAsia="宋体" w:cs="宋体"/>
          <w:color w:val="auto"/>
          <w:highlight w:val="none"/>
        </w:rPr>
      </w:pPr>
    </w:p>
    <w:p w14:paraId="6700D459">
      <w:pPr>
        <w:tabs>
          <w:tab w:val="left" w:pos="5832"/>
        </w:tabs>
        <w:spacing w:before="78" w:line="219" w:lineRule="auto"/>
        <w:ind w:left="499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auto"/>
        </w:rPr>
        <w:tab/>
      </w:r>
      <w:r>
        <w:rPr>
          <w:rFonts w:hint="eastAsia" w:ascii="宋体" w:hAnsi="宋体" w:eastAsia="宋体" w:cs="宋体"/>
          <w:color w:val="auto"/>
          <w:spacing w:val="-9"/>
          <w:sz w:val="24"/>
          <w:szCs w:val="24"/>
          <w:highlight w:val="none"/>
        </w:rPr>
        <w:t>年月日</w:t>
      </w:r>
    </w:p>
    <w:p w14:paraId="37FBCC49">
      <w:pPr>
        <w:pStyle w:val="4"/>
        <w:spacing w:line="396" w:lineRule="auto"/>
        <w:rPr>
          <w:rFonts w:hint="eastAsia" w:ascii="宋体" w:hAnsi="宋体" w:eastAsia="宋体" w:cs="宋体"/>
          <w:color w:val="auto"/>
          <w:highlight w:val="none"/>
        </w:rPr>
      </w:pPr>
    </w:p>
    <w:p w14:paraId="6C899B73">
      <w:pPr>
        <w:spacing w:before="65" w:line="232" w:lineRule="auto"/>
        <w:ind w:left="384"/>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注：</w:t>
      </w:r>
    </w:p>
    <w:p w14:paraId="319E9067">
      <w:pPr>
        <w:spacing w:before="152" w:line="300" w:lineRule="auto"/>
        <w:ind w:left="385" w:right="364" w:firstLine="435"/>
        <w:rPr>
          <w:rFonts w:hint="eastAsia" w:ascii="宋体" w:hAnsi="宋体" w:eastAsia="宋体" w:cs="宋体"/>
          <w:color w:val="auto"/>
          <w:sz w:val="20"/>
          <w:szCs w:val="20"/>
          <w:highlight w:val="none"/>
        </w:rPr>
      </w:pPr>
      <w:r>
        <w:rPr>
          <w:rFonts w:hint="eastAsia" w:ascii="宋体" w:hAnsi="宋体" w:eastAsia="宋体" w:cs="宋体"/>
          <w:color w:val="auto"/>
          <w:spacing w:val="-4"/>
          <w:sz w:val="20"/>
          <w:szCs w:val="20"/>
          <w:highlight w:val="none"/>
        </w:rPr>
        <w:t>1.法定代表人和委托代理人必须在授权委托书上亲笔签名，不得使用印章、签名章或其他电</w:t>
      </w:r>
      <w:r>
        <w:rPr>
          <w:rFonts w:hint="eastAsia" w:ascii="宋体" w:hAnsi="宋体" w:eastAsia="宋体" w:cs="宋体"/>
          <w:color w:val="auto"/>
          <w:spacing w:val="-1"/>
          <w:sz w:val="20"/>
          <w:szCs w:val="20"/>
          <w:highlight w:val="none"/>
        </w:rPr>
        <w:t>子制版签名代替；</w:t>
      </w:r>
    </w:p>
    <w:p w14:paraId="0B1A87A4">
      <w:pPr>
        <w:spacing w:before="159" w:line="227" w:lineRule="auto"/>
        <w:ind w:left="801"/>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2.以联合体形式投标的，本授权委托书应</w:t>
      </w:r>
      <w:r>
        <w:rPr>
          <w:rFonts w:hint="eastAsia" w:ascii="宋体" w:hAnsi="宋体" w:eastAsia="宋体" w:cs="宋体"/>
          <w:color w:val="auto"/>
          <w:spacing w:val="8"/>
          <w:sz w:val="20"/>
          <w:szCs w:val="20"/>
          <w:highlight w:val="none"/>
        </w:rPr>
        <w:t>由联合体牵头人的法定代表人按上述规定签署。</w:t>
      </w:r>
    </w:p>
    <w:p w14:paraId="2B20A72E">
      <w:pPr>
        <w:pStyle w:val="4"/>
        <w:spacing w:line="317" w:lineRule="auto"/>
        <w:rPr>
          <w:rFonts w:hint="eastAsia" w:ascii="宋体" w:hAnsi="宋体" w:eastAsia="宋体" w:cs="宋体"/>
          <w:color w:val="auto"/>
          <w:highlight w:val="none"/>
        </w:rPr>
      </w:pPr>
    </w:p>
    <w:p w14:paraId="4B96CF40">
      <w:pPr>
        <w:pStyle w:val="4"/>
        <w:spacing w:line="317" w:lineRule="auto"/>
        <w:rPr>
          <w:rFonts w:hint="eastAsia" w:ascii="宋体" w:hAnsi="宋体" w:eastAsia="宋体" w:cs="宋体"/>
          <w:color w:val="auto"/>
          <w:highlight w:val="none"/>
        </w:rPr>
      </w:pPr>
      <w:r>
        <w:rPr>
          <w:rFonts w:hint="eastAsia" w:ascii="宋体" w:hAnsi="宋体" w:eastAsia="宋体" w:cs="宋体"/>
          <w:color w:val="auto"/>
          <w:highlight w:val="none"/>
        </w:rPr>
        <w:drawing>
          <wp:anchor distT="0" distB="0" distL="0" distR="0" simplePos="0" relativeHeight="251713536" behindDoc="0" locked="0" layoutInCell="1" allowOverlap="1">
            <wp:simplePos x="0" y="0"/>
            <wp:positionH relativeFrom="column">
              <wp:posOffset>0</wp:posOffset>
            </wp:positionH>
            <wp:positionV relativeFrom="paragraph">
              <wp:posOffset>132080</wp:posOffset>
            </wp:positionV>
            <wp:extent cx="1829435" cy="7620"/>
            <wp:effectExtent l="0" t="0" r="0" b="0"/>
            <wp:wrapNone/>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r:embed="rId317"/>
                    <a:stretch>
                      <a:fillRect/>
                    </a:stretch>
                  </pic:blipFill>
                  <pic:spPr>
                    <a:xfrm>
                      <a:off x="0" y="0"/>
                      <a:ext cx="1829435" cy="7619"/>
                    </a:xfrm>
                    <a:prstGeom prst="rect">
                      <a:avLst/>
                    </a:prstGeom>
                  </pic:spPr>
                </pic:pic>
              </a:graphicData>
            </a:graphic>
          </wp:anchor>
        </w:drawing>
      </w:r>
    </w:p>
    <w:p w14:paraId="4996DDEB">
      <w:pPr>
        <w:spacing w:before="59" w:line="220" w:lineRule="auto"/>
        <w:ind w:left="379"/>
        <w:rPr>
          <w:rFonts w:hint="eastAsia" w:ascii="宋体" w:hAnsi="宋体" w:eastAsia="宋体" w:cs="宋体"/>
          <w:color w:val="auto"/>
          <w:sz w:val="18"/>
          <w:szCs w:val="18"/>
          <w:highlight w:val="none"/>
        </w:rPr>
      </w:pPr>
      <w:r>
        <w:rPr>
          <w:rFonts w:hint="eastAsia" w:ascii="宋体" w:hAnsi="宋体" w:eastAsia="宋体" w:cs="宋体"/>
          <w:color w:val="auto"/>
          <w:position w:val="7"/>
          <w:sz w:val="8"/>
          <w:szCs w:val="8"/>
          <w:highlight w:val="none"/>
        </w:rPr>
        <w:t>①</w:t>
      </w:r>
      <w:r>
        <w:rPr>
          <w:rFonts w:hint="eastAsia" w:ascii="宋体" w:hAnsi="宋体" w:eastAsia="宋体" w:cs="宋体"/>
          <w:color w:val="auto"/>
          <w:sz w:val="18"/>
          <w:szCs w:val="18"/>
          <w:highlight w:val="none"/>
        </w:rPr>
        <w:t>如果由投标人的法定代表人签署投标文件，则无须提交</w:t>
      </w:r>
      <w:r>
        <w:rPr>
          <w:rFonts w:hint="eastAsia" w:ascii="宋体" w:hAnsi="宋体" w:eastAsia="宋体" w:cs="宋体"/>
          <w:color w:val="auto"/>
          <w:spacing w:val="-1"/>
          <w:sz w:val="18"/>
          <w:szCs w:val="18"/>
          <w:highlight w:val="none"/>
        </w:rPr>
        <w:t>授权委托书。</w:t>
      </w:r>
    </w:p>
    <w:p w14:paraId="5412252C">
      <w:pPr>
        <w:spacing w:line="220" w:lineRule="auto"/>
        <w:rPr>
          <w:rFonts w:hint="eastAsia" w:ascii="宋体" w:hAnsi="宋体" w:eastAsia="宋体" w:cs="宋体"/>
          <w:color w:val="auto"/>
          <w:sz w:val="18"/>
          <w:szCs w:val="18"/>
          <w:highlight w:val="none"/>
        </w:rPr>
        <w:sectPr>
          <w:headerReference r:id="rId235" w:type="default"/>
          <w:footerReference r:id="rId236" w:type="default"/>
          <w:pgSz w:w="11907" w:h="16840"/>
          <w:pgMar w:top="1182" w:right="1290" w:bottom="1014" w:left="1643" w:header="849" w:footer="852" w:gutter="0"/>
          <w:pgNumType w:fmt="decimal"/>
          <w:cols w:space="720" w:num="1"/>
        </w:sectPr>
      </w:pPr>
    </w:p>
    <w:p w14:paraId="07510A22">
      <w:pPr>
        <w:pStyle w:val="4"/>
        <w:spacing w:line="287" w:lineRule="auto"/>
        <w:rPr>
          <w:rFonts w:hint="eastAsia" w:ascii="宋体" w:hAnsi="宋体" w:eastAsia="宋体" w:cs="宋体"/>
          <w:color w:val="auto"/>
          <w:highlight w:val="none"/>
        </w:rPr>
      </w:pPr>
    </w:p>
    <w:p w14:paraId="01418F67">
      <w:pPr>
        <w:pStyle w:val="4"/>
        <w:spacing w:line="288" w:lineRule="auto"/>
        <w:rPr>
          <w:rFonts w:hint="eastAsia" w:ascii="宋体" w:hAnsi="宋体" w:eastAsia="宋体" w:cs="宋体"/>
          <w:color w:val="auto"/>
          <w:highlight w:val="none"/>
        </w:rPr>
      </w:pPr>
    </w:p>
    <w:p w14:paraId="04B266A0">
      <w:pPr>
        <w:pStyle w:val="4"/>
        <w:spacing w:line="288" w:lineRule="auto"/>
        <w:rPr>
          <w:rFonts w:hint="eastAsia" w:ascii="宋体" w:hAnsi="宋体" w:eastAsia="宋体" w:cs="宋体"/>
          <w:color w:val="auto"/>
          <w:highlight w:val="none"/>
        </w:rPr>
      </w:pPr>
    </w:p>
    <w:p w14:paraId="4DC84E14">
      <w:pPr>
        <w:spacing w:before="91" w:line="222" w:lineRule="auto"/>
        <w:ind w:left="2921"/>
        <w:outlineLvl w:val="2"/>
        <w:rPr>
          <w:rFonts w:hint="eastAsia" w:ascii="宋体" w:hAnsi="宋体" w:eastAsia="宋体" w:cs="宋体"/>
          <w:color w:val="auto"/>
          <w:sz w:val="28"/>
          <w:szCs w:val="28"/>
          <w:highlight w:val="none"/>
        </w:rPr>
      </w:pPr>
      <w:bookmarkStart w:id="860" w:name="_Toc21651"/>
      <w:bookmarkStart w:id="861" w:name="_Toc16535"/>
      <w:bookmarkStart w:id="862" w:name="_Toc10440"/>
      <w:bookmarkStart w:id="863" w:name="_Toc4837"/>
      <w:bookmarkStart w:id="864" w:name="_Toc25030"/>
      <w:r>
        <w:rPr>
          <w:rFonts w:hint="eastAsia" w:ascii="宋体" w:hAnsi="宋体" w:eastAsia="宋体" w:cs="宋体"/>
          <w:color w:val="auto"/>
          <w:spacing w:val="-3"/>
          <w:sz w:val="28"/>
          <w:szCs w:val="28"/>
          <w:highlight w:val="none"/>
        </w:rPr>
        <w:t>（二）法定代表人身份证明</w:t>
      </w:r>
      <w:bookmarkEnd w:id="860"/>
      <w:bookmarkEnd w:id="861"/>
      <w:bookmarkEnd w:id="862"/>
      <w:bookmarkEnd w:id="863"/>
      <w:bookmarkEnd w:id="864"/>
    </w:p>
    <w:p w14:paraId="62E630AD">
      <w:pPr>
        <w:pStyle w:val="4"/>
        <w:spacing w:line="248" w:lineRule="auto"/>
        <w:rPr>
          <w:rFonts w:hint="eastAsia" w:ascii="宋体" w:hAnsi="宋体" w:eastAsia="宋体" w:cs="宋体"/>
          <w:color w:val="auto"/>
          <w:highlight w:val="none"/>
        </w:rPr>
      </w:pPr>
    </w:p>
    <w:p w14:paraId="25645157">
      <w:pPr>
        <w:pStyle w:val="4"/>
        <w:spacing w:line="248" w:lineRule="auto"/>
        <w:rPr>
          <w:rFonts w:hint="eastAsia" w:ascii="宋体" w:hAnsi="宋体" w:eastAsia="宋体" w:cs="宋体"/>
          <w:color w:val="auto"/>
          <w:highlight w:val="none"/>
        </w:rPr>
      </w:pPr>
    </w:p>
    <w:p w14:paraId="1A5B7651">
      <w:pPr>
        <w:pStyle w:val="4"/>
        <w:spacing w:line="248" w:lineRule="auto"/>
        <w:rPr>
          <w:rFonts w:hint="eastAsia" w:ascii="宋体" w:hAnsi="宋体" w:eastAsia="宋体" w:cs="宋体"/>
          <w:color w:val="auto"/>
          <w:highlight w:val="none"/>
        </w:rPr>
      </w:pPr>
    </w:p>
    <w:p w14:paraId="23C9C272">
      <w:pPr>
        <w:spacing w:before="78" w:line="220" w:lineRule="auto"/>
        <w:ind w:left="246"/>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rPr>
        <w:t>投标人名称：</w:t>
      </w:r>
    </w:p>
    <w:p w14:paraId="0206B1CB">
      <w:pPr>
        <w:spacing w:before="160" w:line="219" w:lineRule="auto"/>
        <w:ind w:left="24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姓名</w:t>
      </w:r>
      <w:r>
        <w:rPr>
          <w:rFonts w:hint="eastAsia" w:ascii="宋体" w:hAnsi="宋体" w:eastAsia="宋体" w:cs="宋体"/>
          <w:color w:val="auto"/>
          <w:spacing w:val="-17"/>
          <w:sz w:val="24"/>
          <w:szCs w:val="24"/>
          <w:highlight w:val="none"/>
        </w:rPr>
        <w:t>：</w:t>
      </w:r>
      <w:r>
        <w:rPr>
          <w:rFonts w:hint="eastAsia" w:ascii="宋体" w:hAnsi="宋体" w:eastAsia="宋体" w:cs="宋体"/>
          <w:color w:val="auto"/>
          <w:spacing w:val="-17"/>
          <w:sz w:val="24"/>
          <w:szCs w:val="24"/>
          <w:highlight w:val="none"/>
          <w:u w:val="single" w:color="auto"/>
        </w:rPr>
        <w:t>（</w:t>
      </w:r>
      <w:r>
        <w:rPr>
          <w:rFonts w:hint="eastAsia" w:ascii="宋体" w:hAnsi="宋体" w:eastAsia="宋体" w:cs="宋体"/>
          <w:color w:val="auto"/>
          <w:sz w:val="24"/>
          <w:szCs w:val="24"/>
          <w:highlight w:val="none"/>
          <w:u w:val="single" w:color="auto"/>
        </w:rPr>
        <w:t>法定代表人亲笔签字）</w:t>
      </w:r>
      <w:r>
        <w:rPr>
          <w:rFonts w:hint="eastAsia" w:ascii="宋体" w:hAnsi="宋体" w:eastAsia="宋体" w:cs="宋体"/>
          <w:color w:val="auto"/>
          <w:sz w:val="24"/>
          <w:szCs w:val="24"/>
          <w:highlight w:val="none"/>
        </w:rPr>
        <w:t>性别：年龄：职务：系</w:t>
      </w:r>
    </w:p>
    <w:p w14:paraId="2847C1C2">
      <w:pPr>
        <w:tabs>
          <w:tab w:val="left" w:pos="4008"/>
        </w:tabs>
        <w:spacing w:before="293" w:line="219" w:lineRule="auto"/>
        <w:ind w:left="23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auto"/>
        </w:rPr>
        <w:tab/>
      </w:r>
      <w:r>
        <w:rPr>
          <w:rFonts w:hint="eastAsia" w:ascii="宋体" w:hAnsi="宋体" w:eastAsia="宋体" w:cs="宋体"/>
          <w:color w:val="auto"/>
          <w:sz w:val="24"/>
          <w:szCs w:val="24"/>
          <w:highlight w:val="none"/>
        </w:rPr>
        <w:t>（投标人名称）的法定代表人。</w:t>
      </w:r>
    </w:p>
    <w:p w14:paraId="5EC8AA8B">
      <w:pPr>
        <w:spacing w:before="164" w:line="219" w:lineRule="auto"/>
        <w:ind w:left="72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特此证明。</w:t>
      </w:r>
    </w:p>
    <w:p w14:paraId="34FAD74E">
      <w:pPr>
        <w:pStyle w:val="4"/>
        <w:spacing w:line="278" w:lineRule="auto"/>
        <w:rPr>
          <w:rFonts w:hint="eastAsia" w:ascii="宋体" w:hAnsi="宋体" w:eastAsia="宋体" w:cs="宋体"/>
          <w:color w:val="auto"/>
          <w:highlight w:val="none"/>
        </w:rPr>
      </w:pPr>
    </w:p>
    <w:p w14:paraId="49E9D558">
      <w:pPr>
        <w:pStyle w:val="4"/>
        <w:spacing w:line="278" w:lineRule="auto"/>
        <w:rPr>
          <w:rFonts w:hint="eastAsia" w:ascii="宋体" w:hAnsi="宋体" w:eastAsia="宋体" w:cs="宋体"/>
          <w:color w:val="auto"/>
          <w:highlight w:val="none"/>
        </w:rPr>
      </w:pPr>
    </w:p>
    <w:p w14:paraId="46798F8D">
      <w:pPr>
        <w:spacing w:before="66" w:line="227" w:lineRule="auto"/>
        <w:ind w:left="259"/>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附：法定代表人身份证复印件。</w:t>
      </w:r>
    </w:p>
    <w:p w14:paraId="2D5E7795">
      <w:pPr>
        <w:pStyle w:val="4"/>
        <w:spacing w:line="244" w:lineRule="auto"/>
        <w:rPr>
          <w:rFonts w:hint="eastAsia" w:ascii="宋体" w:hAnsi="宋体" w:eastAsia="宋体" w:cs="宋体"/>
          <w:color w:val="auto"/>
          <w:highlight w:val="none"/>
        </w:rPr>
      </w:pPr>
    </w:p>
    <w:p w14:paraId="4DE9CE44">
      <w:pPr>
        <w:pStyle w:val="4"/>
        <w:spacing w:line="245" w:lineRule="auto"/>
        <w:rPr>
          <w:rFonts w:hint="eastAsia" w:ascii="宋体" w:hAnsi="宋体" w:eastAsia="宋体" w:cs="宋体"/>
          <w:color w:val="auto"/>
          <w:highlight w:val="none"/>
        </w:rPr>
      </w:pPr>
    </w:p>
    <w:p w14:paraId="6229BAF1">
      <w:pPr>
        <w:pStyle w:val="4"/>
        <w:spacing w:line="245" w:lineRule="auto"/>
        <w:rPr>
          <w:rFonts w:hint="eastAsia" w:ascii="宋体" w:hAnsi="宋体" w:eastAsia="宋体" w:cs="宋体"/>
          <w:color w:val="auto"/>
          <w:highlight w:val="none"/>
        </w:rPr>
      </w:pPr>
    </w:p>
    <w:p w14:paraId="58F639B2">
      <w:pPr>
        <w:pStyle w:val="4"/>
        <w:spacing w:line="245" w:lineRule="auto"/>
        <w:rPr>
          <w:rFonts w:hint="eastAsia" w:ascii="宋体" w:hAnsi="宋体" w:eastAsia="宋体" w:cs="宋体"/>
          <w:color w:val="auto"/>
          <w:highlight w:val="none"/>
        </w:rPr>
      </w:pPr>
    </w:p>
    <w:p w14:paraId="22324BE4">
      <w:pPr>
        <w:tabs>
          <w:tab w:val="left" w:pos="5632"/>
        </w:tabs>
        <w:spacing w:before="78" w:line="342" w:lineRule="auto"/>
        <w:ind w:left="4552" w:right="1057" w:hanging="118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rPr>
        <w:t>盖单位章）</w:t>
      </w:r>
      <w:r>
        <w:rPr>
          <w:rFonts w:hint="eastAsia" w:ascii="宋体" w:hAnsi="宋体" w:eastAsia="宋体" w:cs="宋体"/>
          <w:color w:val="auto"/>
          <w:sz w:val="24"/>
          <w:szCs w:val="24"/>
          <w:highlight w:val="none"/>
          <w:u w:val="single" w:color="auto"/>
        </w:rPr>
        <w:tab/>
      </w:r>
      <w:r>
        <w:rPr>
          <w:rFonts w:hint="eastAsia" w:ascii="宋体" w:hAnsi="宋体" w:eastAsia="宋体" w:cs="宋体"/>
          <w:color w:val="auto"/>
          <w:spacing w:val="-9"/>
          <w:sz w:val="24"/>
          <w:szCs w:val="24"/>
          <w:highlight w:val="none"/>
        </w:rPr>
        <w:t>年月日</w:t>
      </w:r>
    </w:p>
    <w:p w14:paraId="224514E4">
      <w:pPr>
        <w:pStyle w:val="4"/>
        <w:spacing w:line="245" w:lineRule="auto"/>
        <w:rPr>
          <w:rFonts w:hint="eastAsia" w:ascii="宋体" w:hAnsi="宋体" w:eastAsia="宋体" w:cs="宋体"/>
          <w:color w:val="auto"/>
          <w:highlight w:val="none"/>
        </w:rPr>
      </w:pPr>
    </w:p>
    <w:p w14:paraId="3AEFD57F">
      <w:pPr>
        <w:pStyle w:val="4"/>
        <w:spacing w:line="245" w:lineRule="auto"/>
        <w:rPr>
          <w:rFonts w:hint="eastAsia" w:ascii="宋体" w:hAnsi="宋体" w:eastAsia="宋体" w:cs="宋体"/>
          <w:color w:val="auto"/>
          <w:highlight w:val="none"/>
        </w:rPr>
      </w:pPr>
    </w:p>
    <w:p w14:paraId="2885F784">
      <w:pPr>
        <w:pStyle w:val="4"/>
        <w:spacing w:line="245" w:lineRule="auto"/>
        <w:rPr>
          <w:rFonts w:hint="eastAsia" w:ascii="宋体" w:hAnsi="宋体" w:eastAsia="宋体" w:cs="宋体"/>
          <w:color w:val="auto"/>
          <w:highlight w:val="none"/>
        </w:rPr>
      </w:pPr>
    </w:p>
    <w:p w14:paraId="0A03B9E7">
      <w:pPr>
        <w:pStyle w:val="4"/>
        <w:spacing w:line="245" w:lineRule="auto"/>
        <w:rPr>
          <w:rFonts w:hint="eastAsia" w:ascii="宋体" w:hAnsi="宋体" w:eastAsia="宋体" w:cs="宋体"/>
          <w:color w:val="auto"/>
          <w:highlight w:val="none"/>
        </w:rPr>
      </w:pPr>
    </w:p>
    <w:p w14:paraId="1BCC7908">
      <w:pPr>
        <w:pStyle w:val="4"/>
        <w:spacing w:line="245" w:lineRule="auto"/>
        <w:rPr>
          <w:rFonts w:hint="eastAsia" w:ascii="宋体" w:hAnsi="宋体" w:eastAsia="宋体" w:cs="宋体"/>
          <w:color w:val="auto"/>
          <w:highlight w:val="none"/>
        </w:rPr>
      </w:pPr>
    </w:p>
    <w:p w14:paraId="5CCB7007">
      <w:pPr>
        <w:pStyle w:val="4"/>
        <w:spacing w:line="245" w:lineRule="auto"/>
        <w:rPr>
          <w:rFonts w:hint="eastAsia" w:ascii="宋体" w:hAnsi="宋体" w:eastAsia="宋体" w:cs="宋体"/>
          <w:color w:val="auto"/>
          <w:highlight w:val="none"/>
        </w:rPr>
      </w:pPr>
    </w:p>
    <w:p w14:paraId="25B9D06B">
      <w:pPr>
        <w:pStyle w:val="4"/>
        <w:spacing w:line="246" w:lineRule="auto"/>
        <w:rPr>
          <w:rFonts w:hint="eastAsia" w:ascii="宋体" w:hAnsi="宋体" w:eastAsia="宋体" w:cs="宋体"/>
          <w:color w:val="auto"/>
          <w:sz w:val="24"/>
          <w:szCs w:val="24"/>
          <w:highlight w:val="none"/>
        </w:rPr>
      </w:pPr>
    </w:p>
    <w:p w14:paraId="031032D1">
      <w:pPr>
        <w:spacing w:before="66" w:line="227" w:lineRule="auto"/>
        <w:ind w:left="19"/>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注：法定代表人的签字必须是亲笔签名，不</w:t>
      </w:r>
      <w:r>
        <w:rPr>
          <w:rFonts w:hint="eastAsia" w:ascii="宋体" w:hAnsi="宋体" w:eastAsia="宋体" w:cs="宋体"/>
          <w:color w:val="auto"/>
          <w:spacing w:val="9"/>
          <w:sz w:val="24"/>
          <w:szCs w:val="24"/>
          <w:highlight w:val="none"/>
        </w:rPr>
        <w:t>得使用印章、签名章或其他电子制版签名代替。</w:t>
      </w:r>
    </w:p>
    <w:p w14:paraId="75A6DDF8">
      <w:pPr>
        <w:spacing w:line="227" w:lineRule="auto"/>
        <w:rPr>
          <w:rFonts w:hint="eastAsia" w:ascii="宋体" w:hAnsi="宋体" w:eastAsia="宋体" w:cs="宋体"/>
          <w:color w:val="auto"/>
          <w:sz w:val="24"/>
          <w:szCs w:val="24"/>
          <w:highlight w:val="none"/>
        </w:rPr>
        <w:sectPr>
          <w:headerReference r:id="rId237" w:type="default"/>
          <w:footerReference r:id="rId238" w:type="default"/>
          <w:pgSz w:w="11907" w:h="16840"/>
          <w:pgMar w:top="1182" w:right="1290" w:bottom="1014" w:left="1786" w:header="849" w:footer="852" w:gutter="0"/>
          <w:pgNumType w:fmt="decimal"/>
          <w:cols w:space="720" w:num="1"/>
        </w:sectPr>
      </w:pPr>
    </w:p>
    <w:p w14:paraId="13E5F4A7">
      <w:pPr>
        <w:pStyle w:val="4"/>
        <w:spacing w:line="476" w:lineRule="auto"/>
        <w:rPr>
          <w:rFonts w:hint="eastAsia" w:ascii="宋体" w:hAnsi="宋体" w:eastAsia="宋体" w:cs="宋体"/>
          <w:color w:val="auto"/>
          <w:highlight w:val="none"/>
        </w:rPr>
      </w:pPr>
    </w:p>
    <w:p w14:paraId="6E3CD978">
      <w:pPr>
        <w:spacing w:before="97" w:line="222" w:lineRule="auto"/>
        <w:ind w:left="3308"/>
        <w:outlineLvl w:val="1"/>
        <w:rPr>
          <w:rFonts w:hint="eastAsia" w:ascii="宋体" w:hAnsi="宋体" w:eastAsia="宋体" w:cs="宋体"/>
          <w:color w:val="auto"/>
          <w:sz w:val="13"/>
          <w:szCs w:val="13"/>
          <w:highlight w:val="none"/>
        </w:rPr>
      </w:pPr>
      <w:bookmarkStart w:id="865" w:name="_Toc19912"/>
      <w:bookmarkStart w:id="866" w:name="_Toc18144"/>
      <w:bookmarkStart w:id="867" w:name="_Toc13793"/>
      <w:bookmarkStart w:id="868" w:name="_Toc18844"/>
      <w:bookmarkStart w:id="869" w:name="_Toc25915"/>
      <w:r>
        <w:rPr>
          <w:rFonts w:hint="eastAsia" w:ascii="宋体" w:hAnsi="宋体" w:eastAsia="宋体" w:cs="宋体"/>
          <w:b/>
          <w:bCs/>
          <w:color w:val="auto"/>
          <w:spacing w:val="-2"/>
          <w:sz w:val="30"/>
          <w:szCs w:val="30"/>
          <w:highlight w:val="none"/>
        </w:rPr>
        <w:t>三、</w:t>
      </w:r>
      <w:r>
        <w:rPr>
          <w:rFonts w:hint="eastAsia" w:ascii="宋体" w:hAnsi="宋体" w:eastAsia="宋体" w:cs="宋体"/>
          <w:color w:val="auto"/>
          <w:spacing w:val="-2"/>
          <w:sz w:val="30"/>
          <w:szCs w:val="30"/>
          <w:highlight w:val="none"/>
        </w:rPr>
        <w:t>联合体协议书</w:t>
      </w:r>
      <w:r>
        <w:rPr>
          <w:rFonts w:hint="eastAsia" w:ascii="宋体" w:hAnsi="宋体" w:eastAsia="宋体" w:cs="宋体"/>
          <w:b/>
          <w:bCs/>
          <w:color w:val="auto"/>
          <w:spacing w:val="-2"/>
          <w:position w:val="12"/>
          <w:sz w:val="13"/>
          <w:szCs w:val="13"/>
          <w:highlight w:val="none"/>
        </w:rPr>
        <w:t>①</w:t>
      </w:r>
      <w:bookmarkEnd w:id="865"/>
      <w:bookmarkEnd w:id="866"/>
      <w:bookmarkEnd w:id="867"/>
      <w:bookmarkEnd w:id="868"/>
      <w:bookmarkEnd w:id="869"/>
    </w:p>
    <w:p w14:paraId="2EC1AFF2">
      <w:pPr>
        <w:tabs>
          <w:tab w:val="left" w:pos="2656"/>
        </w:tabs>
        <w:spacing w:before="283" w:line="311" w:lineRule="auto"/>
        <w:ind w:left="387" w:right="277" w:firstLine="348"/>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auto"/>
        </w:rPr>
        <w:tab/>
      </w:r>
      <w:r>
        <w:rPr>
          <w:rFonts w:hint="eastAsia" w:ascii="宋体" w:hAnsi="宋体" w:eastAsia="宋体" w:cs="宋体"/>
          <w:color w:val="auto"/>
          <w:spacing w:val="-5"/>
          <w:sz w:val="24"/>
          <w:szCs w:val="24"/>
          <w:highlight w:val="none"/>
        </w:rPr>
        <w:t>（所有成员单位名称）自愿组成（联合体名称）联</w:t>
      </w:r>
      <w:r>
        <w:rPr>
          <w:rFonts w:hint="eastAsia" w:ascii="宋体" w:hAnsi="宋体" w:eastAsia="宋体" w:cs="宋体"/>
          <w:color w:val="auto"/>
          <w:sz w:val="24"/>
          <w:szCs w:val="24"/>
          <w:highlight w:val="none"/>
        </w:rPr>
        <w:t>合体，共同参加（项目名称）标段施工投标。现就联合体投标事宜</w:t>
      </w:r>
      <w:r>
        <w:rPr>
          <w:rFonts w:hint="eastAsia" w:ascii="宋体" w:hAnsi="宋体" w:eastAsia="宋体" w:cs="宋体"/>
          <w:color w:val="auto"/>
          <w:spacing w:val="-2"/>
          <w:sz w:val="24"/>
          <w:szCs w:val="24"/>
          <w:highlight w:val="none"/>
        </w:rPr>
        <w:t>订立如下协议。</w:t>
      </w:r>
    </w:p>
    <w:p w14:paraId="7B3EA222">
      <w:pPr>
        <w:spacing w:line="218" w:lineRule="auto"/>
        <w:ind w:left="793"/>
        <w:rPr>
          <w:rFonts w:hint="eastAsia" w:ascii="宋体" w:hAnsi="宋体" w:eastAsia="宋体" w:cs="宋体"/>
          <w:color w:val="auto"/>
          <w:sz w:val="24"/>
          <w:szCs w:val="24"/>
          <w:highlight w:val="none"/>
        </w:rPr>
      </w:pPr>
      <w:r>
        <w:rPr>
          <w:rFonts w:hint="eastAsia" w:ascii="宋体" w:hAnsi="宋体" w:eastAsia="宋体" w:cs="宋体"/>
          <w:color w:val="auto"/>
          <w:sz w:val="22"/>
          <w:szCs w:val="22"/>
          <w:highlight w:val="none"/>
        </w:rPr>
        <w:t>1.</w:t>
      </w:r>
      <w:r>
        <w:rPr>
          <w:rFonts w:hint="eastAsia" w:ascii="宋体" w:hAnsi="宋体" w:eastAsia="宋体" w:cs="宋体"/>
          <w:color w:val="auto"/>
          <w:sz w:val="24"/>
          <w:szCs w:val="24"/>
          <w:highlight w:val="none"/>
        </w:rPr>
        <w:t>（某成员单位名称）为（联合体名称）牵头人。</w:t>
      </w:r>
    </w:p>
    <w:p w14:paraId="0ACA3316">
      <w:pPr>
        <w:spacing w:before="122" w:line="280" w:lineRule="auto"/>
        <w:ind w:left="385" w:right="145" w:firstLine="387"/>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2.联合体各成员授权牵头人代表联合体参加投标</w:t>
      </w:r>
      <w:r>
        <w:rPr>
          <w:rFonts w:hint="eastAsia" w:ascii="宋体" w:hAnsi="宋体" w:eastAsia="宋体" w:cs="宋体"/>
          <w:color w:val="auto"/>
          <w:spacing w:val="-9"/>
          <w:sz w:val="24"/>
          <w:szCs w:val="24"/>
          <w:highlight w:val="none"/>
        </w:rPr>
        <w:t>活动，签署文件，提交和接收相</w:t>
      </w:r>
      <w:r>
        <w:rPr>
          <w:rFonts w:hint="eastAsia" w:ascii="宋体" w:hAnsi="宋体" w:eastAsia="宋体" w:cs="宋体"/>
          <w:color w:val="auto"/>
          <w:spacing w:val="-20"/>
          <w:sz w:val="24"/>
          <w:szCs w:val="24"/>
          <w:highlight w:val="none"/>
        </w:rPr>
        <w:t>关的资料、信息及指示，进行合同谈判活动</w:t>
      </w:r>
      <w:r>
        <w:rPr>
          <w:rFonts w:hint="eastAsia" w:ascii="宋体" w:hAnsi="宋体" w:eastAsia="宋体" w:cs="宋体"/>
          <w:color w:val="auto"/>
          <w:spacing w:val="-21"/>
          <w:sz w:val="24"/>
          <w:szCs w:val="24"/>
          <w:highlight w:val="none"/>
        </w:rPr>
        <w:t>，负责合同实施阶段的组织和协调工作，以</w:t>
      </w:r>
      <w:r>
        <w:rPr>
          <w:rFonts w:hint="eastAsia" w:ascii="宋体" w:hAnsi="宋体" w:eastAsia="宋体" w:cs="宋体"/>
          <w:color w:val="auto"/>
          <w:spacing w:val="-19"/>
          <w:sz w:val="24"/>
          <w:szCs w:val="24"/>
          <w:highlight w:val="none"/>
        </w:rPr>
        <w:t>及处理与本招标项目有关的一切事宜。</w:t>
      </w:r>
    </w:p>
    <w:p w14:paraId="274E8807">
      <w:pPr>
        <w:spacing w:before="123" w:line="280" w:lineRule="auto"/>
        <w:ind w:left="387" w:right="280" w:firstLine="39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3.联合体牵头人在本项目中签署的一切文件和处理</w:t>
      </w:r>
      <w:r>
        <w:rPr>
          <w:rFonts w:hint="eastAsia" w:ascii="宋体" w:hAnsi="宋体" w:eastAsia="宋体" w:cs="宋体"/>
          <w:color w:val="auto"/>
          <w:spacing w:val="-6"/>
          <w:sz w:val="24"/>
          <w:szCs w:val="24"/>
          <w:highlight w:val="none"/>
        </w:rPr>
        <w:t>的一切事宜，联合体各成员</w:t>
      </w:r>
      <w:r>
        <w:rPr>
          <w:rFonts w:hint="eastAsia" w:ascii="宋体" w:hAnsi="宋体" w:eastAsia="宋体" w:cs="宋体"/>
          <w:color w:val="auto"/>
          <w:spacing w:val="-9"/>
          <w:sz w:val="24"/>
          <w:szCs w:val="24"/>
          <w:highlight w:val="none"/>
        </w:rPr>
        <w:t>均予以承认。联合体各成员将严格按照招标文件、投标</w:t>
      </w:r>
      <w:r>
        <w:rPr>
          <w:rFonts w:hint="eastAsia" w:ascii="宋体" w:hAnsi="宋体" w:eastAsia="宋体" w:cs="宋体"/>
          <w:color w:val="auto"/>
          <w:spacing w:val="-10"/>
          <w:sz w:val="24"/>
          <w:szCs w:val="24"/>
          <w:highlight w:val="none"/>
        </w:rPr>
        <w:t>文件和合同的要求全面履行</w:t>
      </w:r>
      <w:r>
        <w:rPr>
          <w:rFonts w:hint="eastAsia" w:ascii="宋体" w:hAnsi="宋体" w:eastAsia="宋体" w:cs="宋体"/>
          <w:color w:val="auto"/>
          <w:spacing w:val="-6"/>
          <w:sz w:val="24"/>
          <w:szCs w:val="24"/>
          <w:highlight w:val="none"/>
        </w:rPr>
        <w:t>义务，并向招标人承担连带责任。</w:t>
      </w:r>
    </w:p>
    <w:p w14:paraId="20508CF7">
      <w:pPr>
        <w:spacing w:before="119" w:line="281" w:lineRule="auto"/>
        <w:ind w:left="385" w:right="82" w:firstLine="4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4.联合体各成员单位内部的职责分工如下</w:t>
      </w:r>
      <w:r>
        <w:rPr>
          <w:rFonts w:hint="eastAsia" w:ascii="宋体" w:hAnsi="宋体" w:eastAsia="宋体" w:cs="宋体"/>
          <w:color w:val="auto"/>
          <w:spacing w:val="-37"/>
          <w:w w:val="58"/>
          <w:sz w:val="24"/>
          <w:szCs w:val="24"/>
          <w:highlight w:val="none"/>
          <w:u w:val="single" w:color="auto"/>
        </w:rPr>
        <w:t>：（</w:t>
      </w:r>
      <w:r>
        <w:rPr>
          <w:rFonts w:hint="eastAsia" w:ascii="宋体" w:hAnsi="宋体" w:eastAsia="宋体" w:cs="宋体"/>
          <w:color w:val="auto"/>
          <w:sz w:val="24"/>
          <w:szCs w:val="24"/>
          <w:highlight w:val="none"/>
          <w:u w:val="single" w:color="auto"/>
        </w:rPr>
        <w:t>牵头人名称）</w:t>
      </w:r>
      <w:r>
        <w:rPr>
          <w:rFonts w:hint="eastAsia" w:ascii="宋体" w:hAnsi="宋体" w:eastAsia="宋体" w:cs="宋体"/>
          <w:color w:val="auto"/>
          <w:spacing w:val="-1"/>
          <w:sz w:val="24"/>
          <w:szCs w:val="24"/>
          <w:highlight w:val="none"/>
        </w:rPr>
        <w:t>承担专业工</w:t>
      </w:r>
      <w:r>
        <w:rPr>
          <w:rFonts w:hint="eastAsia" w:ascii="宋体" w:hAnsi="宋体" w:eastAsia="宋体" w:cs="宋体"/>
          <w:color w:val="auto"/>
          <w:spacing w:val="-6"/>
          <w:sz w:val="24"/>
          <w:szCs w:val="24"/>
          <w:highlight w:val="none"/>
        </w:rPr>
        <w:t>程，占总工程量的</w:t>
      </w:r>
      <w:r>
        <w:rPr>
          <w:rFonts w:hint="eastAsia" w:ascii="宋体" w:hAnsi="宋体" w:eastAsia="宋体" w:cs="宋体"/>
          <w:color w:val="auto"/>
          <w:spacing w:val="-7"/>
          <w:sz w:val="24"/>
          <w:szCs w:val="24"/>
          <w:highlight w:val="none"/>
        </w:rPr>
        <w:t>%</w:t>
      </w:r>
      <w:r>
        <w:rPr>
          <w:rFonts w:hint="eastAsia" w:ascii="宋体" w:hAnsi="宋体" w:eastAsia="宋体" w:cs="宋体"/>
          <w:color w:val="auto"/>
          <w:spacing w:val="-37"/>
          <w:w w:val="58"/>
          <w:sz w:val="24"/>
          <w:szCs w:val="24"/>
          <w:highlight w:val="none"/>
        </w:rPr>
        <w:t>；（</w:t>
      </w:r>
      <w:r>
        <w:rPr>
          <w:rFonts w:hint="eastAsia" w:ascii="宋体" w:hAnsi="宋体" w:eastAsia="宋体" w:cs="宋体"/>
          <w:color w:val="auto"/>
          <w:spacing w:val="-7"/>
          <w:sz w:val="24"/>
          <w:szCs w:val="24"/>
          <w:highlight w:val="none"/>
          <w:u w:val="single" w:color="auto"/>
        </w:rPr>
        <w:t>成员一名称</w:t>
      </w:r>
      <w:r>
        <w:rPr>
          <w:rFonts w:hint="eastAsia" w:ascii="宋体" w:hAnsi="宋体" w:eastAsia="宋体" w:cs="宋体"/>
          <w:color w:val="auto"/>
          <w:spacing w:val="-7"/>
          <w:sz w:val="24"/>
          <w:szCs w:val="24"/>
          <w:highlight w:val="none"/>
        </w:rPr>
        <w:t>）承担专业工</w:t>
      </w:r>
      <w:r>
        <w:rPr>
          <w:rFonts w:hint="eastAsia" w:ascii="宋体" w:hAnsi="宋体" w:eastAsia="宋体" w:cs="宋体"/>
          <w:color w:val="auto"/>
          <w:spacing w:val="-37"/>
          <w:sz w:val="24"/>
          <w:szCs w:val="24"/>
          <w:highlight w:val="none"/>
        </w:rPr>
        <w:t>程，占总工程量的%；……。</w:t>
      </w:r>
    </w:p>
    <w:p w14:paraId="4C9A2CED">
      <w:pPr>
        <w:spacing w:before="119" w:line="265" w:lineRule="auto"/>
        <w:ind w:left="387" w:right="496" w:firstLine="48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5.投标工作和联合体在中标后工程实施过程</w:t>
      </w:r>
      <w:r>
        <w:rPr>
          <w:rFonts w:hint="eastAsia" w:ascii="宋体" w:hAnsi="宋体" w:eastAsia="宋体" w:cs="宋体"/>
          <w:color w:val="auto"/>
          <w:spacing w:val="-1"/>
          <w:sz w:val="24"/>
          <w:szCs w:val="24"/>
          <w:highlight w:val="none"/>
        </w:rPr>
        <w:t>中的有关费用按各自承担的工</w:t>
      </w:r>
      <w:r>
        <w:rPr>
          <w:rFonts w:hint="eastAsia" w:ascii="宋体" w:hAnsi="宋体" w:eastAsia="宋体" w:cs="宋体"/>
          <w:color w:val="auto"/>
          <w:spacing w:val="-3"/>
          <w:sz w:val="24"/>
          <w:szCs w:val="24"/>
          <w:highlight w:val="none"/>
        </w:rPr>
        <w:t>作量分摊。</w:t>
      </w:r>
    </w:p>
    <w:p w14:paraId="45D8D9E5">
      <w:pPr>
        <w:spacing w:before="122" w:line="266" w:lineRule="auto"/>
        <w:ind w:left="390" w:right="287" w:firstLine="477"/>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6.本协议书自所有成员单位法定代表人签字并加盖单位</w:t>
      </w:r>
      <w:r>
        <w:rPr>
          <w:rFonts w:hint="eastAsia" w:ascii="宋体" w:hAnsi="宋体" w:eastAsia="宋体" w:cs="宋体"/>
          <w:color w:val="auto"/>
          <w:spacing w:val="-2"/>
          <w:sz w:val="24"/>
          <w:szCs w:val="24"/>
          <w:highlight w:val="none"/>
        </w:rPr>
        <w:t>章之日起生效，合同履行完毕后自动失效。</w:t>
      </w:r>
    </w:p>
    <w:p w14:paraId="58429E22">
      <w:pPr>
        <w:spacing w:before="123" w:line="219" w:lineRule="auto"/>
        <w:ind w:left="86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7.本协议书一式份，联合体成员和招标人各执一份。</w:t>
      </w:r>
    </w:p>
    <w:p w14:paraId="2B7CA242">
      <w:pPr>
        <w:pStyle w:val="4"/>
        <w:spacing w:line="433" w:lineRule="auto"/>
        <w:rPr>
          <w:rFonts w:hint="eastAsia" w:ascii="宋体" w:hAnsi="宋体" w:eastAsia="宋体" w:cs="宋体"/>
          <w:color w:val="auto"/>
          <w:highlight w:val="none"/>
        </w:rPr>
      </w:pPr>
    </w:p>
    <w:p w14:paraId="20EBB033">
      <w:pPr>
        <w:spacing w:before="78" w:line="219" w:lineRule="auto"/>
        <w:ind w:left="857"/>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联合体牵头人名称</w:t>
      </w:r>
      <w:r>
        <w:rPr>
          <w:rFonts w:hint="eastAsia" w:ascii="宋体" w:hAnsi="宋体" w:eastAsia="宋体" w:cs="宋体"/>
          <w:color w:val="auto"/>
          <w:spacing w:val="-13"/>
          <w:sz w:val="24"/>
          <w:szCs w:val="24"/>
          <w:highlight w:val="none"/>
        </w:rPr>
        <w:t>：（</w:t>
      </w:r>
      <w:r>
        <w:rPr>
          <w:rFonts w:hint="eastAsia" w:ascii="宋体" w:hAnsi="宋体" w:eastAsia="宋体" w:cs="宋体"/>
          <w:color w:val="auto"/>
          <w:spacing w:val="1"/>
          <w:sz w:val="24"/>
          <w:szCs w:val="24"/>
          <w:highlight w:val="none"/>
        </w:rPr>
        <w:t>盖单位章）</w:t>
      </w:r>
    </w:p>
    <w:p w14:paraId="574B6BC8">
      <w:pPr>
        <w:spacing w:before="125" w:line="219" w:lineRule="auto"/>
        <w:ind w:left="977"/>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法定代表人</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3"/>
          <w:sz w:val="24"/>
          <w:szCs w:val="24"/>
          <w:highlight w:val="none"/>
        </w:rPr>
        <w:t>签字）</w:t>
      </w:r>
    </w:p>
    <w:p w14:paraId="03FB6ECD">
      <w:pPr>
        <w:pStyle w:val="4"/>
        <w:spacing w:line="440" w:lineRule="auto"/>
        <w:rPr>
          <w:rFonts w:hint="eastAsia" w:ascii="宋体" w:hAnsi="宋体" w:eastAsia="宋体" w:cs="宋体"/>
          <w:color w:val="auto"/>
          <w:highlight w:val="none"/>
        </w:rPr>
      </w:pPr>
    </w:p>
    <w:p w14:paraId="2BE9320A">
      <w:pPr>
        <w:spacing w:before="78" w:line="219" w:lineRule="auto"/>
        <w:ind w:left="85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联合体成员名称</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2"/>
          <w:sz w:val="24"/>
          <w:szCs w:val="24"/>
          <w:highlight w:val="none"/>
        </w:rPr>
        <w:t>盖单位章）</w:t>
      </w:r>
    </w:p>
    <w:p w14:paraId="506DF738">
      <w:pPr>
        <w:spacing w:before="122" w:line="219" w:lineRule="auto"/>
        <w:ind w:left="977"/>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法定代表人</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3"/>
          <w:sz w:val="24"/>
          <w:szCs w:val="24"/>
          <w:highlight w:val="none"/>
        </w:rPr>
        <w:t>签字）</w:t>
      </w:r>
    </w:p>
    <w:p w14:paraId="366FD5E2">
      <w:pPr>
        <w:pStyle w:val="4"/>
        <w:spacing w:line="442" w:lineRule="auto"/>
        <w:rPr>
          <w:rFonts w:hint="eastAsia" w:ascii="宋体" w:hAnsi="宋体" w:eastAsia="宋体" w:cs="宋体"/>
          <w:color w:val="auto"/>
          <w:highlight w:val="none"/>
        </w:rPr>
      </w:pPr>
    </w:p>
    <w:p w14:paraId="3870964C">
      <w:pPr>
        <w:spacing w:before="78" w:line="219" w:lineRule="auto"/>
        <w:ind w:left="85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联合体成员名称</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2"/>
          <w:sz w:val="24"/>
          <w:szCs w:val="24"/>
          <w:highlight w:val="none"/>
        </w:rPr>
        <w:t>盖单位章）</w:t>
      </w:r>
    </w:p>
    <w:p w14:paraId="1039A38E">
      <w:pPr>
        <w:spacing w:before="122" w:line="219" w:lineRule="auto"/>
        <w:ind w:left="977"/>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法定代表人</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3"/>
          <w:sz w:val="24"/>
          <w:szCs w:val="24"/>
          <w:highlight w:val="none"/>
        </w:rPr>
        <w:t>签字）</w:t>
      </w:r>
    </w:p>
    <w:p w14:paraId="213B37B2">
      <w:pPr>
        <w:pStyle w:val="4"/>
        <w:spacing w:line="242" w:lineRule="auto"/>
        <w:rPr>
          <w:rFonts w:hint="eastAsia" w:ascii="宋体" w:hAnsi="宋体" w:eastAsia="宋体" w:cs="宋体"/>
          <w:color w:val="auto"/>
          <w:highlight w:val="none"/>
        </w:rPr>
      </w:pPr>
    </w:p>
    <w:p w14:paraId="7604F63B">
      <w:pPr>
        <w:spacing w:before="70" w:line="74" w:lineRule="exact"/>
        <w:ind w:left="883"/>
        <w:rPr>
          <w:rFonts w:hint="eastAsia" w:ascii="宋体" w:hAnsi="宋体" w:eastAsia="宋体" w:cs="宋体"/>
          <w:color w:val="auto"/>
          <w:sz w:val="24"/>
          <w:szCs w:val="24"/>
          <w:highlight w:val="none"/>
        </w:rPr>
      </w:pPr>
      <w:r>
        <w:rPr>
          <w:rFonts w:hint="eastAsia" w:ascii="宋体" w:hAnsi="宋体" w:eastAsia="宋体" w:cs="宋体"/>
          <w:color w:val="auto"/>
          <w:spacing w:val="-1"/>
          <w:position w:val="1"/>
          <w:sz w:val="24"/>
          <w:szCs w:val="24"/>
          <w:highlight w:val="none"/>
        </w:rPr>
        <w:t>……</w:t>
      </w:r>
    </w:p>
    <w:p w14:paraId="0CEED8FB">
      <w:pPr>
        <w:tabs>
          <w:tab w:val="left" w:pos="5835"/>
        </w:tabs>
        <w:spacing w:before="132" w:line="219" w:lineRule="auto"/>
        <w:ind w:left="499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auto"/>
        </w:rPr>
        <w:tab/>
      </w:r>
      <w:r>
        <w:rPr>
          <w:rFonts w:hint="eastAsia" w:ascii="宋体" w:hAnsi="宋体" w:eastAsia="宋体" w:cs="宋体"/>
          <w:color w:val="auto"/>
          <w:spacing w:val="-9"/>
          <w:sz w:val="24"/>
          <w:szCs w:val="24"/>
          <w:highlight w:val="none"/>
        </w:rPr>
        <w:t>年月日</w:t>
      </w:r>
    </w:p>
    <w:p w14:paraId="78500713">
      <w:pPr>
        <w:pStyle w:val="4"/>
        <w:spacing w:line="436" w:lineRule="auto"/>
        <w:rPr>
          <w:rFonts w:hint="eastAsia" w:ascii="宋体" w:hAnsi="宋体" w:eastAsia="宋体" w:cs="宋体"/>
          <w:color w:val="auto"/>
          <w:highlight w:val="none"/>
        </w:rPr>
      </w:pPr>
      <w:r>
        <w:rPr>
          <w:rFonts w:hint="eastAsia" w:ascii="宋体" w:hAnsi="宋体" w:eastAsia="宋体" w:cs="宋体"/>
          <w:color w:val="auto"/>
          <w:highlight w:val="none"/>
        </w:rPr>
        <w:drawing>
          <wp:anchor distT="0" distB="0" distL="0" distR="0" simplePos="0" relativeHeight="251716608" behindDoc="0" locked="0" layoutInCell="1" allowOverlap="1">
            <wp:simplePos x="0" y="0"/>
            <wp:positionH relativeFrom="column">
              <wp:posOffset>0</wp:posOffset>
            </wp:positionH>
            <wp:positionV relativeFrom="paragraph">
              <wp:posOffset>290195</wp:posOffset>
            </wp:positionV>
            <wp:extent cx="1829435" cy="7620"/>
            <wp:effectExtent l="0" t="0" r="0" b="0"/>
            <wp:wrapNone/>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r:embed="rId316"/>
                    <a:stretch>
                      <a:fillRect/>
                    </a:stretch>
                  </pic:blipFill>
                  <pic:spPr>
                    <a:xfrm>
                      <a:off x="0" y="0"/>
                      <a:ext cx="1829435" cy="7619"/>
                    </a:xfrm>
                    <a:prstGeom prst="rect">
                      <a:avLst/>
                    </a:prstGeom>
                  </pic:spPr>
                </pic:pic>
              </a:graphicData>
            </a:graphic>
          </wp:anchor>
        </w:drawing>
      </w:r>
    </w:p>
    <w:p w14:paraId="1BE9388E">
      <w:pPr>
        <w:spacing w:before="58" w:line="241" w:lineRule="auto"/>
        <w:ind w:left="176" w:right="1" w:hanging="20"/>
        <w:rPr>
          <w:rFonts w:hint="eastAsia" w:ascii="宋体" w:hAnsi="宋体" w:eastAsia="宋体" w:cs="宋体"/>
          <w:color w:val="auto"/>
          <w:sz w:val="18"/>
          <w:szCs w:val="18"/>
          <w:highlight w:val="none"/>
        </w:rPr>
      </w:pPr>
      <w:r>
        <w:rPr>
          <w:rFonts w:hint="eastAsia" w:ascii="宋体" w:hAnsi="宋体" w:eastAsia="宋体" w:cs="宋体"/>
          <w:color w:val="auto"/>
          <w:spacing w:val="1"/>
          <w:position w:val="7"/>
          <w:sz w:val="8"/>
          <w:szCs w:val="8"/>
          <w:highlight w:val="none"/>
        </w:rPr>
        <w:t>①</w:t>
      </w:r>
      <w:r>
        <w:rPr>
          <w:rFonts w:hint="eastAsia" w:ascii="宋体" w:hAnsi="宋体" w:eastAsia="宋体" w:cs="宋体"/>
          <w:color w:val="auto"/>
          <w:spacing w:val="1"/>
          <w:sz w:val="18"/>
          <w:szCs w:val="18"/>
          <w:highlight w:val="none"/>
        </w:rPr>
        <w:t>本联合体协议书格式适用于未进行资格预审的情况。如果采用资格预审，投标人应在此提</w:t>
      </w:r>
      <w:r>
        <w:rPr>
          <w:rFonts w:hint="eastAsia" w:ascii="宋体" w:hAnsi="宋体" w:eastAsia="宋体" w:cs="宋体"/>
          <w:color w:val="auto"/>
          <w:sz w:val="18"/>
          <w:szCs w:val="18"/>
          <w:highlight w:val="none"/>
        </w:rPr>
        <w:t>供资格预审申请文件</w:t>
      </w:r>
      <w:r>
        <w:rPr>
          <w:rFonts w:hint="eastAsia" w:ascii="宋体" w:hAnsi="宋体" w:eastAsia="宋体" w:cs="宋体"/>
          <w:color w:val="auto"/>
          <w:spacing w:val="-2"/>
          <w:sz w:val="18"/>
          <w:szCs w:val="18"/>
          <w:highlight w:val="none"/>
        </w:rPr>
        <w:t>中所附的联合体协议书复印件。</w:t>
      </w:r>
    </w:p>
    <w:p w14:paraId="580B2910">
      <w:pPr>
        <w:spacing w:line="241" w:lineRule="auto"/>
        <w:rPr>
          <w:rFonts w:hint="eastAsia" w:ascii="宋体" w:hAnsi="宋体" w:eastAsia="宋体" w:cs="宋体"/>
          <w:color w:val="auto"/>
          <w:sz w:val="18"/>
          <w:szCs w:val="18"/>
          <w:highlight w:val="none"/>
        </w:rPr>
        <w:sectPr>
          <w:headerReference r:id="rId239" w:type="default"/>
          <w:footerReference r:id="rId240" w:type="default"/>
          <w:pgSz w:w="11907" w:h="16840"/>
          <w:pgMar w:top="1182" w:right="1290" w:bottom="1014" w:left="1643" w:header="849" w:footer="852" w:gutter="0"/>
          <w:pgNumType w:fmt="decimal"/>
          <w:cols w:space="720" w:num="1"/>
        </w:sectPr>
      </w:pPr>
    </w:p>
    <w:p w14:paraId="5A74A600">
      <w:pPr>
        <w:spacing w:before="298" w:line="223" w:lineRule="auto"/>
        <w:ind w:left="3439"/>
        <w:outlineLvl w:val="1"/>
        <w:rPr>
          <w:rFonts w:hint="eastAsia" w:ascii="宋体" w:hAnsi="宋体" w:eastAsia="宋体" w:cs="宋体"/>
          <w:color w:val="auto"/>
          <w:sz w:val="28"/>
          <w:szCs w:val="28"/>
          <w:highlight w:val="none"/>
        </w:rPr>
      </w:pPr>
      <w:bookmarkStart w:id="870" w:name="_Toc31901"/>
      <w:bookmarkStart w:id="871" w:name="_Toc313"/>
      <w:bookmarkStart w:id="872" w:name="_Toc27806"/>
      <w:bookmarkStart w:id="873" w:name="_Toc5722"/>
      <w:bookmarkStart w:id="874" w:name="_Toc32694"/>
      <w:r>
        <w:rPr>
          <w:rFonts w:hint="eastAsia" w:ascii="宋体" w:hAnsi="宋体" w:eastAsia="宋体" w:cs="宋体"/>
          <w:color w:val="auto"/>
          <w:spacing w:val="-4"/>
          <w:sz w:val="28"/>
          <w:szCs w:val="28"/>
          <w:highlight w:val="none"/>
        </w:rPr>
        <w:t>四、投标保证金</w:t>
      </w:r>
      <w:bookmarkEnd w:id="870"/>
      <w:bookmarkEnd w:id="871"/>
      <w:bookmarkEnd w:id="872"/>
      <w:bookmarkEnd w:id="873"/>
      <w:bookmarkEnd w:id="874"/>
    </w:p>
    <w:p w14:paraId="0455ECB8">
      <w:pPr>
        <w:pStyle w:val="4"/>
        <w:spacing w:line="362" w:lineRule="auto"/>
        <w:rPr>
          <w:rFonts w:hint="eastAsia" w:ascii="宋体" w:hAnsi="宋体" w:eastAsia="宋体" w:cs="宋体"/>
          <w:color w:val="auto"/>
          <w:highlight w:val="none"/>
        </w:rPr>
      </w:pPr>
    </w:p>
    <w:p w14:paraId="431A7BE8">
      <w:pPr>
        <w:spacing w:before="78" w:line="219" w:lineRule="auto"/>
        <w:ind w:left="76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（一）若采用现金或支票，投标人应在此提供汇款凭证的复印件。</w:t>
      </w:r>
    </w:p>
    <w:p w14:paraId="63262DF1">
      <w:pPr>
        <w:spacing w:before="121" w:line="219" w:lineRule="auto"/>
        <w:ind w:left="755"/>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5"/>
          <w:sz w:val="24"/>
          <w:szCs w:val="24"/>
          <w:highlight w:val="none"/>
        </w:rPr>
        <w:t>说明：</w:t>
      </w:r>
    </w:p>
    <w:p w14:paraId="1DD97B8B">
      <w:pPr>
        <w:pStyle w:val="4"/>
        <w:spacing w:line="282" w:lineRule="auto"/>
        <w:rPr>
          <w:rFonts w:hint="eastAsia" w:ascii="宋体" w:hAnsi="宋体" w:eastAsia="宋体" w:cs="宋体"/>
          <w:color w:val="auto"/>
          <w:highlight w:val="none"/>
        </w:rPr>
      </w:pPr>
    </w:p>
    <w:p w14:paraId="425F7FA3">
      <w:pPr>
        <w:pStyle w:val="4"/>
        <w:spacing w:line="282" w:lineRule="auto"/>
        <w:rPr>
          <w:rFonts w:hint="eastAsia" w:ascii="宋体" w:hAnsi="宋体" w:eastAsia="宋体" w:cs="宋体"/>
          <w:color w:val="auto"/>
          <w:highlight w:val="none"/>
        </w:rPr>
      </w:pPr>
    </w:p>
    <w:p w14:paraId="5B70953D">
      <w:pPr>
        <w:pStyle w:val="4"/>
        <w:spacing w:line="283" w:lineRule="auto"/>
        <w:rPr>
          <w:rFonts w:hint="eastAsia" w:ascii="宋体" w:hAnsi="宋体" w:eastAsia="宋体" w:cs="宋体"/>
          <w:color w:val="auto"/>
          <w:highlight w:val="none"/>
        </w:rPr>
      </w:pPr>
    </w:p>
    <w:p w14:paraId="69BF2109">
      <w:pPr>
        <w:spacing w:before="78" w:line="219" w:lineRule="auto"/>
        <w:ind w:left="76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（二）如采用银行保函，银行保函复印件装订在投标文件中，格式如下。</w:t>
      </w:r>
    </w:p>
    <w:p w14:paraId="5E817D49">
      <w:pPr>
        <w:spacing w:before="120" w:line="219" w:lineRule="auto"/>
        <w:ind w:left="755"/>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5"/>
          <w:sz w:val="24"/>
          <w:szCs w:val="24"/>
          <w:highlight w:val="none"/>
        </w:rPr>
        <w:t>说明：</w:t>
      </w:r>
    </w:p>
    <w:p w14:paraId="0D644C0F">
      <w:pPr>
        <w:pStyle w:val="4"/>
        <w:spacing w:line="249" w:lineRule="auto"/>
        <w:rPr>
          <w:rFonts w:hint="eastAsia" w:ascii="宋体" w:hAnsi="宋体" w:eastAsia="宋体" w:cs="宋体"/>
          <w:color w:val="auto"/>
          <w:highlight w:val="none"/>
        </w:rPr>
      </w:pPr>
    </w:p>
    <w:p w14:paraId="549599C0">
      <w:pPr>
        <w:tabs>
          <w:tab w:val="left" w:pos="2153"/>
        </w:tabs>
        <w:spacing w:before="78" w:line="220" w:lineRule="auto"/>
        <w:ind w:left="23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auto"/>
        </w:rPr>
        <w:tab/>
      </w:r>
      <w:r>
        <w:rPr>
          <w:rFonts w:hint="eastAsia" w:ascii="宋体" w:hAnsi="宋体" w:eastAsia="宋体" w:cs="宋体"/>
          <w:color w:val="auto"/>
          <w:sz w:val="24"/>
          <w:szCs w:val="24"/>
          <w:highlight w:val="none"/>
        </w:rPr>
        <w:t>（招标人名称</w:t>
      </w:r>
      <w:r>
        <w:rPr>
          <w:rFonts w:hint="eastAsia" w:ascii="宋体" w:hAnsi="宋体" w:eastAsia="宋体" w:cs="宋体"/>
          <w:color w:val="auto"/>
          <w:spacing w:val="-55"/>
          <w:w w:val="86"/>
          <w:sz w:val="24"/>
          <w:szCs w:val="24"/>
          <w:highlight w:val="none"/>
        </w:rPr>
        <w:t>：）</w:t>
      </w:r>
    </w:p>
    <w:p w14:paraId="6E8E823A">
      <w:pPr>
        <w:tabs>
          <w:tab w:val="left" w:pos="1681"/>
          <w:tab w:val="left" w:pos="8667"/>
        </w:tabs>
        <w:spacing w:before="272" w:line="342" w:lineRule="auto"/>
        <w:ind w:left="233" w:right="162" w:firstLine="493"/>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鉴于（投标人名称</w:t>
      </w:r>
      <w:r>
        <w:rPr>
          <w:rFonts w:hint="eastAsia" w:ascii="宋体" w:hAnsi="宋体" w:eastAsia="宋体" w:cs="宋体"/>
          <w:color w:val="auto"/>
          <w:spacing w:val="-43"/>
          <w:w w:val="63"/>
          <w:sz w:val="24"/>
          <w:szCs w:val="24"/>
          <w:highlight w:val="none"/>
        </w:rPr>
        <w:t>）（</w:t>
      </w:r>
      <w:r>
        <w:rPr>
          <w:rFonts w:hint="eastAsia" w:ascii="宋体" w:hAnsi="宋体" w:eastAsia="宋体" w:cs="宋体"/>
          <w:color w:val="auto"/>
          <w:sz w:val="24"/>
          <w:szCs w:val="24"/>
          <w:highlight w:val="none"/>
        </w:rPr>
        <w:t>以下称“投标人”）于年月日参加</w:t>
      </w:r>
      <w:r>
        <w:rPr>
          <w:rFonts w:hint="eastAsia" w:ascii="宋体" w:hAnsi="宋体" w:eastAsia="宋体" w:cs="宋体"/>
          <w:color w:val="auto"/>
          <w:sz w:val="24"/>
          <w:szCs w:val="24"/>
          <w:highlight w:val="none"/>
          <w:u w:val="single" w:color="auto"/>
        </w:rPr>
        <w:tab/>
      </w:r>
      <w:r>
        <w:rPr>
          <w:rFonts w:hint="eastAsia" w:ascii="宋体" w:hAnsi="宋体" w:eastAsia="宋体" w:cs="宋体"/>
          <w:color w:val="auto"/>
          <w:sz w:val="24"/>
          <w:szCs w:val="24"/>
          <w:highlight w:val="none"/>
          <w:u w:val="single" w:color="auto"/>
        </w:rPr>
        <w:tab/>
      </w:r>
      <w:r>
        <w:rPr>
          <w:rFonts w:hint="eastAsia" w:ascii="宋体" w:hAnsi="宋体" w:eastAsia="宋体" w:cs="宋体"/>
          <w:color w:val="auto"/>
          <w:spacing w:val="2"/>
          <w:sz w:val="24"/>
          <w:szCs w:val="24"/>
          <w:highlight w:val="none"/>
        </w:rPr>
        <w:t>（项目名称）标段施工的投标</w:t>
      </w:r>
      <w:r>
        <w:rPr>
          <w:rFonts w:hint="eastAsia" w:ascii="宋体" w:hAnsi="宋体" w:eastAsia="宋体" w:cs="宋体"/>
          <w:color w:val="auto"/>
          <w:spacing w:val="-27"/>
          <w:sz w:val="24"/>
          <w:szCs w:val="24"/>
          <w:highlight w:val="none"/>
        </w:rPr>
        <w:t>，（</w:t>
      </w:r>
      <w:r>
        <w:rPr>
          <w:rFonts w:hint="eastAsia" w:ascii="宋体" w:hAnsi="宋体" w:eastAsia="宋体" w:cs="宋体"/>
          <w:color w:val="auto"/>
          <w:spacing w:val="2"/>
          <w:sz w:val="24"/>
          <w:szCs w:val="24"/>
          <w:highlight w:val="none"/>
        </w:rPr>
        <w:t>担保人名称，以</w:t>
      </w:r>
      <w:r>
        <w:rPr>
          <w:rFonts w:hint="eastAsia" w:ascii="宋体" w:hAnsi="宋体" w:eastAsia="宋体" w:cs="宋体"/>
          <w:color w:val="auto"/>
          <w:spacing w:val="-5"/>
          <w:sz w:val="24"/>
          <w:szCs w:val="24"/>
          <w:highlight w:val="none"/>
        </w:rPr>
        <w:t>下简称“我方”）无条件地、不可撤销地保证：若投标人在投标有效期内撤销投标文</w:t>
      </w:r>
      <w:r>
        <w:rPr>
          <w:rFonts w:hint="eastAsia" w:ascii="宋体" w:hAnsi="宋体" w:eastAsia="宋体" w:cs="宋体"/>
          <w:color w:val="auto"/>
          <w:spacing w:val="-2"/>
          <w:sz w:val="24"/>
          <w:szCs w:val="24"/>
          <w:highlight w:val="none"/>
        </w:rPr>
        <w:t>件，中标后无正当理由不与招标人订立合同，</w:t>
      </w:r>
      <w:r>
        <w:rPr>
          <w:rFonts w:hint="eastAsia" w:ascii="宋体" w:hAnsi="宋体" w:eastAsia="宋体" w:cs="宋体"/>
          <w:color w:val="auto"/>
          <w:spacing w:val="-3"/>
          <w:sz w:val="24"/>
          <w:szCs w:val="24"/>
          <w:highlight w:val="none"/>
        </w:rPr>
        <w:t>在签订合同时向招标人提出附加条</w:t>
      </w:r>
      <w:r>
        <w:rPr>
          <w:rFonts w:hint="eastAsia" w:ascii="宋体" w:hAnsi="宋体" w:eastAsia="宋体" w:cs="宋体"/>
          <w:color w:val="auto"/>
          <w:sz w:val="24"/>
          <w:szCs w:val="24"/>
          <w:highlight w:val="none"/>
        </w:rPr>
        <w:t>件，不按照招标文件要求提交履约保证金，或发生招标文件明确规定可以不予退</w:t>
      </w:r>
      <w:r>
        <w:rPr>
          <w:rFonts w:hint="eastAsia" w:ascii="宋体" w:hAnsi="宋体" w:eastAsia="宋体" w:cs="宋体"/>
          <w:color w:val="auto"/>
          <w:spacing w:val="-7"/>
          <w:sz w:val="24"/>
          <w:szCs w:val="24"/>
          <w:highlight w:val="none"/>
        </w:rPr>
        <w:t>还投标保证金的其他情形，我方承担保证责任。收到你方书面通知后，我方在7日</w:t>
      </w:r>
      <w:r>
        <w:rPr>
          <w:rFonts w:hint="eastAsia" w:ascii="宋体" w:hAnsi="宋体" w:eastAsia="宋体" w:cs="宋体"/>
          <w:color w:val="auto"/>
          <w:spacing w:val="1"/>
          <w:sz w:val="24"/>
          <w:szCs w:val="24"/>
          <w:highlight w:val="none"/>
        </w:rPr>
        <w:t>内向你方无条件支付人民币（大写）</w:t>
      </w:r>
      <w:r>
        <w:rPr>
          <w:rFonts w:hint="eastAsia" w:ascii="宋体" w:hAnsi="宋体" w:eastAsia="宋体" w:cs="宋体"/>
          <w:color w:val="auto"/>
          <w:sz w:val="24"/>
          <w:szCs w:val="24"/>
          <w:highlight w:val="none"/>
        </w:rPr>
        <w:t>元。</w:t>
      </w:r>
    </w:p>
    <w:p w14:paraId="546B353B">
      <w:pPr>
        <w:spacing w:before="1" w:line="345" w:lineRule="auto"/>
        <w:ind w:left="252" w:right="209" w:firstLine="47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本保函在投标有效期或经延长的投标有效期内保持有效。要求</w:t>
      </w:r>
      <w:r>
        <w:rPr>
          <w:rFonts w:hint="eastAsia" w:ascii="宋体" w:hAnsi="宋体" w:eastAsia="宋体" w:cs="宋体"/>
          <w:color w:val="auto"/>
          <w:spacing w:val="-4"/>
          <w:sz w:val="24"/>
          <w:szCs w:val="24"/>
          <w:highlight w:val="none"/>
        </w:rPr>
        <w:t>我方承担保证</w:t>
      </w:r>
      <w:r>
        <w:rPr>
          <w:rFonts w:hint="eastAsia" w:ascii="宋体" w:hAnsi="宋体" w:eastAsia="宋体" w:cs="宋体"/>
          <w:color w:val="auto"/>
          <w:spacing w:val="-8"/>
          <w:sz w:val="24"/>
          <w:szCs w:val="24"/>
          <w:highlight w:val="none"/>
        </w:rPr>
        <w:t>责任的通知应在上述期限内送达我方。你方延长投标有效期的决定，应通知我方。</w:t>
      </w:r>
    </w:p>
    <w:p w14:paraId="1DB11BC7">
      <w:pPr>
        <w:pStyle w:val="4"/>
        <w:spacing w:line="448" w:lineRule="auto"/>
        <w:rPr>
          <w:rFonts w:hint="eastAsia" w:ascii="宋体" w:hAnsi="宋体" w:eastAsia="宋体" w:cs="宋体"/>
          <w:color w:val="auto"/>
          <w:highlight w:val="none"/>
        </w:rPr>
      </w:pPr>
    </w:p>
    <w:p w14:paraId="3A9DC316">
      <w:pPr>
        <w:spacing w:before="79" w:line="219" w:lineRule="auto"/>
        <w:ind w:left="288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担保人名称</w:t>
      </w:r>
      <w:r>
        <w:rPr>
          <w:rFonts w:hint="eastAsia" w:ascii="宋体" w:hAnsi="宋体" w:eastAsia="宋体" w:cs="宋体"/>
          <w:color w:val="auto"/>
          <w:spacing w:val="-16"/>
          <w:sz w:val="24"/>
          <w:szCs w:val="24"/>
          <w:highlight w:val="none"/>
        </w:rPr>
        <w:t>：（</w:t>
      </w:r>
      <w:r>
        <w:rPr>
          <w:rFonts w:hint="eastAsia" w:ascii="宋体" w:hAnsi="宋体" w:eastAsia="宋体" w:cs="宋体"/>
          <w:color w:val="auto"/>
          <w:spacing w:val="2"/>
          <w:sz w:val="24"/>
          <w:szCs w:val="24"/>
          <w:highlight w:val="none"/>
        </w:rPr>
        <w:t>盖单位章）</w:t>
      </w:r>
    </w:p>
    <w:p w14:paraId="71F450C2">
      <w:pPr>
        <w:spacing w:before="160" w:line="219" w:lineRule="auto"/>
        <w:ind w:left="288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法定代表人或其委托代理人</w:t>
      </w:r>
      <w:r>
        <w:rPr>
          <w:rFonts w:hint="eastAsia" w:ascii="宋体" w:hAnsi="宋体" w:eastAsia="宋体" w:cs="宋体"/>
          <w:color w:val="auto"/>
          <w:spacing w:val="-13"/>
          <w:sz w:val="24"/>
          <w:szCs w:val="24"/>
          <w:highlight w:val="none"/>
        </w:rPr>
        <w:t>：（</w:t>
      </w:r>
      <w:r>
        <w:rPr>
          <w:rFonts w:hint="eastAsia" w:ascii="宋体" w:hAnsi="宋体" w:eastAsia="宋体" w:cs="宋体"/>
          <w:color w:val="auto"/>
          <w:spacing w:val="1"/>
          <w:sz w:val="24"/>
          <w:szCs w:val="24"/>
          <w:highlight w:val="none"/>
        </w:rPr>
        <w:t>签字）</w:t>
      </w:r>
    </w:p>
    <w:p w14:paraId="255EA9D2">
      <w:pPr>
        <w:spacing w:before="161" w:line="229" w:lineRule="auto"/>
        <w:ind w:left="2881"/>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7"/>
          <w:sz w:val="24"/>
          <w:szCs w:val="24"/>
          <w:highlight w:val="none"/>
        </w:rPr>
        <w:t>地址：</w:t>
      </w:r>
    </w:p>
    <w:p w14:paraId="6E4BED73">
      <w:pPr>
        <w:spacing w:before="149" w:line="219" w:lineRule="auto"/>
        <w:ind w:left="2954"/>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6"/>
          <w:sz w:val="24"/>
          <w:szCs w:val="24"/>
          <w:highlight w:val="none"/>
        </w:rPr>
        <w:t>邮政编码：</w:t>
      </w:r>
    </w:p>
    <w:p w14:paraId="65BF9747">
      <w:pPr>
        <w:spacing w:before="162" w:line="221" w:lineRule="auto"/>
        <w:ind w:left="2964"/>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6"/>
          <w:sz w:val="24"/>
          <w:szCs w:val="24"/>
          <w:highlight w:val="none"/>
        </w:rPr>
        <w:t>电话：</w:t>
      </w:r>
    </w:p>
    <w:p w14:paraId="65D08A2A">
      <w:pPr>
        <w:spacing w:before="156" w:line="219" w:lineRule="auto"/>
        <w:ind w:left="2934"/>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0"/>
          <w:sz w:val="24"/>
          <w:szCs w:val="24"/>
          <w:highlight w:val="none"/>
        </w:rPr>
        <w:t>传真：</w:t>
      </w:r>
    </w:p>
    <w:p w14:paraId="2C7EDA61">
      <w:pPr>
        <w:tabs>
          <w:tab w:val="left" w:pos="5940"/>
        </w:tabs>
        <w:spacing w:before="157" w:line="220" w:lineRule="auto"/>
        <w:ind w:left="5101"/>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u w:val="single" w:color="auto"/>
        </w:rPr>
        <w:tab/>
      </w:r>
      <w:r>
        <w:rPr>
          <w:rFonts w:hint="eastAsia" w:ascii="宋体" w:hAnsi="宋体" w:eastAsia="宋体" w:cs="宋体"/>
          <w:color w:val="auto"/>
          <w:spacing w:val="-5"/>
          <w:sz w:val="22"/>
          <w:szCs w:val="22"/>
          <w:highlight w:val="none"/>
        </w:rPr>
        <w:t>年月日</w:t>
      </w:r>
    </w:p>
    <w:p w14:paraId="0A18F019">
      <w:pPr>
        <w:spacing w:line="220" w:lineRule="auto"/>
        <w:rPr>
          <w:rFonts w:hint="eastAsia" w:ascii="宋体" w:hAnsi="宋体" w:eastAsia="宋体" w:cs="宋体"/>
          <w:color w:val="auto"/>
          <w:sz w:val="22"/>
          <w:szCs w:val="22"/>
          <w:highlight w:val="none"/>
        </w:rPr>
        <w:sectPr>
          <w:headerReference r:id="rId241" w:type="default"/>
          <w:footerReference r:id="rId242" w:type="default"/>
          <w:pgSz w:w="11907" w:h="16840"/>
          <w:pgMar w:top="1182" w:right="1290" w:bottom="1014" w:left="1786" w:header="849" w:footer="852" w:gutter="0"/>
          <w:pgNumType w:fmt="decimal"/>
          <w:cols w:space="720" w:num="1"/>
        </w:sectPr>
      </w:pPr>
    </w:p>
    <w:p w14:paraId="367323A6">
      <w:pPr>
        <w:pStyle w:val="4"/>
        <w:spacing w:line="281" w:lineRule="auto"/>
        <w:rPr>
          <w:rFonts w:hint="eastAsia" w:ascii="宋体" w:hAnsi="宋体" w:eastAsia="宋体" w:cs="宋体"/>
          <w:color w:val="auto"/>
          <w:highlight w:val="none"/>
        </w:rPr>
      </w:pPr>
    </w:p>
    <w:p w14:paraId="2B39DE7A">
      <w:pPr>
        <w:pStyle w:val="4"/>
        <w:spacing w:line="282" w:lineRule="auto"/>
        <w:rPr>
          <w:rFonts w:hint="eastAsia" w:ascii="宋体" w:hAnsi="宋体" w:eastAsia="宋体" w:cs="宋体"/>
          <w:color w:val="auto"/>
          <w:highlight w:val="none"/>
        </w:rPr>
      </w:pPr>
    </w:p>
    <w:p w14:paraId="1D64B895">
      <w:pPr>
        <w:spacing w:before="91" w:line="221" w:lineRule="auto"/>
        <w:ind w:left="3904"/>
        <w:rPr>
          <w:rFonts w:hint="eastAsia" w:ascii="宋体" w:hAnsi="宋体" w:eastAsia="宋体" w:cs="宋体"/>
          <w:color w:val="auto"/>
          <w:sz w:val="28"/>
          <w:szCs w:val="28"/>
          <w:highlight w:val="none"/>
        </w:rPr>
      </w:pPr>
      <w:r>
        <w:rPr>
          <w:rFonts w:hint="eastAsia" w:ascii="宋体" w:hAnsi="宋体" w:eastAsia="宋体" w:cs="宋体"/>
          <w:color w:val="auto"/>
          <w:spacing w:val="-11"/>
          <w:sz w:val="28"/>
          <w:szCs w:val="28"/>
          <w:highlight w:val="none"/>
        </w:rPr>
        <w:t>电子保函</w:t>
      </w:r>
    </w:p>
    <w:p w14:paraId="653D5BE5">
      <w:pPr>
        <w:pStyle w:val="4"/>
        <w:spacing w:line="335" w:lineRule="auto"/>
        <w:rPr>
          <w:rFonts w:hint="eastAsia" w:ascii="宋体" w:hAnsi="宋体" w:eastAsia="宋体" w:cs="宋体"/>
          <w:color w:val="auto"/>
          <w:highlight w:val="none"/>
        </w:rPr>
      </w:pPr>
    </w:p>
    <w:p w14:paraId="5E4CE86C">
      <w:pPr>
        <w:pStyle w:val="4"/>
        <w:spacing w:line="336" w:lineRule="auto"/>
        <w:rPr>
          <w:rFonts w:hint="eastAsia" w:ascii="宋体" w:hAnsi="宋体" w:eastAsia="宋体" w:cs="宋体"/>
          <w:color w:val="auto"/>
          <w:highlight w:val="none"/>
        </w:rPr>
      </w:pPr>
    </w:p>
    <w:p w14:paraId="437492C4">
      <w:pPr>
        <w:tabs>
          <w:tab w:val="left" w:pos="1880"/>
        </w:tabs>
        <w:spacing w:before="65" w:line="228" w:lineRule="auto"/>
        <w:ind w:left="1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auto"/>
        </w:rPr>
        <w:tab/>
      </w:r>
      <w:r>
        <w:rPr>
          <w:rFonts w:hint="eastAsia" w:ascii="宋体" w:hAnsi="宋体" w:eastAsia="宋体" w:cs="宋体"/>
          <w:color w:val="auto"/>
          <w:spacing w:val="9"/>
          <w:sz w:val="24"/>
          <w:szCs w:val="24"/>
          <w:highlight w:val="none"/>
        </w:rPr>
        <w:t>（招标人名称</w:t>
      </w:r>
      <w:r>
        <w:rPr>
          <w:rFonts w:hint="eastAsia" w:ascii="宋体" w:hAnsi="宋体" w:eastAsia="宋体" w:cs="宋体"/>
          <w:color w:val="auto"/>
          <w:spacing w:val="1"/>
          <w:sz w:val="24"/>
          <w:szCs w:val="24"/>
          <w:highlight w:val="none"/>
        </w:rPr>
        <w:t>）：</w:t>
      </w:r>
    </w:p>
    <w:p w14:paraId="3E10E718">
      <w:pPr>
        <w:spacing w:before="160" w:line="378" w:lineRule="auto"/>
        <w:ind w:left="18" w:firstLine="420"/>
        <w:jc w:val="both"/>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根据你方招标发包的（项</w:t>
      </w:r>
      <w:r>
        <w:rPr>
          <w:rFonts w:hint="eastAsia" w:ascii="宋体" w:hAnsi="宋体" w:eastAsia="宋体" w:cs="宋体"/>
          <w:color w:val="auto"/>
          <w:spacing w:val="5"/>
          <w:sz w:val="24"/>
          <w:szCs w:val="24"/>
          <w:highlight w:val="none"/>
        </w:rPr>
        <w:t>目名称）</w:t>
      </w:r>
      <w:r>
        <w:rPr>
          <w:rFonts w:hint="eastAsia" w:ascii="宋体" w:hAnsi="宋体" w:eastAsia="宋体" w:cs="宋体"/>
          <w:color w:val="auto"/>
          <w:position w:val="-3"/>
          <w:sz w:val="24"/>
          <w:szCs w:val="24"/>
          <w:highlight w:val="none"/>
        </w:rPr>
        <w:drawing>
          <wp:inline distT="0" distB="0" distL="0" distR="0">
            <wp:extent cx="3175" cy="5715"/>
            <wp:effectExtent l="0" t="0" r="0" b="0"/>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r:embed="rId318"/>
                    <a:stretch>
                      <a:fillRect/>
                    </a:stretch>
                  </pic:blipFill>
                  <pic:spPr>
                    <a:xfrm>
                      <a:off x="0" y="0"/>
                      <a:ext cx="3175" cy="6095"/>
                    </a:xfrm>
                    <a:prstGeom prst="rect">
                      <a:avLst/>
                    </a:prstGeom>
                  </pic:spPr>
                </pic:pic>
              </a:graphicData>
            </a:graphic>
          </wp:inline>
        </w:drawing>
      </w:r>
      <w:r>
        <w:rPr>
          <w:rFonts w:hint="eastAsia" w:ascii="宋体" w:hAnsi="宋体" w:eastAsia="宋体" w:cs="宋体"/>
          <w:color w:val="auto"/>
          <w:spacing w:val="4"/>
          <w:sz w:val="24"/>
          <w:szCs w:val="24"/>
          <w:highlight w:val="none"/>
        </w:rPr>
        <w:t>（标段名称</w:t>
      </w:r>
      <w:r>
        <w:rPr>
          <w:rFonts w:hint="eastAsia" w:ascii="宋体" w:hAnsi="宋体" w:eastAsia="宋体" w:cs="宋体"/>
          <w:color w:val="auto"/>
          <w:spacing w:val="25"/>
          <w:sz w:val="24"/>
          <w:szCs w:val="24"/>
          <w:highlight w:val="none"/>
        </w:rPr>
        <w:t>），</w:t>
      </w:r>
      <w:r>
        <w:rPr>
          <w:rFonts w:hint="eastAsia" w:ascii="宋体" w:hAnsi="宋体" w:eastAsia="宋体" w:cs="宋体"/>
          <w:color w:val="auto"/>
          <w:spacing w:val="4"/>
          <w:sz w:val="24"/>
          <w:szCs w:val="24"/>
          <w:highlight w:val="none"/>
        </w:rPr>
        <w:t>需缴纳投标保证金金额人民币（大写）元(¥),我方以电</w:t>
      </w:r>
      <w:r>
        <w:rPr>
          <w:rFonts w:hint="eastAsia" w:ascii="宋体" w:hAnsi="宋体" w:eastAsia="宋体" w:cs="宋体"/>
          <w:color w:val="auto"/>
          <w:spacing w:val="10"/>
          <w:sz w:val="24"/>
          <w:szCs w:val="24"/>
          <w:highlight w:val="none"/>
        </w:rPr>
        <w:t>子保函方式缴纳保证金（见电子保函投保证</w:t>
      </w:r>
      <w:r>
        <w:rPr>
          <w:rFonts w:hint="eastAsia" w:ascii="宋体" w:hAnsi="宋体" w:eastAsia="宋体" w:cs="宋体"/>
          <w:color w:val="auto"/>
          <w:spacing w:val="9"/>
          <w:sz w:val="24"/>
          <w:szCs w:val="24"/>
          <w:highlight w:val="none"/>
        </w:rPr>
        <w:t>明</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9"/>
          <w:sz w:val="24"/>
          <w:szCs w:val="24"/>
          <w:highlight w:val="none"/>
        </w:rPr>
        <w:t>在投标文件的有效期内，如我方有违反招标文件规定的有关没收投标保证金条款的事实，保函受益人可直接向电子保函出具机构索赔。</w:t>
      </w:r>
    </w:p>
    <w:p w14:paraId="5DF6A6A3">
      <w:pPr>
        <w:spacing w:before="216"/>
        <w:rPr>
          <w:rFonts w:hint="eastAsia" w:ascii="宋体" w:hAnsi="宋体" w:eastAsia="宋体" w:cs="宋体"/>
          <w:color w:val="auto"/>
          <w:sz w:val="24"/>
          <w:szCs w:val="24"/>
          <w:highlight w:val="none"/>
        </w:rPr>
      </w:pPr>
    </w:p>
    <w:tbl>
      <w:tblPr>
        <w:tblStyle w:val="24"/>
        <w:tblW w:w="7867" w:type="dxa"/>
        <w:tblInd w:w="268"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7867"/>
      </w:tblGrid>
      <w:tr w14:paraId="43E00304">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5786" w:hRule="atLeast"/>
        </w:trPr>
        <w:tc>
          <w:tcPr>
            <w:tcW w:w="7867" w:type="dxa"/>
            <w:vAlign w:val="top"/>
          </w:tcPr>
          <w:p w14:paraId="513DB68F">
            <w:pPr>
              <w:pStyle w:val="25"/>
              <w:spacing w:before="109" w:line="228" w:lineRule="auto"/>
              <w:ind w:left="161"/>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投标人电子保函投保证明扫描件粘贴处：</w:t>
            </w:r>
          </w:p>
        </w:tc>
      </w:tr>
    </w:tbl>
    <w:p w14:paraId="41CDFEA5">
      <w:pPr>
        <w:pStyle w:val="4"/>
        <w:rPr>
          <w:rFonts w:hint="eastAsia" w:ascii="宋体" w:hAnsi="宋体" w:eastAsia="宋体" w:cs="宋体"/>
          <w:color w:val="auto"/>
          <w:highlight w:val="none"/>
        </w:rPr>
      </w:pPr>
    </w:p>
    <w:p w14:paraId="249D147E">
      <w:pPr>
        <w:rPr>
          <w:rFonts w:hint="eastAsia" w:ascii="宋体" w:hAnsi="宋体" w:eastAsia="宋体" w:cs="宋体"/>
          <w:color w:val="auto"/>
          <w:highlight w:val="none"/>
        </w:rPr>
        <w:sectPr>
          <w:footerReference r:id="rId243" w:type="default"/>
          <w:pgSz w:w="11907" w:h="16840"/>
          <w:pgMar w:top="1182" w:right="1290" w:bottom="1014" w:left="1786" w:header="849" w:footer="852" w:gutter="0"/>
          <w:pgNumType w:fmt="decimal"/>
          <w:cols w:space="720" w:num="1"/>
        </w:sectPr>
      </w:pPr>
    </w:p>
    <w:p w14:paraId="02CC56F4">
      <w:pPr>
        <w:pStyle w:val="4"/>
        <w:spacing w:line="275" w:lineRule="auto"/>
        <w:rPr>
          <w:rFonts w:hint="eastAsia" w:ascii="宋体" w:hAnsi="宋体" w:eastAsia="宋体" w:cs="宋体"/>
          <w:color w:val="auto"/>
          <w:highlight w:val="none"/>
        </w:rPr>
      </w:pPr>
    </w:p>
    <w:p w14:paraId="5C2809F5">
      <w:pPr>
        <w:pStyle w:val="4"/>
        <w:spacing w:line="275" w:lineRule="auto"/>
        <w:rPr>
          <w:rFonts w:hint="eastAsia" w:ascii="宋体" w:hAnsi="宋体" w:eastAsia="宋体" w:cs="宋体"/>
          <w:color w:val="auto"/>
          <w:highlight w:val="none"/>
        </w:rPr>
      </w:pPr>
    </w:p>
    <w:p w14:paraId="181B0253">
      <w:pPr>
        <w:pStyle w:val="4"/>
        <w:spacing w:line="276" w:lineRule="auto"/>
        <w:rPr>
          <w:rFonts w:hint="eastAsia" w:ascii="宋体" w:hAnsi="宋体" w:eastAsia="宋体" w:cs="宋体"/>
          <w:color w:val="auto"/>
          <w:highlight w:val="none"/>
        </w:rPr>
      </w:pPr>
    </w:p>
    <w:p w14:paraId="41C1B701">
      <w:pPr>
        <w:spacing w:before="91" w:line="222" w:lineRule="auto"/>
        <w:ind w:left="3289"/>
        <w:outlineLvl w:val="1"/>
        <w:rPr>
          <w:rFonts w:hint="eastAsia" w:ascii="宋体" w:hAnsi="宋体" w:eastAsia="宋体" w:cs="宋体"/>
          <w:color w:val="auto"/>
          <w:sz w:val="28"/>
          <w:szCs w:val="28"/>
          <w:highlight w:val="none"/>
        </w:rPr>
      </w:pPr>
      <w:bookmarkStart w:id="875" w:name="_Toc21404"/>
      <w:bookmarkStart w:id="876" w:name="_Toc17037"/>
      <w:bookmarkStart w:id="877" w:name="_Toc17970"/>
      <w:bookmarkStart w:id="878" w:name="_Toc10076"/>
      <w:bookmarkStart w:id="879" w:name="_Toc21385"/>
      <w:r>
        <w:rPr>
          <w:rFonts w:hint="eastAsia" w:ascii="宋体" w:hAnsi="宋体" w:eastAsia="宋体" w:cs="宋体"/>
          <w:color w:val="auto"/>
          <w:spacing w:val="-3"/>
          <w:sz w:val="28"/>
          <w:szCs w:val="28"/>
          <w:highlight w:val="none"/>
        </w:rPr>
        <w:t>五、施工组织设计</w:t>
      </w:r>
      <w:bookmarkEnd w:id="875"/>
      <w:bookmarkEnd w:id="876"/>
      <w:bookmarkEnd w:id="877"/>
      <w:bookmarkEnd w:id="878"/>
      <w:bookmarkEnd w:id="879"/>
    </w:p>
    <w:p w14:paraId="49C8536A">
      <w:pPr>
        <w:spacing w:before="260" w:line="226" w:lineRule="auto"/>
        <w:ind w:left="2204"/>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（适用于合理低价法和经评审的最低投标价法）</w:t>
      </w:r>
    </w:p>
    <w:p w14:paraId="59368B3B">
      <w:pPr>
        <w:pStyle w:val="4"/>
        <w:spacing w:line="255" w:lineRule="auto"/>
        <w:rPr>
          <w:rFonts w:hint="eastAsia" w:ascii="宋体" w:hAnsi="宋体" w:eastAsia="宋体" w:cs="宋体"/>
          <w:color w:val="auto"/>
          <w:highlight w:val="none"/>
        </w:rPr>
      </w:pPr>
    </w:p>
    <w:p w14:paraId="7B91E079">
      <w:pPr>
        <w:pStyle w:val="4"/>
        <w:spacing w:line="255" w:lineRule="auto"/>
        <w:rPr>
          <w:rFonts w:hint="eastAsia" w:ascii="宋体" w:hAnsi="宋体" w:eastAsia="宋体" w:cs="宋体"/>
          <w:color w:val="auto"/>
          <w:highlight w:val="none"/>
        </w:rPr>
      </w:pPr>
    </w:p>
    <w:p w14:paraId="6BC0E74B">
      <w:pPr>
        <w:spacing w:before="78" w:line="219" w:lineRule="auto"/>
        <w:ind w:left="72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投标人应按以下要点编制施工组织设计（文字宜精炼、内容具有针对性</w:t>
      </w:r>
      <w:r>
        <w:rPr>
          <w:rFonts w:hint="eastAsia" w:ascii="宋体" w:hAnsi="宋体" w:eastAsia="宋体" w:cs="宋体"/>
          <w:color w:val="auto"/>
          <w:spacing w:val="-58"/>
          <w:w w:val="91"/>
          <w:sz w:val="24"/>
          <w:szCs w:val="24"/>
          <w:highlight w:val="none"/>
        </w:rPr>
        <w:t>：）</w:t>
      </w:r>
    </w:p>
    <w:p w14:paraId="1FD8DCA5">
      <w:pPr>
        <w:spacing w:before="159" w:line="219" w:lineRule="auto"/>
        <w:ind w:left="74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1.总体施工组织布置及规划</w:t>
      </w:r>
    </w:p>
    <w:p w14:paraId="6C4F5D50">
      <w:pPr>
        <w:spacing w:before="157" w:line="220" w:lineRule="auto"/>
        <w:ind w:left="71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2.重点、关键和难点工程的施工方案</w:t>
      </w:r>
    </w:p>
    <w:p w14:paraId="6C903826">
      <w:pPr>
        <w:spacing w:before="160" w:line="219" w:lineRule="auto"/>
        <w:ind w:left="72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3.工期关键线路图及保证措施</w:t>
      </w:r>
    </w:p>
    <w:p w14:paraId="0FB834F3">
      <w:pPr>
        <w:spacing w:before="159" w:line="220" w:lineRule="auto"/>
        <w:ind w:left="71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4.关键工程质量保证措施</w:t>
      </w:r>
    </w:p>
    <w:p w14:paraId="56008A3B">
      <w:pPr>
        <w:spacing w:before="156" w:line="220" w:lineRule="auto"/>
        <w:ind w:left="726"/>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5.安全保证措施</w:t>
      </w:r>
    </w:p>
    <w:p w14:paraId="65223A7E">
      <w:pPr>
        <w:spacing w:before="161" w:line="219" w:lineRule="auto"/>
        <w:ind w:left="72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6.环境保护、水土保持、文明施工、文物保护保证措施</w:t>
      </w:r>
    </w:p>
    <w:p w14:paraId="7736DB0C">
      <w:pPr>
        <w:spacing w:before="159" w:line="220" w:lineRule="auto"/>
        <w:ind w:left="72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7.项目风险预测与防范，事故应急预案</w:t>
      </w:r>
    </w:p>
    <w:p w14:paraId="74E922B0">
      <w:pPr>
        <w:spacing w:before="156" w:line="219" w:lineRule="auto"/>
        <w:ind w:left="72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8.其他应说明的事项</w:t>
      </w:r>
    </w:p>
    <w:p w14:paraId="2543134F">
      <w:pPr>
        <w:spacing w:line="219" w:lineRule="auto"/>
        <w:rPr>
          <w:rFonts w:hint="eastAsia" w:ascii="宋体" w:hAnsi="宋体" w:eastAsia="宋体" w:cs="宋体"/>
          <w:color w:val="auto"/>
          <w:sz w:val="24"/>
          <w:szCs w:val="24"/>
          <w:highlight w:val="none"/>
        </w:rPr>
        <w:sectPr>
          <w:footerReference r:id="rId244" w:type="default"/>
          <w:pgSz w:w="11907" w:h="16840"/>
          <w:pgMar w:top="1182" w:right="1290" w:bottom="1014" w:left="1786" w:header="849" w:footer="852" w:gutter="0"/>
          <w:pgNumType w:fmt="decimal"/>
          <w:cols w:space="720" w:num="1"/>
        </w:sectPr>
      </w:pPr>
    </w:p>
    <w:p w14:paraId="009F6845">
      <w:pPr>
        <w:pStyle w:val="4"/>
        <w:spacing w:line="314" w:lineRule="auto"/>
        <w:rPr>
          <w:rFonts w:hint="eastAsia" w:ascii="宋体" w:hAnsi="宋体" w:eastAsia="宋体" w:cs="宋体"/>
          <w:color w:val="auto"/>
          <w:highlight w:val="none"/>
        </w:rPr>
      </w:pPr>
    </w:p>
    <w:p w14:paraId="16AB7CC9">
      <w:pPr>
        <w:pStyle w:val="4"/>
        <w:spacing w:line="314" w:lineRule="auto"/>
        <w:rPr>
          <w:rFonts w:hint="eastAsia" w:ascii="宋体" w:hAnsi="宋体" w:eastAsia="宋体" w:cs="宋体"/>
          <w:color w:val="auto"/>
          <w:highlight w:val="none"/>
        </w:rPr>
      </w:pPr>
    </w:p>
    <w:p w14:paraId="4701FAE6">
      <w:pPr>
        <w:spacing w:before="91" w:line="222" w:lineRule="auto"/>
        <w:ind w:left="3670"/>
        <w:outlineLvl w:val="1"/>
        <w:rPr>
          <w:rFonts w:hint="eastAsia" w:ascii="宋体" w:hAnsi="宋体" w:eastAsia="宋体" w:cs="宋体"/>
          <w:color w:val="auto"/>
          <w:sz w:val="28"/>
          <w:szCs w:val="28"/>
          <w:highlight w:val="none"/>
        </w:rPr>
      </w:pPr>
      <w:bookmarkStart w:id="880" w:name="_Toc279"/>
      <w:bookmarkStart w:id="881" w:name="_Toc6983"/>
      <w:bookmarkStart w:id="882" w:name="_Toc19891"/>
      <w:bookmarkStart w:id="883" w:name="_Toc24754"/>
      <w:bookmarkStart w:id="884" w:name="_Toc2171"/>
      <w:r>
        <w:rPr>
          <w:rFonts w:hint="eastAsia" w:ascii="宋体" w:hAnsi="宋体" w:eastAsia="宋体" w:cs="宋体"/>
          <w:color w:val="auto"/>
          <w:spacing w:val="-3"/>
          <w:sz w:val="28"/>
          <w:szCs w:val="28"/>
          <w:highlight w:val="none"/>
        </w:rPr>
        <w:t>五、施工组织设计</w:t>
      </w:r>
      <w:bookmarkEnd w:id="880"/>
      <w:bookmarkEnd w:id="881"/>
      <w:bookmarkEnd w:id="882"/>
      <w:bookmarkEnd w:id="883"/>
      <w:bookmarkEnd w:id="884"/>
    </w:p>
    <w:p w14:paraId="3DA2F5DE">
      <w:pPr>
        <w:spacing w:before="260" w:line="226" w:lineRule="auto"/>
        <w:ind w:left="2693"/>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（适用于技术评分最低标价法和综合评分法）</w:t>
      </w:r>
    </w:p>
    <w:p w14:paraId="21DCDFBA">
      <w:pPr>
        <w:pStyle w:val="4"/>
        <w:spacing w:line="256" w:lineRule="auto"/>
        <w:rPr>
          <w:rFonts w:hint="eastAsia" w:ascii="宋体" w:hAnsi="宋体" w:eastAsia="宋体" w:cs="宋体"/>
          <w:color w:val="auto"/>
          <w:highlight w:val="none"/>
        </w:rPr>
      </w:pPr>
    </w:p>
    <w:p w14:paraId="0B821462">
      <w:pPr>
        <w:pStyle w:val="4"/>
        <w:spacing w:line="257" w:lineRule="auto"/>
        <w:rPr>
          <w:rFonts w:hint="eastAsia" w:ascii="宋体" w:hAnsi="宋体" w:eastAsia="宋体" w:cs="宋体"/>
          <w:color w:val="auto"/>
          <w:highlight w:val="none"/>
        </w:rPr>
      </w:pPr>
    </w:p>
    <w:p w14:paraId="7078CFE9">
      <w:pPr>
        <w:spacing w:before="78" w:line="219" w:lineRule="auto"/>
        <w:ind w:left="42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1.投标人应按以下要点编制施工组织设计（文字宜精炼、内容具有针对性</w:t>
      </w:r>
      <w:r>
        <w:rPr>
          <w:rFonts w:hint="eastAsia" w:ascii="宋体" w:hAnsi="宋体" w:eastAsia="宋体" w:cs="宋体"/>
          <w:color w:val="auto"/>
          <w:spacing w:val="-56"/>
          <w:w w:val="87"/>
          <w:sz w:val="24"/>
          <w:szCs w:val="24"/>
          <w:highlight w:val="none"/>
        </w:rPr>
        <w:t>：）</w:t>
      </w:r>
    </w:p>
    <w:p w14:paraId="12D62809">
      <w:pPr>
        <w:spacing w:before="156" w:line="219" w:lineRule="auto"/>
        <w:ind w:left="41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（1）总体施工组织布置及规划</w:t>
      </w:r>
    </w:p>
    <w:p w14:paraId="11326D2A">
      <w:pPr>
        <w:spacing w:before="159" w:line="230" w:lineRule="auto"/>
        <w:ind w:right="56" w:firstLine="41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（2）主要工程项目的施工方案、方法与技术措施（尤其对重点、关键和难点工程的施工方案、方法及措施）</w:t>
      </w:r>
    </w:p>
    <w:p w14:paraId="0418A3CE">
      <w:pPr>
        <w:spacing w:before="26" w:line="220" w:lineRule="auto"/>
        <w:ind w:left="41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（3）工期保证体系及保证措施</w:t>
      </w:r>
    </w:p>
    <w:p w14:paraId="7F1ECE62">
      <w:pPr>
        <w:spacing w:before="149" w:line="219" w:lineRule="auto"/>
        <w:ind w:left="41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（4）工程质量管理体系及保证措施</w:t>
      </w:r>
    </w:p>
    <w:p w14:paraId="42C7E603">
      <w:pPr>
        <w:spacing w:before="159" w:line="219" w:lineRule="auto"/>
        <w:ind w:left="41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（5）安全生产管理体系及保证措施</w:t>
      </w:r>
    </w:p>
    <w:p w14:paraId="08CF3D2C">
      <w:pPr>
        <w:spacing w:before="159" w:line="219" w:lineRule="auto"/>
        <w:ind w:left="41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（6）环境保护、水土保持保证体系及保证措施</w:t>
      </w:r>
    </w:p>
    <w:p w14:paraId="3C7D7A4E">
      <w:pPr>
        <w:spacing w:before="157" w:line="219" w:lineRule="auto"/>
        <w:ind w:left="41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（7）文明施工、文物保护保证体系及保证措施</w:t>
      </w:r>
    </w:p>
    <w:p w14:paraId="4703043B">
      <w:pPr>
        <w:spacing w:before="162" w:line="220" w:lineRule="auto"/>
        <w:ind w:left="41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（8）项目风险预测与防范，事故应急预案</w:t>
      </w:r>
    </w:p>
    <w:p w14:paraId="329AA9B3">
      <w:pPr>
        <w:spacing w:before="158" w:line="219" w:lineRule="auto"/>
        <w:ind w:left="41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（9）其他应说明的事项</w:t>
      </w:r>
    </w:p>
    <w:p w14:paraId="7E526EF0">
      <w:pPr>
        <w:spacing w:before="156" w:line="219" w:lineRule="auto"/>
        <w:ind w:left="40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2.施工组织设计除采用文字表述外可附下</w:t>
      </w:r>
      <w:r>
        <w:rPr>
          <w:rFonts w:hint="eastAsia" w:ascii="宋体" w:hAnsi="宋体" w:eastAsia="宋体" w:cs="宋体"/>
          <w:color w:val="auto"/>
          <w:spacing w:val="-1"/>
          <w:sz w:val="24"/>
          <w:szCs w:val="24"/>
          <w:highlight w:val="none"/>
        </w:rPr>
        <w:t>列图表，图表及格式要求附后。</w:t>
      </w:r>
    </w:p>
    <w:p w14:paraId="0E4F5073">
      <w:pPr>
        <w:spacing w:before="294" w:line="219" w:lineRule="auto"/>
        <w:ind w:left="638"/>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附表一施工总体计划表</w:t>
      </w:r>
    </w:p>
    <w:p w14:paraId="186D185A">
      <w:pPr>
        <w:spacing w:before="164" w:line="219" w:lineRule="auto"/>
        <w:ind w:left="638"/>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附表二分项工程进度率计划（斜率图）</w:t>
      </w:r>
    </w:p>
    <w:p w14:paraId="6036B8EF">
      <w:pPr>
        <w:spacing w:before="159" w:line="219" w:lineRule="auto"/>
        <w:ind w:left="638"/>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附表三工程管理曲线</w:t>
      </w:r>
    </w:p>
    <w:p w14:paraId="78A51743">
      <w:pPr>
        <w:spacing w:before="159" w:line="219" w:lineRule="auto"/>
        <w:ind w:left="638"/>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附表四分项工程生产率和施工周期表</w:t>
      </w:r>
    </w:p>
    <w:p w14:paraId="5E2CCF87">
      <w:pPr>
        <w:spacing w:before="162" w:line="219" w:lineRule="auto"/>
        <w:ind w:left="638"/>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附表五施工总平面图</w:t>
      </w:r>
    </w:p>
    <w:p w14:paraId="7219EDA8">
      <w:pPr>
        <w:spacing w:before="159" w:line="219" w:lineRule="auto"/>
        <w:ind w:left="638"/>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附表六劳动力计划表</w:t>
      </w:r>
    </w:p>
    <w:p w14:paraId="01416220">
      <w:pPr>
        <w:spacing w:before="162" w:line="219" w:lineRule="auto"/>
        <w:ind w:left="638"/>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附表七临时占地计划表</w:t>
      </w:r>
    </w:p>
    <w:p w14:paraId="15BFBFCD">
      <w:pPr>
        <w:spacing w:before="164" w:line="219" w:lineRule="auto"/>
        <w:ind w:left="638"/>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附表八外供电力需求计划表</w:t>
      </w:r>
    </w:p>
    <w:p w14:paraId="431492DD">
      <w:pPr>
        <w:spacing w:line="219" w:lineRule="auto"/>
        <w:rPr>
          <w:rFonts w:hint="eastAsia" w:ascii="宋体" w:hAnsi="宋体" w:eastAsia="宋体" w:cs="宋体"/>
          <w:color w:val="auto"/>
          <w:sz w:val="24"/>
          <w:szCs w:val="24"/>
          <w:highlight w:val="none"/>
        </w:rPr>
        <w:sectPr>
          <w:headerReference r:id="rId245" w:type="default"/>
          <w:footerReference r:id="rId246" w:type="default"/>
          <w:pgSz w:w="11907" w:h="16840"/>
          <w:pgMar w:top="1182" w:right="1290" w:bottom="1014" w:left="1405" w:header="849" w:footer="852" w:gutter="0"/>
          <w:pgNumType w:fmt="decimal"/>
          <w:cols w:space="720" w:num="1"/>
        </w:sectPr>
      </w:pPr>
    </w:p>
    <w:p w14:paraId="2705D0A1">
      <w:pPr>
        <w:spacing w:before="290" w:line="222" w:lineRule="auto"/>
        <w:ind w:left="2986"/>
        <w:rPr>
          <w:rFonts w:hint="eastAsia" w:ascii="宋体" w:hAnsi="宋体" w:eastAsia="宋体" w:cs="宋体"/>
          <w:color w:val="auto"/>
          <w:spacing w:val="-2"/>
          <w:sz w:val="36"/>
          <w:szCs w:val="36"/>
          <w:highlight w:val="none"/>
        </w:rPr>
      </w:pPr>
    </w:p>
    <w:p w14:paraId="7AAE8052">
      <w:pPr>
        <w:spacing w:before="290" w:line="222" w:lineRule="auto"/>
        <w:ind w:left="2986"/>
        <w:rPr>
          <w:rFonts w:hint="eastAsia" w:ascii="宋体" w:hAnsi="宋体" w:eastAsia="宋体" w:cs="宋体"/>
          <w:color w:val="auto"/>
          <w:sz w:val="36"/>
          <w:szCs w:val="36"/>
          <w:highlight w:val="none"/>
        </w:rPr>
      </w:pPr>
      <w:r>
        <w:rPr>
          <w:rFonts w:hint="eastAsia" w:ascii="宋体" w:hAnsi="宋体" w:eastAsia="宋体" w:cs="宋体"/>
          <w:color w:val="auto"/>
          <w:spacing w:val="-2"/>
          <w:sz w:val="36"/>
          <w:szCs w:val="36"/>
          <w:highlight w:val="none"/>
        </w:rPr>
        <w:t>第九章投标文件格式</w:t>
      </w:r>
    </w:p>
    <w:p w14:paraId="36D761E1">
      <w:pPr>
        <w:pStyle w:val="4"/>
        <w:spacing w:line="286" w:lineRule="auto"/>
        <w:rPr>
          <w:rFonts w:hint="eastAsia" w:ascii="宋体" w:hAnsi="宋体" w:eastAsia="宋体" w:cs="宋体"/>
          <w:color w:val="auto"/>
          <w:highlight w:val="none"/>
        </w:rPr>
      </w:pPr>
    </w:p>
    <w:p w14:paraId="280B2355">
      <w:pPr>
        <w:pStyle w:val="4"/>
        <w:spacing w:line="286" w:lineRule="auto"/>
        <w:rPr>
          <w:rFonts w:hint="eastAsia" w:ascii="宋体" w:hAnsi="宋体" w:eastAsia="宋体" w:cs="宋体"/>
          <w:color w:val="auto"/>
          <w:highlight w:val="none"/>
        </w:rPr>
      </w:pPr>
      <w:r>
        <w:rPr>
          <w:rFonts w:hint="eastAsia" w:ascii="宋体" w:hAnsi="宋体" w:eastAsia="宋体" w:cs="宋体"/>
          <w:color w:val="auto"/>
          <w:highlight w:val="none"/>
        </w:rPr>
        <w:pict>
          <v:shape id="_x0000_s1036" o:spid="_x0000_s1036" style="position:absolute;left:0pt;margin-left:17.2pt;margin-top:2.6pt;height:0.5pt;width:389.95pt;z-index:251724800;mso-width-relative:page;mso-height-relative:page;" filled="f" stroked="t" coordsize="7799,10" path="m0,4l7798,4e">
            <v:fill on="f" focussize="0,0"/>
            <v:stroke weight="0.48pt" color="#000000" miterlimit="2" joinstyle="bevel"/>
            <v:imagedata o:title=""/>
            <o:lock v:ext="edit"/>
          </v:shape>
        </w:pict>
      </w:r>
    </w:p>
    <w:p w14:paraId="2B5472D9">
      <w:pPr>
        <w:spacing w:before="91" w:line="224" w:lineRule="auto"/>
        <w:ind w:left="450"/>
        <w:outlineLvl w:val="2"/>
        <w:rPr>
          <w:rFonts w:hint="eastAsia" w:ascii="宋体" w:hAnsi="宋体" w:eastAsia="宋体" w:cs="宋体"/>
          <w:color w:val="auto"/>
          <w:sz w:val="28"/>
          <w:szCs w:val="28"/>
          <w:highlight w:val="none"/>
        </w:rPr>
      </w:pPr>
      <w:bookmarkStart w:id="885" w:name="_Toc13974"/>
      <w:bookmarkStart w:id="886" w:name="_Toc9466"/>
      <w:bookmarkStart w:id="887" w:name="_Toc31513"/>
      <w:bookmarkStart w:id="888" w:name="_Toc9957"/>
      <w:bookmarkStart w:id="889" w:name="_Toc21259"/>
      <w:r>
        <w:rPr>
          <w:rFonts w:hint="eastAsia" w:ascii="宋体" w:hAnsi="宋体" w:eastAsia="宋体" w:cs="宋体"/>
          <w:color w:val="auto"/>
          <w:spacing w:val="-3"/>
          <w:sz w:val="28"/>
          <w:szCs w:val="28"/>
          <w:highlight w:val="none"/>
        </w:rPr>
        <w:t>附表一施工总体计划表</w:t>
      </w:r>
      <w:bookmarkEnd w:id="885"/>
      <w:bookmarkEnd w:id="886"/>
      <w:bookmarkEnd w:id="887"/>
      <w:bookmarkEnd w:id="888"/>
      <w:bookmarkEnd w:id="889"/>
    </w:p>
    <w:p w14:paraId="3940AB4A">
      <w:pPr>
        <w:spacing w:before="209"/>
        <w:rPr>
          <w:rFonts w:hint="eastAsia" w:ascii="宋体" w:hAnsi="宋体" w:eastAsia="宋体" w:cs="宋体"/>
          <w:color w:val="auto"/>
          <w:highlight w:val="none"/>
        </w:rPr>
      </w:pPr>
    </w:p>
    <w:tbl>
      <w:tblPr>
        <w:tblStyle w:val="24"/>
        <w:tblW w:w="9659" w:type="dxa"/>
        <w:tblInd w:w="20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30"/>
        <w:gridCol w:w="254"/>
        <w:gridCol w:w="254"/>
        <w:gridCol w:w="255"/>
        <w:gridCol w:w="254"/>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92"/>
      </w:tblGrid>
      <w:tr w14:paraId="592D55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trPr>
        <w:tc>
          <w:tcPr>
            <w:tcW w:w="2230" w:type="dxa"/>
            <w:vAlign w:val="top"/>
          </w:tcPr>
          <w:p w14:paraId="2092768D">
            <w:pPr>
              <w:pStyle w:val="25"/>
              <w:spacing w:before="126" w:line="183" w:lineRule="auto"/>
              <w:ind w:left="721"/>
              <w:rPr>
                <w:rFonts w:hint="eastAsia" w:ascii="宋体" w:hAnsi="宋体" w:eastAsia="宋体" w:cs="宋体"/>
                <w:color w:val="auto"/>
                <w:sz w:val="19"/>
                <w:szCs w:val="19"/>
                <w:highlight w:val="none"/>
              </w:rPr>
            </w:pPr>
            <w:r>
              <w:rPr>
                <w:rFonts w:hint="eastAsia" w:ascii="宋体" w:hAnsi="宋体" w:eastAsia="宋体" w:cs="宋体"/>
                <w:color w:val="auto"/>
                <w:spacing w:val="1"/>
                <w:sz w:val="19"/>
                <w:szCs w:val="19"/>
                <w:highlight w:val="none"/>
              </w:rPr>
              <w:t>年度</w:t>
            </w:r>
          </w:p>
        </w:tc>
        <w:tc>
          <w:tcPr>
            <w:tcW w:w="3057" w:type="dxa"/>
            <w:gridSpan w:val="12"/>
            <w:vAlign w:val="top"/>
          </w:tcPr>
          <w:p w14:paraId="38974F1D">
            <w:pPr>
              <w:pStyle w:val="25"/>
              <w:spacing w:before="126" w:line="183" w:lineRule="auto"/>
              <w:ind w:left="1693"/>
              <w:rPr>
                <w:rFonts w:hint="eastAsia" w:ascii="宋体" w:hAnsi="宋体" w:eastAsia="宋体" w:cs="宋体"/>
                <w:color w:val="auto"/>
                <w:sz w:val="19"/>
                <w:szCs w:val="19"/>
                <w:highlight w:val="none"/>
              </w:rPr>
            </w:pPr>
            <w:r>
              <w:rPr>
                <w:rFonts w:hint="eastAsia" w:ascii="宋体" w:hAnsi="宋体" w:eastAsia="宋体" w:cs="宋体"/>
                <w:color w:val="auto"/>
                <w:sz w:val="19"/>
                <w:szCs w:val="19"/>
                <w:highlight w:val="none"/>
              </w:rPr>
              <w:t>年</w:t>
            </w:r>
          </w:p>
        </w:tc>
        <w:tc>
          <w:tcPr>
            <w:tcW w:w="3060" w:type="dxa"/>
            <w:gridSpan w:val="12"/>
            <w:vAlign w:val="top"/>
          </w:tcPr>
          <w:p w14:paraId="6201B756">
            <w:pPr>
              <w:pStyle w:val="25"/>
              <w:spacing w:before="126" w:line="183" w:lineRule="auto"/>
              <w:ind w:left="1708"/>
              <w:rPr>
                <w:rFonts w:hint="eastAsia" w:ascii="宋体" w:hAnsi="宋体" w:eastAsia="宋体" w:cs="宋体"/>
                <w:color w:val="auto"/>
                <w:sz w:val="19"/>
                <w:szCs w:val="19"/>
                <w:highlight w:val="none"/>
              </w:rPr>
            </w:pPr>
            <w:r>
              <w:rPr>
                <w:rFonts w:hint="eastAsia" w:ascii="宋体" w:hAnsi="宋体" w:eastAsia="宋体" w:cs="宋体"/>
                <w:color w:val="auto"/>
                <w:sz w:val="19"/>
                <w:szCs w:val="19"/>
                <w:highlight w:val="none"/>
              </w:rPr>
              <w:t>年</w:t>
            </w:r>
          </w:p>
        </w:tc>
        <w:tc>
          <w:tcPr>
            <w:tcW w:w="1312" w:type="dxa"/>
            <w:gridSpan w:val="5"/>
            <w:vAlign w:val="top"/>
          </w:tcPr>
          <w:p w14:paraId="11B8729D">
            <w:pPr>
              <w:pStyle w:val="25"/>
              <w:spacing w:before="126" w:line="183" w:lineRule="auto"/>
              <w:ind w:left="1072"/>
              <w:rPr>
                <w:rFonts w:hint="eastAsia" w:ascii="宋体" w:hAnsi="宋体" w:eastAsia="宋体" w:cs="宋体"/>
                <w:color w:val="auto"/>
                <w:sz w:val="19"/>
                <w:szCs w:val="19"/>
                <w:highlight w:val="none"/>
              </w:rPr>
            </w:pPr>
            <w:r>
              <w:rPr>
                <w:rFonts w:hint="eastAsia" w:ascii="宋体" w:hAnsi="宋体" w:eastAsia="宋体" w:cs="宋体"/>
                <w:color w:val="auto"/>
                <w:sz w:val="19"/>
                <w:szCs w:val="19"/>
                <w:highlight w:val="none"/>
              </w:rPr>
              <w:t>年</w:t>
            </w:r>
          </w:p>
        </w:tc>
      </w:tr>
      <w:tr w14:paraId="78EFD3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3" w:hRule="atLeast"/>
        </w:trPr>
        <w:tc>
          <w:tcPr>
            <w:tcW w:w="2230" w:type="dxa"/>
            <w:vAlign w:val="top"/>
          </w:tcPr>
          <w:p w14:paraId="30F30348">
            <w:pPr>
              <w:pStyle w:val="25"/>
              <w:tabs>
                <w:tab w:val="left" w:pos="865"/>
              </w:tabs>
              <w:spacing w:before="164" w:line="257" w:lineRule="auto"/>
              <w:ind w:left="70" w:right="168" w:firstLine="56"/>
              <w:rPr>
                <w:rFonts w:hint="eastAsia" w:ascii="宋体" w:hAnsi="宋体" w:eastAsia="宋体" w:cs="宋体"/>
                <w:color w:val="auto"/>
                <w:sz w:val="19"/>
                <w:szCs w:val="19"/>
                <w:highlight w:val="none"/>
              </w:rPr>
            </w:pPr>
            <w:r>
              <w:rPr>
                <w:rFonts w:hint="eastAsia" w:ascii="宋体" w:hAnsi="宋体" w:eastAsia="宋体" w:cs="宋体"/>
                <w:color w:val="auto"/>
                <w:sz w:val="19"/>
                <w:szCs w:val="19"/>
                <w:highlight w:val="none"/>
              </w:rPr>
              <w:tab/>
            </w:r>
            <w:r>
              <w:rPr>
                <w:rFonts w:hint="eastAsia" w:ascii="宋体" w:hAnsi="宋体" w:eastAsia="宋体" w:cs="宋体"/>
                <w:color w:val="auto"/>
                <w:spacing w:val="8"/>
                <w:sz w:val="19"/>
                <w:szCs w:val="19"/>
                <w:highlight w:val="none"/>
              </w:rPr>
              <w:t>主要工程项目</w:t>
            </w:r>
            <w:r>
              <w:rPr>
                <w:rFonts w:hint="eastAsia" w:ascii="宋体" w:hAnsi="宋体" w:eastAsia="宋体" w:cs="宋体"/>
                <w:color w:val="auto"/>
                <w:spacing w:val="2"/>
                <w:sz w:val="19"/>
                <w:szCs w:val="19"/>
                <w:highlight w:val="none"/>
              </w:rPr>
              <w:t>月份</w:t>
            </w:r>
          </w:p>
        </w:tc>
        <w:tc>
          <w:tcPr>
            <w:tcW w:w="254" w:type="dxa"/>
            <w:vAlign w:val="top"/>
          </w:tcPr>
          <w:p w14:paraId="6C60CAA3">
            <w:pPr>
              <w:spacing w:before="205" w:line="195" w:lineRule="auto"/>
              <w:ind w:left="101"/>
              <w:rPr>
                <w:rFonts w:hint="eastAsia" w:ascii="宋体" w:hAnsi="宋体" w:eastAsia="宋体" w:cs="宋体"/>
                <w:color w:val="auto"/>
                <w:sz w:val="19"/>
                <w:szCs w:val="19"/>
                <w:highlight w:val="none"/>
              </w:rPr>
            </w:pPr>
            <w:r>
              <w:rPr>
                <w:rFonts w:hint="eastAsia" w:ascii="宋体" w:hAnsi="宋体" w:eastAsia="宋体" w:cs="宋体"/>
                <w:color w:val="auto"/>
                <w:sz w:val="19"/>
                <w:szCs w:val="19"/>
                <w:highlight w:val="none"/>
              </w:rPr>
              <w:t>1</w:t>
            </w:r>
          </w:p>
        </w:tc>
        <w:tc>
          <w:tcPr>
            <w:tcW w:w="254" w:type="dxa"/>
            <w:vAlign w:val="top"/>
          </w:tcPr>
          <w:p w14:paraId="5A4A10AC">
            <w:pPr>
              <w:spacing w:before="205" w:line="195" w:lineRule="auto"/>
              <w:ind w:left="85"/>
              <w:rPr>
                <w:rFonts w:hint="eastAsia" w:ascii="宋体" w:hAnsi="宋体" w:eastAsia="宋体" w:cs="宋体"/>
                <w:color w:val="auto"/>
                <w:sz w:val="19"/>
                <w:szCs w:val="19"/>
                <w:highlight w:val="none"/>
              </w:rPr>
            </w:pPr>
            <w:r>
              <w:rPr>
                <w:rFonts w:hint="eastAsia" w:ascii="宋体" w:hAnsi="宋体" w:eastAsia="宋体" w:cs="宋体"/>
                <w:color w:val="auto"/>
                <w:sz w:val="19"/>
                <w:szCs w:val="19"/>
                <w:highlight w:val="none"/>
              </w:rPr>
              <w:t>2</w:t>
            </w:r>
          </w:p>
        </w:tc>
        <w:tc>
          <w:tcPr>
            <w:tcW w:w="255" w:type="dxa"/>
            <w:vAlign w:val="top"/>
          </w:tcPr>
          <w:p w14:paraId="73629365">
            <w:pPr>
              <w:spacing w:before="205" w:line="195" w:lineRule="auto"/>
              <w:ind w:left="87"/>
              <w:rPr>
                <w:rFonts w:hint="eastAsia" w:ascii="宋体" w:hAnsi="宋体" w:eastAsia="宋体" w:cs="宋体"/>
                <w:color w:val="auto"/>
                <w:sz w:val="19"/>
                <w:szCs w:val="19"/>
                <w:highlight w:val="none"/>
              </w:rPr>
            </w:pPr>
            <w:r>
              <w:rPr>
                <w:rFonts w:hint="eastAsia" w:ascii="宋体" w:hAnsi="宋体" w:eastAsia="宋体" w:cs="宋体"/>
                <w:color w:val="auto"/>
                <w:sz w:val="19"/>
                <w:szCs w:val="19"/>
                <w:highlight w:val="none"/>
              </w:rPr>
              <w:t>3</w:t>
            </w:r>
          </w:p>
        </w:tc>
        <w:tc>
          <w:tcPr>
            <w:tcW w:w="254" w:type="dxa"/>
            <w:vAlign w:val="top"/>
          </w:tcPr>
          <w:p w14:paraId="1925947E">
            <w:pPr>
              <w:spacing w:before="205" w:line="195" w:lineRule="auto"/>
              <w:ind w:left="84"/>
              <w:rPr>
                <w:rFonts w:hint="eastAsia" w:ascii="宋体" w:hAnsi="宋体" w:eastAsia="宋体" w:cs="宋体"/>
                <w:color w:val="auto"/>
                <w:sz w:val="19"/>
                <w:szCs w:val="19"/>
                <w:highlight w:val="none"/>
              </w:rPr>
            </w:pPr>
            <w:r>
              <w:rPr>
                <w:rFonts w:hint="eastAsia" w:ascii="宋体" w:hAnsi="宋体" w:eastAsia="宋体" w:cs="宋体"/>
                <w:color w:val="auto"/>
                <w:sz w:val="19"/>
                <w:szCs w:val="19"/>
                <w:highlight w:val="none"/>
              </w:rPr>
              <w:t>4</w:t>
            </w:r>
          </w:p>
        </w:tc>
        <w:tc>
          <w:tcPr>
            <w:tcW w:w="255" w:type="dxa"/>
            <w:vAlign w:val="top"/>
          </w:tcPr>
          <w:p w14:paraId="5C21ABCA">
            <w:pPr>
              <w:spacing w:before="208" w:line="192" w:lineRule="auto"/>
              <w:ind w:left="93"/>
              <w:rPr>
                <w:rFonts w:hint="eastAsia" w:ascii="宋体" w:hAnsi="宋体" w:eastAsia="宋体" w:cs="宋体"/>
                <w:color w:val="auto"/>
                <w:sz w:val="19"/>
                <w:szCs w:val="19"/>
                <w:highlight w:val="none"/>
              </w:rPr>
            </w:pPr>
            <w:r>
              <w:rPr>
                <w:rFonts w:hint="eastAsia" w:ascii="宋体" w:hAnsi="宋体" w:eastAsia="宋体" w:cs="宋体"/>
                <w:color w:val="auto"/>
                <w:sz w:val="19"/>
                <w:szCs w:val="19"/>
                <w:highlight w:val="none"/>
              </w:rPr>
              <w:t>5</w:t>
            </w:r>
          </w:p>
        </w:tc>
        <w:tc>
          <w:tcPr>
            <w:tcW w:w="255" w:type="dxa"/>
            <w:vAlign w:val="top"/>
          </w:tcPr>
          <w:p w14:paraId="75F9461B">
            <w:pPr>
              <w:spacing w:before="205" w:line="195" w:lineRule="auto"/>
              <w:ind w:left="92"/>
              <w:rPr>
                <w:rFonts w:hint="eastAsia" w:ascii="宋体" w:hAnsi="宋体" w:eastAsia="宋体" w:cs="宋体"/>
                <w:color w:val="auto"/>
                <w:sz w:val="19"/>
                <w:szCs w:val="19"/>
                <w:highlight w:val="none"/>
              </w:rPr>
            </w:pPr>
            <w:r>
              <w:rPr>
                <w:rFonts w:hint="eastAsia" w:ascii="宋体" w:hAnsi="宋体" w:eastAsia="宋体" w:cs="宋体"/>
                <w:color w:val="auto"/>
                <w:sz w:val="19"/>
                <w:szCs w:val="19"/>
                <w:highlight w:val="none"/>
              </w:rPr>
              <w:t>6</w:t>
            </w:r>
          </w:p>
        </w:tc>
        <w:tc>
          <w:tcPr>
            <w:tcW w:w="255" w:type="dxa"/>
            <w:vAlign w:val="top"/>
          </w:tcPr>
          <w:p w14:paraId="5D57231C">
            <w:pPr>
              <w:spacing w:before="208" w:line="192" w:lineRule="auto"/>
              <w:ind w:left="92"/>
              <w:rPr>
                <w:rFonts w:hint="eastAsia" w:ascii="宋体" w:hAnsi="宋体" w:eastAsia="宋体" w:cs="宋体"/>
                <w:color w:val="auto"/>
                <w:sz w:val="19"/>
                <w:szCs w:val="19"/>
                <w:highlight w:val="none"/>
              </w:rPr>
            </w:pPr>
            <w:r>
              <w:rPr>
                <w:rFonts w:hint="eastAsia" w:ascii="宋体" w:hAnsi="宋体" w:eastAsia="宋体" w:cs="宋体"/>
                <w:color w:val="auto"/>
                <w:sz w:val="19"/>
                <w:szCs w:val="19"/>
                <w:highlight w:val="none"/>
              </w:rPr>
              <w:t>7</w:t>
            </w:r>
          </w:p>
        </w:tc>
        <w:tc>
          <w:tcPr>
            <w:tcW w:w="255" w:type="dxa"/>
            <w:vAlign w:val="top"/>
          </w:tcPr>
          <w:p w14:paraId="5768EEFB">
            <w:pPr>
              <w:spacing w:before="205" w:line="195" w:lineRule="auto"/>
              <w:ind w:left="96"/>
              <w:rPr>
                <w:rFonts w:hint="eastAsia" w:ascii="宋体" w:hAnsi="宋体" w:eastAsia="宋体" w:cs="宋体"/>
                <w:color w:val="auto"/>
                <w:sz w:val="19"/>
                <w:szCs w:val="19"/>
                <w:highlight w:val="none"/>
              </w:rPr>
            </w:pPr>
            <w:r>
              <w:rPr>
                <w:rFonts w:hint="eastAsia" w:ascii="宋体" w:hAnsi="宋体" w:eastAsia="宋体" w:cs="宋体"/>
                <w:color w:val="auto"/>
                <w:sz w:val="19"/>
                <w:szCs w:val="19"/>
                <w:highlight w:val="none"/>
              </w:rPr>
              <w:t>8</w:t>
            </w:r>
          </w:p>
        </w:tc>
        <w:tc>
          <w:tcPr>
            <w:tcW w:w="255" w:type="dxa"/>
            <w:vAlign w:val="top"/>
          </w:tcPr>
          <w:p w14:paraId="0B49F284">
            <w:pPr>
              <w:spacing w:before="205" w:line="195" w:lineRule="auto"/>
              <w:ind w:left="94"/>
              <w:rPr>
                <w:rFonts w:hint="eastAsia" w:ascii="宋体" w:hAnsi="宋体" w:eastAsia="宋体" w:cs="宋体"/>
                <w:color w:val="auto"/>
                <w:sz w:val="19"/>
                <w:szCs w:val="19"/>
                <w:highlight w:val="none"/>
              </w:rPr>
            </w:pPr>
            <w:r>
              <w:rPr>
                <w:rFonts w:hint="eastAsia" w:ascii="宋体" w:hAnsi="宋体" w:eastAsia="宋体" w:cs="宋体"/>
                <w:color w:val="auto"/>
                <w:sz w:val="19"/>
                <w:szCs w:val="19"/>
                <w:highlight w:val="none"/>
              </w:rPr>
              <w:t>9</w:t>
            </w:r>
          </w:p>
        </w:tc>
        <w:tc>
          <w:tcPr>
            <w:tcW w:w="255" w:type="dxa"/>
            <w:vAlign w:val="top"/>
          </w:tcPr>
          <w:p w14:paraId="6A8E858F">
            <w:pPr>
              <w:spacing w:before="205" w:line="195" w:lineRule="auto"/>
              <w:ind w:left="143"/>
              <w:rPr>
                <w:rFonts w:hint="eastAsia" w:ascii="宋体" w:hAnsi="宋体" w:eastAsia="宋体" w:cs="宋体"/>
                <w:color w:val="auto"/>
                <w:sz w:val="19"/>
                <w:szCs w:val="19"/>
                <w:highlight w:val="none"/>
              </w:rPr>
            </w:pPr>
            <w:r>
              <w:rPr>
                <w:rFonts w:hint="eastAsia" w:ascii="宋体" w:hAnsi="宋体" w:eastAsia="宋体" w:cs="宋体"/>
                <w:color w:val="auto"/>
                <w:sz w:val="19"/>
                <w:szCs w:val="19"/>
                <w:highlight w:val="none"/>
              </w:rPr>
              <w:t>1</w:t>
            </w:r>
          </w:p>
          <w:p w14:paraId="28839095">
            <w:pPr>
              <w:spacing w:before="36" w:line="195" w:lineRule="auto"/>
              <w:ind w:left="126"/>
              <w:rPr>
                <w:rFonts w:hint="eastAsia" w:ascii="宋体" w:hAnsi="宋体" w:eastAsia="宋体" w:cs="宋体"/>
                <w:color w:val="auto"/>
                <w:sz w:val="19"/>
                <w:szCs w:val="19"/>
                <w:highlight w:val="none"/>
              </w:rPr>
            </w:pPr>
            <w:r>
              <w:rPr>
                <w:rFonts w:hint="eastAsia" w:ascii="宋体" w:hAnsi="宋体" w:eastAsia="宋体" w:cs="宋体"/>
                <w:color w:val="auto"/>
                <w:sz w:val="19"/>
                <w:szCs w:val="19"/>
                <w:highlight w:val="none"/>
              </w:rPr>
              <w:t>0</w:t>
            </w:r>
          </w:p>
        </w:tc>
        <w:tc>
          <w:tcPr>
            <w:tcW w:w="255" w:type="dxa"/>
            <w:vAlign w:val="top"/>
          </w:tcPr>
          <w:p w14:paraId="2F85B26F">
            <w:pPr>
              <w:spacing w:before="205" w:line="195" w:lineRule="auto"/>
              <w:ind w:right="5"/>
              <w:jc w:val="right"/>
              <w:rPr>
                <w:rFonts w:hint="eastAsia" w:ascii="宋体" w:hAnsi="宋体" w:eastAsia="宋体" w:cs="宋体"/>
                <w:color w:val="auto"/>
                <w:sz w:val="19"/>
                <w:szCs w:val="19"/>
                <w:highlight w:val="none"/>
              </w:rPr>
            </w:pPr>
            <w:r>
              <w:rPr>
                <w:rFonts w:hint="eastAsia" w:ascii="宋体" w:hAnsi="宋体" w:eastAsia="宋体" w:cs="宋体"/>
                <w:color w:val="auto"/>
                <w:sz w:val="19"/>
                <w:szCs w:val="19"/>
                <w:highlight w:val="none"/>
              </w:rPr>
              <w:t>1</w:t>
            </w:r>
          </w:p>
          <w:p w14:paraId="2052085D">
            <w:pPr>
              <w:spacing w:before="36" w:line="195" w:lineRule="auto"/>
              <w:ind w:right="5"/>
              <w:jc w:val="right"/>
              <w:rPr>
                <w:rFonts w:hint="eastAsia" w:ascii="宋体" w:hAnsi="宋体" w:eastAsia="宋体" w:cs="宋体"/>
                <w:color w:val="auto"/>
                <w:sz w:val="19"/>
                <w:szCs w:val="19"/>
                <w:highlight w:val="none"/>
              </w:rPr>
            </w:pPr>
            <w:r>
              <w:rPr>
                <w:rFonts w:hint="eastAsia" w:ascii="宋体" w:hAnsi="宋体" w:eastAsia="宋体" w:cs="宋体"/>
                <w:color w:val="auto"/>
                <w:sz w:val="19"/>
                <w:szCs w:val="19"/>
                <w:highlight w:val="none"/>
              </w:rPr>
              <w:t>1</w:t>
            </w:r>
          </w:p>
        </w:tc>
        <w:tc>
          <w:tcPr>
            <w:tcW w:w="255" w:type="dxa"/>
            <w:vAlign w:val="top"/>
          </w:tcPr>
          <w:p w14:paraId="63A4164C">
            <w:pPr>
              <w:spacing w:before="205" w:line="195" w:lineRule="auto"/>
              <w:ind w:right="8"/>
              <w:jc w:val="right"/>
              <w:rPr>
                <w:rFonts w:hint="eastAsia" w:ascii="宋体" w:hAnsi="宋体" w:eastAsia="宋体" w:cs="宋体"/>
                <w:color w:val="auto"/>
                <w:sz w:val="19"/>
                <w:szCs w:val="19"/>
                <w:highlight w:val="none"/>
              </w:rPr>
            </w:pPr>
            <w:r>
              <w:rPr>
                <w:rFonts w:hint="eastAsia" w:ascii="宋体" w:hAnsi="宋体" w:eastAsia="宋体" w:cs="宋体"/>
                <w:color w:val="auto"/>
                <w:sz w:val="19"/>
                <w:szCs w:val="19"/>
                <w:highlight w:val="none"/>
              </w:rPr>
              <w:t>1</w:t>
            </w:r>
          </w:p>
          <w:p w14:paraId="4331BA7E">
            <w:pPr>
              <w:spacing w:before="36" w:line="195" w:lineRule="auto"/>
              <w:ind w:left="127"/>
              <w:rPr>
                <w:rFonts w:hint="eastAsia" w:ascii="宋体" w:hAnsi="宋体" w:eastAsia="宋体" w:cs="宋体"/>
                <w:color w:val="auto"/>
                <w:sz w:val="19"/>
                <w:szCs w:val="19"/>
                <w:highlight w:val="none"/>
              </w:rPr>
            </w:pPr>
            <w:r>
              <w:rPr>
                <w:rFonts w:hint="eastAsia" w:ascii="宋体" w:hAnsi="宋体" w:eastAsia="宋体" w:cs="宋体"/>
                <w:color w:val="auto"/>
                <w:sz w:val="19"/>
                <w:szCs w:val="19"/>
                <w:highlight w:val="none"/>
              </w:rPr>
              <w:t>2</w:t>
            </w:r>
          </w:p>
        </w:tc>
        <w:tc>
          <w:tcPr>
            <w:tcW w:w="255" w:type="dxa"/>
            <w:vAlign w:val="top"/>
          </w:tcPr>
          <w:p w14:paraId="4AC75198">
            <w:pPr>
              <w:spacing w:before="205" w:line="195" w:lineRule="auto"/>
              <w:ind w:left="113"/>
              <w:rPr>
                <w:rFonts w:hint="eastAsia" w:ascii="宋体" w:hAnsi="宋体" w:eastAsia="宋体" w:cs="宋体"/>
                <w:color w:val="auto"/>
                <w:sz w:val="19"/>
                <w:szCs w:val="19"/>
                <w:highlight w:val="none"/>
              </w:rPr>
            </w:pPr>
            <w:r>
              <w:rPr>
                <w:rFonts w:hint="eastAsia" w:ascii="宋体" w:hAnsi="宋体" w:eastAsia="宋体" w:cs="宋体"/>
                <w:color w:val="auto"/>
                <w:sz w:val="19"/>
                <w:szCs w:val="19"/>
                <w:highlight w:val="none"/>
              </w:rPr>
              <w:t>1</w:t>
            </w:r>
          </w:p>
        </w:tc>
        <w:tc>
          <w:tcPr>
            <w:tcW w:w="255" w:type="dxa"/>
            <w:vAlign w:val="top"/>
          </w:tcPr>
          <w:p w14:paraId="202C193D">
            <w:pPr>
              <w:spacing w:before="205" w:line="195" w:lineRule="auto"/>
              <w:ind w:left="92"/>
              <w:rPr>
                <w:rFonts w:hint="eastAsia" w:ascii="宋体" w:hAnsi="宋体" w:eastAsia="宋体" w:cs="宋体"/>
                <w:color w:val="auto"/>
                <w:sz w:val="19"/>
                <w:szCs w:val="19"/>
                <w:highlight w:val="none"/>
              </w:rPr>
            </w:pPr>
            <w:r>
              <w:rPr>
                <w:rFonts w:hint="eastAsia" w:ascii="宋体" w:hAnsi="宋体" w:eastAsia="宋体" w:cs="宋体"/>
                <w:color w:val="auto"/>
                <w:sz w:val="19"/>
                <w:szCs w:val="19"/>
                <w:highlight w:val="none"/>
              </w:rPr>
              <w:t>2</w:t>
            </w:r>
          </w:p>
        </w:tc>
        <w:tc>
          <w:tcPr>
            <w:tcW w:w="255" w:type="dxa"/>
            <w:vAlign w:val="top"/>
          </w:tcPr>
          <w:p w14:paraId="07C60F34">
            <w:pPr>
              <w:spacing w:before="205" w:line="195" w:lineRule="auto"/>
              <w:ind w:left="98"/>
              <w:rPr>
                <w:rFonts w:hint="eastAsia" w:ascii="宋体" w:hAnsi="宋体" w:eastAsia="宋体" w:cs="宋体"/>
                <w:color w:val="auto"/>
                <w:sz w:val="19"/>
                <w:szCs w:val="19"/>
                <w:highlight w:val="none"/>
              </w:rPr>
            </w:pPr>
            <w:r>
              <w:rPr>
                <w:rFonts w:hint="eastAsia" w:ascii="宋体" w:hAnsi="宋体" w:eastAsia="宋体" w:cs="宋体"/>
                <w:color w:val="auto"/>
                <w:sz w:val="19"/>
                <w:szCs w:val="19"/>
                <w:highlight w:val="none"/>
              </w:rPr>
              <w:t>3</w:t>
            </w:r>
          </w:p>
        </w:tc>
        <w:tc>
          <w:tcPr>
            <w:tcW w:w="255" w:type="dxa"/>
            <w:vAlign w:val="top"/>
          </w:tcPr>
          <w:p w14:paraId="3854B240">
            <w:pPr>
              <w:spacing w:before="205" w:line="195" w:lineRule="auto"/>
              <w:ind w:left="95"/>
              <w:rPr>
                <w:rFonts w:hint="eastAsia" w:ascii="宋体" w:hAnsi="宋体" w:eastAsia="宋体" w:cs="宋体"/>
                <w:color w:val="auto"/>
                <w:sz w:val="19"/>
                <w:szCs w:val="19"/>
                <w:highlight w:val="none"/>
              </w:rPr>
            </w:pPr>
            <w:r>
              <w:rPr>
                <w:rFonts w:hint="eastAsia" w:ascii="宋体" w:hAnsi="宋体" w:eastAsia="宋体" w:cs="宋体"/>
                <w:color w:val="auto"/>
                <w:sz w:val="19"/>
                <w:szCs w:val="19"/>
                <w:highlight w:val="none"/>
              </w:rPr>
              <w:t>4</w:t>
            </w:r>
          </w:p>
        </w:tc>
        <w:tc>
          <w:tcPr>
            <w:tcW w:w="255" w:type="dxa"/>
            <w:vAlign w:val="top"/>
          </w:tcPr>
          <w:p w14:paraId="1046A8F5">
            <w:pPr>
              <w:spacing w:before="208" w:line="192" w:lineRule="auto"/>
              <w:ind w:left="100"/>
              <w:rPr>
                <w:rFonts w:hint="eastAsia" w:ascii="宋体" w:hAnsi="宋体" w:eastAsia="宋体" w:cs="宋体"/>
                <w:color w:val="auto"/>
                <w:sz w:val="19"/>
                <w:szCs w:val="19"/>
                <w:highlight w:val="none"/>
              </w:rPr>
            </w:pPr>
            <w:r>
              <w:rPr>
                <w:rFonts w:hint="eastAsia" w:ascii="宋体" w:hAnsi="宋体" w:eastAsia="宋体" w:cs="宋体"/>
                <w:color w:val="auto"/>
                <w:sz w:val="19"/>
                <w:szCs w:val="19"/>
                <w:highlight w:val="none"/>
              </w:rPr>
              <w:t>5</w:t>
            </w:r>
          </w:p>
        </w:tc>
        <w:tc>
          <w:tcPr>
            <w:tcW w:w="255" w:type="dxa"/>
            <w:vAlign w:val="top"/>
          </w:tcPr>
          <w:p w14:paraId="701C8B12">
            <w:pPr>
              <w:spacing w:before="205" w:line="195" w:lineRule="auto"/>
              <w:ind w:left="101"/>
              <w:rPr>
                <w:rFonts w:hint="eastAsia" w:ascii="宋体" w:hAnsi="宋体" w:eastAsia="宋体" w:cs="宋体"/>
                <w:color w:val="auto"/>
                <w:sz w:val="19"/>
                <w:szCs w:val="19"/>
                <w:highlight w:val="none"/>
              </w:rPr>
            </w:pPr>
            <w:r>
              <w:rPr>
                <w:rFonts w:hint="eastAsia" w:ascii="宋体" w:hAnsi="宋体" w:eastAsia="宋体" w:cs="宋体"/>
                <w:color w:val="auto"/>
                <w:sz w:val="19"/>
                <w:szCs w:val="19"/>
                <w:highlight w:val="none"/>
              </w:rPr>
              <w:t>6</w:t>
            </w:r>
          </w:p>
        </w:tc>
        <w:tc>
          <w:tcPr>
            <w:tcW w:w="255" w:type="dxa"/>
            <w:vAlign w:val="top"/>
          </w:tcPr>
          <w:p w14:paraId="7F4DCD88">
            <w:pPr>
              <w:spacing w:before="208" w:line="192" w:lineRule="auto"/>
              <w:ind w:left="99"/>
              <w:rPr>
                <w:rFonts w:hint="eastAsia" w:ascii="宋体" w:hAnsi="宋体" w:eastAsia="宋体" w:cs="宋体"/>
                <w:color w:val="auto"/>
                <w:sz w:val="19"/>
                <w:szCs w:val="19"/>
                <w:highlight w:val="none"/>
              </w:rPr>
            </w:pPr>
            <w:r>
              <w:rPr>
                <w:rFonts w:hint="eastAsia" w:ascii="宋体" w:hAnsi="宋体" w:eastAsia="宋体" w:cs="宋体"/>
                <w:color w:val="auto"/>
                <w:sz w:val="19"/>
                <w:szCs w:val="19"/>
                <w:highlight w:val="none"/>
              </w:rPr>
              <w:t>7</w:t>
            </w:r>
          </w:p>
        </w:tc>
        <w:tc>
          <w:tcPr>
            <w:tcW w:w="255" w:type="dxa"/>
            <w:vAlign w:val="top"/>
          </w:tcPr>
          <w:p w14:paraId="1D59E5FF">
            <w:pPr>
              <w:spacing w:before="205" w:line="195" w:lineRule="auto"/>
              <w:ind w:left="106"/>
              <w:rPr>
                <w:rFonts w:hint="eastAsia" w:ascii="宋体" w:hAnsi="宋体" w:eastAsia="宋体" w:cs="宋体"/>
                <w:color w:val="auto"/>
                <w:sz w:val="19"/>
                <w:szCs w:val="19"/>
                <w:highlight w:val="none"/>
              </w:rPr>
            </w:pPr>
            <w:r>
              <w:rPr>
                <w:rFonts w:hint="eastAsia" w:ascii="宋体" w:hAnsi="宋体" w:eastAsia="宋体" w:cs="宋体"/>
                <w:color w:val="auto"/>
                <w:sz w:val="19"/>
                <w:szCs w:val="19"/>
                <w:highlight w:val="none"/>
              </w:rPr>
              <w:t>8</w:t>
            </w:r>
          </w:p>
        </w:tc>
        <w:tc>
          <w:tcPr>
            <w:tcW w:w="255" w:type="dxa"/>
            <w:vAlign w:val="top"/>
          </w:tcPr>
          <w:p w14:paraId="27ABAD86">
            <w:pPr>
              <w:spacing w:before="205" w:line="195" w:lineRule="auto"/>
              <w:ind w:left="101"/>
              <w:rPr>
                <w:rFonts w:hint="eastAsia" w:ascii="宋体" w:hAnsi="宋体" w:eastAsia="宋体" w:cs="宋体"/>
                <w:color w:val="auto"/>
                <w:sz w:val="19"/>
                <w:szCs w:val="19"/>
                <w:highlight w:val="none"/>
              </w:rPr>
            </w:pPr>
            <w:r>
              <w:rPr>
                <w:rFonts w:hint="eastAsia" w:ascii="宋体" w:hAnsi="宋体" w:eastAsia="宋体" w:cs="宋体"/>
                <w:color w:val="auto"/>
                <w:sz w:val="19"/>
                <w:szCs w:val="19"/>
                <w:highlight w:val="none"/>
              </w:rPr>
              <w:t>9</w:t>
            </w:r>
          </w:p>
        </w:tc>
        <w:tc>
          <w:tcPr>
            <w:tcW w:w="255" w:type="dxa"/>
            <w:vAlign w:val="top"/>
          </w:tcPr>
          <w:p w14:paraId="615B0EBF">
            <w:pPr>
              <w:spacing w:before="205" w:line="195" w:lineRule="auto"/>
              <w:jc w:val="right"/>
              <w:rPr>
                <w:rFonts w:hint="eastAsia" w:ascii="宋体" w:hAnsi="宋体" w:eastAsia="宋体" w:cs="宋体"/>
                <w:color w:val="auto"/>
                <w:sz w:val="19"/>
                <w:szCs w:val="19"/>
                <w:highlight w:val="none"/>
              </w:rPr>
            </w:pPr>
            <w:r>
              <w:rPr>
                <w:rFonts w:hint="eastAsia" w:ascii="宋体" w:hAnsi="宋体" w:eastAsia="宋体" w:cs="宋体"/>
                <w:color w:val="auto"/>
                <w:spacing w:val="-19"/>
                <w:sz w:val="19"/>
                <w:szCs w:val="19"/>
                <w:highlight w:val="none"/>
              </w:rPr>
              <w:t>1</w:t>
            </w:r>
          </w:p>
          <w:p w14:paraId="7ADDC8B7">
            <w:pPr>
              <w:spacing w:before="36" w:line="195" w:lineRule="auto"/>
              <w:ind w:left="138"/>
              <w:rPr>
                <w:rFonts w:hint="eastAsia" w:ascii="宋体" w:hAnsi="宋体" w:eastAsia="宋体" w:cs="宋体"/>
                <w:color w:val="auto"/>
                <w:sz w:val="19"/>
                <w:szCs w:val="19"/>
                <w:highlight w:val="none"/>
              </w:rPr>
            </w:pPr>
            <w:r>
              <w:rPr>
                <w:rFonts w:hint="eastAsia" w:ascii="宋体" w:hAnsi="宋体" w:eastAsia="宋体" w:cs="宋体"/>
                <w:color w:val="auto"/>
                <w:sz w:val="19"/>
                <w:szCs w:val="19"/>
                <w:highlight w:val="none"/>
              </w:rPr>
              <w:t>0</w:t>
            </w:r>
          </w:p>
        </w:tc>
        <w:tc>
          <w:tcPr>
            <w:tcW w:w="255" w:type="dxa"/>
            <w:vAlign w:val="top"/>
          </w:tcPr>
          <w:p w14:paraId="5E8FFD7F">
            <w:pPr>
              <w:spacing w:before="205" w:line="195" w:lineRule="auto"/>
              <w:jc w:val="right"/>
              <w:rPr>
                <w:rFonts w:hint="eastAsia" w:ascii="宋体" w:hAnsi="宋体" w:eastAsia="宋体" w:cs="宋体"/>
                <w:color w:val="auto"/>
                <w:sz w:val="19"/>
                <w:szCs w:val="19"/>
                <w:highlight w:val="none"/>
              </w:rPr>
            </w:pPr>
            <w:r>
              <w:rPr>
                <w:rFonts w:hint="eastAsia" w:ascii="宋体" w:hAnsi="宋体" w:eastAsia="宋体" w:cs="宋体"/>
                <w:color w:val="auto"/>
                <w:spacing w:val="-19"/>
                <w:sz w:val="19"/>
                <w:szCs w:val="19"/>
                <w:highlight w:val="none"/>
              </w:rPr>
              <w:t>1</w:t>
            </w:r>
          </w:p>
          <w:p w14:paraId="1C6F34AC">
            <w:pPr>
              <w:spacing w:before="36" w:line="195" w:lineRule="auto"/>
              <w:jc w:val="right"/>
              <w:rPr>
                <w:rFonts w:hint="eastAsia" w:ascii="宋体" w:hAnsi="宋体" w:eastAsia="宋体" w:cs="宋体"/>
                <w:color w:val="auto"/>
                <w:sz w:val="19"/>
                <w:szCs w:val="19"/>
                <w:highlight w:val="none"/>
              </w:rPr>
            </w:pPr>
            <w:r>
              <w:rPr>
                <w:rFonts w:hint="eastAsia" w:ascii="宋体" w:hAnsi="宋体" w:eastAsia="宋体" w:cs="宋体"/>
                <w:color w:val="auto"/>
                <w:spacing w:val="-19"/>
                <w:sz w:val="19"/>
                <w:szCs w:val="19"/>
                <w:highlight w:val="none"/>
              </w:rPr>
              <w:t>1</w:t>
            </w:r>
          </w:p>
        </w:tc>
        <w:tc>
          <w:tcPr>
            <w:tcW w:w="255" w:type="dxa"/>
            <w:vAlign w:val="top"/>
          </w:tcPr>
          <w:p w14:paraId="29CBD5C3">
            <w:pPr>
              <w:spacing w:before="205" w:line="195" w:lineRule="auto"/>
              <w:jc w:val="right"/>
              <w:rPr>
                <w:rFonts w:hint="eastAsia" w:ascii="宋体" w:hAnsi="宋体" w:eastAsia="宋体" w:cs="宋体"/>
                <w:color w:val="auto"/>
                <w:sz w:val="19"/>
                <w:szCs w:val="19"/>
                <w:highlight w:val="none"/>
              </w:rPr>
            </w:pPr>
            <w:r>
              <w:rPr>
                <w:rFonts w:hint="eastAsia" w:ascii="宋体" w:hAnsi="宋体" w:eastAsia="宋体" w:cs="宋体"/>
                <w:color w:val="auto"/>
                <w:spacing w:val="-19"/>
                <w:sz w:val="19"/>
                <w:szCs w:val="19"/>
                <w:highlight w:val="none"/>
              </w:rPr>
              <w:t>1</w:t>
            </w:r>
          </w:p>
          <w:p w14:paraId="4DA7BE69">
            <w:pPr>
              <w:spacing w:before="36" w:line="195" w:lineRule="auto"/>
              <w:ind w:left="139"/>
              <w:rPr>
                <w:rFonts w:hint="eastAsia" w:ascii="宋体" w:hAnsi="宋体" w:eastAsia="宋体" w:cs="宋体"/>
                <w:color w:val="auto"/>
                <w:sz w:val="19"/>
                <w:szCs w:val="19"/>
                <w:highlight w:val="none"/>
              </w:rPr>
            </w:pPr>
            <w:r>
              <w:rPr>
                <w:rFonts w:hint="eastAsia" w:ascii="宋体" w:hAnsi="宋体" w:eastAsia="宋体" w:cs="宋体"/>
                <w:color w:val="auto"/>
                <w:sz w:val="19"/>
                <w:szCs w:val="19"/>
                <w:highlight w:val="none"/>
              </w:rPr>
              <w:t>2</w:t>
            </w:r>
          </w:p>
        </w:tc>
        <w:tc>
          <w:tcPr>
            <w:tcW w:w="255" w:type="dxa"/>
            <w:vAlign w:val="top"/>
          </w:tcPr>
          <w:p w14:paraId="2C830821">
            <w:pPr>
              <w:spacing w:before="205" w:line="195" w:lineRule="auto"/>
              <w:jc w:val="right"/>
              <w:rPr>
                <w:rFonts w:hint="eastAsia" w:ascii="宋体" w:hAnsi="宋体" w:eastAsia="宋体" w:cs="宋体"/>
                <w:color w:val="auto"/>
                <w:sz w:val="19"/>
                <w:szCs w:val="19"/>
                <w:highlight w:val="none"/>
              </w:rPr>
            </w:pPr>
            <w:r>
              <w:rPr>
                <w:rFonts w:hint="eastAsia" w:ascii="宋体" w:hAnsi="宋体" w:eastAsia="宋体" w:cs="宋体"/>
                <w:color w:val="auto"/>
                <w:spacing w:val="-22"/>
                <w:sz w:val="19"/>
                <w:szCs w:val="19"/>
                <w:highlight w:val="none"/>
              </w:rPr>
              <w:t>1</w:t>
            </w:r>
          </w:p>
        </w:tc>
        <w:tc>
          <w:tcPr>
            <w:tcW w:w="255" w:type="dxa"/>
            <w:vAlign w:val="top"/>
          </w:tcPr>
          <w:p w14:paraId="2F73B6E8">
            <w:pPr>
              <w:spacing w:before="205" w:line="195" w:lineRule="auto"/>
              <w:ind w:right="2"/>
              <w:jc w:val="right"/>
              <w:rPr>
                <w:rFonts w:hint="eastAsia" w:ascii="宋体" w:hAnsi="宋体" w:eastAsia="宋体" w:cs="宋体"/>
                <w:color w:val="auto"/>
                <w:sz w:val="19"/>
                <w:szCs w:val="19"/>
                <w:highlight w:val="none"/>
              </w:rPr>
            </w:pPr>
            <w:r>
              <w:rPr>
                <w:rFonts w:hint="eastAsia" w:ascii="宋体" w:hAnsi="宋体" w:eastAsia="宋体" w:cs="宋体"/>
                <w:color w:val="auto"/>
                <w:sz w:val="19"/>
                <w:szCs w:val="19"/>
                <w:highlight w:val="none"/>
              </w:rPr>
              <w:t>2</w:t>
            </w:r>
          </w:p>
        </w:tc>
        <w:tc>
          <w:tcPr>
            <w:tcW w:w="255" w:type="dxa"/>
            <w:vAlign w:val="top"/>
          </w:tcPr>
          <w:p w14:paraId="4CB06A89">
            <w:pPr>
              <w:spacing w:before="205" w:line="195" w:lineRule="auto"/>
              <w:jc w:val="right"/>
              <w:rPr>
                <w:rFonts w:hint="eastAsia" w:ascii="宋体" w:hAnsi="宋体" w:eastAsia="宋体" w:cs="宋体"/>
                <w:color w:val="auto"/>
                <w:sz w:val="19"/>
                <w:szCs w:val="19"/>
                <w:highlight w:val="none"/>
              </w:rPr>
            </w:pPr>
            <w:r>
              <w:rPr>
                <w:rFonts w:hint="eastAsia" w:ascii="宋体" w:hAnsi="宋体" w:eastAsia="宋体" w:cs="宋体"/>
                <w:color w:val="auto"/>
                <w:spacing w:val="-8"/>
                <w:sz w:val="19"/>
                <w:szCs w:val="19"/>
                <w:highlight w:val="none"/>
              </w:rPr>
              <w:t>3</w:t>
            </w:r>
          </w:p>
        </w:tc>
        <w:tc>
          <w:tcPr>
            <w:tcW w:w="255" w:type="dxa"/>
            <w:vAlign w:val="top"/>
          </w:tcPr>
          <w:p w14:paraId="0A8F4993">
            <w:pPr>
              <w:spacing w:before="205" w:line="195" w:lineRule="auto"/>
              <w:ind w:right="2"/>
              <w:jc w:val="right"/>
              <w:rPr>
                <w:rFonts w:hint="eastAsia" w:ascii="宋体" w:hAnsi="宋体" w:eastAsia="宋体" w:cs="宋体"/>
                <w:color w:val="auto"/>
                <w:sz w:val="19"/>
                <w:szCs w:val="19"/>
                <w:highlight w:val="none"/>
              </w:rPr>
            </w:pPr>
            <w:r>
              <w:rPr>
                <w:rFonts w:hint="eastAsia" w:ascii="宋体" w:hAnsi="宋体" w:eastAsia="宋体" w:cs="宋体"/>
                <w:color w:val="auto"/>
                <w:sz w:val="19"/>
                <w:szCs w:val="19"/>
                <w:highlight w:val="none"/>
              </w:rPr>
              <w:t>4</w:t>
            </w:r>
          </w:p>
        </w:tc>
        <w:tc>
          <w:tcPr>
            <w:tcW w:w="292" w:type="dxa"/>
            <w:vAlign w:val="top"/>
          </w:tcPr>
          <w:p w14:paraId="7DE8665C">
            <w:pPr>
              <w:spacing w:line="266" w:lineRule="auto"/>
              <w:rPr>
                <w:rFonts w:hint="eastAsia" w:ascii="宋体" w:hAnsi="宋体" w:eastAsia="宋体" w:cs="宋体"/>
                <w:color w:val="auto"/>
                <w:sz w:val="21"/>
                <w:highlight w:val="none"/>
              </w:rPr>
            </w:pPr>
          </w:p>
          <w:p w14:paraId="7AF60BBE">
            <w:pPr>
              <w:spacing w:before="55" w:line="60" w:lineRule="exact"/>
              <w:jc w:val="right"/>
              <w:rPr>
                <w:rFonts w:hint="eastAsia" w:ascii="宋体" w:hAnsi="宋体" w:eastAsia="宋体" w:cs="宋体"/>
                <w:color w:val="auto"/>
                <w:sz w:val="19"/>
                <w:szCs w:val="19"/>
                <w:highlight w:val="none"/>
              </w:rPr>
            </w:pPr>
            <w:r>
              <w:rPr>
                <w:rFonts w:hint="eastAsia" w:ascii="宋体" w:hAnsi="宋体" w:eastAsia="宋体" w:cs="宋体"/>
                <w:color w:val="auto"/>
                <w:spacing w:val="-26"/>
                <w:position w:val="1"/>
                <w:sz w:val="19"/>
                <w:szCs w:val="19"/>
                <w:highlight w:val="none"/>
              </w:rPr>
              <w:t>…</w:t>
            </w:r>
          </w:p>
        </w:tc>
      </w:tr>
      <w:tr w14:paraId="0CB7E3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2230" w:type="dxa"/>
            <w:vAlign w:val="top"/>
          </w:tcPr>
          <w:p w14:paraId="702B8F46">
            <w:pPr>
              <w:pStyle w:val="25"/>
              <w:spacing w:before="123" w:line="197" w:lineRule="auto"/>
              <w:ind w:left="81"/>
              <w:rPr>
                <w:rFonts w:hint="eastAsia" w:ascii="宋体" w:hAnsi="宋体" w:eastAsia="宋体" w:cs="宋体"/>
                <w:color w:val="auto"/>
                <w:sz w:val="19"/>
                <w:szCs w:val="19"/>
                <w:highlight w:val="none"/>
              </w:rPr>
            </w:pPr>
            <w:r>
              <w:rPr>
                <w:rFonts w:hint="eastAsia" w:ascii="宋体" w:hAnsi="宋体" w:eastAsia="宋体" w:cs="宋体"/>
                <w:color w:val="auto"/>
                <w:spacing w:val="3"/>
                <w:sz w:val="19"/>
                <w:szCs w:val="19"/>
                <w:highlight w:val="none"/>
              </w:rPr>
              <w:t>1.施工准备</w:t>
            </w:r>
          </w:p>
        </w:tc>
        <w:tc>
          <w:tcPr>
            <w:tcW w:w="254" w:type="dxa"/>
            <w:vAlign w:val="top"/>
          </w:tcPr>
          <w:p w14:paraId="060C1832">
            <w:pPr>
              <w:rPr>
                <w:rFonts w:hint="eastAsia" w:ascii="宋体" w:hAnsi="宋体" w:eastAsia="宋体" w:cs="宋体"/>
                <w:color w:val="auto"/>
                <w:sz w:val="21"/>
                <w:highlight w:val="none"/>
              </w:rPr>
            </w:pPr>
          </w:p>
        </w:tc>
        <w:tc>
          <w:tcPr>
            <w:tcW w:w="254" w:type="dxa"/>
            <w:vAlign w:val="top"/>
          </w:tcPr>
          <w:p w14:paraId="5D81BAC7">
            <w:pPr>
              <w:rPr>
                <w:rFonts w:hint="eastAsia" w:ascii="宋体" w:hAnsi="宋体" w:eastAsia="宋体" w:cs="宋体"/>
                <w:color w:val="auto"/>
                <w:sz w:val="21"/>
                <w:highlight w:val="none"/>
              </w:rPr>
            </w:pPr>
          </w:p>
        </w:tc>
        <w:tc>
          <w:tcPr>
            <w:tcW w:w="255" w:type="dxa"/>
            <w:vAlign w:val="top"/>
          </w:tcPr>
          <w:p w14:paraId="353AA0E0">
            <w:pPr>
              <w:rPr>
                <w:rFonts w:hint="eastAsia" w:ascii="宋体" w:hAnsi="宋体" w:eastAsia="宋体" w:cs="宋体"/>
                <w:color w:val="auto"/>
                <w:sz w:val="21"/>
                <w:highlight w:val="none"/>
              </w:rPr>
            </w:pPr>
          </w:p>
        </w:tc>
        <w:tc>
          <w:tcPr>
            <w:tcW w:w="254" w:type="dxa"/>
            <w:vAlign w:val="top"/>
          </w:tcPr>
          <w:p w14:paraId="0A3DF27E">
            <w:pPr>
              <w:rPr>
                <w:rFonts w:hint="eastAsia" w:ascii="宋体" w:hAnsi="宋体" w:eastAsia="宋体" w:cs="宋体"/>
                <w:color w:val="auto"/>
                <w:sz w:val="21"/>
                <w:highlight w:val="none"/>
              </w:rPr>
            </w:pPr>
          </w:p>
        </w:tc>
        <w:tc>
          <w:tcPr>
            <w:tcW w:w="255" w:type="dxa"/>
            <w:vAlign w:val="top"/>
          </w:tcPr>
          <w:p w14:paraId="69F54D70">
            <w:pPr>
              <w:rPr>
                <w:rFonts w:hint="eastAsia" w:ascii="宋体" w:hAnsi="宋体" w:eastAsia="宋体" w:cs="宋体"/>
                <w:color w:val="auto"/>
                <w:sz w:val="21"/>
                <w:highlight w:val="none"/>
              </w:rPr>
            </w:pPr>
          </w:p>
        </w:tc>
        <w:tc>
          <w:tcPr>
            <w:tcW w:w="255" w:type="dxa"/>
            <w:vAlign w:val="top"/>
          </w:tcPr>
          <w:p w14:paraId="13C4155A">
            <w:pPr>
              <w:rPr>
                <w:rFonts w:hint="eastAsia" w:ascii="宋体" w:hAnsi="宋体" w:eastAsia="宋体" w:cs="宋体"/>
                <w:color w:val="auto"/>
                <w:sz w:val="21"/>
                <w:highlight w:val="none"/>
              </w:rPr>
            </w:pPr>
          </w:p>
        </w:tc>
        <w:tc>
          <w:tcPr>
            <w:tcW w:w="255" w:type="dxa"/>
            <w:vAlign w:val="top"/>
          </w:tcPr>
          <w:p w14:paraId="20FFF78E">
            <w:pPr>
              <w:rPr>
                <w:rFonts w:hint="eastAsia" w:ascii="宋体" w:hAnsi="宋体" w:eastAsia="宋体" w:cs="宋体"/>
                <w:color w:val="auto"/>
                <w:sz w:val="21"/>
                <w:highlight w:val="none"/>
              </w:rPr>
            </w:pPr>
          </w:p>
        </w:tc>
        <w:tc>
          <w:tcPr>
            <w:tcW w:w="255" w:type="dxa"/>
            <w:vAlign w:val="top"/>
          </w:tcPr>
          <w:p w14:paraId="38DD0D8C">
            <w:pPr>
              <w:rPr>
                <w:rFonts w:hint="eastAsia" w:ascii="宋体" w:hAnsi="宋体" w:eastAsia="宋体" w:cs="宋体"/>
                <w:color w:val="auto"/>
                <w:sz w:val="21"/>
                <w:highlight w:val="none"/>
              </w:rPr>
            </w:pPr>
          </w:p>
        </w:tc>
        <w:tc>
          <w:tcPr>
            <w:tcW w:w="255" w:type="dxa"/>
            <w:vAlign w:val="top"/>
          </w:tcPr>
          <w:p w14:paraId="14544E06">
            <w:pPr>
              <w:rPr>
                <w:rFonts w:hint="eastAsia" w:ascii="宋体" w:hAnsi="宋体" w:eastAsia="宋体" w:cs="宋体"/>
                <w:color w:val="auto"/>
                <w:sz w:val="21"/>
                <w:highlight w:val="none"/>
              </w:rPr>
            </w:pPr>
          </w:p>
        </w:tc>
        <w:tc>
          <w:tcPr>
            <w:tcW w:w="255" w:type="dxa"/>
            <w:vAlign w:val="top"/>
          </w:tcPr>
          <w:p w14:paraId="5418D40B">
            <w:pPr>
              <w:rPr>
                <w:rFonts w:hint="eastAsia" w:ascii="宋体" w:hAnsi="宋体" w:eastAsia="宋体" w:cs="宋体"/>
                <w:color w:val="auto"/>
                <w:sz w:val="21"/>
                <w:highlight w:val="none"/>
              </w:rPr>
            </w:pPr>
          </w:p>
        </w:tc>
        <w:tc>
          <w:tcPr>
            <w:tcW w:w="255" w:type="dxa"/>
            <w:vAlign w:val="top"/>
          </w:tcPr>
          <w:p w14:paraId="0D528BCE">
            <w:pPr>
              <w:rPr>
                <w:rFonts w:hint="eastAsia" w:ascii="宋体" w:hAnsi="宋体" w:eastAsia="宋体" w:cs="宋体"/>
                <w:color w:val="auto"/>
                <w:sz w:val="21"/>
                <w:highlight w:val="none"/>
              </w:rPr>
            </w:pPr>
          </w:p>
        </w:tc>
        <w:tc>
          <w:tcPr>
            <w:tcW w:w="255" w:type="dxa"/>
            <w:vAlign w:val="top"/>
          </w:tcPr>
          <w:p w14:paraId="1C6A75EB">
            <w:pPr>
              <w:rPr>
                <w:rFonts w:hint="eastAsia" w:ascii="宋体" w:hAnsi="宋体" w:eastAsia="宋体" w:cs="宋体"/>
                <w:color w:val="auto"/>
                <w:sz w:val="21"/>
                <w:highlight w:val="none"/>
              </w:rPr>
            </w:pPr>
          </w:p>
        </w:tc>
        <w:tc>
          <w:tcPr>
            <w:tcW w:w="255" w:type="dxa"/>
            <w:vAlign w:val="top"/>
          </w:tcPr>
          <w:p w14:paraId="4C00EC7A">
            <w:pPr>
              <w:rPr>
                <w:rFonts w:hint="eastAsia" w:ascii="宋体" w:hAnsi="宋体" w:eastAsia="宋体" w:cs="宋体"/>
                <w:color w:val="auto"/>
                <w:sz w:val="21"/>
                <w:highlight w:val="none"/>
              </w:rPr>
            </w:pPr>
          </w:p>
        </w:tc>
        <w:tc>
          <w:tcPr>
            <w:tcW w:w="255" w:type="dxa"/>
            <w:vAlign w:val="top"/>
          </w:tcPr>
          <w:p w14:paraId="1B667F46">
            <w:pPr>
              <w:rPr>
                <w:rFonts w:hint="eastAsia" w:ascii="宋体" w:hAnsi="宋体" w:eastAsia="宋体" w:cs="宋体"/>
                <w:color w:val="auto"/>
                <w:sz w:val="21"/>
                <w:highlight w:val="none"/>
              </w:rPr>
            </w:pPr>
          </w:p>
        </w:tc>
        <w:tc>
          <w:tcPr>
            <w:tcW w:w="255" w:type="dxa"/>
            <w:vAlign w:val="top"/>
          </w:tcPr>
          <w:p w14:paraId="2CED59DE">
            <w:pPr>
              <w:rPr>
                <w:rFonts w:hint="eastAsia" w:ascii="宋体" w:hAnsi="宋体" w:eastAsia="宋体" w:cs="宋体"/>
                <w:color w:val="auto"/>
                <w:sz w:val="21"/>
                <w:highlight w:val="none"/>
              </w:rPr>
            </w:pPr>
          </w:p>
        </w:tc>
        <w:tc>
          <w:tcPr>
            <w:tcW w:w="255" w:type="dxa"/>
            <w:vAlign w:val="top"/>
          </w:tcPr>
          <w:p w14:paraId="35894397">
            <w:pPr>
              <w:rPr>
                <w:rFonts w:hint="eastAsia" w:ascii="宋体" w:hAnsi="宋体" w:eastAsia="宋体" w:cs="宋体"/>
                <w:color w:val="auto"/>
                <w:sz w:val="21"/>
                <w:highlight w:val="none"/>
              </w:rPr>
            </w:pPr>
          </w:p>
        </w:tc>
        <w:tc>
          <w:tcPr>
            <w:tcW w:w="255" w:type="dxa"/>
            <w:vAlign w:val="top"/>
          </w:tcPr>
          <w:p w14:paraId="408BDEDF">
            <w:pPr>
              <w:rPr>
                <w:rFonts w:hint="eastAsia" w:ascii="宋体" w:hAnsi="宋体" w:eastAsia="宋体" w:cs="宋体"/>
                <w:color w:val="auto"/>
                <w:sz w:val="21"/>
                <w:highlight w:val="none"/>
              </w:rPr>
            </w:pPr>
          </w:p>
        </w:tc>
        <w:tc>
          <w:tcPr>
            <w:tcW w:w="255" w:type="dxa"/>
            <w:vAlign w:val="top"/>
          </w:tcPr>
          <w:p w14:paraId="65D15E8D">
            <w:pPr>
              <w:rPr>
                <w:rFonts w:hint="eastAsia" w:ascii="宋体" w:hAnsi="宋体" w:eastAsia="宋体" w:cs="宋体"/>
                <w:color w:val="auto"/>
                <w:sz w:val="21"/>
                <w:highlight w:val="none"/>
              </w:rPr>
            </w:pPr>
          </w:p>
        </w:tc>
        <w:tc>
          <w:tcPr>
            <w:tcW w:w="255" w:type="dxa"/>
            <w:vAlign w:val="top"/>
          </w:tcPr>
          <w:p w14:paraId="4FA432D6">
            <w:pPr>
              <w:rPr>
                <w:rFonts w:hint="eastAsia" w:ascii="宋体" w:hAnsi="宋体" w:eastAsia="宋体" w:cs="宋体"/>
                <w:color w:val="auto"/>
                <w:sz w:val="21"/>
                <w:highlight w:val="none"/>
              </w:rPr>
            </w:pPr>
          </w:p>
        </w:tc>
        <w:tc>
          <w:tcPr>
            <w:tcW w:w="255" w:type="dxa"/>
            <w:vAlign w:val="top"/>
          </w:tcPr>
          <w:p w14:paraId="1D519549">
            <w:pPr>
              <w:rPr>
                <w:rFonts w:hint="eastAsia" w:ascii="宋体" w:hAnsi="宋体" w:eastAsia="宋体" w:cs="宋体"/>
                <w:color w:val="auto"/>
                <w:sz w:val="21"/>
                <w:highlight w:val="none"/>
              </w:rPr>
            </w:pPr>
          </w:p>
        </w:tc>
        <w:tc>
          <w:tcPr>
            <w:tcW w:w="255" w:type="dxa"/>
            <w:vAlign w:val="top"/>
          </w:tcPr>
          <w:p w14:paraId="5358C7D0">
            <w:pPr>
              <w:rPr>
                <w:rFonts w:hint="eastAsia" w:ascii="宋体" w:hAnsi="宋体" w:eastAsia="宋体" w:cs="宋体"/>
                <w:color w:val="auto"/>
                <w:sz w:val="21"/>
                <w:highlight w:val="none"/>
              </w:rPr>
            </w:pPr>
          </w:p>
        </w:tc>
        <w:tc>
          <w:tcPr>
            <w:tcW w:w="255" w:type="dxa"/>
            <w:vAlign w:val="top"/>
          </w:tcPr>
          <w:p w14:paraId="42229F58">
            <w:pPr>
              <w:rPr>
                <w:rFonts w:hint="eastAsia" w:ascii="宋体" w:hAnsi="宋体" w:eastAsia="宋体" w:cs="宋体"/>
                <w:color w:val="auto"/>
                <w:sz w:val="21"/>
                <w:highlight w:val="none"/>
              </w:rPr>
            </w:pPr>
          </w:p>
        </w:tc>
        <w:tc>
          <w:tcPr>
            <w:tcW w:w="255" w:type="dxa"/>
            <w:vAlign w:val="top"/>
          </w:tcPr>
          <w:p w14:paraId="2A19B468">
            <w:pPr>
              <w:rPr>
                <w:rFonts w:hint="eastAsia" w:ascii="宋体" w:hAnsi="宋体" w:eastAsia="宋体" w:cs="宋体"/>
                <w:color w:val="auto"/>
                <w:sz w:val="21"/>
                <w:highlight w:val="none"/>
              </w:rPr>
            </w:pPr>
          </w:p>
        </w:tc>
        <w:tc>
          <w:tcPr>
            <w:tcW w:w="255" w:type="dxa"/>
            <w:vAlign w:val="top"/>
          </w:tcPr>
          <w:p w14:paraId="0ABFED23">
            <w:pPr>
              <w:rPr>
                <w:rFonts w:hint="eastAsia" w:ascii="宋体" w:hAnsi="宋体" w:eastAsia="宋体" w:cs="宋体"/>
                <w:color w:val="auto"/>
                <w:sz w:val="21"/>
                <w:highlight w:val="none"/>
              </w:rPr>
            </w:pPr>
          </w:p>
        </w:tc>
        <w:tc>
          <w:tcPr>
            <w:tcW w:w="255" w:type="dxa"/>
            <w:vAlign w:val="top"/>
          </w:tcPr>
          <w:p w14:paraId="17CE0E9A">
            <w:pPr>
              <w:rPr>
                <w:rFonts w:hint="eastAsia" w:ascii="宋体" w:hAnsi="宋体" w:eastAsia="宋体" w:cs="宋体"/>
                <w:color w:val="auto"/>
                <w:sz w:val="21"/>
                <w:highlight w:val="none"/>
              </w:rPr>
            </w:pPr>
          </w:p>
        </w:tc>
        <w:tc>
          <w:tcPr>
            <w:tcW w:w="255" w:type="dxa"/>
            <w:vAlign w:val="top"/>
          </w:tcPr>
          <w:p w14:paraId="432052DF">
            <w:pPr>
              <w:rPr>
                <w:rFonts w:hint="eastAsia" w:ascii="宋体" w:hAnsi="宋体" w:eastAsia="宋体" w:cs="宋体"/>
                <w:color w:val="auto"/>
                <w:sz w:val="21"/>
                <w:highlight w:val="none"/>
              </w:rPr>
            </w:pPr>
          </w:p>
        </w:tc>
        <w:tc>
          <w:tcPr>
            <w:tcW w:w="255" w:type="dxa"/>
            <w:vAlign w:val="top"/>
          </w:tcPr>
          <w:p w14:paraId="705643AC">
            <w:pPr>
              <w:rPr>
                <w:rFonts w:hint="eastAsia" w:ascii="宋体" w:hAnsi="宋体" w:eastAsia="宋体" w:cs="宋体"/>
                <w:color w:val="auto"/>
                <w:sz w:val="21"/>
                <w:highlight w:val="none"/>
              </w:rPr>
            </w:pPr>
          </w:p>
        </w:tc>
        <w:tc>
          <w:tcPr>
            <w:tcW w:w="255" w:type="dxa"/>
            <w:vAlign w:val="top"/>
          </w:tcPr>
          <w:p w14:paraId="1892D3D9">
            <w:pPr>
              <w:rPr>
                <w:rFonts w:hint="eastAsia" w:ascii="宋体" w:hAnsi="宋体" w:eastAsia="宋体" w:cs="宋体"/>
                <w:color w:val="auto"/>
                <w:sz w:val="21"/>
                <w:highlight w:val="none"/>
              </w:rPr>
            </w:pPr>
          </w:p>
        </w:tc>
        <w:tc>
          <w:tcPr>
            <w:tcW w:w="292" w:type="dxa"/>
            <w:vAlign w:val="top"/>
          </w:tcPr>
          <w:p w14:paraId="67C212FD">
            <w:pPr>
              <w:rPr>
                <w:rFonts w:hint="eastAsia" w:ascii="宋体" w:hAnsi="宋体" w:eastAsia="宋体" w:cs="宋体"/>
                <w:color w:val="auto"/>
                <w:sz w:val="21"/>
                <w:highlight w:val="none"/>
              </w:rPr>
            </w:pPr>
          </w:p>
        </w:tc>
      </w:tr>
      <w:tr w14:paraId="5BBB0F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 w:hRule="atLeast"/>
        </w:trPr>
        <w:tc>
          <w:tcPr>
            <w:tcW w:w="2230" w:type="dxa"/>
            <w:vAlign w:val="top"/>
          </w:tcPr>
          <w:p w14:paraId="48C37FF8">
            <w:pPr>
              <w:pStyle w:val="25"/>
              <w:spacing w:before="123" w:line="198" w:lineRule="auto"/>
              <w:ind w:left="61"/>
              <w:rPr>
                <w:rFonts w:hint="eastAsia" w:ascii="宋体" w:hAnsi="宋体" w:eastAsia="宋体" w:cs="宋体"/>
                <w:color w:val="auto"/>
                <w:sz w:val="19"/>
                <w:szCs w:val="19"/>
                <w:highlight w:val="none"/>
              </w:rPr>
            </w:pPr>
            <w:r>
              <w:rPr>
                <w:rFonts w:hint="eastAsia" w:ascii="宋体" w:hAnsi="宋体" w:eastAsia="宋体" w:cs="宋体"/>
                <w:color w:val="auto"/>
                <w:spacing w:val="6"/>
                <w:sz w:val="19"/>
                <w:szCs w:val="19"/>
                <w:highlight w:val="none"/>
              </w:rPr>
              <w:t>2.路基处理</w:t>
            </w:r>
          </w:p>
        </w:tc>
        <w:tc>
          <w:tcPr>
            <w:tcW w:w="254" w:type="dxa"/>
            <w:vAlign w:val="top"/>
          </w:tcPr>
          <w:p w14:paraId="6550FD6A">
            <w:pPr>
              <w:rPr>
                <w:rFonts w:hint="eastAsia" w:ascii="宋体" w:hAnsi="宋体" w:eastAsia="宋体" w:cs="宋体"/>
                <w:color w:val="auto"/>
                <w:sz w:val="21"/>
                <w:highlight w:val="none"/>
              </w:rPr>
            </w:pPr>
          </w:p>
        </w:tc>
        <w:tc>
          <w:tcPr>
            <w:tcW w:w="254" w:type="dxa"/>
            <w:vAlign w:val="top"/>
          </w:tcPr>
          <w:p w14:paraId="6F7CF56D">
            <w:pPr>
              <w:rPr>
                <w:rFonts w:hint="eastAsia" w:ascii="宋体" w:hAnsi="宋体" w:eastAsia="宋体" w:cs="宋体"/>
                <w:color w:val="auto"/>
                <w:sz w:val="21"/>
                <w:highlight w:val="none"/>
              </w:rPr>
            </w:pPr>
          </w:p>
        </w:tc>
        <w:tc>
          <w:tcPr>
            <w:tcW w:w="255" w:type="dxa"/>
            <w:vAlign w:val="top"/>
          </w:tcPr>
          <w:p w14:paraId="071CF4F3">
            <w:pPr>
              <w:rPr>
                <w:rFonts w:hint="eastAsia" w:ascii="宋体" w:hAnsi="宋体" w:eastAsia="宋体" w:cs="宋体"/>
                <w:color w:val="auto"/>
                <w:sz w:val="21"/>
                <w:highlight w:val="none"/>
              </w:rPr>
            </w:pPr>
          </w:p>
        </w:tc>
        <w:tc>
          <w:tcPr>
            <w:tcW w:w="254" w:type="dxa"/>
            <w:vAlign w:val="top"/>
          </w:tcPr>
          <w:p w14:paraId="704CBA0A">
            <w:pPr>
              <w:rPr>
                <w:rFonts w:hint="eastAsia" w:ascii="宋体" w:hAnsi="宋体" w:eastAsia="宋体" w:cs="宋体"/>
                <w:color w:val="auto"/>
                <w:sz w:val="21"/>
                <w:highlight w:val="none"/>
              </w:rPr>
            </w:pPr>
          </w:p>
        </w:tc>
        <w:tc>
          <w:tcPr>
            <w:tcW w:w="255" w:type="dxa"/>
            <w:vAlign w:val="top"/>
          </w:tcPr>
          <w:p w14:paraId="44AE6FB1">
            <w:pPr>
              <w:rPr>
                <w:rFonts w:hint="eastAsia" w:ascii="宋体" w:hAnsi="宋体" w:eastAsia="宋体" w:cs="宋体"/>
                <w:color w:val="auto"/>
                <w:sz w:val="21"/>
                <w:highlight w:val="none"/>
              </w:rPr>
            </w:pPr>
          </w:p>
        </w:tc>
        <w:tc>
          <w:tcPr>
            <w:tcW w:w="255" w:type="dxa"/>
            <w:vAlign w:val="top"/>
          </w:tcPr>
          <w:p w14:paraId="6FE6D10A">
            <w:pPr>
              <w:rPr>
                <w:rFonts w:hint="eastAsia" w:ascii="宋体" w:hAnsi="宋体" w:eastAsia="宋体" w:cs="宋体"/>
                <w:color w:val="auto"/>
                <w:sz w:val="21"/>
                <w:highlight w:val="none"/>
              </w:rPr>
            </w:pPr>
          </w:p>
        </w:tc>
        <w:tc>
          <w:tcPr>
            <w:tcW w:w="255" w:type="dxa"/>
            <w:vAlign w:val="top"/>
          </w:tcPr>
          <w:p w14:paraId="71365E74">
            <w:pPr>
              <w:rPr>
                <w:rFonts w:hint="eastAsia" w:ascii="宋体" w:hAnsi="宋体" w:eastAsia="宋体" w:cs="宋体"/>
                <w:color w:val="auto"/>
                <w:sz w:val="21"/>
                <w:highlight w:val="none"/>
              </w:rPr>
            </w:pPr>
          </w:p>
        </w:tc>
        <w:tc>
          <w:tcPr>
            <w:tcW w:w="255" w:type="dxa"/>
            <w:vAlign w:val="top"/>
          </w:tcPr>
          <w:p w14:paraId="484BE7A7">
            <w:pPr>
              <w:rPr>
                <w:rFonts w:hint="eastAsia" w:ascii="宋体" w:hAnsi="宋体" w:eastAsia="宋体" w:cs="宋体"/>
                <w:color w:val="auto"/>
                <w:sz w:val="21"/>
                <w:highlight w:val="none"/>
              </w:rPr>
            </w:pPr>
          </w:p>
        </w:tc>
        <w:tc>
          <w:tcPr>
            <w:tcW w:w="255" w:type="dxa"/>
            <w:vAlign w:val="top"/>
          </w:tcPr>
          <w:p w14:paraId="6E54AA00">
            <w:pPr>
              <w:rPr>
                <w:rFonts w:hint="eastAsia" w:ascii="宋体" w:hAnsi="宋体" w:eastAsia="宋体" w:cs="宋体"/>
                <w:color w:val="auto"/>
                <w:sz w:val="21"/>
                <w:highlight w:val="none"/>
              </w:rPr>
            </w:pPr>
          </w:p>
        </w:tc>
        <w:tc>
          <w:tcPr>
            <w:tcW w:w="255" w:type="dxa"/>
            <w:vAlign w:val="top"/>
          </w:tcPr>
          <w:p w14:paraId="6B14D31D">
            <w:pPr>
              <w:rPr>
                <w:rFonts w:hint="eastAsia" w:ascii="宋体" w:hAnsi="宋体" w:eastAsia="宋体" w:cs="宋体"/>
                <w:color w:val="auto"/>
                <w:sz w:val="21"/>
                <w:highlight w:val="none"/>
              </w:rPr>
            </w:pPr>
          </w:p>
        </w:tc>
        <w:tc>
          <w:tcPr>
            <w:tcW w:w="255" w:type="dxa"/>
            <w:vAlign w:val="top"/>
          </w:tcPr>
          <w:p w14:paraId="6EAB7229">
            <w:pPr>
              <w:rPr>
                <w:rFonts w:hint="eastAsia" w:ascii="宋体" w:hAnsi="宋体" w:eastAsia="宋体" w:cs="宋体"/>
                <w:color w:val="auto"/>
                <w:sz w:val="21"/>
                <w:highlight w:val="none"/>
              </w:rPr>
            </w:pPr>
          </w:p>
        </w:tc>
        <w:tc>
          <w:tcPr>
            <w:tcW w:w="255" w:type="dxa"/>
            <w:vAlign w:val="top"/>
          </w:tcPr>
          <w:p w14:paraId="2FB38E4E">
            <w:pPr>
              <w:rPr>
                <w:rFonts w:hint="eastAsia" w:ascii="宋体" w:hAnsi="宋体" w:eastAsia="宋体" w:cs="宋体"/>
                <w:color w:val="auto"/>
                <w:sz w:val="21"/>
                <w:highlight w:val="none"/>
              </w:rPr>
            </w:pPr>
          </w:p>
        </w:tc>
        <w:tc>
          <w:tcPr>
            <w:tcW w:w="255" w:type="dxa"/>
            <w:vAlign w:val="top"/>
          </w:tcPr>
          <w:p w14:paraId="6065EBD3">
            <w:pPr>
              <w:rPr>
                <w:rFonts w:hint="eastAsia" w:ascii="宋体" w:hAnsi="宋体" w:eastAsia="宋体" w:cs="宋体"/>
                <w:color w:val="auto"/>
                <w:sz w:val="21"/>
                <w:highlight w:val="none"/>
              </w:rPr>
            </w:pPr>
          </w:p>
        </w:tc>
        <w:tc>
          <w:tcPr>
            <w:tcW w:w="255" w:type="dxa"/>
            <w:vAlign w:val="top"/>
          </w:tcPr>
          <w:p w14:paraId="7E395CAF">
            <w:pPr>
              <w:rPr>
                <w:rFonts w:hint="eastAsia" w:ascii="宋体" w:hAnsi="宋体" w:eastAsia="宋体" w:cs="宋体"/>
                <w:color w:val="auto"/>
                <w:sz w:val="21"/>
                <w:highlight w:val="none"/>
              </w:rPr>
            </w:pPr>
          </w:p>
        </w:tc>
        <w:tc>
          <w:tcPr>
            <w:tcW w:w="255" w:type="dxa"/>
            <w:vAlign w:val="top"/>
          </w:tcPr>
          <w:p w14:paraId="7531B65C">
            <w:pPr>
              <w:rPr>
                <w:rFonts w:hint="eastAsia" w:ascii="宋体" w:hAnsi="宋体" w:eastAsia="宋体" w:cs="宋体"/>
                <w:color w:val="auto"/>
                <w:sz w:val="21"/>
                <w:highlight w:val="none"/>
              </w:rPr>
            </w:pPr>
          </w:p>
        </w:tc>
        <w:tc>
          <w:tcPr>
            <w:tcW w:w="255" w:type="dxa"/>
            <w:vAlign w:val="top"/>
          </w:tcPr>
          <w:p w14:paraId="2014AC5B">
            <w:pPr>
              <w:rPr>
                <w:rFonts w:hint="eastAsia" w:ascii="宋体" w:hAnsi="宋体" w:eastAsia="宋体" w:cs="宋体"/>
                <w:color w:val="auto"/>
                <w:sz w:val="21"/>
                <w:highlight w:val="none"/>
              </w:rPr>
            </w:pPr>
          </w:p>
        </w:tc>
        <w:tc>
          <w:tcPr>
            <w:tcW w:w="255" w:type="dxa"/>
            <w:vAlign w:val="top"/>
          </w:tcPr>
          <w:p w14:paraId="3BCF467F">
            <w:pPr>
              <w:rPr>
                <w:rFonts w:hint="eastAsia" w:ascii="宋体" w:hAnsi="宋体" w:eastAsia="宋体" w:cs="宋体"/>
                <w:color w:val="auto"/>
                <w:sz w:val="21"/>
                <w:highlight w:val="none"/>
              </w:rPr>
            </w:pPr>
          </w:p>
        </w:tc>
        <w:tc>
          <w:tcPr>
            <w:tcW w:w="255" w:type="dxa"/>
            <w:vAlign w:val="top"/>
          </w:tcPr>
          <w:p w14:paraId="6D91A5E8">
            <w:pPr>
              <w:rPr>
                <w:rFonts w:hint="eastAsia" w:ascii="宋体" w:hAnsi="宋体" w:eastAsia="宋体" w:cs="宋体"/>
                <w:color w:val="auto"/>
                <w:sz w:val="21"/>
                <w:highlight w:val="none"/>
              </w:rPr>
            </w:pPr>
          </w:p>
        </w:tc>
        <w:tc>
          <w:tcPr>
            <w:tcW w:w="255" w:type="dxa"/>
            <w:vAlign w:val="top"/>
          </w:tcPr>
          <w:p w14:paraId="41CCEC12">
            <w:pPr>
              <w:rPr>
                <w:rFonts w:hint="eastAsia" w:ascii="宋体" w:hAnsi="宋体" w:eastAsia="宋体" w:cs="宋体"/>
                <w:color w:val="auto"/>
                <w:sz w:val="21"/>
                <w:highlight w:val="none"/>
              </w:rPr>
            </w:pPr>
          </w:p>
        </w:tc>
        <w:tc>
          <w:tcPr>
            <w:tcW w:w="255" w:type="dxa"/>
            <w:vAlign w:val="top"/>
          </w:tcPr>
          <w:p w14:paraId="59E40D9D">
            <w:pPr>
              <w:rPr>
                <w:rFonts w:hint="eastAsia" w:ascii="宋体" w:hAnsi="宋体" w:eastAsia="宋体" w:cs="宋体"/>
                <w:color w:val="auto"/>
                <w:sz w:val="21"/>
                <w:highlight w:val="none"/>
              </w:rPr>
            </w:pPr>
          </w:p>
        </w:tc>
        <w:tc>
          <w:tcPr>
            <w:tcW w:w="255" w:type="dxa"/>
            <w:vAlign w:val="top"/>
          </w:tcPr>
          <w:p w14:paraId="4261923E">
            <w:pPr>
              <w:rPr>
                <w:rFonts w:hint="eastAsia" w:ascii="宋体" w:hAnsi="宋体" w:eastAsia="宋体" w:cs="宋体"/>
                <w:color w:val="auto"/>
                <w:sz w:val="21"/>
                <w:highlight w:val="none"/>
              </w:rPr>
            </w:pPr>
          </w:p>
        </w:tc>
        <w:tc>
          <w:tcPr>
            <w:tcW w:w="255" w:type="dxa"/>
            <w:vAlign w:val="top"/>
          </w:tcPr>
          <w:p w14:paraId="6D10306E">
            <w:pPr>
              <w:rPr>
                <w:rFonts w:hint="eastAsia" w:ascii="宋体" w:hAnsi="宋体" w:eastAsia="宋体" w:cs="宋体"/>
                <w:color w:val="auto"/>
                <w:sz w:val="21"/>
                <w:highlight w:val="none"/>
              </w:rPr>
            </w:pPr>
          </w:p>
        </w:tc>
        <w:tc>
          <w:tcPr>
            <w:tcW w:w="255" w:type="dxa"/>
            <w:vAlign w:val="top"/>
          </w:tcPr>
          <w:p w14:paraId="60658338">
            <w:pPr>
              <w:rPr>
                <w:rFonts w:hint="eastAsia" w:ascii="宋体" w:hAnsi="宋体" w:eastAsia="宋体" w:cs="宋体"/>
                <w:color w:val="auto"/>
                <w:sz w:val="21"/>
                <w:highlight w:val="none"/>
              </w:rPr>
            </w:pPr>
          </w:p>
        </w:tc>
        <w:tc>
          <w:tcPr>
            <w:tcW w:w="255" w:type="dxa"/>
            <w:vAlign w:val="top"/>
          </w:tcPr>
          <w:p w14:paraId="48339950">
            <w:pPr>
              <w:rPr>
                <w:rFonts w:hint="eastAsia" w:ascii="宋体" w:hAnsi="宋体" w:eastAsia="宋体" w:cs="宋体"/>
                <w:color w:val="auto"/>
                <w:sz w:val="21"/>
                <w:highlight w:val="none"/>
              </w:rPr>
            </w:pPr>
          </w:p>
        </w:tc>
        <w:tc>
          <w:tcPr>
            <w:tcW w:w="255" w:type="dxa"/>
            <w:vAlign w:val="top"/>
          </w:tcPr>
          <w:p w14:paraId="4D10E06F">
            <w:pPr>
              <w:rPr>
                <w:rFonts w:hint="eastAsia" w:ascii="宋体" w:hAnsi="宋体" w:eastAsia="宋体" w:cs="宋体"/>
                <w:color w:val="auto"/>
                <w:sz w:val="21"/>
                <w:highlight w:val="none"/>
              </w:rPr>
            </w:pPr>
          </w:p>
        </w:tc>
        <w:tc>
          <w:tcPr>
            <w:tcW w:w="255" w:type="dxa"/>
            <w:vAlign w:val="top"/>
          </w:tcPr>
          <w:p w14:paraId="2BC5DB56">
            <w:pPr>
              <w:rPr>
                <w:rFonts w:hint="eastAsia" w:ascii="宋体" w:hAnsi="宋体" w:eastAsia="宋体" w:cs="宋体"/>
                <w:color w:val="auto"/>
                <w:sz w:val="21"/>
                <w:highlight w:val="none"/>
              </w:rPr>
            </w:pPr>
          </w:p>
        </w:tc>
        <w:tc>
          <w:tcPr>
            <w:tcW w:w="255" w:type="dxa"/>
            <w:vAlign w:val="top"/>
          </w:tcPr>
          <w:p w14:paraId="24CE63B7">
            <w:pPr>
              <w:rPr>
                <w:rFonts w:hint="eastAsia" w:ascii="宋体" w:hAnsi="宋体" w:eastAsia="宋体" w:cs="宋体"/>
                <w:color w:val="auto"/>
                <w:sz w:val="21"/>
                <w:highlight w:val="none"/>
              </w:rPr>
            </w:pPr>
          </w:p>
        </w:tc>
        <w:tc>
          <w:tcPr>
            <w:tcW w:w="255" w:type="dxa"/>
            <w:vAlign w:val="top"/>
          </w:tcPr>
          <w:p w14:paraId="7B4417EE">
            <w:pPr>
              <w:rPr>
                <w:rFonts w:hint="eastAsia" w:ascii="宋体" w:hAnsi="宋体" w:eastAsia="宋体" w:cs="宋体"/>
                <w:color w:val="auto"/>
                <w:sz w:val="21"/>
                <w:highlight w:val="none"/>
              </w:rPr>
            </w:pPr>
          </w:p>
        </w:tc>
        <w:tc>
          <w:tcPr>
            <w:tcW w:w="292" w:type="dxa"/>
            <w:vAlign w:val="top"/>
          </w:tcPr>
          <w:p w14:paraId="3D8D0124">
            <w:pPr>
              <w:rPr>
                <w:rFonts w:hint="eastAsia" w:ascii="宋体" w:hAnsi="宋体" w:eastAsia="宋体" w:cs="宋体"/>
                <w:color w:val="auto"/>
                <w:sz w:val="21"/>
                <w:highlight w:val="none"/>
              </w:rPr>
            </w:pPr>
          </w:p>
        </w:tc>
      </w:tr>
      <w:tr w14:paraId="5124EE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2230" w:type="dxa"/>
            <w:vAlign w:val="top"/>
          </w:tcPr>
          <w:p w14:paraId="61B2500F">
            <w:pPr>
              <w:pStyle w:val="25"/>
              <w:spacing w:before="117" w:line="201" w:lineRule="auto"/>
              <w:ind w:left="65"/>
              <w:rPr>
                <w:rFonts w:hint="eastAsia" w:ascii="宋体" w:hAnsi="宋体" w:eastAsia="宋体" w:cs="宋体"/>
                <w:color w:val="auto"/>
                <w:sz w:val="19"/>
                <w:szCs w:val="19"/>
                <w:highlight w:val="none"/>
              </w:rPr>
            </w:pPr>
            <w:r>
              <w:rPr>
                <w:rFonts w:hint="eastAsia" w:ascii="宋体" w:hAnsi="宋体" w:eastAsia="宋体" w:cs="宋体"/>
                <w:color w:val="auto"/>
                <w:spacing w:val="6"/>
                <w:sz w:val="19"/>
                <w:szCs w:val="19"/>
                <w:highlight w:val="none"/>
              </w:rPr>
              <w:t>3.路基填筑</w:t>
            </w:r>
          </w:p>
        </w:tc>
        <w:tc>
          <w:tcPr>
            <w:tcW w:w="254" w:type="dxa"/>
            <w:vAlign w:val="top"/>
          </w:tcPr>
          <w:p w14:paraId="03BBD81C">
            <w:pPr>
              <w:rPr>
                <w:rFonts w:hint="eastAsia" w:ascii="宋体" w:hAnsi="宋体" w:eastAsia="宋体" w:cs="宋体"/>
                <w:color w:val="auto"/>
                <w:sz w:val="21"/>
                <w:highlight w:val="none"/>
              </w:rPr>
            </w:pPr>
          </w:p>
        </w:tc>
        <w:tc>
          <w:tcPr>
            <w:tcW w:w="254" w:type="dxa"/>
            <w:vAlign w:val="top"/>
          </w:tcPr>
          <w:p w14:paraId="1AC24D60">
            <w:pPr>
              <w:rPr>
                <w:rFonts w:hint="eastAsia" w:ascii="宋体" w:hAnsi="宋体" w:eastAsia="宋体" w:cs="宋体"/>
                <w:color w:val="auto"/>
                <w:sz w:val="21"/>
                <w:highlight w:val="none"/>
              </w:rPr>
            </w:pPr>
          </w:p>
        </w:tc>
        <w:tc>
          <w:tcPr>
            <w:tcW w:w="255" w:type="dxa"/>
            <w:vAlign w:val="top"/>
          </w:tcPr>
          <w:p w14:paraId="0F36F666">
            <w:pPr>
              <w:rPr>
                <w:rFonts w:hint="eastAsia" w:ascii="宋体" w:hAnsi="宋体" w:eastAsia="宋体" w:cs="宋体"/>
                <w:color w:val="auto"/>
                <w:sz w:val="21"/>
                <w:highlight w:val="none"/>
              </w:rPr>
            </w:pPr>
          </w:p>
        </w:tc>
        <w:tc>
          <w:tcPr>
            <w:tcW w:w="254" w:type="dxa"/>
            <w:vAlign w:val="top"/>
          </w:tcPr>
          <w:p w14:paraId="792F83C4">
            <w:pPr>
              <w:rPr>
                <w:rFonts w:hint="eastAsia" w:ascii="宋体" w:hAnsi="宋体" w:eastAsia="宋体" w:cs="宋体"/>
                <w:color w:val="auto"/>
                <w:sz w:val="21"/>
                <w:highlight w:val="none"/>
              </w:rPr>
            </w:pPr>
          </w:p>
        </w:tc>
        <w:tc>
          <w:tcPr>
            <w:tcW w:w="255" w:type="dxa"/>
            <w:vAlign w:val="top"/>
          </w:tcPr>
          <w:p w14:paraId="41C2FE02">
            <w:pPr>
              <w:rPr>
                <w:rFonts w:hint="eastAsia" w:ascii="宋体" w:hAnsi="宋体" w:eastAsia="宋体" w:cs="宋体"/>
                <w:color w:val="auto"/>
                <w:sz w:val="21"/>
                <w:highlight w:val="none"/>
              </w:rPr>
            </w:pPr>
          </w:p>
        </w:tc>
        <w:tc>
          <w:tcPr>
            <w:tcW w:w="255" w:type="dxa"/>
            <w:vAlign w:val="top"/>
          </w:tcPr>
          <w:p w14:paraId="7E219A3F">
            <w:pPr>
              <w:rPr>
                <w:rFonts w:hint="eastAsia" w:ascii="宋体" w:hAnsi="宋体" w:eastAsia="宋体" w:cs="宋体"/>
                <w:color w:val="auto"/>
                <w:sz w:val="21"/>
                <w:highlight w:val="none"/>
              </w:rPr>
            </w:pPr>
          </w:p>
        </w:tc>
        <w:tc>
          <w:tcPr>
            <w:tcW w:w="255" w:type="dxa"/>
            <w:vAlign w:val="top"/>
          </w:tcPr>
          <w:p w14:paraId="6F489422">
            <w:pPr>
              <w:rPr>
                <w:rFonts w:hint="eastAsia" w:ascii="宋体" w:hAnsi="宋体" w:eastAsia="宋体" w:cs="宋体"/>
                <w:color w:val="auto"/>
                <w:sz w:val="21"/>
                <w:highlight w:val="none"/>
              </w:rPr>
            </w:pPr>
          </w:p>
        </w:tc>
        <w:tc>
          <w:tcPr>
            <w:tcW w:w="255" w:type="dxa"/>
            <w:vAlign w:val="top"/>
          </w:tcPr>
          <w:p w14:paraId="655B1B70">
            <w:pPr>
              <w:rPr>
                <w:rFonts w:hint="eastAsia" w:ascii="宋体" w:hAnsi="宋体" w:eastAsia="宋体" w:cs="宋体"/>
                <w:color w:val="auto"/>
                <w:sz w:val="21"/>
                <w:highlight w:val="none"/>
              </w:rPr>
            </w:pPr>
          </w:p>
        </w:tc>
        <w:tc>
          <w:tcPr>
            <w:tcW w:w="255" w:type="dxa"/>
            <w:vAlign w:val="top"/>
          </w:tcPr>
          <w:p w14:paraId="29F9DC1D">
            <w:pPr>
              <w:rPr>
                <w:rFonts w:hint="eastAsia" w:ascii="宋体" w:hAnsi="宋体" w:eastAsia="宋体" w:cs="宋体"/>
                <w:color w:val="auto"/>
                <w:sz w:val="21"/>
                <w:highlight w:val="none"/>
              </w:rPr>
            </w:pPr>
          </w:p>
        </w:tc>
        <w:tc>
          <w:tcPr>
            <w:tcW w:w="255" w:type="dxa"/>
            <w:vAlign w:val="top"/>
          </w:tcPr>
          <w:p w14:paraId="632CE29E">
            <w:pPr>
              <w:rPr>
                <w:rFonts w:hint="eastAsia" w:ascii="宋体" w:hAnsi="宋体" w:eastAsia="宋体" w:cs="宋体"/>
                <w:color w:val="auto"/>
                <w:sz w:val="21"/>
                <w:highlight w:val="none"/>
              </w:rPr>
            </w:pPr>
          </w:p>
        </w:tc>
        <w:tc>
          <w:tcPr>
            <w:tcW w:w="255" w:type="dxa"/>
            <w:vAlign w:val="top"/>
          </w:tcPr>
          <w:p w14:paraId="7D9B2F1B">
            <w:pPr>
              <w:rPr>
                <w:rFonts w:hint="eastAsia" w:ascii="宋体" w:hAnsi="宋体" w:eastAsia="宋体" w:cs="宋体"/>
                <w:color w:val="auto"/>
                <w:sz w:val="21"/>
                <w:highlight w:val="none"/>
              </w:rPr>
            </w:pPr>
          </w:p>
        </w:tc>
        <w:tc>
          <w:tcPr>
            <w:tcW w:w="255" w:type="dxa"/>
            <w:vAlign w:val="top"/>
          </w:tcPr>
          <w:p w14:paraId="44F2C83C">
            <w:pPr>
              <w:rPr>
                <w:rFonts w:hint="eastAsia" w:ascii="宋体" w:hAnsi="宋体" w:eastAsia="宋体" w:cs="宋体"/>
                <w:color w:val="auto"/>
                <w:sz w:val="21"/>
                <w:highlight w:val="none"/>
              </w:rPr>
            </w:pPr>
          </w:p>
        </w:tc>
        <w:tc>
          <w:tcPr>
            <w:tcW w:w="255" w:type="dxa"/>
            <w:vAlign w:val="top"/>
          </w:tcPr>
          <w:p w14:paraId="7CF3086C">
            <w:pPr>
              <w:rPr>
                <w:rFonts w:hint="eastAsia" w:ascii="宋体" w:hAnsi="宋体" w:eastAsia="宋体" w:cs="宋体"/>
                <w:color w:val="auto"/>
                <w:sz w:val="21"/>
                <w:highlight w:val="none"/>
              </w:rPr>
            </w:pPr>
          </w:p>
        </w:tc>
        <w:tc>
          <w:tcPr>
            <w:tcW w:w="255" w:type="dxa"/>
            <w:vAlign w:val="top"/>
          </w:tcPr>
          <w:p w14:paraId="520CCE4F">
            <w:pPr>
              <w:rPr>
                <w:rFonts w:hint="eastAsia" w:ascii="宋体" w:hAnsi="宋体" w:eastAsia="宋体" w:cs="宋体"/>
                <w:color w:val="auto"/>
                <w:sz w:val="21"/>
                <w:highlight w:val="none"/>
              </w:rPr>
            </w:pPr>
          </w:p>
        </w:tc>
        <w:tc>
          <w:tcPr>
            <w:tcW w:w="255" w:type="dxa"/>
            <w:vAlign w:val="top"/>
          </w:tcPr>
          <w:p w14:paraId="693EB9CC">
            <w:pPr>
              <w:rPr>
                <w:rFonts w:hint="eastAsia" w:ascii="宋体" w:hAnsi="宋体" w:eastAsia="宋体" w:cs="宋体"/>
                <w:color w:val="auto"/>
                <w:sz w:val="21"/>
                <w:highlight w:val="none"/>
              </w:rPr>
            </w:pPr>
          </w:p>
        </w:tc>
        <w:tc>
          <w:tcPr>
            <w:tcW w:w="255" w:type="dxa"/>
            <w:vAlign w:val="top"/>
          </w:tcPr>
          <w:p w14:paraId="53A1C449">
            <w:pPr>
              <w:rPr>
                <w:rFonts w:hint="eastAsia" w:ascii="宋体" w:hAnsi="宋体" w:eastAsia="宋体" w:cs="宋体"/>
                <w:color w:val="auto"/>
                <w:sz w:val="21"/>
                <w:highlight w:val="none"/>
              </w:rPr>
            </w:pPr>
          </w:p>
        </w:tc>
        <w:tc>
          <w:tcPr>
            <w:tcW w:w="255" w:type="dxa"/>
            <w:vAlign w:val="top"/>
          </w:tcPr>
          <w:p w14:paraId="56923853">
            <w:pPr>
              <w:rPr>
                <w:rFonts w:hint="eastAsia" w:ascii="宋体" w:hAnsi="宋体" w:eastAsia="宋体" w:cs="宋体"/>
                <w:color w:val="auto"/>
                <w:sz w:val="21"/>
                <w:highlight w:val="none"/>
              </w:rPr>
            </w:pPr>
          </w:p>
        </w:tc>
        <w:tc>
          <w:tcPr>
            <w:tcW w:w="255" w:type="dxa"/>
            <w:vAlign w:val="top"/>
          </w:tcPr>
          <w:p w14:paraId="72C22C8B">
            <w:pPr>
              <w:rPr>
                <w:rFonts w:hint="eastAsia" w:ascii="宋体" w:hAnsi="宋体" w:eastAsia="宋体" w:cs="宋体"/>
                <w:color w:val="auto"/>
                <w:sz w:val="21"/>
                <w:highlight w:val="none"/>
              </w:rPr>
            </w:pPr>
          </w:p>
        </w:tc>
        <w:tc>
          <w:tcPr>
            <w:tcW w:w="255" w:type="dxa"/>
            <w:vAlign w:val="top"/>
          </w:tcPr>
          <w:p w14:paraId="7FFEC576">
            <w:pPr>
              <w:rPr>
                <w:rFonts w:hint="eastAsia" w:ascii="宋体" w:hAnsi="宋体" w:eastAsia="宋体" w:cs="宋体"/>
                <w:color w:val="auto"/>
                <w:sz w:val="21"/>
                <w:highlight w:val="none"/>
              </w:rPr>
            </w:pPr>
          </w:p>
        </w:tc>
        <w:tc>
          <w:tcPr>
            <w:tcW w:w="255" w:type="dxa"/>
            <w:vAlign w:val="top"/>
          </w:tcPr>
          <w:p w14:paraId="4262326D">
            <w:pPr>
              <w:rPr>
                <w:rFonts w:hint="eastAsia" w:ascii="宋体" w:hAnsi="宋体" w:eastAsia="宋体" w:cs="宋体"/>
                <w:color w:val="auto"/>
                <w:sz w:val="21"/>
                <w:highlight w:val="none"/>
              </w:rPr>
            </w:pPr>
          </w:p>
        </w:tc>
        <w:tc>
          <w:tcPr>
            <w:tcW w:w="255" w:type="dxa"/>
            <w:vAlign w:val="top"/>
          </w:tcPr>
          <w:p w14:paraId="4ECD9DB7">
            <w:pPr>
              <w:rPr>
                <w:rFonts w:hint="eastAsia" w:ascii="宋体" w:hAnsi="宋体" w:eastAsia="宋体" w:cs="宋体"/>
                <w:color w:val="auto"/>
                <w:sz w:val="21"/>
                <w:highlight w:val="none"/>
              </w:rPr>
            </w:pPr>
          </w:p>
        </w:tc>
        <w:tc>
          <w:tcPr>
            <w:tcW w:w="255" w:type="dxa"/>
            <w:vAlign w:val="top"/>
          </w:tcPr>
          <w:p w14:paraId="00F312D4">
            <w:pPr>
              <w:rPr>
                <w:rFonts w:hint="eastAsia" w:ascii="宋体" w:hAnsi="宋体" w:eastAsia="宋体" w:cs="宋体"/>
                <w:color w:val="auto"/>
                <w:sz w:val="21"/>
                <w:highlight w:val="none"/>
              </w:rPr>
            </w:pPr>
          </w:p>
        </w:tc>
        <w:tc>
          <w:tcPr>
            <w:tcW w:w="255" w:type="dxa"/>
            <w:vAlign w:val="top"/>
          </w:tcPr>
          <w:p w14:paraId="57BB6972">
            <w:pPr>
              <w:rPr>
                <w:rFonts w:hint="eastAsia" w:ascii="宋体" w:hAnsi="宋体" w:eastAsia="宋体" w:cs="宋体"/>
                <w:color w:val="auto"/>
                <w:sz w:val="21"/>
                <w:highlight w:val="none"/>
              </w:rPr>
            </w:pPr>
          </w:p>
        </w:tc>
        <w:tc>
          <w:tcPr>
            <w:tcW w:w="255" w:type="dxa"/>
            <w:vAlign w:val="top"/>
          </w:tcPr>
          <w:p w14:paraId="4D55E1C7">
            <w:pPr>
              <w:rPr>
                <w:rFonts w:hint="eastAsia" w:ascii="宋体" w:hAnsi="宋体" w:eastAsia="宋体" w:cs="宋体"/>
                <w:color w:val="auto"/>
                <w:sz w:val="21"/>
                <w:highlight w:val="none"/>
              </w:rPr>
            </w:pPr>
          </w:p>
        </w:tc>
        <w:tc>
          <w:tcPr>
            <w:tcW w:w="255" w:type="dxa"/>
            <w:vAlign w:val="top"/>
          </w:tcPr>
          <w:p w14:paraId="5D4340BE">
            <w:pPr>
              <w:rPr>
                <w:rFonts w:hint="eastAsia" w:ascii="宋体" w:hAnsi="宋体" w:eastAsia="宋体" w:cs="宋体"/>
                <w:color w:val="auto"/>
                <w:sz w:val="21"/>
                <w:highlight w:val="none"/>
              </w:rPr>
            </w:pPr>
          </w:p>
        </w:tc>
        <w:tc>
          <w:tcPr>
            <w:tcW w:w="255" w:type="dxa"/>
            <w:vAlign w:val="top"/>
          </w:tcPr>
          <w:p w14:paraId="60A54691">
            <w:pPr>
              <w:rPr>
                <w:rFonts w:hint="eastAsia" w:ascii="宋体" w:hAnsi="宋体" w:eastAsia="宋体" w:cs="宋体"/>
                <w:color w:val="auto"/>
                <w:sz w:val="21"/>
                <w:highlight w:val="none"/>
              </w:rPr>
            </w:pPr>
          </w:p>
        </w:tc>
        <w:tc>
          <w:tcPr>
            <w:tcW w:w="255" w:type="dxa"/>
            <w:vAlign w:val="top"/>
          </w:tcPr>
          <w:p w14:paraId="591CBC76">
            <w:pPr>
              <w:rPr>
                <w:rFonts w:hint="eastAsia" w:ascii="宋体" w:hAnsi="宋体" w:eastAsia="宋体" w:cs="宋体"/>
                <w:color w:val="auto"/>
                <w:sz w:val="21"/>
                <w:highlight w:val="none"/>
              </w:rPr>
            </w:pPr>
          </w:p>
        </w:tc>
        <w:tc>
          <w:tcPr>
            <w:tcW w:w="255" w:type="dxa"/>
            <w:vAlign w:val="top"/>
          </w:tcPr>
          <w:p w14:paraId="6A49626E">
            <w:pPr>
              <w:rPr>
                <w:rFonts w:hint="eastAsia" w:ascii="宋体" w:hAnsi="宋体" w:eastAsia="宋体" w:cs="宋体"/>
                <w:color w:val="auto"/>
                <w:sz w:val="21"/>
                <w:highlight w:val="none"/>
              </w:rPr>
            </w:pPr>
          </w:p>
        </w:tc>
        <w:tc>
          <w:tcPr>
            <w:tcW w:w="292" w:type="dxa"/>
            <w:vAlign w:val="top"/>
          </w:tcPr>
          <w:p w14:paraId="362CF044">
            <w:pPr>
              <w:rPr>
                <w:rFonts w:hint="eastAsia" w:ascii="宋体" w:hAnsi="宋体" w:eastAsia="宋体" w:cs="宋体"/>
                <w:color w:val="auto"/>
                <w:sz w:val="21"/>
                <w:highlight w:val="none"/>
              </w:rPr>
            </w:pPr>
          </w:p>
        </w:tc>
      </w:tr>
      <w:tr w14:paraId="6D7E74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2230" w:type="dxa"/>
            <w:vAlign w:val="top"/>
          </w:tcPr>
          <w:p w14:paraId="2413940B">
            <w:pPr>
              <w:pStyle w:val="25"/>
              <w:spacing w:before="119" w:line="201" w:lineRule="auto"/>
              <w:ind w:left="60"/>
              <w:rPr>
                <w:rFonts w:hint="eastAsia" w:ascii="宋体" w:hAnsi="宋体" w:eastAsia="宋体" w:cs="宋体"/>
                <w:color w:val="auto"/>
                <w:sz w:val="19"/>
                <w:szCs w:val="19"/>
                <w:highlight w:val="none"/>
              </w:rPr>
            </w:pPr>
            <w:r>
              <w:rPr>
                <w:rFonts w:hint="eastAsia" w:ascii="宋体" w:hAnsi="宋体" w:eastAsia="宋体" w:cs="宋体"/>
                <w:color w:val="auto"/>
                <w:spacing w:val="5"/>
                <w:sz w:val="19"/>
                <w:szCs w:val="19"/>
                <w:highlight w:val="none"/>
              </w:rPr>
              <w:t>4.涵洞</w:t>
            </w:r>
          </w:p>
        </w:tc>
        <w:tc>
          <w:tcPr>
            <w:tcW w:w="254" w:type="dxa"/>
            <w:vAlign w:val="top"/>
          </w:tcPr>
          <w:p w14:paraId="2CB1D38B">
            <w:pPr>
              <w:rPr>
                <w:rFonts w:hint="eastAsia" w:ascii="宋体" w:hAnsi="宋体" w:eastAsia="宋体" w:cs="宋体"/>
                <w:color w:val="auto"/>
                <w:sz w:val="21"/>
                <w:highlight w:val="none"/>
              </w:rPr>
            </w:pPr>
          </w:p>
        </w:tc>
        <w:tc>
          <w:tcPr>
            <w:tcW w:w="254" w:type="dxa"/>
            <w:vAlign w:val="top"/>
          </w:tcPr>
          <w:p w14:paraId="23DC9DB3">
            <w:pPr>
              <w:rPr>
                <w:rFonts w:hint="eastAsia" w:ascii="宋体" w:hAnsi="宋体" w:eastAsia="宋体" w:cs="宋体"/>
                <w:color w:val="auto"/>
                <w:sz w:val="21"/>
                <w:highlight w:val="none"/>
              </w:rPr>
            </w:pPr>
          </w:p>
        </w:tc>
        <w:tc>
          <w:tcPr>
            <w:tcW w:w="255" w:type="dxa"/>
            <w:vAlign w:val="top"/>
          </w:tcPr>
          <w:p w14:paraId="0C8D04EB">
            <w:pPr>
              <w:rPr>
                <w:rFonts w:hint="eastAsia" w:ascii="宋体" w:hAnsi="宋体" w:eastAsia="宋体" w:cs="宋体"/>
                <w:color w:val="auto"/>
                <w:sz w:val="21"/>
                <w:highlight w:val="none"/>
              </w:rPr>
            </w:pPr>
          </w:p>
        </w:tc>
        <w:tc>
          <w:tcPr>
            <w:tcW w:w="254" w:type="dxa"/>
            <w:vAlign w:val="top"/>
          </w:tcPr>
          <w:p w14:paraId="1365DAA0">
            <w:pPr>
              <w:rPr>
                <w:rFonts w:hint="eastAsia" w:ascii="宋体" w:hAnsi="宋体" w:eastAsia="宋体" w:cs="宋体"/>
                <w:color w:val="auto"/>
                <w:sz w:val="21"/>
                <w:highlight w:val="none"/>
              </w:rPr>
            </w:pPr>
          </w:p>
        </w:tc>
        <w:tc>
          <w:tcPr>
            <w:tcW w:w="255" w:type="dxa"/>
            <w:vAlign w:val="top"/>
          </w:tcPr>
          <w:p w14:paraId="142E777F">
            <w:pPr>
              <w:rPr>
                <w:rFonts w:hint="eastAsia" w:ascii="宋体" w:hAnsi="宋体" w:eastAsia="宋体" w:cs="宋体"/>
                <w:color w:val="auto"/>
                <w:sz w:val="21"/>
                <w:highlight w:val="none"/>
              </w:rPr>
            </w:pPr>
          </w:p>
        </w:tc>
        <w:tc>
          <w:tcPr>
            <w:tcW w:w="255" w:type="dxa"/>
            <w:vAlign w:val="top"/>
          </w:tcPr>
          <w:p w14:paraId="35D3F6DE">
            <w:pPr>
              <w:rPr>
                <w:rFonts w:hint="eastAsia" w:ascii="宋体" w:hAnsi="宋体" w:eastAsia="宋体" w:cs="宋体"/>
                <w:color w:val="auto"/>
                <w:sz w:val="21"/>
                <w:highlight w:val="none"/>
              </w:rPr>
            </w:pPr>
          </w:p>
        </w:tc>
        <w:tc>
          <w:tcPr>
            <w:tcW w:w="255" w:type="dxa"/>
            <w:vAlign w:val="top"/>
          </w:tcPr>
          <w:p w14:paraId="7A7CE32D">
            <w:pPr>
              <w:rPr>
                <w:rFonts w:hint="eastAsia" w:ascii="宋体" w:hAnsi="宋体" w:eastAsia="宋体" w:cs="宋体"/>
                <w:color w:val="auto"/>
                <w:sz w:val="21"/>
                <w:highlight w:val="none"/>
              </w:rPr>
            </w:pPr>
          </w:p>
        </w:tc>
        <w:tc>
          <w:tcPr>
            <w:tcW w:w="255" w:type="dxa"/>
            <w:vAlign w:val="top"/>
          </w:tcPr>
          <w:p w14:paraId="29098059">
            <w:pPr>
              <w:rPr>
                <w:rFonts w:hint="eastAsia" w:ascii="宋体" w:hAnsi="宋体" w:eastAsia="宋体" w:cs="宋体"/>
                <w:color w:val="auto"/>
                <w:sz w:val="21"/>
                <w:highlight w:val="none"/>
              </w:rPr>
            </w:pPr>
          </w:p>
        </w:tc>
        <w:tc>
          <w:tcPr>
            <w:tcW w:w="255" w:type="dxa"/>
            <w:vAlign w:val="top"/>
          </w:tcPr>
          <w:p w14:paraId="5C0D61D5">
            <w:pPr>
              <w:rPr>
                <w:rFonts w:hint="eastAsia" w:ascii="宋体" w:hAnsi="宋体" w:eastAsia="宋体" w:cs="宋体"/>
                <w:color w:val="auto"/>
                <w:sz w:val="21"/>
                <w:highlight w:val="none"/>
              </w:rPr>
            </w:pPr>
          </w:p>
        </w:tc>
        <w:tc>
          <w:tcPr>
            <w:tcW w:w="255" w:type="dxa"/>
            <w:vAlign w:val="top"/>
          </w:tcPr>
          <w:p w14:paraId="4C3E26B9">
            <w:pPr>
              <w:rPr>
                <w:rFonts w:hint="eastAsia" w:ascii="宋体" w:hAnsi="宋体" w:eastAsia="宋体" w:cs="宋体"/>
                <w:color w:val="auto"/>
                <w:sz w:val="21"/>
                <w:highlight w:val="none"/>
              </w:rPr>
            </w:pPr>
          </w:p>
        </w:tc>
        <w:tc>
          <w:tcPr>
            <w:tcW w:w="255" w:type="dxa"/>
            <w:vAlign w:val="top"/>
          </w:tcPr>
          <w:p w14:paraId="400B1796">
            <w:pPr>
              <w:rPr>
                <w:rFonts w:hint="eastAsia" w:ascii="宋体" w:hAnsi="宋体" w:eastAsia="宋体" w:cs="宋体"/>
                <w:color w:val="auto"/>
                <w:sz w:val="21"/>
                <w:highlight w:val="none"/>
              </w:rPr>
            </w:pPr>
          </w:p>
        </w:tc>
        <w:tc>
          <w:tcPr>
            <w:tcW w:w="255" w:type="dxa"/>
            <w:vAlign w:val="top"/>
          </w:tcPr>
          <w:p w14:paraId="5572E90A">
            <w:pPr>
              <w:rPr>
                <w:rFonts w:hint="eastAsia" w:ascii="宋体" w:hAnsi="宋体" w:eastAsia="宋体" w:cs="宋体"/>
                <w:color w:val="auto"/>
                <w:sz w:val="21"/>
                <w:highlight w:val="none"/>
              </w:rPr>
            </w:pPr>
          </w:p>
        </w:tc>
        <w:tc>
          <w:tcPr>
            <w:tcW w:w="255" w:type="dxa"/>
            <w:vAlign w:val="top"/>
          </w:tcPr>
          <w:p w14:paraId="23204F5F">
            <w:pPr>
              <w:rPr>
                <w:rFonts w:hint="eastAsia" w:ascii="宋体" w:hAnsi="宋体" w:eastAsia="宋体" w:cs="宋体"/>
                <w:color w:val="auto"/>
                <w:sz w:val="21"/>
                <w:highlight w:val="none"/>
              </w:rPr>
            </w:pPr>
          </w:p>
        </w:tc>
        <w:tc>
          <w:tcPr>
            <w:tcW w:w="255" w:type="dxa"/>
            <w:vAlign w:val="top"/>
          </w:tcPr>
          <w:p w14:paraId="02FC77A8">
            <w:pPr>
              <w:rPr>
                <w:rFonts w:hint="eastAsia" w:ascii="宋体" w:hAnsi="宋体" w:eastAsia="宋体" w:cs="宋体"/>
                <w:color w:val="auto"/>
                <w:sz w:val="21"/>
                <w:highlight w:val="none"/>
              </w:rPr>
            </w:pPr>
          </w:p>
        </w:tc>
        <w:tc>
          <w:tcPr>
            <w:tcW w:w="255" w:type="dxa"/>
            <w:vAlign w:val="top"/>
          </w:tcPr>
          <w:p w14:paraId="1ECC309F">
            <w:pPr>
              <w:rPr>
                <w:rFonts w:hint="eastAsia" w:ascii="宋体" w:hAnsi="宋体" w:eastAsia="宋体" w:cs="宋体"/>
                <w:color w:val="auto"/>
                <w:sz w:val="21"/>
                <w:highlight w:val="none"/>
              </w:rPr>
            </w:pPr>
          </w:p>
        </w:tc>
        <w:tc>
          <w:tcPr>
            <w:tcW w:w="255" w:type="dxa"/>
            <w:vAlign w:val="top"/>
          </w:tcPr>
          <w:p w14:paraId="783658CB">
            <w:pPr>
              <w:rPr>
                <w:rFonts w:hint="eastAsia" w:ascii="宋体" w:hAnsi="宋体" w:eastAsia="宋体" w:cs="宋体"/>
                <w:color w:val="auto"/>
                <w:sz w:val="21"/>
                <w:highlight w:val="none"/>
              </w:rPr>
            </w:pPr>
          </w:p>
        </w:tc>
        <w:tc>
          <w:tcPr>
            <w:tcW w:w="255" w:type="dxa"/>
            <w:vAlign w:val="top"/>
          </w:tcPr>
          <w:p w14:paraId="33BDD25D">
            <w:pPr>
              <w:rPr>
                <w:rFonts w:hint="eastAsia" w:ascii="宋体" w:hAnsi="宋体" w:eastAsia="宋体" w:cs="宋体"/>
                <w:color w:val="auto"/>
                <w:sz w:val="21"/>
                <w:highlight w:val="none"/>
              </w:rPr>
            </w:pPr>
          </w:p>
        </w:tc>
        <w:tc>
          <w:tcPr>
            <w:tcW w:w="255" w:type="dxa"/>
            <w:vAlign w:val="top"/>
          </w:tcPr>
          <w:p w14:paraId="6FDFB763">
            <w:pPr>
              <w:rPr>
                <w:rFonts w:hint="eastAsia" w:ascii="宋体" w:hAnsi="宋体" w:eastAsia="宋体" w:cs="宋体"/>
                <w:color w:val="auto"/>
                <w:sz w:val="21"/>
                <w:highlight w:val="none"/>
              </w:rPr>
            </w:pPr>
          </w:p>
        </w:tc>
        <w:tc>
          <w:tcPr>
            <w:tcW w:w="255" w:type="dxa"/>
            <w:vAlign w:val="top"/>
          </w:tcPr>
          <w:p w14:paraId="7B0281D1">
            <w:pPr>
              <w:rPr>
                <w:rFonts w:hint="eastAsia" w:ascii="宋体" w:hAnsi="宋体" w:eastAsia="宋体" w:cs="宋体"/>
                <w:color w:val="auto"/>
                <w:sz w:val="21"/>
                <w:highlight w:val="none"/>
              </w:rPr>
            </w:pPr>
          </w:p>
        </w:tc>
        <w:tc>
          <w:tcPr>
            <w:tcW w:w="255" w:type="dxa"/>
            <w:vAlign w:val="top"/>
          </w:tcPr>
          <w:p w14:paraId="01171C36">
            <w:pPr>
              <w:rPr>
                <w:rFonts w:hint="eastAsia" w:ascii="宋体" w:hAnsi="宋体" w:eastAsia="宋体" w:cs="宋体"/>
                <w:color w:val="auto"/>
                <w:sz w:val="21"/>
                <w:highlight w:val="none"/>
              </w:rPr>
            </w:pPr>
          </w:p>
        </w:tc>
        <w:tc>
          <w:tcPr>
            <w:tcW w:w="255" w:type="dxa"/>
            <w:vAlign w:val="top"/>
          </w:tcPr>
          <w:p w14:paraId="6A426AE4">
            <w:pPr>
              <w:rPr>
                <w:rFonts w:hint="eastAsia" w:ascii="宋体" w:hAnsi="宋体" w:eastAsia="宋体" w:cs="宋体"/>
                <w:color w:val="auto"/>
                <w:sz w:val="21"/>
                <w:highlight w:val="none"/>
              </w:rPr>
            </w:pPr>
          </w:p>
        </w:tc>
        <w:tc>
          <w:tcPr>
            <w:tcW w:w="255" w:type="dxa"/>
            <w:vAlign w:val="top"/>
          </w:tcPr>
          <w:p w14:paraId="606A4637">
            <w:pPr>
              <w:rPr>
                <w:rFonts w:hint="eastAsia" w:ascii="宋体" w:hAnsi="宋体" w:eastAsia="宋体" w:cs="宋体"/>
                <w:color w:val="auto"/>
                <w:sz w:val="21"/>
                <w:highlight w:val="none"/>
              </w:rPr>
            </w:pPr>
          </w:p>
        </w:tc>
        <w:tc>
          <w:tcPr>
            <w:tcW w:w="255" w:type="dxa"/>
            <w:vAlign w:val="top"/>
          </w:tcPr>
          <w:p w14:paraId="5881D12A">
            <w:pPr>
              <w:rPr>
                <w:rFonts w:hint="eastAsia" w:ascii="宋体" w:hAnsi="宋体" w:eastAsia="宋体" w:cs="宋体"/>
                <w:color w:val="auto"/>
                <w:sz w:val="21"/>
                <w:highlight w:val="none"/>
              </w:rPr>
            </w:pPr>
          </w:p>
        </w:tc>
        <w:tc>
          <w:tcPr>
            <w:tcW w:w="255" w:type="dxa"/>
            <w:vAlign w:val="top"/>
          </w:tcPr>
          <w:p w14:paraId="478AE85D">
            <w:pPr>
              <w:rPr>
                <w:rFonts w:hint="eastAsia" w:ascii="宋体" w:hAnsi="宋体" w:eastAsia="宋体" w:cs="宋体"/>
                <w:color w:val="auto"/>
                <w:sz w:val="21"/>
                <w:highlight w:val="none"/>
              </w:rPr>
            </w:pPr>
          </w:p>
        </w:tc>
        <w:tc>
          <w:tcPr>
            <w:tcW w:w="255" w:type="dxa"/>
            <w:vAlign w:val="top"/>
          </w:tcPr>
          <w:p w14:paraId="6C922F65">
            <w:pPr>
              <w:rPr>
                <w:rFonts w:hint="eastAsia" w:ascii="宋体" w:hAnsi="宋体" w:eastAsia="宋体" w:cs="宋体"/>
                <w:color w:val="auto"/>
                <w:sz w:val="21"/>
                <w:highlight w:val="none"/>
              </w:rPr>
            </w:pPr>
          </w:p>
        </w:tc>
        <w:tc>
          <w:tcPr>
            <w:tcW w:w="255" w:type="dxa"/>
            <w:vAlign w:val="top"/>
          </w:tcPr>
          <w:p w14:paraId="7A8370CA">
            <w:pPr>
              <w:rPr>
                <w:rFonts w:hint="eastAsia" w:ascii="宋体" w:hAnsi="宋体" w:eastAsia="宋体" w:cs="宋体"/>
                <w:color w:val="auto"/>
                <w:sz w:val="21"/>
                <w:highlight w:val="none"/>
              </w:rPr>
            </w:pPr>
          </w:p>
        </w:tc>
        <w:tc>
          <w:tcPr>
            <w:tcW w:w="255" w:type="dxa"/>
            <w:vAlign w:val="top"/>
          </w:tcPr>
          <w:p w14:paraId="282C9443">
            <w:pPr>
              <w:rPr>
                <w:rFonts w:hint="eastAsia" w:ascii="宋体" w:hAnsi="宋体" w:eastAsia="宋体" w:cs="宋体"/>
                <w:color w:val="auto"/>
                <w:sz w:val="21"/>
                <w:highlight w:val="none"/>
              </w:rPr>
            </w:pPr>
          </w:p>
        </w:tc>
        <w:tc>
          <w:tcPr>
            <w:tcW w:w="255" w:type="dxa"/>
            <w:vAlign w:val="top"/>
          </w:tcPr>
          <w:p w14:paraId="3ADF707C">
            <w:pPr>
              <w:rPr>
                <w:rFonts w:hint="eastAsia" w:ascii="宋体" w:hAnsi="宋体" w:eastAsia="宋体" w:cs="宋体"/>
                <w:color w:val="auto"/>
                <w:sz w:val="21"/>
                <w:highlight w:val="none"/>
              </w:rPr>
            </w:pPr>
          </w:p>
        </w:tc>
        <w:tc>
          <w:tcPr>
            <w:tcW w:w="292" w:type="dxa"/>
            <w:vAlign w:val="top"/>
          </w:tcPr>
          <w:p w14:paraId="305E8585">
            <w:pPr>
              <w:rPr>
                <w:rFonts w:hint="eastAsia" w:ascii="宋体" w:hAnsi="宋体" w:eastAsia="宋体" w:cs="宋体"/>
                <w:color w:val="auto"/>
                <w:sz w:val="21"/>
                <w:highlight w:val="none"/>
              </w:rPr>
            </w:pPr>
          </w:p>
        </w:tc>
      </w:tr>
      <w:tr w14:paraId="6E333C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2230" w:type="dxa"/>
            <w:vAlign w:val="top"/>
          </w:tcPr>
          <w:p w14:paraId="320D047B">
            <w:pPr>
              <w:pStyle w:val="25"/>
              <w:spacing w:before="119" w:line="201" w:lineRule="auto"/>
              <w:ind w:left="67"/>
              <w:rPr>
                <w:rFonts w:hint="eastAsia" w:ascii="宋体" w:hAnsi="宋体" w:eastAsia="宋体" w:cs="宋体"/>
                <w:color w:val="auto"/>
                <w:sz w:val="19"/>
                <w:szCs w:val="19"/>
                <w:highlight w:val="none"/>
              </w:rPr>
            </w:pPr>
            <w:r>
              <w:rPr>
                <w:rFonts w:hint="eastAsia" w:ascii="宋体" w:hAnsi="宋体" w:eastAsia="宋体" w:cs="宋体"/>
                <w:color w:val="auto"/>
                <w:spacing w:val="3"/>
                <w:sz w:val="19"/>
                <w:szCs w:val="19"/>
                <w:highlight w:val="none"/>
              </w:rPr>
              <w:t>5.通道</w:t>
            </w:r>
          </w:p>
        </w:tc>
        <w:tc>
          <w:tcPr>
            <w:tcW w:w="254" w:type="dxa"/>
            <w:vAlign w:val="top"/>
          </w:tcPr>
          <w:p w14:paraId="397E9EA7">
            <w:pPr>
              <w:rPr>
                <w:rFonts w:hint="eastAsia" w:ascii="宋体" w:hAnsi="宋体" w:eastAsia="宋体" w:cs="宋体"/>
                <w:color w:val="auto"/>
                <w:sz w:val="21"/>
                <w:highlight w:val="none"/>
              </w:rPr>
            </w:pPr>
          </w:p>
        </w:tc>
        <w:tc>
          <w:tcPr>
            <w:tcW w:w="254" w:type="dxa"/>
            <w:vAlign w:val="top"/>
          </w:tcPr>
          <w:p w14:paraId="69EF1C05">
            <w:pPr>
              <w:rPr>
                <w:rFonts w:hint="eastAsia" w:ascii="宋体" w:hAnsi="宋体" w:eastAsia="宋体" w:cs="宋体"/>
                <w:color w:val="auto"/>
                <w:sz w:val="21"/>
                <w:highlight w:val="none"/>
              </w:rPr>
            </w:pPr>
          </w:p>
        </w:tc>
        <w:tc>
          <w:tcPr>
            <w:tcW w:w="255" w:type="dxa"/>
            <w:vAlign w:val="top"/>
          </w:tcPr>
          <w:p w14:paraId="3D4E54F9">
            <w:pPr>
              <w:rPr>
                <w:rFonts w:hint="eastAsia" w:ascii="宋体" w:hAnsi="宋体" w:eastAsia="宋体" w:cs="宋体"/>
                <w:color w:val="auto"/>
                <w:sz w:val="21"/>
                <w:highlight w:val="none"/>
              </w:rPr>
            </w:pPr>
          </w:p>
        </w:tc>
        <w:tc>
          <w:tcPr>
            <w:tcW w:w="254" w:type="dxa"/>
            <w:vAlign w:val="top"/>
          </w:tcPr>
          <w:p w14:paraId="48E7222E">
            <w:pPr>
              <w:rPr>
                <w:rFonts w:hint="eastAsia" w:ascii="宋体" w:hAnsi="宋体" w:eastAsia="宋体" w:cs="宋体"/>
                <w:color w:val="auto"/>
                <w:sz w:val="21"/>
                <w:highlight w:val="none"/>
              </w:rPr>
            </w:pPr>
          </w:p>
        </w:tc>
        <w:tc>
          <w:tcPr>
            <w:tcW w:w="255" w:type="dxa"/>
            <w:vAlign w:val="top"/>
          </w:tcPr>
          <w:p w14:paraId="32DE6008">
            <w:pPr>
              <w:rPr>
                <w:rFonts w:hint="eastAsia" w:ascii="宋体" w:hAnsi="宋体" w:eastAsia="宋体" w:cs="宋体"/>
                <w:color w:val="auto"/>
                <w:sz w:val="21"/>
                <w:highlight w:val="none"/>
              </w:rPr>
            </w:pPr>
          </w:p>
        </w:tc>
        <w:tc>
          <w:tcPr>
            <w:tcW w:w="255" w:type="dxa"/>
            <w:vAlign w:val="top"/>
          </w:tcPr>
          <w:p w14:paraId="06AB5F34">
            <w:pPr>
              <w:rPr>
                <w:rFonts w:hint="eastAsia" w:ascii="宋体" w:hAnsi="宋体" w:eastAsia="宋体" w:cs="宋体"/>
                <w:color w:val="auto"/>
                <w:sz w:val="21"/>
                <w:highlight w:val="none"/>
              </w:rPr>
            </w:pPr>
          </w:p>
        </w:tc>
        <w:tc>
          <w:tcPr>
            <w:tcW w:w="255" w:type="dxa"/>
            <w:vAlign w:val="top"/>
          </w:tcPr>
          <w:p w14:paraId="0F3F4046">
            <w:pPr>
              <w:rPr>
                <w:rFonts w:hint="eastAsia" w:ascii="宋体" w:hAnsi="宋体" w:eastAsia="宋体" w:cs="宋体"/>
                <w:color w:val="auto"/>
                <w:sz w:val="21"/>
                <w:highlight w:val="none"/>
              </w:rPr>
            </w:pPr>
          </w:p>
        </w:tc>
        <w:tc>
          <w:tcPr>
            <w:tcW w:w="255" w:type="dxa"/>
            <w:vAlign w:val="top"/>
          </w:tcPr>
          <w:p w14:paraId="452CACE3">
            <w:pPr>
              <w:rPr>
                <w:rFonts w:hint="eastAsia" w:ascii="宋体" w:hAnsi="宋体" w:eastAsia="宋体" w:cs="宋体"/>
                <w:color w:val="auto"/>
                <w:sz w:val="21"/>
                <w:highlight w:val="none"/>
              </w:rPr>
            </w:pPr>
          </w:p>
        </w:tc>
        <w:tc>
          <w:tcPr>
            <w:tcW w:w="255" w:type="dxa"/>
            <w:vAlign w:val="top"/>
          </w:tcPr>
          <w:p w14:paraId="471B4BE7">
            <w:pPr>
              <w:rPr>
                <w:rFonts w:hint="eastAsia" w:ascii="宋体" w:hAnsi="宋体" w:eastAsia="宋体" w:cs="宋体"/>
                <w:color w:val="auto"/>
                <w:sz w:val="21"/>
                <w:highlight w:val="none"/>
              </w:rPr>
            </w:pPr>
          </w:p>
        </w:tc>
        <w:tc>
          <w:tcPr>
            <w:tcW w:w="255" w:type="dxa"/>
            <w:vAlign w:val="top"/>
          </w:tcPr>
          <w:p w14:paraId="0BBE3C0F">
            <w:pPr>
              <w:rPr>
                <w:rFonts w:hint="eastAsia" w:ascii="宋体" w:hAnsi="宋体" w:eastAsia="宋体" w:cs="宋体"/>
                <w:color w:val="auto"/>
                <w:sz w:val="21"/>
                <w:highlight w:val="none"/>
              </w:rPr>
            </w:pPr>
          </w:p>
        </w:tc>
        <w:tc>
          <w:tcPr>
            <w:tcW w:w="255" w:type="dxa"/>
            <w:vAlign w:val="top"/>
          </w:tcPr>
          <w:p w14:paraId="18ACC58D">
            <w:pPr>
              <w:rPr>
                <w:rFonts w:hint="eastAsia" w:ascii="宋体" w:hAnsi="宋体" w:eastAsia="宋体" w:cs="宋体"/>
                <w:color w:val="auto"/>
                <w:sz w:val="21"/>
                <w:highlight w:val="none"/>
              </w:rPr>
            </w:pPr>
          </w:p>
        </w:tc>
        <w:tc>
          <w:tcPr>
            <w:tcW w:w="255" w:type="dxa"/>
            <w:vAlign w:val="top"/>
          </w:tcPr>
          <w:p w14:paraId="27578962">
            <w:pPr>
              <w:rPr>
                <w:rFonts w:hint="eastAsia" w:ascii="宋体" w:hAnsi="宋体" w:eastAsia="宋体" w:cs="宋体"/>
                <w:color w:val="auto"/>
                <w:sz w:val="21"/>
                <w:highlight w:val="none"/>
              </w:rPr>
            </w:pPr>
          </w:p>
        </w:tc>
        <w:tc>
          <w:tcPr>
            <w:tcW w:w="255" w:type="dxa"/>
            <w:vAlign w:val="top"/>
          </w:tcPr>
          <w:p w14:paraId="165A4512">
            <w:pPr>
              <w:rPr>
                <w:rFonts w:hint="eastAsia" w:ascii="宋体" w:hAnsi="宋体" w:eastAsia="宋体" w:cs="宋体"/>
                <w:color w:val="auto"/>
                <w:sz w:val="21"/>
                <w:highlight w:val="none"/>
              </w:rPr>
            </w:pPr>
          </w:p>
        </w:tc>
        <w:tc>
          <w:tcPr>
            <w:tcW w:w="255" w:type="dxa"/>
            <w:vAlign w:val="top"/>
          </w:tcPr>
          <w:p w14:paraId="2EBE4F42">
            <w:pPr>
              <w:rPr>
                <w:rFonts w:hint="eastAsia" w:ascii="宋体" w:hAnsi="宋体" w:eastAsia="宋体" w:cs="宋体"/>
                <w:color w:val="auto"/>
                <w:sz w:val="21"/>
                <w:highlight w:val="none"/>
              </w:rPr>
            </w:pPr>
          </w:p>
        </w:tc>
        <w:tc>
          <w:tcPr>
            <w:tcW w:w="255" w:type="dxa"/>
            <w:vAlign w:val="top"/>
          </w:tcPr>
          <w:p w14:paraId="0B422EA6">
            <w:pPr>
              <w:rPr>
                <w:rFonts w:hint="eastAsia" w:ascii="宋体" w:hAnsi="宋体" w:eastAsia="宋体" w:cs="宋体"/>
                <w:color w:val="auto"/>
                <w:sz w:val="21"/>
                <w:highlight w:val="none"/>
              </w:rPr>
            </w:pPr>
          </w:p>
        </w:tc>
        <w:tc>
          <w:tcPr>
            <w:tcW w:w="255" w:type="dxa"/>
            <w:vAlign w:val="top"/>
          </w:tcPr>
          <w:p w14:paraId="14A2CE03">
            <w:pPr>
              <w:rPr>
                <w:rFonts w:hint="eastAsia" w:ascii="宋体" w:hAnsi="宋体" w:eastAsia="宋体" w:cs="宋体"/>
                <w:color w:val="auto"/>
                <w:sz w:val="21"/>
                <w:highlight w:val="none"/>
              </w:rPr>
            </w:pPr>
          </w:p>
        </w:tc>
        <w:tc>
          <w:tcPr>
            <w:tcW w:w="255" w:type="dxa"/>
            <w:vAlign w:val="top"/>
          </w:tcPr>
          <w:p w14:paraId="3F73BFC9">
            <w:pPr>
              <w:rPr>
                <w:rFonts w:hint="eastAsia" w:ascii="宋体" w:hAnsi="宋体" w:eastAsia="宋体" w:cs="宋体"/>
                <w:color w:val="auto"/>
                <w:sz w:val="21"/>
                <w:highlight w:val="none"/>
              </w:rPr>
            </w:pPr>
          </w:p>
        </w:tc>
        <w:tc>
          <w:tcPr>
            <w:tcW w:w="255" w:type="dxa"/>
            <w:vAlign w:val="top"/>
          </w:tcPr>
          <w:p w14:paraId="19F5DCF3">
            <w:pPr>
              <w:rPr>
                <w:rFonts w:hint="eastAsia" w:ascii="宋体" w:hAnsi="宋体" w:eastAsia="宋体" w:cs="宋体"/>
                <w:color w:val="auto"/>
                <w:sz w:val="21"/>
                <w:highlight w:val="none"/>
              </w:rPr>
            </w:pPr>
          </w:p>
        </w:tc>
        <w:tc>
          <w:tcPr>
            <w:tcW w:w="255" w:type="dxa"/>
            <w:vAlign w:val="top"/>
          </w:tcPr>
          <w:p w14:paraId="0FCFEC59">
            <w:pPr>
              <w:rPr>
                <w:rFonts w:hint="eastAsia" w:ascii="宋体" w:hAnsi="宋体" w:eastAsia="宋体" w:cs="宋体"/>
                <w:color w:val="auto"/>
                <w:sz w:val="21"/>
                <w:highlight w:val="none"/>
              </w:rPr>
            </w:pPr>
          </w:p>
        </w:tc>
        <w:tc>
          <w:tcPr>
            <w:tcW w:w="255" w:type="dxa"/>
            <w:vAlign w:val="top"/>
          </w:tcPr>
          <w:p w14:paraId="11B8F4B3">
            <w:pPr>
              <w:rPr>
                <w:rFonts w:hint="eastAsia" w:ascii="宋体" w:hAnsi="宋体" w:eastAsia="宋体" w:cs="宋体"/>
                <w:color w:val="auto"/>
                <w:sz w:val="21"/>
                <w:highlight w:val="none"/>
              </w:rPr>
            </w:pPr>
          </w:p>
        </w:tc>
        <w:tc>
          <w:tcPr>
            <w:tcW w:w="255" w:type="dxa"/>
            <w:vAlign w:val="top"/>
          </w:tcPr>
          <w:p w14:paraId="7553B0FB">
            <w:pPr>
              <w:rPr>
                <w:rFonts w:hint="eastAsia" w:ascii="宋体" w:hAnsi="宋体" w:eastAsia="宋体" w:cs="宋体"/>
                <w:color w:val="auto"/>
                <w:sz w:val="21"/>
                <w:highlight w:val="none"/>
              </w:rPr>
            </w:pPr>
          </w:p>
        </w:tc>
        <w:tc>
          <w:tcPr>
            <w:tcW w:w="255" w:type="dxa"/>
            <w:vAlign w:val="top"/>
          </w:tcPr>
          <w:p w14:paraId="4A990363">
            <w:pPr>
              <w:rPr>
                <w:rFonts w:hint="eastAsia" w:ascii="宋体" w:hAnsi="宋体" w:eastAsia="宋体" w:cs="宋体"/>
                <w:color w:val="auto"/>
                <w:sz w:val="21"/>
                <w:highlight w:val="none"/>
              </w:rPr>
            </w:pPr>
          </w:p>
        </w:tc>
        <w:tc>
          <w:tcPr>
            <w:tcW w:w="255" w:type="dxa"/>
            <w:vAlign w:val="top"/>
          </w:tcPr>
          <w:p w14:paraId="08F0BB0A">
            <w:pPr>
              <w:rPr>
                <w:rFonts w:hint="eastAsia" w:ascii="宋体" w:hAnsi="宋体" w:eastAsia="宋体" w:cs="宋体"/>
                <w:color w:val="auto"/>
                <w:sz w:val="21"/>
                <w:highlight w:val="none"/>
              </w:rPr>
            </w:pPr>
          </w:p>
        </w:tc>
        <w:tc>
          <w:tcPr>
            <w:tcW w:w="255" w:type="dxa"/>
            <w:vAlign w:val="top"/>
          </w:tcPr>
          <w:p w14:paraId="7B1E3A9D">
            <w:pPr>
              <w:rPr>
                <w:rFonts w:hint="eastAsia" w:ascii="宋体" w:hAnsi="宋体" w:eastAsia="宋体" w:cs="宋体"/>
                <w:color w:val="auto"/>
                <w:sz w:val="21"/>
                <w:highlight w:val="none"/>
              </w:rPr>
            </w:pPr>
          </w:p>
        </w:tc>
        <w:tc>
          <w:tcPr>
            <w:tcW w:w="255" w:type="dxa"/>
            <w:vAlign w:val="top"/>
          </w:tcPr>
          <w:p w14:paraId="3A1A60C2">
            <w:pPr>
              <w:rPr>
                <w:rFonts w:hint="eastAsia" w:ascii="宋体" w:hAnsi="宋体" w:eastAsia="宋体" w:cs="宋体"/>
                <w:color w:val="auto"/>
                <w:sz w:val="21"/>
                <w:highlight w:val="none"/>
              </w:rPr>
            </w:pPr>
          </w:p>
        </w:tc>
        <w:tc>
          <w:tcPr>
            <w:tcW w:w="255" w:type="dxa"/>
            <w:vAlign w:val="top"/>
          </w:tcPr>
          <w:p w14:paraId="35FE824B">
            <w:pPr>
              <w:rPr>
                <w:rFonts w:hint="eastAsia" w:ascii="宋体" w:hAnsi="宋体" w:eastAsia="宋体" w:cs="宋体"/>
                <w:color w:val="auto"/>
                <w:sz w:val="21"/>
                <w:highlight w:val="none"/>
              </w:rPr>
            </w:pPr>
          </w:p>
        </w:tc>
        <w:tc>
          <w:tcPr>
            <w:tcW w:w="255" w:type="dxa"/>
            <w:vAlign w:val="top"/>
          </w:tcPr>
          <w:p w14:paraId="10C82533">
            <w:pPr>
              <w:rPr>
                <w:rFonts w:hint="eastAsia" w:ascii="宋体" w:hAnsi="宋体" w:eastAsia="宋体" w:cs="宋体"/>
                <w:color w:val="auto"/>
                <w:sz w:val="21"/>
                <w:highlight w:val="none"/>
              </w:rPr>
            </w:pPr>
          </w:p>
        </w:tc>
        <w:tc>
          <w:tcPr>
            <w:tcW w:w="255" w:type="dxa"/>
            <w:vAlign w:val="top"/>
          </w:tcPr>
          <w:p w14:paraId="769D3C59">
            <w:pPr>
              <w:rPr>
                <w:rFonts w:hint="eastAsia" w:ascii="宋体" w:hAnsi="宋体" w:eastAsia="宋体" w:cs="宋体"/>
                <w:color w:val="auto"/>
                <w:sz w:val="21"/>
                <w:highlight w:val="none"/>
              </w:rPr>
            </w:pPr>
          </w:p>
        </w:tc>
        <w:tc>
          <w:tcPr>
            <w:tcW w:w="292" w:type="dxa"/>
            <w:vAlign w:val="top"/>
          </w:tcPr>
          <w:p w14:paraId="5FE077D1">
            <w:pPr>
              <w:rPr>
                <w:rFonts w:hint="eastAsia" w:ascii="宋体" w:hAnsi="宋体" w:eastAsia="宋体" w:cs="宋体"/>
                <w:color w:val="auto"/>
                <w:sz w:val="21"/>
                <w:highlight w:val="none"/>
              </w:rPr>
            </w:pPr>
          </w:p>
        </w:tc>
      </w:tr>
      <w:tr w14:paraId="628EAA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2230" w:type="dxa"/>
            <w:vAlign w:val="top"/>
          </w:tcPr>
          <w:p w14:paraId="3ACDCCE9">
            <w:pPr>
              <w:pStyle w:val="25"/>
              <w:spacing w:before="116" w:line="202" w:lineRule="auto"/>
              <w:ind w:left="66"/>
              <w:rPr>
                <w:rFonts w:hint="eastAsia" w:ascii="宋体" w:hAnsi="宋体" w:eastAsia="宋体" w:cs="宋体"/>
                <w:color w:val="auto"/>
                <w:sz w:val="19"/>
                <w:szCs w:val="19"/>
                <w:highlight w:val="none"/>
              </w:rPr>
            </w:pPr>
            <w:r>
              <w:rPr>
                <w:rFonts w:hint="eastAsia" w:ascii="宋体" w:hAnsi="宋体" w:eastAsia="宋体" w:cs="宋体"/>
                <w:color w:val="auto"/>
                <w:spacing w:val="6"/>
                <w:sz w:val="19"/>
                <w:szCs w:val="19"/>
                <w:highlight w:val="none"/>
              </w:rPr>
              <w:t>6.防护及排水</w:t>
            </w:r>
          </w:p>
        </w:tc>
        <w:tc>
          <w:tcPr>
            <w:tcW w:w="254" w:type="dxa"/>
            <w:vAlign w:val="top"/>
          </w:tcPr>
          <w:p w14:paraId="51A1673D">
            <w:pPr>
              <w:rPr>
                <w:rFonts w:hint="eastAsia" w:ascii="宋体" w:hAnsi="宋体" w:eastAsia="宋体" w:cs="宋体"/>
                <w:color w:val="auto"/>
                <w:sz w:val="21"/>
                <w:highlight w:val="none"/>
              </w:rPr>
            </w:pPr>
          </w:p>
        </w:tc>
        <w:tc>
          <w:tcPr>
            <w:tcW w:w="254" w:type="dxa"/>
            <w:vAlign w:val="top"/>
          </w:tcPr>
          <w:p w14:paraId="605A537E">
            <w:pPr>
              <w:rPr>
                <w:rFonts w:hint="eastAsia" w:ascii="宋体" w:hAnsi="宋体" w:eastAsia="宋体" w:cs="宋体"/>
                <w:color w:val="auto"/>
                <w:sz w:val="21"/>
                <w:highlight w:val="none"/>
              </w:rPr>
            </w:pPr>
          </w:p>
        </w:tc>
        <w:tc>
          <w:tcPr>
            <w:tcW w:w="255" w:type="dxa"/>
            <w:vAlign w:val="top"/>
          </w:tcPr>
          <w:p w14:paraId="702B963D">
            <w:pPr>
              <w:rPr>
                <w:rFonts w:hint="eastAsia" w:ascii="宋体" w:hAnsi="宋体" w:eastAsia="宋体" w:cs="宋体"/>
                <w:color w:val="auto"/>
                <w:sz w:val="21"/>
                <w:highlight w:val="none"/>
              </w:rPr>
            </w:pPr>
          </w:p>
        </w:tc>
        <w:tc>
          <w:tcPr>
            <w:tcW w:w="254" w:type="dxa"/>
            <w:vAlign w:val="top"/>
          </w:tcPr>
          <w:p w14:paraId="0A1DDA53">
            <w:pPr>
              <w:rPr>
                <w:rFonts w:hint="eastAsia" w:ascii="宋体" w:hAnsi="宋体" w:eastAsia="宋体" w:cs="宋体"/>
                <w:color w:val="auto"/>
                <w:sz w:val="21"/>
                <w:highlight w:val="none"/>
              </w:rPr>
            </w:pPr>
          </w:p>
        </w:tc>
        <w:tc>
          <w:tcPr>
            <w:tcW w:w="255" w:type="dxa"/>
            <w:vAlign w:val="top"/>
          </w:tcPr>
          <w:p w14:paraId="68A4CD05">
            <w:pPr>
              <w:rPr>
                <w:rFonts w:hint="eastAsia" w:ascii="宋体" w:hAnsi="宋体" w:eastAsia="宋体" w:cs="宋体"/>
                <w:color w:val="auto"/>
                <w:sz w:val="21"/>
                <w:highlight w:val="none"/>
              </w:rPr>
            </w:pPr>
          </w:p>
        </w:tc>
        <w:tc>
          <w:tcPr>
            <w:tcW w:w="255" w:type="dxa"/>
            <w:vAlign w:val="top"/>
          </w:tcPr>
          <w:p w14:paraId="10E9BABB">
            <w:pPr>
              <w:rPr>
                <w:rFonts w:hint="eastAsia" w:ascii="宋体" w:hAnsi="宋体" w:eastAsia="宋体" w:cs="宋体"/>
                <w:color w:val="auto"/>
                <w:sz w:val="21"/>
                <w:highlight w:val="none"/>
              </w:rPr>
            </w:pPr>
          </w:p>
        </w:tc>
        <w:tc>
          <w:tcPr>
            <w:tcW w:w="255" w:type="dxa"/>
            <w:vAlign w:val="top"/>
          </w:tcPr>
          <w:p w14:paraId="5B15DB73">
            <w:pPr>
              <w:rPr>
                <w:rFonts w:hint="eastAsia" w:ascii="宋体" w:hAnsi="宋体" w:eastAsia="宋体" w:cs="宋体"/>
                <w:color w:val="auto"/>
                <w:sz w:val="21"/>
                <w:highlight w:val="none"/>
              </w:rPr>
            </w:pPr>
          </w:p>
        </w:tc>
        <w:tc>
          <w:tcPr>
            <w:tcW w:w="255" w:type="dxa"/>
            <w:vAlign w:val="top"/>
          </w:tcPr>
          <w:p w14:paraId="005FD6B7">
            <w:pPr>
              <w:rPr>
                <w:rFonts w:hint="eastAsia" w:ascii="宋体" w:hAnsi="宋体" w:eastAsia="宋体" w:cs="宋体"/>
                <w:color w:val="auto"/>
                <w:sz w:val="21"/>
                <w:highlight w:val="none"/>
              </w:rPr>
            </w:pPr>
          </w:p>
        </w:tc>
        <w:tc>
          <w:tcPr>
            <w:tcW w:w="255" w:type="dxa"/>
            <w:vAlign w:val="top"/>
          </w:tcPr>
          <w:p w14:paraId="02CD8002">
            <w:pPr>
              <w:rPr>
                <w:rFonts w:hint="eastAsia" w:ascii="宋体" w:hAnsi="宋体" w:eastAsia="宋体" w:cs="宋体"/>
                <w:color w:val="auto"/>
                <w:sz w:val="21"/>
                <w:highlight w:val="none"/>
              </w:rPr>
            </w:pPr>
          </w:p>
        </w:tc>
        <w:tc>
          <w:tcPr>
            <w:tcW w:w="255" w:type="dxa"/>
            <w:vAlign w:val="top"/>
          </w:tcPr>
          <w:p w14:paraId="0C16324E">
            <w:pPr>
              <w:rPr>
                <w:rFonts w:hint="eastAsia" w:ascii="宋体" w:hAnsi="宋体" w:eastAsia="宋体" w:cs="宋体"/>
                <w:color w:val="auto"/>
                <w:sz w:val="21"/>
                <w:highlight w:val="none"/>
              </w:rPr>
            </w:pPr>
          </w:p>
        </w:tc>
        <w:tc>
          <w:tcPr>
            <w:tcW w:w="255" w:type="dxa"/>
            <w:vAlign w:val="top"/>
          </w:tcPr>
          <w:p w14:paraId="68E29EA6">
            <w:pPr>
              <w:rPr>
                <w:rFonts w:hint="eastAsia" w:ascii="宋体" w:hAnsi="宋体" w:eastAsia="宋体" w:cs="宋体"/>
                <w:color w:val="auto"/>
                <w:sz w:val="21"/>
                <w:highlight w:val="none"/>
              </w:rPr>
            </w:pPr>
          </w:p>
        </w:tc>
        <w:tc>
          <w:tcPr>
            <w:tcW w:w="255" w:type="dxa"/>
            <w:vAlign w:val="top"/>
          </w:tcPr>
          <w:p w14:paraId="13D82293">
            <w:pPr>
              <w:rPr>
                <w:rFonts w:hint="eastAsia" w:ascii="宋体" w:hAnsi="宋体" w:eastAsia="宋体" w:cs="宋体"/>
                <w:color w:val="auto"/>
                <w:sz w:val="21"/>
                <w:highlight w:val="none"/>
              </w:rPr>
            </w:pPr>
          </w:p>
        </w:tc>
        <w:tc>
          <w:tcPr>
            <w:tcW w:w="255" w:type="dxa"/>
            <w:vAlign w:val="top"/>
          </w:tcPr>
          <w:p w14:paraId="462D29C3">
            <w:pPr>
              <w:rPr>
                <w:rFonts w:hint="eastAsia" w:ascii="宋体" w:hAnsi="宋体" w:eastAsia="宋体" w:cs="宋体"/>
                <w:color w:val="auto"/>
                <w:sz w:val="21"/>
                <w:highlight w:val="none"/>
              </w:rPr>
            </w:pPr>
          </w:p>
        </w:tc>
        <w:tc>
          <w:tcPr>
            <w:tcW w:w="255" w:type="dxa"/>
            <w:vAlign w:val="top"/>
          </w:tcPr>
          <w:p w14:paraId="6AA1E5B9">
            <w:pPr>
              <w:rPr>
                <w:rFonts w:hint="eastAsia" w:ascii="宋体" w:hAnsi="宋体" w:eastAsia="宋体" w:cs="宋体"/>
                <w:color w:val="auto"/>
                <w:sz w:val="21"/>
                <w:highlight w:val="none"/>
              </w:rPr>
            </w:pPr>
          </w:p>
        </w:tc>
        <w:tc>
          <w:tcPr>
            <w:tcW w:w="255" w:type="dxa"/>
            <w:vAlign w:val="top"/>
          </w:tcPr>
          <w:p w14:paraId="03B5A679">
            <w:pPr>
              <w:rPr>
                <w:rFonts w:hint="eastAsia" w:ascii="宋体" w:hAnsi="宋体" w:eastAsia="宋体" w:cs="宋体"/>
                <w:color w:val="auto"/>
                <w:sz w:val="21"/>
                <w:highlight w:val="none"/>
              </w:rPr>
            </w:pPr>
          </w:p>
        </w:tc>
        <w:tc>
          <w:tcPr>
            <w:tcW w:w="255" w:type="dxa"/>
            <w:vAlign w:val="top"/>
          </w:tcPr>
          <w:p w14:paraId="0C352F22">
            <w:pPr>
              <w:rPr>
                <w:rFonts w:hint="eastAsia" w:ascii="宋体" w:hAnsi="宋体" w:eastAsia="宋体" w:cs="宋体"/>
                <w:color w:val="auto"/>
                <w:sz w:val="21"/>
                <w:highlight w:val="none"/>
              </w:rPr>
            </w:pPr>
          </w:p>
        </w:tc>
        <w:tc>
          <w:tcPr>
            <w:tcW w:w="255" w:type="dxa"/>
            <w:vAlign w:val="top"/>
          </w:tcPr>
          <w:p w14:paraId="7E7002B1">
            <w:pPr>
              <w:rPr>
                <w:rFonts w:hint="eastAsia" w:ascii="宋体" w:hAnsi="宋体" w:eastAsia="宋体" w:cs="宋体"/>
                <w:color w:val="auto"/>
                <w:sz w:val="21"/>
                <w:highlight w:val="none"/>
              </w:rPr>
            </w:pPr>
          </w:p>
        </w:tc>
        <w:tc>
          <w:tcPr>
            <w:tcW w:w="255" w:type="dxa"/>
            <w:vAlign w:val="top"/>
          </w:tcPr>
          <w:p w14:paraId="104BD790">
            <w:pPr>
              <w:rPr>
                <w:rFonts w:hint="eastAsia" w:ascii="宋体" w:hAnsi="宋体" w:eastAsia="宋体" w:cs="宋体"/>
                <w:color w:val="auto"/>
                <w:sz w:val="21"/>
                <w:highlight w:val="none"/>
              </w:rPr>
            </w:pPr>
          </w:p>
        </w:tc>
        <w:tc>
          <w:tcPr>
            <w:tcW w:w="255" w:type="dxa"/>
            <w:vAlign w:val="top"/>
          </w:tcPr>
          <w:p w14:paraId="62B78015">
            <w:pPr>
              <w:rPr>
                <w:rFonts w:hint="eastAsia" w:ascii="宋体" w:hAnsi="宋体" w:eastAsia="宋体" w:cs="宋体"/>
                <w:color w:val="auto"/>
                <w:sz w:val="21"/>
                <w:highlight w:val="none"/>
              </w:rPr>
            </w:pPr>
          </w:p>
        </w:tc>
        <w:tc>
          <w:tcPr>
            <w:tcW w:w="255" w:type="dxa"/>
            <w:vAlign w:val="top"/>
          </w:tcPr>
          <w:p w14:paraId="0746E75E">
            <w:pPr>
              <w:rPr>
                <w:rFonts w:hint="eastAsia" w:ascii="宋体" w:hAnsi="宋体" w:eastAsia="宋体" w:cs="宋体"/>
                <w:color w:val="auto"/>
                <w:sz w:val="21"/>
                <w:highlight w:val="none"/>
              </w:rPr>
            </w:pPr>
          </w:p>
        </w:tc>
        <w:tc>
          <w:tcPr>
            <w:tcW w:w="255" w:type="dxa"/>
            <w:vAlign w:val="top"/>
          </w:tcPr>
          <w:p w14:paraId="3850D42A">
            <w:pPr>
              <w:rPr>
                <w:rFonts w:hint="eastAsia" w:ascii="宋体" w:hAnsi="宋体" w:eastAsia="宋体" w:cs="宋体"/>
                <w:color w:val="auto"/>
                <w:sz w:val="21"/>
                <w:highlight w:val="none"/>
              </w:rPr>
            </w:pPr>
          </w:p>
        </w:tc>
        <w:tc>
          <w:tcPr>
            <w:tcW w:w="255" w:type="dxa"/>
            <w:vAlign w:val="top"/>
          </w:tcPr>
          <w:p w14:paraId="6144A26E">
            <w:pPr>
              <w:rPr>
                <w:rFonts w:hint="eastAsia" w:ascii="宋体" w:hAnsi="宋体" w:eastAsia="宋体" w:cs="宋体"/>
                <w:color w:val="auto"/>
                <w:sz w:val="21"/>
                <w:highlight w:val="none"/>
              </w:rPr>
            </w:pPr>
          </w:p>
        </w:tc>
        <w:tc>
          <w:tcPr>
            <w:tcW w:w="255" w:type="dxa"/>
            <w:vAlign w:val="top"/>
          </w:tcPr>
          <w:p w14:paraId="68FD5909">
            <w:pPr>
              <w:rPr>
                <w:rFonts w:hint="eastAsia" w:ascii="宋体" w:hAnsi="宋体" w:eastAsia="宋体" w:cs="宋体"/>
                <w:color w:val="auto"/>
                <w:sz w:val="21"/>
                <w:highlight w:val="none"/>
              </w:rPr>
            </w:pPr>
          </w:p>
        </w:tc>
        <w:tc>
          <w:tcPr>
            <w:tcW w:w="255" w:type="dxa"/>
            <w:vAlign w:val="top"/>
          </w:tcPr>
          <w:p w14:paraId="7F3C8923">
            <w:pPr>
              <w:rPr>
                <w:rFonts w:hint="eastAsia" w:ascii="宋体" w:hAnsi="宋体" w:eastAsia="宋体" w:cs="宋体"/>
                <w:color w:val="auto"/>
                <w:sz w:val="21"/>
                <w:highlight w:val="none"/>
              </w:rPr>
            </w:pPr>
          </w:p>
        </w:tc>
        <w:tc>
          <w:tcPr>
            <w:tcW w:w="255" w:type="dxa"/>
            <w:vAlign w:val="top"/>
          </w:tcPr>
          <w:p w14:paraId="64B5E719">
            <w:pPr>
              <w:rPr>
                <w:rFonts w:hint="eastAsia" w:ascii="宋体" w:hAnsi="宋体" w:eastAsia="宋体" w:cs="宋体"/>
                <w:color w:val="auto"/>
                <w:sz w:val="21"/>
                <w:highlight w:val="none"/>
              </w:rPr>
            </w:pPr>
          </w:p>
        </w:tc>
        <w:tc>
          <w:tcPr>
            <w:tcW w:w="255" w:type="dxa"/>
            <w:vAlign w:val="top"/>
          </w:tcPr>
          <w:p w14:paraId="6EABB562">
            <w:pPr>
              <w:rPr>
                <w:rFonts w:hint="eastAsia" w:ascii="宋体" w:hAnsi="宋体" w:eastAsia="宋体" w:cs="宋体"/>
                <w:color w:val="auto"/>
                <w:sz w:val="21"/>
                <w:highlight w:val="none"/>
              </w:rPr>
            </w:pPr>
          </w:p>
        </w:tc>
        <w:tc>
          <w:tcPr>
            <w:tcW w:w="255" w:type="dxa"/>
            <w:vAlign w:val="top"/>
          </w:tcPr>
          <w:p w14:paraId="5818490A">
            <w:pPr>
              <w:rPr>
                <w:rFonts w:hint="eastAsia" w:ascii="宋体" w:hAnsi="宋体" w:eastAsia="宋体" w:cs="宋体"/>
                <w:color w:val="auto"/>
                <w:sz w:val="21"/>
                <w:highlight w:val="none"/>
              </w:rPr>
            </w:pPr>
          </w:p>
        </w:tc>
        <w:tc>
          <w:tcPr>
            <w:tcW w:w="255" w:type="dxa"/>
            <w:vAlign w:val="top"/>
          </w:tcPr>
          <w:p w14:paraId="6FB727E1">
            <w:pPr>
              <w:rPr>
                <w:rFonts w:hint="eastAsia" w:ascii="宋体" w:hAnsi="宋体" w:eastAsia="宋体" w:cs="宋体"/>
                <w:color w:val="auto"/>
                <w:sz w:val="21"/>
                <w:highlight w:val="none"/>
              </w:rPr>
            </w:pPr>
          </w:p>
        </w:tc>
        <w:tc>
          <w:tcPr>
            <w:tcW w:w="292" w:type="dxa"/>
            <w:vAlign w:val="top"/>
          </w:tcPr>
          <w:p w14:paraId="73476AB1">
            <w:pPr>
              <w:rPr>
                <w:rFonts w:hint="eastAsia" w:ascii="宋体" w:hAnsi="宋体" w:eastAsia="宋体" w:cs="宋体"/>
                <w:color w:val="auto"/>
                <w:sz w:val="21"/>
                <w:highlight w:val="none"/>
              </w:rPr>
            </w:pPr>
          </w:p>
        </w:tc>
      </w:tr>
      <w:tr w14:paraId="3684C3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2230" w:type="dxa"/>
            <w:vAlign w:val="top"/>
          </w:tcPr>
          <w:p w14:paraId="168DF039">
            <w:pPr>
              <w:pStyle w:val="25"/>
              <w:spacing w:before="118" w:line="202" w:lineRule="auto"/>
              <w:ind w:left="65"/>
              <w:rPr>
                <w:rFonts w:hint="eastAsia" w:ascii="宋体" w:hAnsi="宋体" w:eastAsia="宋体" w:cs="宋体"/>
                <w:color w:val="auto"/>
                <w:sz w:val="19"/>
                <w:szCs w:val="19"/>
                <w:highlight w:val="none"/>
              </w:rPr>
            </w:pPr>
            <w:r>
              <w:rPr>
                <w:rFonts w:hint="eastAsia" w:ascii="宋体" w:hAnsi="宋体" w:eastAsia="宋体" w:cs="宋体"/>
                <w:color w:val="auto"/>
                <w:spacing w:val="6"/>
                <w:sz w:val="19"/>
                <w:szCs w:val="19"/>
                <w:highlight w:val="none"/>
              </w:rPr>
              <w:t>7.路面基层</w:t>
            </w:r>
          </w:p>
        </w:tc>
        <w:tc>
          <w:tcPr>
            <w:tcW w:w="254" w:type="dxa"/>
            <w:vAlign w:val="top"/>
          </w:tcPr>
          <w:p w14:paraId="0739C505">
            <w:pPr>
              <w:rPr>
                <w:rFonts w:hint="eastAsia" w:ascii="宋体" w:hAnsi="宋体" w:eastAsia="宋体" w:cs="宋体"/>
                <w:color w:val="auto"/>
                <w:sz w:val="21"/>
                <w:highlight w:val="none"/>
              </w:rPr>
            </w:pPr>
          </w:p>
        </w:tc>
        <w:tc>
          <w:tcPr>
            <w:tcW w:w="254" w:type="dxa"/>
            <w:vAlign w:val="top"/>
          </w:tcPr>
          <w:p w14:paraId="220B02E7">
            <w:pPr>
              <w:rPr>
                <w:rFonts w:hint="eastAsia" w:ascii="宋体" w:hAnsi="宋体" w:eastAsia="宋体" w:cs="宋体"/>
                <w:color w:val="auto"/>
                <w:sz w:val="21"/>
                <w:highlight w:val="none"/>
              </w:rPr>
            </w:pPr>
          </w:p>
        </w:tc>
        <w:tc>
          <w:tcPr>
            <w:tcW w:w="255" w:type="dxa"/>
            <w:vAlign w:val="top"/>
          </w:tcPr>
          <w:p w14:paraId="6670D1B3">
            <w:pPr>
              <w:rPr>
                <w:rFonts w:hint="eastAsia" w:ascii="宋体" w:hAnsi="宋体" w:eastAsia="宋体" w:cs="宋体"/>
                <w:color w:val="auto"/>
                <w:sz w:val="21"/>
                <w:highlight w:val="none"/>
              </w:rPr>
            </w:pPr>
          </w:p>
        </w:tc>
        <w:tc>
          <w:tcPr>
            <w:tcW w:w="254" w:type="dxa"/>
            <w:vAlign w:val="top"/>
          </w:tcPr>
          <w:p w14:paraId="2F2C913C">
            <w:pPr>
              <w:rPr>
                <w:rFonts w:hint="eastAsia" w:ascii="宋体" w:hAnsi="宋体" w:eastAsia="宋体" w:cs="宋体"/>
                <w:color w:val="auto"/>
                <w:sz w:val="21"/>
                <w:highlight w:val="none"/>
              </w:rPr>
            </w:pPr>
          </w:p>
        </w:tc>
        <w:tc>
          <w:tcPr>
            <w:tcW w:w="255" w:type="dxa"/>
            <w:vAlign w:val="top"/>
          </w:tcPr>
          <w:p w14:paraId="32E95116">
            <w:pPr>
              <w:rPr>
                <w:rFonts w:hint="eastAsia" w:ascii="宋体" w:hAnsi="宋体" w:eastAsia="宋体" w:cs="宋体"/>
                <w:color w:val="auto"/>
                <w:sz w:val="21"/>
                <w:highlight w:val="none"/>
              </w:rPr>
            </w:pPr>
          </w:p>
        </w:tc>
        <w:tc>
          <w:tcPr>
            <w:tcW w:w="255" w:type="dxa"/>
            <w:vAlign w:val="top"/>
          </w:tcPr>
          <w:p w14:paraId="4450DC67">
            <w:pPr>
              <w:rPr>
                <w:rFonts w:hint="eastAsia" w:ascii="宋体" w:hAnsi="宋体" w:eastAsia="宋体" w:cs="宋体"/>
                <w:color w:val="auto"/>
                <w:sz w:val="21"/>
                <w:highlight w:val="none"/>
              </w:rPr>
            </w:pPr>
          </w:p>
        </w:tc>
        <w:tc>
          <w:tcPr>
            <w:tcW w:w="255" w:type="dxa"/>
            <w:vAlign w:val="top"/>
          </w:tcPr>
          <w:p w14:paraId="3E529CA3">
            <w:pPr>
              <w:rPr>
                <w:rFonts w:hint="eastAsia" w:ascii="宋体" w:hAnsi="宋体" w:eastAsia="宋体" w:cs="宋体"/>
                <w:color w:val="auto"/>
                <w:sz w:val="21"/>
                <w:highlight w:val="none"/>
              </w:rPr>
            </w:pPr>
          </w:p>
        </w:tc>
        <w:tc>
          <w:tcPr>
            <w:tcW w:w="255" w:type="dxa"/>
            <w:vAlign w:val="top"/>
          </w:tcPr>
          <w:p w14:paraId="2C1D808B">
            <w:pPr>
              <w:rPr>
                <w:rFonts w:hint="eastAsia" w:ascii="宋体" w:hAnsi="宋体" w:eastAsia="宋体" w:cs="宋体"/>
                <w:color w:val="auto"/>
                <w:sz w:val="21"/>
                <w:highlight w:val="none"/>
              </w:rPr>
            </w:pPr>
          </w:p>
        </w:tc>
        <w:tc>
          <w:tcPr>
            <w:tcW w:w="255" w:type="dxa"/>
            <w:vAlign w:val="top"/>
          </w:tcPr>
          <w:p w14:paraId="0395D117">
            <w:pPr>
              <w:rPr>
                <w:rFonts w:hint="eastAsia" w:ascii="宋体" w:hAnsi="宋体" w:eastAsia="宋体" w:cs="宋体"/>
                <w:color w:val="auto"/>
                <w:sz w:val="21"/>
                <w:highlight w:val="none"/>
              </w:rPr>
            </w:pPr>
          </w:p>
        </w:tc>
        <w:tc>
          <w:tcPr>
            <w:tcW w:w="255" w:type="dxa"/>
            <w:vAlign w:val="top"/>
          </w:tcPr>
          <w:p w14:paraId="594163B2">
            <w:pPr>
              <w:rPr>
                <w:rFonts w:hint="eastAsia" w:ascii="宋体" w:hAnsi="宋体" w:eastAsia="宋体" w:cs="宋体"/>
                <w:color w:val="auto"/>
                <w:sz w:val="21"/>
                <w:highlight w:val="none"/>
              </w:rPr>
            </w:pPr>
          </w:p>
        </w:tc>
        <w:tc>
          <w:tcPr>
            <w:tcW w:w="255" w:type="dxa"/>
            <w:vAlign w:val="top"/>
          </w:tcPr>
          <w:p w14:paraId="7DD1D05E">
            <w:pPr>
              <w:rPr>
                <w:rFonts w:hint="eastAsia" w:ascii="宋体" w:hAnsi="宋体" w:eastAsia="宋体" w:cs="宋体"/>
                <w:color w:val="auto"/>
                <w:sz w:val="21"/>
                <w:highlight w:val="none"/>
              </w:rPr>
            </w:pPr>
          </w:p>
        </w:tc>
        <w:tc>
          <w:tcPr>
            <w:tcW w:w="255" w:type="dxa"/>
            <w:vAlign w:val="top"/>
          </w:tcPr>
          <w:p w14:paraId="2F4A9872">
            <w:pPr>
              <w:rPr>
                <w:rFonts w:hint="eastAsia" w:ascii="宋体" w:hAnsi="宋体" w:eastAsia="宋体" w:cs="宋体"/>
                <w:color w:val="auto"/>
                <w:sz w:val="21"/>
                <w:highlight w:val="none"/>
              </w:rPr>
            </w:pPr>
          </w:p>
        </w:tc>
        <w:tc>
          <w:tcPr>
            <w:tcW w:w="255" w:type="dxa"/>
            <w:vAlign w:val="top"/>
          </w:tcPr>
          <w:p w14:paraId="1EC2A04D">
            <w:pPr>
              <w:rPr>
                <w:rFonts w:hint="eastAsia" w:ascii="宋体" w:hAnsi="宋体" w:eastAsia="宋体" w:cs="宋体"/>
                <w:color w:val="auto"/>
                <w:sz w:val="21"/>
                <w:highlight w:val="none"/>
              </w:rPr>
            </w:pPr>
          </w:p>
        </w:tc>
        <w:tc>
          <w:tcPr>
            <w:tcW w:w="255" w:type="dxa"/>
            <w:vAlign w:val="top"/>
          </w:tcPr>
          <w:p w14:paraId="0644D19B">
            <w:pPr>
              <w:rPr>
                <w:rFonts w:hint="eastAsia" w:ascii="宋体" w:hAnsi="宋体" w:eastAsia="宋体" w:cs="宋体"/>
                <w:color w:val="auto"/>
                <w:sz w:val="21"/>
                <w:highlight w:val="none"/>
              </w:rPr>
            </w:pPr>
          </w:p>
        </w:tc>
        <w:tc>
          <w:tcPr>
            <w:tcW w:w="255" w:type="dxa"/>
            <w:vAlign w:val="top"/>
          </w:tcPr>
          <w:p w14:paraId="108FDFA7">
            <w:pPr>
              <w:rPr>
                <w:rFonts w:hint="eastAsia" w:ascii="宋体" w:hAnsi="宋体" w:eastAsia="宋体" w:cs="宋体"/>
                <w:color w:val="auto"/>
                <w:sz w:val="21"/>
                <w:highlight w:val="none"/>
              </w:rPr>
            </w:pPr>
          </w:p>
        </w:tc>
        <w:tc>
          <w:tcPr>
            <w:tcW w:w="255" w:type="dxa"/>
            <w:vAlign w:val="top"/>
          </w:tcPr>
          <w:p w14:paraId="5675F873">
            <w:pPr>
              <w:rPr>
                <w:rFonts w:hint="eastAsia" w:ascii="宋体" w:hAnsi="宋体" w:eastAsia="宋体" w:cs="宋体"/>
                <w:color w:val="auto"/>
                <w:sz w:val="21"/>
                <w:highlight w:val="none"/>
              </w:rPr>
            </w:pPr>
          </w:p>
        </w:tc>
        <w:tc>
          <w:tcPr>
            <w:tcW w:w="255" w:type="dxa"/>
            <w:vAlign w:val="top"/>
          </w:tcPr>
          <w:p w14:paraId="47750ACD">
            <w:pPr>
              <w:rPr>
                <w:rFonts w:hint="eastAsia" w:ascii="宋体" w:hAnsi="宋体" w:eastAsia="宋体" w:cs="宋体"/>
                <w:color w:val="auto"/>
                <w:sz w:val="21"/>
                <w:highlight w:val="none"/>
              </w:rPr>
            </w:pPr>
          </w:p>
        </w:tc>
        <w:tc>
          <w:tcPr>
            <w:tcW w:w="255" w:type="dxa"/>
            <w:vAlign w:val="top"/>
          </w:tcPr>
          <w:p w14:paraId="49C5C1DD">
            <w:pPr>
              <w:rPr>
                <w:rFonts w:hint="eastAsia" w:ascii="宋体" w:hAnsi="宋体" w:eastAsia="宋体" w:cs="宋体"/>
                <w:color w:val="auto"/>
                <w:sz w:val="21"/>
                <w:highlight w:val="none"/>
              </w:rPr>
            </w:pPr>
          </w:p>
        </w:tc>
        <w:tc>
          <w:tcPr>
            <w:tcW w:w="255" w:type="dxa"/>
            <w:vAlign w:val="top"/>
          </w:tcPr>
          <w:p w14:paraId="141CDCBD">
            <w:pPr>
              <w:rPr>
                <w:rFonts w:hint="eastAsia" w:ascii="宋体" w:hAnsi="宋体" w:eastAsia="宋体" w:cs="宋体"/>
                <w:color w:val="auto"/>
                <w:sz w:val="21"/>
                <w:highlight w:val="none"/>
              </w:rPr>
            </w:pPr>
          </w:p>
        </w:tc>
        <w:tc>
          <w:tcPr>
            <w:tcW w:w="255" w:type="dxa"/>
            <w:vAlign w:val="top"/>
          </w:tcPr>
          <w:p w14:paraId="1649C44B">
            <w:pPr>
              <w:rPr>
                <w:rFonts w:hint="eastAsia" w:ascii="宋体" w:hAnsi="宋体" w:eastAsia="宋体" w:cs="宋体"/>
                <w:color w:val="auto"/>
                <w:sz w:val="21"/>
                <w:highlight w:val="none"/>
              </w:rPr>
            </w:pPr>
          </w:p>
        </w:tc>
        <w:tc>
          <w:tcPr>
            <w:tcW w:w="255" w:type="dxa"/>
            <w:vAlign w:val="top"/>
          </w:tcPr>
          <w:p w14:paraId="2619B49B">
            <w:pPr>
              <w:rPr>
                <w:rFonts w:hint="eastAsia" w:ascii="宋体" w:hAnsi="宋体" w:eastAsia="宋体" w:cs="宋体"/>
                <w:color w:val="auto"/>
                <w:sz w:val="21"/>
                <w:highlight w:val="none"/>
              </w:rPr>
            </w:pPr>
          </w:p>
        </w:tc>
        <w:tc>
          <w:tcPr>
            <w:tcW w:w="255" w:type="dxa"/>
            <w:vAlign w:val="top"/>
          </w:tcPr>
          <w:p w14:paraId="33562860">
            <w:pPr>
              <w:rPr>
                <w:rFonts w:hint="eastAsia" w:ascii="宋体" w:hAnsi="宋体" w:eastAsia="宋体" w:cs="宋体"/>
                <w:color w:val="auto"/>
                <w:sz w:val="21"/>
                <w:highlight w:val="none"/>
              </w:rPr>
            </w:pPr>
          </w:p>
        </w:tc>
        <w:tc>
          <w:tcPr>
            <w:tcW w:w="255" w:type="dxa"/>
            <w:vAlign w:val="top"/>
          </w:tcPr>
          <w:p w14:paraId="79C86B1C">
            <w:pPr>
              <w:rPr>
                <w:rFonts w:hint="eastAsia" w:ascii="宋体" w:hAnsi="宋体" w:eastAsia="宋体" w:cs="宋体"/>
                <w:color w:val="auto"/>
                <w:sz w:val="21"/>
                <w:highlight w:val="none"/>
              </w:rPr>
            </w:pPr>
          </w:p>
        </w:tc>
        <w:tc>
          <w:tcPr>
            <w:tcW w:w="255" w:type="dxa"/>
            <w:vAlign w:val="top"/>
          </w:tcPr>
          <w:p w14:paraId="4795F8C0">
            <w:pPr>
              <w:rPr>
                <w:rFonts w:hint="eastAsia" w:ascii="宋体" w:hAnsi="宋体" w:eastAsia="宋体" w:cs="宋体"/>
                <w:color w:val="auto"/>
                <w:sz w:val="21"/>
                <w:highlight w:val="none"/>
              </w:rPr>
            </w:pPr>
          </w:p>
        </w:tc>
        <w:tc>
          <w:tcPr>
            <w:tcW w:w="255" w:type="dxa"/>
            <w:vAlign w:val="top"/>
          </w:tcPr>
          <w:p w14:paraId="40974647">
            <w:pPr>
              <w:rPr>
                <w:rFonts w:hint="eastAsia" w:ascii="宋体" w:hAnsi="宋体" w:eastAsia="宋体" w:cs="宋体"/>
                <w:color w:val="auto"/>
                <w:sz w:val="21"/>
                <w:highlight w:val="none"/>
              </w:rPr>
            </w:pPr>
          </w:p>
        </w:tc>
        <w:tc>
          <w:tcPr>
            <w:tcW w:w="255" w:type="dxa"/>
            <w:vAlign w:val="top"/>
          </w:tcPr>
          <w:p w14:paraId="0D8D3411">
            <w:pPr>
              <w:rPr>
                <w:rFonts w:hint="eastAsia" w:ascii="宋体" w:hAnsi="宋体" w:eastAsia="宋体" w:cs="宋体"/>
                <w:color w:val="auto"/>
                <w:sz w:val="21"/>
                <w:highlight w:val="none"/>
              </w:rPr>
            </w:pPr>
          </w:p>
        </w:tc>
        <w:tc>
          <w:tcPr>
            <w:tcW w:w="255" w:type="dxa"/>
            <w:vAlign w:val="top"/>
          </w:tcPr>
          <w:p w14:paraId="3EB639AC">
            <w:pPr>
              <w:rPr>
                <w:rFonts w:hint="eastAsia" w:ascii="宋体" w:hAnsi="宋体" w:eastAsia="宋体" w:cs="宋体"/>
                <w:color w:val="auto"/>
                <w:sz w:val="21"/>
                <w:highlight w:val="none"/>
              </w:rPr>
            </w:pPr>
          </w:p>
        </w:tc>
        <w:tc>
          <w:tcPr>
            <w:tcW w:w="255" w:type="dxa"/>
            <w:vAlign w:val="top"/>
          </w:tcPr>
          <w:p w14:paraId="0ABAEA70">
            <w:pPr>
              <w:rPr>
                <w:rFonts w:hint="eastAsia" w:ascii="宋体" w:hAnsi="宋体" w:eastAsia="宋体" w:cs="宋体"/>
                <w:color w:val="auto"/>
                <w:sz w:val="21"/>
                <w:highlight w:val="none"/>
              </w:rPr>
            </w:pPr>
          </w:p>
        </w:tc>
        <w:tc>
          <w:tcPr>
            <w:tcW w:w="292" w:type="dxa"/>
            <w:vAlign w:val="top"/>
          </w:tcPr>
          <w:p w14:paraId="084841AD">
            <w:pPr>
              <w:rPr>
                <w:rFonts w:hint="eastAsia" w:ascii="宋体" w:hAnsi="宋体" w:eastAsia="宋体" w:cs="宋体"/>
                <w:color w:val="auto"/>
                <w:sz w:val="21"/>
                <w:highlight w:val="none"/>
              </w:rPr>
            </w:pPr>
          </w:p>
        </w:tc>
      </w:tr>
      <w:tr w14:paraId="2CDF61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2230" w:type="dxa"/>
            <w:vAlign w:val="top"/>
          </w:tcPr>
          <w:p w14:paraId="03FC69EB">
            <w:pPr>
              <w:pStyle w:val="25"/>
              <w:spacing w:before="115" w:line="205" w:lineRule="auto"/>
              <w:ind w:left="339"/>
              <w:rPr>
                <w:rFonts w:hint="eastAsia" w:ascii="宋体" w:hAnsi="宋体" w:eastAsia="宋体" w:cs="宋体"/>
                <w:color w:val="auto"/>
                <w:sz w:val="19"/>
                <w:szCs w:val="19"/>
                <w:highlight w:val="none"/>
              </w:rPr>
            </w:pPr>
            <w:r>
              <w:rPr>
                <w:rFonts w:hint="eastAsia" w:ascii="宋体" w:hAnsi="宋体" w:eastAsia="宋体" w:cs="宋体"/>
                <w:color w:val="auto"/>
                <w:spacing w:val="6"/>
                <w:sz w:val="19"/>
                <w:szCs w:val="19"/>
                <w:highlight w:val="none"/>
              </w:rPr>
              <w:t>（1）底基层</w:t>
            </w:r>
          </w:p>
        </w:tc>
        <w:tc>
          <w:tcPr>
            <w:tcW w:w="254" w:type="dxa"/>
            <w:vAlign w:val="top"/>
          </w:tcPr>
          <w:p w14:paraId="62090326">
            <w:pPr>
              <w:rPr>
                <w:rFonts w:hint="eastAsia" w:ascii="宋体" w:hAnsi="宋体" w:eastAsia="宋体" w:cs="宋体"/>
                <w:color w:val="auto"/>
                <w:sz w:val="21"/>
                <w:highlight w:val="none"/>
              </w:rPr>
            </w:pPr>
          </w:p>
        </w:tc>
        <w:tc>
          <w:tcPr>
            <w:tcW w:w="254" w:type="dxa"/>
            <w:vAlign w:val="top"/>
          </w:tcPr>
          <w:p w14:paraId="4575A1F8">
            <w:pPr>
              <w:rPr>
                <w:rFonts w:hint="eastAsia" w:ascii="宋体" w:hAnsi="宋体" w:eastAsia="宋体" w:cs="宋体"/>
                <w:color w:val="auto"/>
                <w:sz w:val="21"/>
                <w:highlight w:val="none"/>
              </w:rPr>
            </w:pPr>
          </w:p>
        </w:tc>
        <w:tc>
          <w:tcPr>
            <w:tcW w:w="255" w:type="dxa"/>
            <w:vAlign w:val="top"/>
          </w:tcPr>
          <w:p w14:paraId="39662EB7">
            <w:pPr>
              <w:rPr>
                <w:rFonts w:hint="eastAsia" w:ascii="宋体" w:hAnsi="宋体" w:eastAsia="宋体" w:cs="宋体"/>
                <w:color w:val="auto"/>
                <w:sz w:val="21"/>
                <w:highlight w:val="none"/>
              </w:rPr>
            </w:pPr>
          </w:p>
        </w:tc>
        <w:tc>
          <w:tcPr>
            <w:tcW w:w="254" w:type="dxa"/>
            <w:vAlign w:val="top"/>
          </w:tcPr>
          <w:p w14:paraId="5F4B973F">
            <w:pPr>
              <w:rPr>
                <w:rFonts w:hint="eastAsia" w:ascii="宋体" w:hAnsi="宋体" w:eastAsia="宋体" w:cs="宋体"/>
                <w:color w:val="auto"/>
                <w:sz w:val="21"/>
                <w:highlight w:val="none"/>
              </w:rPr>
            </w:pPr>
          </w:p>
        </w:tc>
        <w:tc>
          <w:tcPr>
            <w:tcW w:w="255" w:type="dxa"/>
            <w:vAlign w:val="top"/>
          </w:tcPr>
          <w:p w14:paraId="11B998ED">
            <w:pPr>
              <w:rPr>
                <w:rFonts w:hint="eastAsia" w:ascii="宋体" w:hAnsi="宋体" w:eastAsia="宋体" w:cs="宋体"/>
                <w:color w:val="auto"/>
                <w:sz w:val="21"/>
                <w:highlight w:val="none"/>
              </w:rPr>
            </w:pPr>
          </w:p>
        </w:tc>
        <w:tc>
          <w:tcPr>
            <w:tcW w:w="255" w:type="dxa"/>
            <w:vAlign w:val="top"/>
          </w:tcPr>
          <w:p w14:paraId="3C21C7A3">
            <w:pPr>
              <w:rPr>
                <w:rFonts w:hint="eastAsia" w:ascii="宋体" w:hAnsi="宋体" w:eastAsia="宋体" w:cs="宋体"/>
                <w:color w:val="auto"/>
                <w:sz w:val="21"/>
                <w:highlight w:val="none"/>
              </w:rPr>
            </w:pPr>
          </w:p>
        </w:tc>
        <w:tc>
          <w:tcPr>
            <w:tcW w:w="255" w:type="dxa"/>
            <w:vAlign w:val="top"/>
          </w:tcPr>
          <w:p w14:paraId="4381FF6A">
            <w:pPr>
              <w:rPr>
                <w:rFonts w:hint="eastAsia" w:ascii="宋体" w:hAnsi="宋体" w:eastAsia="宋体" w:cs="宋体"/>
                <w:color w:val="auto"/>
                <w:sz w:val="21"/>
                <w:highlight w:val="none"/>
              </w:rPr>
            </w:pPr>
          </w:p>
        </w:tc>
        <w:tc>
          <w:tcPr>
            <w:tcW w:w="255" w:type="dxa"/>
            <w:vAlign w:val="top"/>
          </w:tcPr>
          <w:p w14:paraId="307C8CAE">
            <w:pPr>
              <w:rPr>
                <w:rFonts w:hint="eastAsia" w:ascii="宋体" w:hAnsi="宋体" w:eastAsia="宋体" w:cs="宋体"/>
                <w:color w:val="auto"/>
                <w:sz w:val="21"/>
                <w:highlight w:val="none"/>
              </w:rPr>
            </w:pPr>
          </w:p>
        </w:tc>
        <w:tc>
          <w:tcPr>
            <w:tcW w:w="255" w:type="dxa"/>
            <w:vAlign w:val="top"/>
          </w:tcPr>
          <w:p w14:paraId="1E4A54FF">
            <w:pPr>
              <w:rPr>
                <w:rFonts w:hint="eastAsia" w:ascii="宋体" w:hAnsi="宋体" w:eastAsia="宋体" w:cs="宋体"/>
                <w:color w:val="auto"/>
                <w:sz w:val="21"/>
                <w:highlight w:val="none"/>
              </w:rPr>
            </w:pPr>
          </w:p>
        </w:tc>
        <w:tc>
          <w:tcPr>
            <w:tcW w:w="255" w:type="dxa"/>
            <w:vAlign w:val="top"/>
          </w:tcPr>
          <w:p w14:paraId="166E079A">
            <w:pPr>
              <w:rPr>
                <w:rFonts w:hint="eastAsia" w:ascii="宋体" w:hAnsi="宋体" w:eastAsia="宋体" w:cs="宋体"/>
                <w:color w:val="auto"/>
                <w:sz w:val="21"/>
                <w:highlight w:val="none"/>
              </w:rPr>
            </w:pPr>
          </w:p>
        </w:tc>
        <w:tc>
          <w:tcPr>
            <w:tcW w:w="255" w:type="dxa"/>
            <w:vAlign w:val="top"/>
          </w:tcPr>
          <w:p w14:paraId="23FEA2B4">
            <w:pPr>
              <w:rPr>
                <w:rFonts w:hint="eastAsia" w:ascii="宋体" w:hAnsi="宋体" w:eastAsia="宋体" w:cs="宋体"/>
                <w:color w:val="auto"/>
                <w:sz w:val="21"/>
                <w:highlight w:val="none"/>
              </w:rPr>
            </w:pPr>
          </w:p>
        </w:tc>
        <w:tc>
          <w:tcPr>
            <w:tcW w:w="255" w:type="dxa"/>
            <w:vAlign w:val="top"/>
          </w:tcPr>
          <w:p w14:paraId="05B0718C">
            <w:pPr>
              <w:rPr>
                <w:rFonts w:hint="eastAsia" w:ascii="宋体" w:hAnsi="宋体" w:eastAsia="宋体" w:cs="宋体"/>
                <w:color w:val="auto"/>
                <w:sz w:val="21"/>
                <w:highlight w:val="none"/>
              </w:rPr>
            </w:pPr>
          </w:p>
        </w:tc>
        <w:tc>
          <w:tcPr>
            <w:tcW w:w="255" w:type="dxa"/>
            <w:vAlign w:val="top"/>
          </w:tcPr>
          <w:p w14:paraId="68F251B2">
            <w:pPr>
              <w:rPr>
                <w:rFonts w:hint="eastAsia" w:ascii="宋体" w:hAnsi="宋体" w:eastAsia="宋体" w:cs="宋体"/>
                <w:color w:val="auto"/>
                <w:sz w:val="21"/>
                <w:highlight w:val="none"/>
              </w:rPr>
            </w:pPr>
          </w:p>
        </w:tc>
        <w:tc>
          <w:tcPr>
            <w:tcW w:w="255" w:type="dxa"/>
            <w:vAlign w:val="top"/>
          </w:tcPr>
          <w:p w14:paraId="25B353EC">
            <w:pPr>
              <w:rPr>
                <w:rFonts w:hint="eastAsia" w:ascii="宋体" w:hAnsi="宋体" w:eastAsia="宋体" w:cs="宋体"/>
                <w:color w:val="auto"/>
                <w:sz w:val="21"/>
                <w:highlight w:val="none"/>
              </w:rPr>
            </w:pPr>
          </w:p>
        </w:tc>
        <w:tc>
          <w:tcPr>
            <w:tcW w:w="255" w:type="dxa"/>
            <w:vAlign w:val="top"/>
          </w:tcPr>
          <w:p w14:paraId="143A58CA">
            <w:pPr>
              <w:rPr>
                <w:rFonts w:hint="eastAsia" w:ascii="宋体" w:hAnsi="宋体" w:eastAsia="宋体" w:cs="宋体"/>
                <w:color w:val="auto"/>
                <w:sz w:val="21"/>
                <w:highlight w:val="none"/>
              </w:rPr>
            </w:pPr>
          </w:p>
        </w:tc>
        <w:tc>
          <w:tcPr>
            <w:tcW w:w="255" w:type="dxa"/>
            <w:vAlign w:val="top"/>
          </w:tcPr>
          <w:p w14:paraId="58E14BAD">
            <w:pPr>
              <w:rPr>
                <w:rFonts w:hint="eastAsia" w:ascii="宋体" w:hAnsi="宋体" w:eastAsia="宋体" w:cs="宋体"/>
                <w:color w:val="auto"/>
                <w:sz w:val="21"/>
                <w:highlight w:val="none"/>
              </w:rPr>
            </w:pPr>
          </w:p>
        </w:tc>
        <w:tc>
          <w:tcPr>
            <w:tcW w:w="255" w:type="dxa"/>
            <w:vAlign w:val="top"/>
          </w:tcPr>
          <w:p w14:paraId="163E080A">
            <w:pPr>
              <w:rPr>
                <w:rFonts w:hint="eastAsia" w:ascii="宋体" w:hAnsi="宋体" w:eastAsia="宋体" w:cs="宋体"/>
                <w:color w:val="auto"/>
                <w:sz w:val="21"/>
                <w:highlight w:val="none"/>
              </w:rPr>
            </w:pPr>
          </w:p>
        </w:tc>
        <w:tc>
          <w:tcPr>
            <w:tcW w:w="255" w:type="dxa"/>
            <w:vAlign w:val="top"/>
          </w:tcPr>
          <w:p w14:paraId="4A101907">
            <w:pPr>
              <w:rPr>
                <w:rFonts w:hint="eastAsia" w:ascii="宋体" w:hAnsi="宋体" w:eastAsia="宋体" w:cs="宋体"/>
                <w:color w:val="auto"/>
                <w:sz w:val="21"/>
                <w:highlight w:val="none"/>
              </w:rPr>
            </w:pPr>
          </w:p>
        </w:tc>
        <w:tc>
          <w:tcPr>
            <w:tcW w:w="255" w:type="dxa"/>
            <w:vAlign w:val="top"/>
          </w:tcPr>
          <w:p w14:paraId="4364E8E1">
            <w:pPr>
              <w:rPr>
                <w:rFonts w:hint="eastAsia" w:ascii="宋体" w:hAnsi="宋体" w:eastAsia="宋体" w:cs="宋体"/>
                <w:color w:val="auto"/>
                <w:sz w:val="21"/>
                <w:highlight w:val="none"/>
              </w:rPr>
            </w:pPr>
          </w:p>
        </w:tc>
        <w:tc>
          <w:tcPr>
            <w:tcW w:w="255" w:type="dxa"/>
            <w:vAlign w:val="top"/>
          </w:tcPr>
          <w:p w14:paraId="61218962">
            <w:pPr>
              <w:rPr>
                <w:rFonts w:hint="eastAsia" w:ascii="宋体" w:hAnsi="宋体" w:eastAsia="宋体" w:cs="宋体"/>
                <w:color w:val="auto"/>
                <w:sz w:val="21"/>
                <w:highlight w:val="none"/>
              </w:rPr>
            </w:pPr>
          </w:p>
        </w:tc>
        <w:tc>
          <w:tcPr>
            <w:tcW w:w="255" w:type="dxa"/>
            <w:vAlign w:val="top"/>
          </w:tcPr>
          <w:p w14:paraId="6A0BC317">
            <w:pPr>
              <w:rPr>
                <w:rFonts w:hint="eastAsia" w:ascii="宋体" w:hAnsi="宋体" w:eastAsia="宋体" w:cs="宋体"/>
                <w:color w:val="auto"/>
                <w:sz w:val="21"/>
                <w:highlight w:val="none"/>
              </w:rPr>
            </w:pPr>
          </w:p>
        </w:tc>
        <w:tc>
          <w:tcPr>
            <w:tcW w:w="255" w:type="dxa"/>
            <w:vAlign w:val="top"/>
          </w:tcPr>
          <w:p w14:paraId="3770CFFF">
            <w:pPr>
              <w:rPr>
                <w:rFonts w:hint="eastAsia" w:ascii="宋体" w:hAnsi="宋体" w:eastAsia="宋体" w:cs="宋体"/>
                <w:color w:val="auto"/>
                <w:sz w:val="21"/>
                <w:highlight w:val="none"/>
              </w:rPr>
            </w:pPr>
          </w:p>
        </w:tc>
        <w:tc>
          <w:tcPr>
            <w:tcW w:w="255" w:type="dxa"/>
            <w:vAlign w:val="top"/>
          </w:tcPr>
          <w:p w14:paraId="7A894FED">
            <w:pPr>
              <w:rPr>
                <w:rFonts w:hint="eastAsia" w:ascii="宋体" w:hAnsi="宋体" w:eastAsia="宋体" w:cs="宋体"/>
                <w:color w:val="auto"/>
                <w:sz w:val="21"/>
                <w:highlight w:val="none"/>
              </w:rPr>
            </w:pPr>
          </w:p>
        </w:tc>
        <w:tc>
          <w:tcPr>
            <w:tcW w:w="255" w:type="dxa"/>
            <w:vAlign w:val="top"/>
          </w:tcPr>
          <w:p w14:paraId="3B75FB7B">
            <w:pPr>
              <w:rPr>
                <w:rFonts w:hint="eastAsia" w:ascii="宋体" w:hAnsi="宋体" w:eastAsia="宋体" w:cs="宋体"/>
                <w:color w:val="auto"/>
                <w:sz w:val="21"/>
                <w:highlight w:val="none"/>
              </w:rPr>
            </w:pPr>
          </w:p>
        </w:tc>
        <w:tc>
          <w:tcPr>
            <w:tcW w:w="255" w:type="dxa"/>
            <w:vAlign w:val="top"/>
          </w:tcPr>
          <w:p w14:paraId="495C0146">
            <w:pPr>
              <w:rPr>
                <w:rFonts w:hint="eastAsia" w:ascii="宋体" w:hAnsi="宋体" w:eastAsia="宋体" w:cs="宋体"/>
                <w:color w:val="auto"/>
                <w:sz w:val="21"/>
                <w:highlight w:val="none"/>
              </w:rPr>
            </w:pPr>
          </w:p>
        </w:tc>
        <w:tc>
          <w:tcPr>
            <w:tcW w:w="255" w:type="dxa"/>
            <w:vAlign w:val="top"/>
          </w:tcPr>
          <w:p w14:paraId="10BA71F7">
            <w:pPr>
              <w:rPr>
                <w:rFonts w:hint="eastAsia" w:ascii="宋体" w:hAnsi="宋体" w:eastAsia="宋体" w:cs="宋体"/>
                <w:color w:val="auto"/>
                <w:sz w:val="21"/>
                <w:highlight w:val="none"/>
              </w:rPr>
            </w:pPr>
          </w:p>
        </w:tc>
        <w:tc>
          <w:tcPr>
            <w:tcW w:w="255" w:type="dxa"/>
            <w:vAlign w:val="top"/>
          </w:tcPr>
          <w:p w14:paraId="69D8A1D8">
            <w:pPr>
              <w:rPr>
                <w:rFonts w:hint="eastAsia" w:ascii="宋体" w:hAnsi="宋体" w:eastAsia="宋体" w:cs="宋体"/>
                <w:color w:val="auto"/>
                <w:sz w:val="21"/>
                <w:highlight w:val="none"/>
              </w:rPr>
            </w:pPr>
          </w:p>
        </w:tc>
        <w:tc>
          <w:tcPr>
            <w:tcW w:w="255" w:type="dxa"/>
            <w:vAlign w:val="top"/>
          </w:tcPr>
          <w:p w14:paraId="3E342A28">
            <w:pPr>
              <w:rPr>
                <w:rFonts w:hint="eastAsia" w:ascii="宋体" w:hAnsi="宋体" w:eastAsia="宋体" w:cs="宋体"/>
                <w:color w:val="auto"/>
                <w:sz w:val="21"/>
                <w:highlight w:val="none"/>
              </w:rPr>
            </w:pPr>
          </w:p>
        </w:tc>
        <w:tc>
          <w:tcPr>
            <w:tcW w:w="292" w:type="dxa"/>
            <w:vAlign w:val="top"/>
          </w:tcPr>
          <w:p w14:paraId="7986D107">
            <w:pPr>
              <w:rPr>
                <w:rFonts w:hint="eastAsia" w:ascii="宋体" w:hAnsi="宋体" w:eastAsia="宋体" w:cs="宋体"/>
                <w:color w:val="auto"/>
                <w:sz w:val="21"/>
                <w:highlight w:val="none"/>
              </w:rPr>
            </w:pPr>
          </w:p>
        </w:tc>
      </w:tr>
      <w:tr w14:paraId="2056FC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2230" w:type="dxa"/>
            <w:vAlign w:val="top"/>
          </w:tcPr>
          <w:p w14:paraId="15AE6FE0">
            <w:pPr>
              <w:pStyle w:val="25"/>
              <w:spacing w:before="113" w:line="205" w:lineRule="auto"/>
              <w:ind w:left="339"/>
              <w:rPr>
                <w:rFonts w:hint="eastAsia" w:ascii="宋体" w:hAnsi="宋体" w:eastAsia="宋体" w:cs="宋体"/>
                <w:color w:val="auto"/>
                <w:sz w:val="19"/>
                <w:szCs w:val="19"/>
                <w:highlight w:val="none"/>
              </w:rPr>
            </w:pPr>
            <w:r>
              <w:rPr>
                <w:rFonts w:hint="eastAsia" w:ascii="宋体" w:hAnsi="宋体" w:eastAsia="宋体" w:cs="宋体"/>
                <w:color w:val="auto"/>
                <w:spacing w:val="5"/>
                <w:sz w:val="19"/>
                <w:szCs w:val="19"/>
                <w:highlight w:val="none"/>
              </w:rPr>
              <w:t>（2）基层</w:t>
            </w:r>
          </w:p>
        </w:tc>
        <w:tc>
          <w:tcPr>
            <w:tcW w:w="254" w:type="dxa"/>
            <w:vAlign w:val="top"/>
          </w:tcPr>
          <w:p w14:paraId="320EECAF">
            <w:pPr>
              <w:rPr>
                <w:rFonts w:hint="eastAsia" w:ascii="宋体" w:hAnsi="宋体" w:eastAsia="宋体" w:cs="宋体"/>
                <w:color w:val="auto"/>
                <w:sz w:val="21"/>
                <w:highlight w:val="none"/>
              </w:rPr>
            </w:pPr>
          </w:p>
        </w:tc>
        <w:tc>
          <w:tcPr>
            <w:tcW w:w="254" w:type="dxa"/>
            <w:vAlign w:val="top"/>
          </w:tcPr>
          <w:p w14:paraId="5BD917F1">
            <w:pPr>
              <w:rPr>
                <w:rFonts w:hint="eastAsia" w:ascii="宋体" w:hAnsi="宋体" w:eastAsia="宋体" w:cs="宋体"/>
                <w:color w:val="auto"/>
                <w:sz w:val="21"/>
                <w:highlight w:val="none"/>
              </w:rPr>
            </w:pPr>
          </w:p>
        </w:tc>
        <w:tc>
          <w:tcPr>
            <w:tcW w:w="255" w:type="dxa"/>
            <w:vAlign w:val="top"/>
          </w:tcPr>
          <w:p w14:paraId="52A7ECEE">
            <w:pPr>
              <w:rPr>
                <w:rFonts w:hint="eastAsia" w:ascii="宋体" w:hAnsi="宋体" w:eastAsia="宋体" w:cs="宋体"/>
                <w:color w:val="auto"/>
                <w:sz w:val="21"/>
                <w:highlight w:val="none"/>
              </w:rPr>
            </w:pPr>
          </w:p>
        </w:tc>
        <w:tc>
          <w:tcPr>
            <w:tcW w:w="254" w:type="dxa"/>
            <w:vAlign w:val="top"/>
          </w:tcPr>
          <w:p w14:paraId="1A917E72">
            <w:pPr>
              <w:rPr>
                <w:rFonts w:hint="eastAsia" w:ascii="宋体" w:hAnsi="宋体" w:eastAsia="宋体" w:cs="宋体"/>
                <w:color w:val="auto"/>
                <w:sz w:val="21"/>
                <w:highlight w:val="none"/>
              </w:rPr>
            </w:pPr>
          </w:p>
        </w:tc>
        <w:tc>
          <w:tcPr>
            <w:tcW w:w="255" w:type="dxa"/>
            <w:vAlign w:val="top"/>
          </w:tcPr>
          <w:p w14:paraId="2CABDFAD">
            <w:pPr>
              <w:rPr>
                <w:rFonts w:hint="eastAsia" w:ascii="宋体" w:hAnsi="宋体" w:eastAsia="宋体" w:cs="宋体"/>
                <w:color w:val="auto"/>
                <w:sz w:val="21"/>
                <w:highlight w:val="none"/>
              </w:rPr>
            </w:pPr>
          </w:p>
        </w:tc>
        <w:tc>
          <w:tcPr>
            <w:tcW w:w="255" w:type="dxa"/>
            <w:vAlign w:val="top"/>
          </w:tcPr>
          <w:p w14:paraId="4AE5CFD1">
            <w:pPr>
              <w:rPr>
                <w:rFonts w:hint="eastAsia" w:ascii="宋体" w:hAnsi="宋体" w:eastAsia="宋体" w:cs="宋体"/>
                <w:color w:val="auto"/>
                <w:sz w:val="21"/>
                <w:highlight w:val="none"/>
              </w:rPr>
            </w:pPr>
          </w:p>
        </w:tc>
        <w:tc>
          <w:tcPr>
            <w:tcW w:w="255" w:type="dxa"/>
            <w:vAlign w:val="top"/>
          </w:tcPr>
          <w:p w14:paraId="43DE9DA6">
            <w:pPr>
              <w:rPr>
                <w:rFonts w:hint="eastAsia" w:ascii="宋体" w:hAnsi="宋体" w:eastAsia="宋体" w:cs="宋体"/>
                <w:color w:val="auto"/>
                <w:sz w:val="21"/>
                <w:highlight w:val="none"/>
              </w:rPr>
            </w:pPr>
          </w:p>
        </w:tc>
        <w:tc>
          <w:tcPr>
            <w:tcW w:w="255" w:type="dxa"/>
            <w:vAlign w:val="top"/>
          </w:tcPr>
          <w:p w14:paraId="5CA21F9E">
            <w:pPr>
              <w:rPr>
                <w:rFonts w:hint="eastAsia" w:ascii="宋体" w:hAnsi="宋体" w:eastAsia="宋体" w:cs="宋体"/>
                <w:color w:val="auto"/>
                <w:sz w:val="21"/>
                <w:highlight w:val="none"/>
              </w:rPr>
            </w:pPr>
          </w:p>
        </w:tc>
        <w:tc>
          <w:tcPr>
            <w:tcW w:w="255" w:type="dxa"/>
            <w:vAlign w:val="top"/>
          </w:tcPr>
          <w:p w14:paraId="3E40E3A9">
            <w:pPr>
              <w:rPr>
                <w:rFonts w:hint="eastAsia" w:ascii="宋体" w:hAnsi="宋体" w:eastAsia="宋体" w:cs="宋体"/>
                <w:color w:val="auto"/>
                <w:sz w:val="21"/>
                <w:highlight w:val="none"/>
              </w:rPr>
            </w:pPr>
          </w:p>
        </w:tc>
        <w:tc>
          <w:tcPr>
            <w:tcW w:w="255" w:type="dxa"/>
            <w:vAlign w:val="top"/>
          </w:tcPr>
          <w:p w14:paraId="72B279C9">
            <w:pPr>
              <w:rPr>
                <w:rFonts w:hint="eastAsia" w:ascii="宋体" w:hAnsi="宋体" w:eastAsia="宋体" w:cs="宋体"/>
                <w:color w:val="auto"/>
                <w:sz w:val="21"/>
                <w:highlight w:val="none"/>
              </w:rPr>
            </w:pPr>
          </w:p>
        </w:tc>
        <w:tc>
          <w:tcPr>
            <w:tcW w:w="255" w:type="dxa"/>
            <w:vAlign w:val="top"/>
          </w:tcPr>
          <w:p w14:paraId="7BAD6156">
            <w:pPr>
              <w:rPr>
                <w:rFonts w:hint="eastAsia" w:ascii="宋体" w:hAnsi="宋体" w:eastAsia="宋体" w:cs="宋体"/>
                <w:color w:val="auto"/>
                <w:sz w:val="21"/>
                <w:highlight w:val="none"/>
              </w:rPr>
            </w:pPr>
          </w:p>
        </w:tc>
        <w:tc>
          <w:tcPr>
            <w:tcW w:w="255" w:type="dxa"/>
            <w:vAlign w:val="top"/>
          </w:tcPr>
          <w:p w14:paraId="5D4C0D12">
            <w:pPr>
              <w:rPr>
                <w:rFonts w:hint="eastAsia" w:ascii="宋体" w:hAnsi="宋体" w:eastAsia="宋体" w:cs="宋体"/>
                <w:color w:val="auto"/>
                <w:sz w:val="21"/>
                <w:highlight w:val="none"/>
              </w:rPr>
            </w:pPr>
          </w:p>
        </w:tc>
        <w:tc>
          <w:tcPr>
            <w:tcW w:w="255" w:type="dxa"/>
            <w:vAlign w:val="top"/>
          </w:tcPr>
          <w:p w14:paraId="2CCD0A4E">
            <w:pPr>
              <w:rPr>
                <w:rFonts w:hint="eastAsia" w:ascii="宋体" w:hAnsi="宋体" w:eastAsia="宋体" w:cs="宋体"/>
                <w:color w:val="auto"/>
                <w:sz w:val="21"/>
                <w:highlight w:val="none"/>
              </w:rPr>
            </w:pPr>
          </w:p>
        </w:tc>
        <w:tc>
          <w:tcPr>
            <w:tcW w:w="255" w:type="dxa"/>
            <w:vAlign w:val="top"/>
          </w:tcPr>
          <w:p w14:paraId="34D07BA5">
            <w:pPr>
              <w:rPr>
                <w:rFonts w:hint="eastAsia" w:ascii="宋体" w:hAnsi="宋体" w:eastAsia="宋体" w:cs="宋体"/>
                <w:color w:val="auto"/>
                <w:sz w:val="21"/>
                <w:highlight w:val="none"/>
              </w:rPr>
            </w:pPr>
          </w:p>
        </w:tc>
        <w:tc>
          <w:tcPr>
            <w:tcW w:w="255" w:type="dxa"/>
            <w:vAlign w:val="top"/>
          </w:tcPr>
          <w:p w14:paraId="727FFF14">
            <w:pPr>
              <w:rPr>
                <w:rFonts w:hint="eastAsia" w:ascii="宋体" w:hAnsi="宋体" w:eastAsia="宋体" w:cs="宋体"/>
                <w:color w:val="auto"/>
                <w:sz w:val="21"/>
                <w:highlight w:val="none"/>
              </w:rPr>
            </w:pPr>
          </w:p>
        </w:tc>
        <w:tc>
          <w:tcPr>
            <w:tcW w:w="255" w:type="dxa"/>
            <w:vAlign w:val="top"/>
          </w:tcPr>
          <w:p w14:paraId="6D9B4E9A">
            <w:pPr>
              <w:rPr>
                <w:rFonts w:hint="eastAsia" w:ascii="宋体" w:hAnsi="宋体" w:eastAsia="宋体" w:cs="宋体"/>
                <w:color w:val="auto"/>
                <w:sz w:val="21"/>
                <w:highlight w:val="none"/>
              </w:rPr>
            </w:pPr>
          </w:p>
        </w:tc>
        <w:tc>
          <w:tcPr>
            <w:tcW w:w="255" w:type="dxa"/>
            <w:vAlign w:val="top"/>
          </w:tcPr>
          <w:p w14:paraId="19CF924B">
            <w:pPr>
              <w:rPr>
                <w:rFonts w:hint="eastAsia" w:ascii="宋体" w:hAnsi="宋体" w:eastAsia="宋体" w:cs="宋体"/>
                <w:color w:val="auto"/>
                <w:sz w:val="21"/>
                <w:highlight w:val="none"/>
              </w:rPr>
            </w:pPr>
          </w:p>
        </w:tc>
        <w:tc>
          <w:tcPr>
            <w:tcW w:w="255" w:type="dxa"/>
            <w:vAlign w:val="top"/>
          </w:tcPr>
          <w:p w14:paraId="204340BC">
            <w:pPr>
              <w:rPr>
                <w:rFonts w:hint="eastAsia" w:ascii="宋体" w:hAnsi="宋体" w:eastAsia="宋体" w:cs="宋体"/>
                <w:color w:val="auto"/>
                <w:sz w:val="21"/>
                <w:highlight w:val="none"/>
              </w:rPr>
            </w:pPr>
          </w:p>
        </w:tc>
        <w:tc>
          <w:tcPr>
            <w:tcW w:w="255" w:type="dxa"/>
            <w:vAlign w:val="top"/>
          </w:tcPr>
          <w:p w14:paraId="1135FEB6">
            <w:pPr>
              <w:rPr>
                <w:rFonts w:hint="eastAsia" w:ascii="宋体" w:hAnsi="宋体" w:eastAsia="宋体" w:cs="宋体"/>
                <w:color w:val="auto"/>
                <w:sz w:val="21"/>
                <w:highlight w:val="none"/>
              </w:rPr>
            </w:pPr>
          </w:p>
        </w:tc>
        <w:tc>
          <w:tcPr>
            <w:tcW w:w="255" w:type="dxa"/>
            <w:vAlign w:val="top"/>
          </w:tcPr>
          <w:p w14:paraId="3574A3C5">
            <w:pPr>
              <w:rPr>
                <w:rFonts w:hint="eastAsia" w:ascii="宋体" w:hAnsi="宋体" w:eastAsia="宋体" w:cs="宋体"/>
                <w:color w:val="auto"/>
                <w:sz w:val="21"/>
                <w:highlight w:val="none"/>
              </w:rPr>
            </w:pPr>
          </w:p>
        </w:tc>
        <w:tc>
          <w:tcPr>
            <w:tcW w:w="255" w:type="dxa"/>
            <w:vAlign w:val="top"/>
          </w:tcPr>
          <w:p w14:paraId="53E8FDDC">
            <w:pPr>
              <w:rPr>
                <w:rFonts w:hint="eastAsia" w:ascii="宋体" w:hAnsi="宋体" w:eastAsia="宋体" w:cs="宋体"/>
                <w:color w:val="auto"/>
                <w:sz w:val="21"/>
                <w:highlight w:val="none"/>
              </w:rPr>
            </w:pPr>
          </w:p>
        </w:tc>
        <w:tc>
          <w:tcPr>
            <w:tcW w:w="255" w:type="dxa"/>
            <w:vAlign w:val="top"/>
          </w:tcPr>
          <w:p w14:paraId="3074B563">
            <w:pPr>
              <w:rPr>
                <w:rFonts w:hint="eastAsia" w:ascii="宋体" w:hAnsi="宋体" w:eastAsia="宋体" w:cs="宋体"/>
                <w:color w:val="auto"/>
                <w:sz w:val="21"/>
                <w:highlight w:val="none"/>
              </w:rPr>
            </w:pPr>
          </w:p>
        </w:tc>
        <w:tc>
          <w:tcPr>
            <w:tcW w:w="255" w:type="dxa"/>
            <w:vAlign w:val="top"/>
          </w:tcPr>
          <w:p w14:paraId="29297253">
            <w:pPr>
              <w:rPr>
                <w:rFonts w:hint="eastAsia" w:ascii="宋体" w:hAnsi="宋体" w:eastAsia="宋体" w:cs="宋体"/>
                <w:color w:val="auto"/>
                <w:sz w:val="21"/>
                <w:highlight w:val="none"/>
              </w:rPr>
            </w:pPr>
          </w:p>
        </w:tc>
        <w:tc>
          <w:tcPr>
            <w:tcW w:w="255" w:type="dxa"/>
            <w:vAlign w:val="top"/>
          </w:tcPr>
          <w:p w14:paraId="73DBD033">
            <w:pPr>
              <w:rPr>
                <w:rFonts w:hint="eastAsia" w:ascii="宋体" w:hAnsi="宋体" w:eastAsia="宋体" w:cs="宋体"/>
                <w:color w:val="auto"/>
                <w:sz w:val="21"/>
                <w:highlight w:val="none"/>
              </w:rPr>
            </w:pPr>
          </w:p>
        </w:tc>
        <w:tc>
          <w:tcPr>
            <w:tcW w:w="255" w:type="dxa"/>
            <w:vAlign w:val="top"/>
          </w:tcPr>
          <w:p w14:paraId="0E8888EB">
            <w:pPr>
              <w:rPr>
                <w:rFonts w:hint="eastAsia" w:ascii="宋体" w:hAnsi="宋体" w:eastAsia="宋体" w:cs="宋体"/>
                <w:color w:val="auto"/>
                <w:sz w:val="21"/>
                <w:highlight w:val="none"/>
              </w:rPr>
            </w:pPr>
          </w:p>
        </w:tc>
        <w:tc>
          <w:tcPr>
            <w:tcW w:w="255" w:type="dxa"/>
            <w:vAlign w:val="top"/>
          </w:tcPr>
          <w:p w14:paraId="4220BF0C">
            <w:pPr>
              <w:rPr>
                <w:rFonts w:hint="eastAsia" w:ascii="宋体" w:hAnsi="宋体" w:eastAsia="宋体" w:cs="宋体"/>
                <w:color w:val="auto"/>
                <w:sz w:val="21"/>
                <w:highlight w:val="none"/>
              </w:rPr>
            </w:pPr>
          </w:p>
        </w:tc>
        <w:tc>
          <w:tcPr>
            <w:tcW w:w="255" w:type="dxa"/>
            <w:vAlign w:val="top"/>
          </w:tcPr>
          <w:p w14:paraId="2FB5770F">
            <w:pPr>
              <w:rPr>
                <w:rFonts w:hint="eastAsia" w:ascii="宋体" w:hAnsi="宋体" w:eastAsia="宋体" w:cs="宋体"/>
                <w:color w:val="auto"/>
                <w:sz w:val="21"/>
                <w:highlight w:val="none"/>
              </w:rPr>
            </w:pPr>
          </w:p>
        </w:tc>
        <w:tc>
          <w:tcPr>
            <w:tcW w:w="255" w:type="dxa"/>
            <w:vAlign w:val="top"/>
          </w:tcPr>
          <w:p w14:paraId="64CE7A52">
            <w:pPr>
              <w:rPr>
                <w:rFonts w:hint="eastAsia" w:ascii="宋体" w:hAnsi="宋体" w:eastAsia="宋体" w:cs="宋体"/>
                <w:color w:val="auto"/>
                <w:sz w:val="21"/>
                <w:highlight w:val="none"/>
              </w:rPr>
            </w:pPr>
          </w:p>
        </w:tc>
        <w:tc>
          <w:tcPr>
            <w:tcW w:w="292" w:type="dxa"/>
            <w:vAlign w:val="top"/>
          </w:tcPr>
          <w:p w14:paraId="184DA029">
            <w:pPr>
              <w:rPr>
                <w:rFonts w:hint="eastAsia" w:ascii="宋体" w:hAnsi="宋体" w:eastAsia="宋体" w:cs="宋体"/>
                <w:color w:val="auto"/>
                <w:sz w:val="21"/>
                <w:highlight w:val="none"/>
              </w:rPr>
            </w:pPr>
          </w:p>
        </w:tc>
      </w:tr>
      <w:tr w14:paraId="4A0D1A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 w:hRule="atLeast"/>
        </w:trPr>
        <w:tc>
          <w:tcPr>
            <w:tcW w:w="2230" w:type="dxa"/>
            <w:vAlign w:val="top"/>
          </w:tcPr>
          <w:p w14:paraId="5541076B">
            <w:pPr>
              <w:pStyle w:val="25"/>
              <w:spacing w:before="113" w:line="207" w:lineRule="auto"/>
              <w:ind w:left="69"/>
              <w:rPr>
                <w:rFonts w:hint="eastAsia" w:ascii="宋体" w:hAnsi="宋体" w:eastAsia="宋体" w:cs="宋体"/>
                <w:color w:val="auto"/>
                <w:sz w:val="19"/>
                <w:szCs w:val="19"/>
                <w:highlight w:val="none"/>
              </w:rPr>
            </w:pPr>
            <w:r>
              <w:rPr>
                <w:rFonts w:hint="eastAsia" w:ascii="宋体" w:hAnsi="宋体" w:eastAsia="宋体" w:cs="宋体"/>
                <w:color w:val="auto"/>
                <w:spacing w:val="5"/>
                <w:sz w:val="19"/>
                <w:szCs w:val="19"/>
                <w:highlight w:val="none"/>
              </w:rPr>
              <w:t>8.路面铺筑</w:t>
            </w:r>
          </w:p>
        </w:tc>
        <w:tc>
          <w:tcPr>
            <w:tcW w:w="254" w:type="dxa"/>
            <w:vAlign w:val="top"/>
          </w:tcPr>
          <w:p w14:paraId="65CB5797">
            <w:pPr>
              <w:rPr>
                <w:rFonts w:hint="eastAsia" w:ascii="宋体" w:hAnsi="宋体" w:eastAsia="宋体" w:cs="宋体"/>
                <w:color w:val="auto"/>
                <w:sz w:val="21"/>
                <w:highlight w:val="none"/>
              </w:rPr>
            </w:pPr>
          </w:p>
        </w:tc>
        <w:tc>
          <w:tcPr>
            <w:tcW w:w="254" w:type="dxa"/>
            <w:vAlign w:val="top"/>
          </w:tcPr>
          <w:p w14:paraId="1CF00A9F">
            <w:pPr>
              <w:rPr>
                <w:rFonts w:hint="eastAsia" w:ascii="宋体" w:hAnsi="宋体" w:eastAsia="宋体" w:cs="宋体"/>
                <w:color w:val="auto"/>
                <w:sz w:val="21"/>
                <w:highlight w:val="none"/>
              </w:rPr>
            </w:pPr>
          </w:p>
        </w:tc>
        <w:tc>
          <w:tcPr>
            <w:tcW w:w="255" w:type="dxa"/>
            <w:vAlign w:val="top"/>
          </w:tcPr>
          <w:p w14:paraId="6533460F">
            <w:pPr>
              <w:rPr>
                <w:rFonts w:hint="eastAsia" w:ascii="宋体" w:hAnsi="宋体" w:eastAsia="宋体" w:cs="宋体"/>
                <w:color w:val="auto"/>
                <w:sz w:val="21"/>
                <w:highlight w:val="none"/>
              </w:rPr>
            </w:pPr>
          </w:p>
        </w:tc>
        <w:tc>
          <w:tcPr>
            <w:tcW w:w="254" w:type="dxa"/>
            <w:vAlign w:val="top"/>
          </w:tcPr>
          <w:p w14:paraId="5B0B5AC2">
            <w:pPr>
              <w:rPr>
                <w:rFonts w:hint="eastAsia" w:ascii="宋体" w:hAnsi="宋体" w:eastAsia="宋体" w:cs="宋体"/>
                <w:color w:val="auto"/>
                <w:sz w:val="21"/>
                <w:highlight w:val="none"/>
              </w:rPr>
            </w:pPr>
          </w:p>
        </w:tc>
        <w:tc>
          <w:tcPr>
            <w:tcW w:w="255" w:type="dxa"/>
            <w:vAlign w:val="top"/>
          </w:tcPr>
          <w:p w14:paraId="13CA0798">
            <w:pPr>
              <w:rPr>
                <w:rFonts w:hint="eastAsia" w:ascii="宋体" w:hAnsi="宋体" w:eastAsia="宋体" w:cs="宋体"/>
                <w:color w:val="auto"/>
                <w:sz w:val="21"/>
                <w:highlight w:val="none"/>
              </w:rPr>
            </w:pPr>
          </w:p>
        </w:tc>
        <w:tc>
          <w:tcPr>
            <w:tcW w:w="255" w:type="dxa"/>
            <w:vAlign w:val="top"/>
          </w:tcPr>
          <w:p w14:paraId="73896CBB">
            <w:pPr>
              <w:rPr>
                <w:rFonts w:hint="eastAsia" w:ascii="宋体" w:hAnsi="宋体" w:eastAsia="宋体" w:cs="宋体"/>
                <w:color w:val="auto"/>
                <w:sz w:val="21"/>
                <w:highlight w:val="none"/>
              </w:rPr>
            </w:pPr>
          </w:p>
        </w:tc>
        <w:tc>
          <w:tcPr>
            <w:tcW w:w="255" w:type="dxa"/>
            <w:vAlign w:val="top"/>
          </w:tcPr>
          <w:p w14:paraId="70D4AA50">
            <w:pPr>
              <w:rPr>
                <w:rFonts w:hint="eastAsia" w:ascii="宋体" w:hAnsi="宋体" w:eastAsia="宋体" w:cs="宋体"/>
                <w:color w:val="auto"/>
                <w:sz w:val="21"/>
                <w:highlight w:val="none"/>
              </w:rPr>
            </w:pPr>
          </w:p>
        </w:tc>
        <w:tc>
          <w:tcPr>
            <w:tcW w:w="255" w:type="dxa"/>
            <w:vAlign w:val="top"/>
          </w:tcPr>
          <w:p w14:paraId="790CBB72">
            <w:pPr>
              <w:rPr>
                <w:rFonts w:hint="eastAsia" w:ascii="宋体" w:hAnsi="宋体" w:eastAsia="宋体" w:cs="宋体"/>
                <w:color w:val="auto"/>
                <w:sz w:val="21"/>
                <w:highlight w:val="none"/>
              </w:rPr>
            </w:pPr>
          </w:p>
        </w:tc>
        <w:tc>
          <w:tcPr>
            <w:tcW w:w="255" w:type="dxa"/>
            <w:vAlign w:val="top"/>
          </w:tcPr>
          <w:p w14:paraId="78DFA93B">
            <w:pPr>
              <w:rPr>
                <w:rFonts w:hint="eastAsia" w:ascii="宋体" w:hAnsi="宋体" w:eastAsia="宋体" w:cs="宋体"/>
                <w:color w:val="auto"/>
                <w:sz w:val="21"/>
                <w:highlight w:val="none"/>
              </w:rPr>
            </w:pPr>
          </w:p>
        </w:tc>
        <w:tc>
          <w:tcPr>
            <w:tcW w:w="255" w:type="dxa"/>
            <w:vAlign w:val="top"/>
          </w:tcPr>
          <w:p w14:paraId="1BC4AB13">
            <w:pPr>
              <w:rPr>
                <w:rFonts w:hint="eastAsia" w:ascii="宋体" w:hAnsi="宋体" w:eastAsia="宋体" w:cs="宋体"/>
                <w:color w:val="auto"/>
                <w:sz w:val="21"/>
                <w:highlight w:val="none"/>
              </w:rPr>
            </w:pPr>
          </w:p>
        </w:tc>
        <w:tc>
          <w:tcPr>
            <w:tcW w:w="255" w:type="dxa"/>
            <w:vAlign w:val="top"/>
          </w:tcPr>
          <w:p w14:paraId="6C45FF85">
            <w:pPr>
              <w:rPr>
                <w:rFonts w:hint="eastAsia" w:ascii="宋体" w:hAnsi="宋体" w:eastAsia="宋体" w:cs="宋体"/>
                <w:color w:val="auto"/>
                <w:sz w:val="21"/>
                <w:highlight w:val="none"/>
              </w:rPr>
            </w:pPr>
          </w:p>
        </w:tc>
        <w:tc>
          <w:tcPr>
            <w:tcW w:w="255" w:type="dxa"/>
            <w:vAlign w:val="top"/>
          </w:tcPr>
          <w:p w14:paraId="16205E33">
            <w:pPr>
              <w:rPr>
                <w:rFonts w:hint="eastAsia" w:ascii="宋体" w:hAnsi="宋体" w:eastAsia="宋体" w:cs="宋体"/>
                <w:color w:val="auto"/>
                <w:sz w:val="21"/>
                <w:highlight w:val="none"/>
              </w:rPr>
            </w:pPr>
          </w:p>
        </w:tc>
        <w:tc>
          <w:tcPr>
            <w:tcW w:w="255" w:type="dxa"/>
            <w:vAlign w:val="top"/>
          </w:tcPr>
          <w:p w14:paraId="49C3F179">
            <w:pPr>
              <w:rPr>
                <w:rFonts w:hint="eastAsia" w:ascii="宋体" w:hAnsi="宋体" w:eastAsia="宋体" w:cs="宋体"/>
                <w:color w:val="auto"/>
                <w:sz w:val="21"/>
                <w:highlight w:val="none"/>
              </w:rPr>
            </w:pPr>
          </w:p>
        </w:tc>
        <w:tc>
          <w:tcPr>
            <w:tcW w:w="255" w:type="dxa"/>
            <w:vAlign w:val="top"/>
          </w:tcPr>
          <w:p w14:paraId="104C62A8">
            <w:pPr>
              <w:rPr>
                <w:rFonts w:hint="eastAsia" w:ascii="宋体" w:hAnsi="宋体" w:eastAsia="宋体" w:cs="宋体"/>
                <w:color w:val="auto"/>
                <w:sz w:val="21"/>
                <w:highlight w:val="none"/>
              </w:rPr>
            </w:pPr>
          </w:p>
        </w:tc>
        <w:tc>
          <w:tcPr>
            <w:tcW w:w="255" w:type="dxa"/>
            <w:vAlign w:val="top"/>
          </w:tcPr>
          <w:p w14:paraId="0D994631">
            <w:pPr>
              <w:rPr>
                <w:rFonts w:hint="eastAsia" w:ascii="宋体" w:hAnsi="宋体" w:eastAsia="宋体" w:cs="宋体"/>
                <w:color w:val="auto"/>
                <w:sz w:val="21"/>
                <w:highlight w:val="none"/>
              </w:rPr>
            </w:pPr>
          </w:p>
        </w:tc>
        <w:tc>
          <w:tcPr>
            <w:tcW w:w="255" w:type="dxa"/>
            <w:vAlign w:val="top"/>
          </w:tcPr>
          <w:p w14:paraId="5C6F9760">
            <w:pPr>
              <w:rPr>
                <w:rFonts w:hint="eastAsia" w:ascii="宋体" w:hAnsi="宋体" w:eastAsia="宋体" w:cs="宋体"/>
                <w:color w:val="auto"/>
                <w:sz w:val="21"/>
                <w:highlight w:val="none"/>
              </w:rPr>
            </w:pPr>
          </w:p>
        </w:tc>
        <w:tc>
          <w:tcPr>
            <w:tcW w:w="255" w:type="dxa"/>
            <w:vAlign w:val="top"/>
          </w:tcPr>
          <w:p w14:paraId="5A7506A8">
            <w:pPr>
              <w:rPr>
                <w:rFonts w:hint="eastAsia" w:ascii="宋体" w:hAnsi="宋体" w:eastAsia="宋体" w:cs="宋体"/>
                <w:color w:val="auto"/>
                <w:sz w:val="21"/>
                <w:highlight w:val="none"/>
              </w:rPr>
            </w:pPr>
          </w:p>
        </w:tc>
        <w:tc>
          <w:tcPr>
            <w:tcW w:w="255" w:type="dxa"/>
            <w:vAlign w:val="top"/>
          </w:tcPr>
          <w:p w14:paraId="0C820161">
            <w:pPr>
              <w:rPr>
                <w:rFonts w:hint="eastAsia" w:ascii="宋体" w:hAnsi="宋体" w:eastAsia="宋体" w:cs="宋体"/>
                <w:color w:val="auto"/>
                <w:sz w:val="21"/>
                <w:highlight w:val="none"/>
              </w:rPr>
            </w:pPr>
          </w:p>
        </w:tc>
        <w:tc>
          <w:tcPr>
            <w:tcW w:w="255" w:type="dxa"/>
            <w:vAlign w:val="top"/>
          </w:tcPr>
          <w:p w14:paraId="5EB3B19D">
            <w:pPr>
              <w:rPr>
                <w:rFonts w:hint="eastAsia" w:ascii="宋体" w:hAnsi="宋体" w:eastAsia="宋体" w:cs="宋体"/>
                <w:color w:val="auto"/>
                <w:sz w:val="21"/>
                <w:highlight w:val="none"/>
              </w:rPr>
            </w:pPr>
          </w:p>
        </w:tc>
        <w:tc>
          <w:tcPr>
            <w:tcW w:w="255" w:type="dxa"/>
            <w:vAlign w:val="top"/>
          </w:tcPr>
          <w:p w14:paraId="138ECBA2">
            <w:pPr>
              <w:rPr>
                <w:rFonts w:hint="eastAsia" w:ascii="宋体" w:hAnsi="宋体" w:eastAsia="宋体" w:cs="宋体"/>
                <w:color w:val="auto"/>
                <w:sz w:val="21"/>
                <w:highlight w:val="none"/>
              </w:rPr>
            </w:pPr>
          </w:p>
        </w:tc>
        <w:tc>
          <w:tcPr>
            <w:tcW w:w="255" w:type="dxa"/>
            <w:vAlign w:val="top"/>
          </w:tcPr>
          <w:p w14:paraId="72C01616">
            <w:pPr>
              <w:rPr>
                <w:rFonts w:hint="eastAsia" w:ascii="宋体" w:hAnsi="宋体" w:eastAsia="宋体" w:cs="宋体"/>
                <w:color w:val="auto"/>
                <w:sz w:val="21"/>
                <w:highlight w:val="none"/>
              </w:rPr>
            </w:pPr>
          </w:p>
        </w:tc>
        <w:tc>
          <w:tcPr>
            <w:tcW w:w="255" w:type="dxa"/>
            <w:vAlign w:val="top"/>
          </w:tcPr>
          <w:p w14:paraId="76A0FDB7">
            <w:pPr>
              <w:rPr>
                <w:rFonts w:hint="eastAsia" w:ascii="宋体" w:hAnsi="宋体" w:eastAsia="宋体" w:cs="宋体"/>
                <w:color w:val="auto"/>
                <w:sz w:val="21"/>
                <w:highlight w:val="none"/>
              </w:rPr>
            </w:pPr>
          </w:p>
        </w:tc>
        <w:tc>
          <w:tcPr>
            <w:tcW w:w="255" w:type="dxa"/>
            <w:vAlign w:val="top"/>
          </w:tcPr>
          <w:p w14:paraId="0277F659">
            <w:pPr>
              <w:rPr>
                <w:rFonts w:hint="eastAsia" w:ascii="宋体" w:hAnsi="宋体" w:eastAsia="宋体" w:cs="宋体"/>
                <w:color w:val="auto"/>
                <w:sz w:val="21"/>
                <w:highlight w:val="none"/>
              </w:rPr>
            </w:pPr>
          </w:p>
        </w:tc>
        <w:tc>
          <w:tcPr>
            <w:tcW w:w="255" w:type="dxa"/>
            <w:vAlign w:val="top"/>
          </w:tcPr>
          <w:p w14:paraId="78910E28">
            <w:pPr>
              <w:rPr>
                <w:rFonts w:hint="eastAsia" w:ascii="宋体" w:hAnsi="宋体" w:eastAsia="宋体" w:cs="宋体"/>
                <w:color w:val="auto"/>
                <w:sz w:val="21"/>
                <w:highlight w:val="none"/>
              </w:rPr>
            </w:pPr>
          </w:p>
        </w:tc>
        <w:tc>
          <w:tcPr>
            <w:tcW w:w="255" w:type="dxa"/>
            <w:vAlign w:val="top"/>
          </w:tcPr>
          <w:p w14:paraId="1EC464F5">
            <w:pPr>
              <w:rPr>
                <w:rFonts w:hint="eastAsia" w:ascii="宋体" w:hAnsi="宋体" w:eastAsia="宋体" w:cs="宋体"/>
                <w:color w:val="auto"/>
                <w:sz w:val="21"/>
                <w:highlight w:val="none"/>
              </w:rPr>
            </w:pPr>
          </w:p>
        </w:tc>
        <w:tc>
          <w:tcPr>
            <w:tcW w:w="255" w:type="dxa"/>
            <w:vAlign w:val="top"/>
          </w:tcPr>
          <w:p w14:paraId="785D6049">
            <w:pPr>
              <w:rPr>
                <w:rFonts w:hint="eastAsia" w:ascii="宋体" w:hAnsi="宋体" w:eastAsia="宋体" w:cs="宋体"/>
                <w:color w:val="auto"/>
                <w:sz w:val="21"/>
                <w:highlight w:val="none"/>
              </w:rPr>
            </w:pPr>
          </w:p>
        </w:tc>
        <w:tc>
          <w:tcPr>
            <w:tcW w:w="255" w:type="dxa"/>
            <w:vAlign w:val="top"/>
          </w:tcPr>
          <w:p w14:paraId="5FE2ECA4">
            <w:pPr>
              <w:rPr>
                <w:rFonts w:hint="eastAsia" w:ascii="宋体" w:hAnsi="宋体" w:eastAsia="宋体" w:cs="宋体"/>
                <w:color w:val="auto"/>
                <w:sz w:val="21"/>
                <w:highlight w:val="none"/>
              </w:rPr>
            </w:pPr>
          </w:p>
        </w:tc>
        <w:tc>
          <w:tcPr>
            <w:tcW w:w="255" w:type="dxa"/>
            <w:vAlign w:val="top"/>
          </w:tcPr>
          <w:p w14:paraId="5BA51F42">
            <w:pPr>
              <w:rPr>
                <w:rFonts w:hint="eastAsia" w:ascii="宋体" w:hAnsi="宋体" w:eastAsia="宋体" w:cs="宋体"/>
                <w:color w:val="auto"/>
                <w:sz w:val="21"/>
                <w:highlight w:val="none"/>
              </w:rPr>
            </w:pPr>
          </w:p>
        </w:tc>
        <w:tc>
          <w:tcPr>
            <w:tcW w:w="292" w:type="dxa"/>
            <w:vAlign w:val="top"/>
          </w:tcPr>
          <w:p w14:paraId="4C68BC0E">
            <w:pPr>
              <w:rPr>
                <w:rFonts w:hint="eastAsia" w:ascii="宋体" w:hAnsi="宋体" w:eastAsia="宋体" w:cs="宋体"/>
                <w:color w:val="auto"/>
                <w:sz w:val="21"/>
                <w:highlight w:val="none"/>
              </w:rPr>
            </w:pPr>
          </w:p>
        </w:tc>
      </w:tr>
      <w:tr w14:paraId="724E0E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2230" w:type="dxa"/>
            <w:vAlign w:val="top"/>
          </w:tcPr>
          <w:p w14:paraId="2FF86903">
            <w:pPr>
              <w:pStyle w:val="25"/>
              <w:spacing w:before="112" w:line="207" w:lineRule="auto"/>
              <w:ind w:left="65"/>
              <w:rPr>
                <w:rFonts w:hint="eastAsia" w:ascii="宋体" w:hAnsi="宋体" w:eastAsia="宋体" w:cs="宋体"/>
                <w:color w:val="auto"/>
                <w:sz w:val="19"/>
                <w:szCs w:val="19"/>
                <w:highlight w:val="none"/>
              </w:rPr>
            </w:pPr>
            <w:r>
              <w:rPr>
                <w:rFonts w:hint="eastAsia" w:ascii="宋体" w:hAnsi="宋体" w:eastAsia="宋体" w:cs="宋体"/>
                <w:color w:val="auto"/>
                <w:spacing w:val="7"/>
                <w:sz w:val="19"/>
                <w:szCs w:val="19"/>
                <w:highlight w:val="none"/>
              </w:rPr>
              <w:t>9.路面标志标线</w:t>
            </w:r>
          </w:p>
        </w:tc>
        <w:tc>
          <w:tcPr>
            <w:tcW w:w="254" w:type="dxa"/>
            <w:vAlign w:val="top"/>
          </w:tcPr>
          <w:p w14:paraId="4257853A">
            <w:pPr>
              <w:rPr>
                <w:rFonts w:hint="eastAsia" w:ascii="宋体" w:hAnsi="宋体" w:eastAsia="宋体" w:cs="宋体"/>
                <w:color w:val="auto"/>
                <w:sz w:val="21"/>
                <w:highlight w:val="none"/>
              </w:rPr>
            </w:pPr>
          </w:p>
        </w:tc>
        <w:tc>
          <w:tcPr>
            <w:tcW w:w="254" w:type="dxa"/>
            <w:vAlign w:val="top"/>
          </w:tcPr>
          <w:p w14:paraId="4A9AEAC2">
            <w:pPr>
              <w:rPr>
                <w:rFonts w:hint="eastAsia" w:ascii="宋体" w:hAnsi="宋体" w:eastAsia="宋体" w:cs="宋体"/>
                <w:color w:val="auto"/>
                <w:sz w:val="21"/>
                <w:highlight w:val="none"/>
              </w:rPr>
            </w:pPr>
          </w:p>
        </w:tc>
        <w:tc>
          <w:tcPr>
            <w:tcW w:w="255" w:type="dxa"/>
            <w:vAlign w:val="top"/>
          </w:tcPr>
          <w:p w14:paraId="3756667D">
            <w:pPr>
              <w:rPr>
                <w:rFonts w:hint="eastAsia" w:ascii="宋体" w:hAnsi="宋体" w:eastAsia="宋体" w:cs="宋体"/>
                <w:color w:val="auto"/>
                <w:sz w:val="21"/>
                <w:highlight w:val="none"/>
              </w:rPr>
            </w:pPr>
          </w:p>
        </w:tc>
        <w:tc>
          <w:tcPr>
            <w:tcW w:w="254" w:type="dxa"/>
            <w:vAlign w:val="top"/>
          </w:tcPr>
          <w:p w14:paraId="3E01065C">
            <w:pPr>
              <w:rPr>
                <w:rFonts w:hint="eastAsia" w:ascii="宋体" w:hAnsi="宋体" w:eastAsia="宋体" w:cs="宋体"/>
                <w:color w:val="auto"/>
                <w:sz w:val="21"/>
                <w:highlight w:val="none"/>
              </w:rPr>
            </w:pPr>
          </w:p>
        </w:tc>
        <w:tc>
          <w:tcPr>
            <w:tcW w:w="255" w:type="dxa"/>
            <w:vAlign w:val="top"/>
          </w:tcPr>
          <w:p w14:paraId="28F81477">
            <w:pPr>
              <w:rPr>
                <w:rFonts w:hint="eastAsia" w:ascii="宋体" w:hAnsi="宋体" w:eastAsia="宋体" w:cs="宋体"/>
                <w:color w:val="auto"/>
                <w:sz w:val="21"/>
                <w:highlight w:val="none"/>
              </w:rPr>
            </w:pPr>
          </w:p>
        </w:tc>
        <w:tc>
          <w:tcPr>
            <w:tcW w:w="255" w:type="dxa"/>
            <w:vAlign w:val="top"/>
          </w:tcPr>
          <w:p w14:paraId="3102EF70">
            <w:pPr>
              <w:rPr>
                <w:rFonts w:hint="eastAsia" w:ascii="宋体" w:hAnsi="宋体" w:eastAsia="宋体" w:cs="宋体"/>
                <w:color w:val="auto"/>
                <w:sz w:val="21"/>
                <w:highlight w:val="none"/>
              </w:rPr>
            </w:pPr>
          </w:p>
        </w:tc>
        <w:tc>
          <w:tcPr>
            <w:tcW w:w="255" w:type="dxa"/>
            <w:vAlign w:val="top"/>
          </w:tcPr>
          <w:p w14:paraId="5C15A436">
            <w:pPr>
              <w:rPr>
                <w:rFonts w:hint="eastAsia" w:ascii="宋体" w:hAnsi="宋体" w:eastAsia="宋体" w:cs="宋体"/>
                <w:color w:val="auto"/>
                <w:sz w:val="21"/>
                <w:highlight w:val="none"/>
              </w:rPr>
            </w:pPr>
          </w:p>
        </w:tc>
        <w:tc>
          <w:tcPr>
            <w:tcW w:w="255" w:type="dxa"/>
            <w:vAlign w:val="top"/>
          </w:tcPr>
          <w:p w14:paraId="7B50A1E8">
            <w:pPr>
              <w:rPr>
                <w:rFonts w:hint="eastAsia" w:ascii="宋体" w:hAnsi="宋体" w:eastAsia="宋体" w:cs="宋体"/>
                <w:color w:val="auto"/>
                <w:sz w:val="21"/>
                <w:highlight w:val="none"/>
              </w:rPr>
            </w:pPr>
          </w:p>
        </w:tc>
        <w:tc>
          <w:tcPr>
            <w:tcW w:w="255" w:type="dxa"/>
            <w:vAlign w:val="top"/>
          </w:tcPr>
          <w:p w14:paraId="752DB5E5">
            <w:pPr>
              <w:rPr>
                <w:rFonts w:hint="eastAsia" w:ascii="宋体" w:hAnsi="宋体" w:eastAsia="宋体" w:cs="宋体"/>
                <w:color w:val="auto"/>
                <w:sz w:val="21"/>
                <w:highlight w:val="none"/>
              </w:rPr>
            </w:pPr>
          </w:p>
        </w:tc>
        <w:tc>
          <w:tcPr>
            <w:tcW w:w="255" w:type="dxa"/>
            <w:vAlign w:val="top"/>
          </w:tcPr>
          <w:p w14:paraId="2CD085FD">
            <w:pPr>
              <w:rPr>
                <w:rFonts w:hint="eastAsia" w:ascii="宋体" w:hAnsi="宋体" w:eastAsia="宋体" w:cs="宋体"/>
                <w:color w:val="auto"/>
                <w:sz w:val="21"/>
                <w:highlight w:val="none"/>
              </w:rPr>
            </w:pPr>
          </w:p>
        </w:tc>
        <w:tc>
          <w:tcPr>
            <w:tcW w:w="255" w:type="dxa"/>
            <w:vAlign w:val="top"/>
          </w:tcPr>
          <w:p w14:paraId="7F314700">
            <w:pPr>
              <w:rPr>
                <w:rFonts w:hint="eastAsia" w:ascii="宋体" w:hAnsi="宋体" w:eastAsia="宋体" w:cs="宋体"/>
                <w:color w:val="auto"/>
                <w:sz w:val="21"/>
                <w:highlight w:val="none"/>
              </w:rPr>
            </w:pPr>
          </w:p>
        </w:tc>
        <w:tc>
          <w:tcPr>
            <w:tcW w:w="255" w:type="dxa"/>
            <w:vAlign w:val="top"/>
          </w:tcPr>
          <w:p w14:paraId="10CDA4CF">
            <w:pPr>
              <w:rPr>
                <w:rFonts w:hint="eastAsia" w:ascii="宋体" w:hAnsi="宋体" w:eastAsia="宋体" w:cs="宋体"/>
                <w:color w:val="auto"/>
                <w:sz w:val="21"/>
                <w:highlight w:val="none"/>
              </w:rPr>
            </w:pPr>
          </w:p>
        </w:tc>
        <w:tc>
          <w:tcPr>
            <w:tcW w:w="255" w:type="dxa"/>
            <w:vAlign w:val="top"/>
          </w:tcPr>
          <w:p w14:paraId="59FE26A8">
            <w:pPr>
              <w:rPr>
                <w:rFonts w:hint="eastAsia" w:ascii="宋体" w:hAnsi="宋体" w:eastAsia="宋体" w:cs="宋体"/>
                <w:color w:val="auto"/>
                <w:sz w:val="21"/>
                <w:highlight w:val="none"/>
              </w:rPr>
            </w:pPr>
          </w:p>
        </w:tc>
        <w:tc>
          <w:tcPr>
            <w:tcW w:w="255" w:type="dxa"/>
            <w:vAlign w:val="top"/>
          </w:tcPr>
          <w:p w14:paraId="4E226946">
            <w:pPr>
              <w:rPr>
                <w:rFonts w:hint="eastAsia" w:ascii="宋体" w:hAnsi="宋体" w:eastAsia="宋体" w:cs="宋体"/>
                <w:color w:val="auto"/>
                <w:sz w:val="21"/>
                <w:highlight w:val="none"/>
              </w:rPr>
            </w:pPr>
          </w:p>
        </w:tc>
        <w:tc>
          <w:tcPr>
            <w:tcW w:w="255" w:type="dxa"/>
            <w:vAlign w:val="top"/>
          </w:tcPr>
          <w:p w14:paraId="652A8AB9">
            <w:pPr>
              <w:rPr>
                <w:rFonts w:hint="eastAsia" w:ascii="宋体" w:hAnsi="宋体" w:eastAsia="宋体" w:cs="宋体"/>
                <w:color w:val="auto"/>
                <w:sz w:val="21"/>
                <w:highlight w:val="none"/>
              </w:rPr>
            </w:pPr>
          </w:p>
        </w:tc>
        <w:tc>
          <w:tcPr>
            <w:tcW w:w="255" w:type="dxa"/>
            <w:vAlign w:val="top"/>
          </w:tcPr>
          <w:p w14:paraId="73DAC171">
            <w:pPr>
              <w:rPr>
                <w:rFonts w:hint="eastAsia" w:ascii="宋体" w:hAnsi="宋体" w:eastAsia="宋体" w:cs="宋体"/>
                <w:color w:val="auto"/>
                <w:sz w:val="21"/>
                <w:highlight w:val="none"/>
              </w:rPr>
            </w:pPr>
          </w:p>
        </w:tc>
        <w:tc>
          <w:tcPr>
            <w:tcW w:w="255" w:type="dxa"/>
            <w:vAlign w:val="top"/>
          </w:tcPr>
          <w:p w14:paraId="73D6C20F">
            <w:pPr>
              <w:rPr>
                <w:rFonts w:hint="eastAsia" w:ascii="宋体" w:hAnsi="宋体" w:eastAsia="宋体" w:cs="宋体"/>
                <w:color w:val="auto"/>
                <w:sz w:val="21"/>
                <w:highlight w:val="none"/>
              </w:rPr>
            </w:pPr>
          </w:p>
        </w:tc>
        <w:tc>
          <w:tcPr>
            <w:tcW w:w="255" w:type="dxa"/>
            <w:vAlign w:val="top"/>
          </w:tcPr>
          <w:p w14:paraId="3B5A6B5B">
            <w:pPr>
              <w:rPr>
                <w:rFonts w:hint="eastAsia" w:ascii="宋体" w:hAnsi="宋体" w:eastAsia="宋体" w:cs="宋体"/>
                <w:color w:val="auto"/>
                <w:sz w:val="21"/>
                <w:highlight w:val="none"/>
              </w:rPr>
            </w:pPr>
          </w:p>
        </w:tc>
        <w:tc>
          <w:tcPr>
            <w:tcW w:w="255" w:type="dxa"/>
            <w:vAlign w:val="top"/>
          </w:tcPr>
          <w:p w14:paraId="226D33EB">
            <w:pPr>
              <w:rPr>
                <w:rFonts w:hint="eastAsia" w:ascii="宋体" w:hAnsi="宋体" w:eastAsia="宋体" w:cs="宋体"/>
                <w:color w:val="auto"/>
                <w:sz w:val="21"/>
                <w:highlight w:val="none"/>
              </w:rPr>
            </w:pPr>
          </w:p>
        </w:tc>
        <w:tc>
          <w:tcPr>
            <w:tcW w:w="255" w:type="dxa"/>
            <w:vAlign w:val="top"/>
          </w:tcPr>
          <w:p w14:paraId="6BE40727">
            <w:pPr>
              <w:rPr>
                <w:rFonts w:hint="eastAsia" w:ascii="宋体" w:hAnsi="宋体" w:eastAsia="宋体" w:cs="宋体"/>
                <w:color w:val="auto"/>
                <w:sz w:val="21"/>
                <w:highlight w:val="none"/>
              </w:rPr>
            </w:pPr>
          </w:p>
        </w:tc>
        <w:tc>
          <w:tcPr>
            <w:tcW w:w="255" w:type="dxa"/>
            <w:vAlign w:val="top"/>
          </w:tcPr>
          <w:p w14:paraId="6959E753">
            <w:pPr>
              <w:rPr>
                <w:rFonts w:hint="eastAsia" w:ascii="宋体" w:hAnsi="宋体" w:eastAsia="宋体" w:cs="宋体"/>
                <w:color w:val="auto"/>
                <w:sz w:val="21"/>
                <w:highlight w:val="none"/>
              </w:rPr>
            </w:pPr>
          </w:p>
        </w:tc>
        <w:tc>
          <w:tcPr>
            <w:tcW w:w="255" w:type="dxa"/>
            <w:vAlign w:val="top"/>
          </w:tcPr>
          <w:p w14:paraId="41ADFB47">
            <w:pPr>
              <w:rPr>
                <w:rFonts w:hint="eastAsia" w:ascii="宋体" w:hAnsi="宋体" w:eastAsia="宋体" w:cs="宋体"/>
                <w:color w:val="auto"/>
                <w:sz w:val="21"/>
                <w:highlight w:val="none"/>
              </w:rPr>
            </w:pPr>
          </w:p>
        </w:tc>
        <w:tc>
          <w:tcPr>
            <w:tcW w:w="255" w:type="dxa"/>
            <w:vAlign w:val="top"/>
          </w:tcPr>
          <w:p w14:paraId="455989D6">
            <w:pPr>
              <w:rPr>
                <w:rFonts w:hint="eastAsia" w:ascii="宋体" w:hAnsi="宋体" w:eastAsia="宋体" w:cs="宋体"/>
                <w:color w:val="auto"/>
                <w:sz w:val="21"/>
                <w:highlight w:val="none"/>
              </w:rPr>
            </w:pPr>
          </w:p>
        </w:tc>
        <w:tc>
          <w:tcPr>
            <w:tcW w:w="255" w:type="dxa"/>
            <w:vAlign w:val="top"/>
          </w:tcPr>
          <w:p w14:paraId="0AB9CA8D">
            <w:pPr>
              <w:rPr>
                <w:rFonts w:hint="eastAsia" w:ascii="宋体" w:hAnsi="宋体" w:eastAsia="宋体" w:cs="宋体"/>
                <w:color w:val="auto"/>
                <w:sz w:val="21"/>
                <w:highlight w:val="none"/>
              </w:rPr>
            </w:pPr>
          </w:p>
        </w:tc>
        <w:tc>
          <w:tcPr>
            <w:tcW w:w="255" w:type="dxa"/>
            <w:vAlign w:val="top"/>
          </w:tcPr>
          <w:p w14:paraId="1254F414">
            <w:pPr>
              <w:rPr>
                <w:rFonts w:hint="eastAsia" w:ascii="宋体" w:hAnsi="宋体" w:eastAsia="宋体" w:cs="宋体"/>
                <w:color w:val="auto"/>
                <w:sz w:val="21"/>
                <w:highlight w:val="none"/>
              </w:rPr>
            </w:pPr>
          </w:p>
        </w:tc>
        <w:tc>
          <w:tcPr>
            <w:tcW w:w="255" w:type="dxa"/>
            <w:vAlign w:val="top"/>
          </w:tcPr>
          <w:p w14:paraId="07898052">
            <w:pPr>
              <w:rPr>
                <w:rFonts w:hint="eastAsia" w:ascii="宋体" w:hAnsi="宋体" w:eastAsia="宋体" w:cs="宋体"/>
                <w:color w:val="auto"/>
                <w:sz w:val="21"/>
                <w:highlight w:val="none"/>
              </w:rPr>
            </w:pPr>
          </w:p>
        </w:tc>
        <w:tc>
          <w:tcPr>
            <w:tcW w:w="255" w:type="dxa"/>
            <w:vAlign w:val="top"/>
          </w:tcPr>
          <w:p w14:paraId="6DB93861">
            <w:pPr>
              <w:rPr>
                <w:rFonts w:hint="eastAsia" w:ascii="宋体" w:hAnsi="宋体" w:eastAsia="宋体" w:cs="宋体"/>
                <w:color w:val="auto"/>
                <w:sz w:val="21"/>
                <w:highlight w:val="none"/>
              </w:rPr>
            </w:pPr>
          </w:p>
        </w:tc>
        <w:tc>
          <w:tcPr>
            <w:tcW w:w="255" w:type="dxa"/>
            <w:vAlign w:val="top"/>
          </w:tcPr>
          <w:p w14:paraId="67673290">
            <w:pPr>
              <w:rPr>
                <w:rFonts w:hint="eastAsia" w:ascii="宋体" w:hAnsi="宋体" w:eastAsia="宋体" w:cs="宋体"/>
                <w:color w:val="auto"/>
                <w:sz w:val="21"/>
                <w:highlight w:val="none"/>
              </w:rPr>
            </w:pPr>
          </w:p>
        </w:tc>
        <w:tc>
          <w:tcPr>
            <w:tcW w:w="292" w:type="dxa"/>
            <w:vAlign w:val="top"/>
          </w:tcPr>
          <w:p w14:paraId="3B865E1A">
            <w:pPr>
              <w:rPr>
                <w:rFonts w:hint="eastAsia" w:ascii="宋体" w:hAnsi="宋体" w:eastAsia="宋体" w:cs="宋体"/>
                <w:color w:val="auto"/>
                <w:sz w:val="21"/>
                <w:highlight w:val="none"/>
              </w:rPr>
            </w:pPr>
          </w:p>
        </w:tc>
      </w:tr>
      <w:tr w14:paraId="7A934A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2230" w:type="dxa"/>
            <w:vAlign w:val="top"/>
          </w:tcPr>
          <w:p w14:paraId="4C1BCB6E">
            <w:pPr>
              <w:pStyle w:val="25"/>
              <w:spacing w:before="107" w:line="210" w:lineRule="auto"/>
              <w:ind w:left="81"/>
              <w:rPr>
                <w:rFonts w:hint="eastAsia" w:ascii="宋体" w:hAnsi="宋体" w:eastAsia="宋体" w:cs="宋体"/>
                <w:color w:val="auto"/>
                <w:sz w:val="19"/>
                <w:szCs w:val="19"/>
                <w:highlight w:val="none"/>
              </w:rPr>
            </w:pPr>
            <w:r>
              <w:rPr>
                <w:rFonts w:hint="eastAsia" w:ascii="宋体" w:hAnsi="宋体" w:eastAsia="宋体" w:cs="宋体"/>
                <w:color w:val="auto"/>
                <w:spacing w:val="3"/>
                <w:sz w:val="19"/>
                <w:szCs w:val="19"/>
                <w:highlight w:val="none"/>
              </w:rPr>
              <w:t>10.桥梁工程</w:t>
            </w:r>
          </w:p>
        </w:tc>
        <w:tc>
          <w:tcPr>
            <w:tcW w:w="254" w:type="dxa"/>
            <w:vAlign w:val="top"/>
          </w:tcPr>
          <w:p w14:paraId="697BF28D">
            <w:pPr>
              <w:rPr>
                <w:rFonts w:hint="eastAsia" w:ascii="宋体" w:hAnsi="宋体" w:eastAsia="宋体" w:cs="宋体"/>
                <w:color w:val="auto"/>
                <w:sz w:val="21"/>
                <w:highlight w:val="none"/>
              </w:rPr>
            </w:pPr>
          </w:p>
        </w:tc>
        <w:tc>
          <w:tcPr>
            <w:tcW w:w="254" w:type="dxa"/>
            <w:vAlign w:val="top"/>
          </w:tcPr>
          <w:p w14:paraId="03C67A72">
            <w:pPr>
              <w:rPr>
                <w:rFonts w:hint="eastAsia" w:ascii="宋体" w:hAnsi="宋体" w:eastAsia="宋体" w:cs="宋体"/>
                <w:color w:val="auto"/>
                <w:sz w:val="21"/>
                <w:highlight w:val="none"/>
              </w:rPr>
            </w:pPr>
          </w:p>
        </w:tc>
        <w:tc>
          <w:tcPr>
            <w:tcW w:w="255" w:type="dxa"/>
            <w:vAlign w:val="top"/>
          </w:tcPr>
          <w:p w14:paraId="44FE8E45">
            <w:pPr>
              <w:rPr>
                <w:rFonts w:hint="eastAsia" w:ascii="宋体" w:hAnsi="宋体" w:eastAsia="宋体" w:cs="宋体"/>
                <w:color w:val="auto"/>
                <w:sz w:val="21"/>
                <w:highlight w:val="none"/>
              </w:rPr>
            </w:pPr>
          </w:p>
        </w:tc>
        <w:tc>
          <w:tcPr>
            <w:tcW w:w="254" w:type="dxa"/>
            <w:vAlign w:val="top"/>
          </w:tcPr>
          <w:p w14:paraId="42634639">
            <w:pPr>
              <w:rPr>
                <w:rFonts w:hint="eastAsia" w:ascii="宋体" w:hAnsi="宋体" w:eastAsia="宋体" w:cs="宋体"/>
                <w:color w:val="auto"/>
                <w:sz w:val="21"/>
                <w:highlight w:val="none"/>
              </w:rPr>
            </w:pPr>
          </w:p>
        </w:tc>
        <w:tc>
          <w:tcPr>
            <w:tcW w:w="255" w:type="dxa"/>
            <w:vAlign w:val="top"/>
          </w:tcPr>
          <w:p w14:paraId="25E30A72">
            <w:pPr>
              <w:rPr>
                <w:rFonts w:hint="eastAsia" w:ascii="宋体" w:hAnsi="宋体" w:eastAsia="宋体" w:cs="宋体"/>
                <w:color w:val="auto"/>
                <w:sz w:val="21"/>
                <w:highlight w:val="none"/>
              </w:rPr>
            </w:pPr>
          </w:p>
        </w:tc>
        <w:tc>
          <w:tcPr>
            <w:tcW w:w="255" w:type="dxa"/>
            <w:vAlign w:val="top"/>
          </w:tcPr>
          <w:p w14:paraId="5F4A34DF">
            <w:pPr>
              <w:rPr>
                <w:rFonts w:hint="eastAsia" w:ascii="宋体" w:hAnsi="宋体" w:eastAsia="宋体" w:cs="宋体"/>
                <w:color w:val="auto"/>
                <w:sz w:val="21"/>
                <w:highlight w:val="none"/>
              </w:rPr>
            </w:pPr>
          </w:p>
        </w:tc>
        <w:tc>
          <w:tcPr>
            <w:tcW w:w="255" w:type="dxa"/>
            <w:vAlign w:val="top"/>
          </w:tcPr>
          <w:p w14:paraId="1FCEA24E">
            <w:pPr>
              <w:rPr>
                <w:rFonts w:hint="eastAsia" w:ascii="宋体" w:hAnsi="宋体" w:eastAsia="宋体" w:cs="宋体"/>
                <w:color w:val="auto"/>
                <w:sz w:val="21"/>
                <w:highlight w:val="none"/>
              </w:rPr>
            </w:pPr>
          </w:p>
        </w:tc>
        <w:tc>
          <w:tcPr>
            <w:tcW w:w="255" w:type="dxa"/>
            <w:vAlign w:val="top"/>
          </w:tcPr>
          <w:p w14:paraId="193BAD0E">
            <w:pPr>
              <w:rPr>
                <w:rFonts w:hint="eastAsia" w:ascii="宋体" w:hAnsi="宋体" w:eastAsia="宋体" w:cs="宋体"/>
                <w:color w:val="auto"/>
                <w:sz w:val="21"/>
                <w:highlight w:val="none"/>
              </w:rPr>
            </w:pPr>
          </w:p>
        </w:tc>
        <w:tc>
          <w:tcPr>
            <w:tcW w:w="255" w:type="dxa"/>
            <w:vAlign w:val="top"/>
          </w:tcPr>
          <w:p w14:paraId="61688123">
            <w:pPr>
              <w:rPr>
                <w:rFonts w:hint="eastAsia" w:ascii="宋体" w:hAnsi="宋体" w:eastAsia="宋体" w:cs="宋体"/>
                <w:color w:val="auto"/>
                <w:sz w:val="21"/>
                <w:highlight w:val="none"/>
              </w:rPr>
            </w:pPr>
          </w:p>
        </w:tc>
        <w:tc>
          <w:tcPr>
            <w:tcW w:w="255" w:type="dxa"/>
            <w:vAlign w:val="top"/>
          </w:tcPr>
          <w:p w14:paraId="7FDD089C">
            <w:pPr>
              <w:rPr>
                <w:rFonts w:hint="eastAsia" w:ascii="宋体" w:hAnsi="宋体" w:eastAsia="宋体" w:cs="宋体"/>
                <w:color w:val="auto"/>
                <w:sz w:val="21"/>
                <w:highlight w:val="none"/>
              </w:rPr>
            </w:pPr>
          </w:p>
        </w:tc>
        <w:tc>
          <w:tcPr>
            <w:tcW w:w="255" w:type="dxa"/>
            <w:vAlign w:val="top"/>
          </w:tcPr>
          <w:p w14:paraId="58314BAF">
            <w:pPr>
              <w:rPr>
                <w:rFonts w:hint="eastAsia" w:ascii="宋体" w:hAnsi="宋体" w:eastAsia="宋体" w:cs="宋体"/>
                <w:color w:val="auto"/>
                <w:sz w:val="21"/>
                <w:highlight w:val="none"/>
              </w:rPr>
            </w:pPr>
          </w:p>
        </w:tc>
        <w:tc>
          <w:tcPr>
            <w:tcW w:w="255" w:type="dxa"/>
            <w:vAlign w:val="top"/>
          </w:tcPr>
          <w:p w14:paraId="00DF4751">
            <w:pPr>
              <w:rPr>
                <w:rFonts w:hint="eastAsia" w:ascii="宋体" w:hAnsi="宋体" w:eastAsia="宋体" w:cs="宋体"/>
                <w:color w:val="auto"/>
                <w:sz w:val="21"/>
                <w:highlight w:val="none"/>
              </w:rPr>
            </w:pPr>
          </w:p>
        </w:tc>
        <w:tc>
          <w:tcPr>
            <w:tcW w:w="255" w:type="dxa"/>
            <w:vAlign w:val="top"/>
          </w:tcPr>
          <w:p w14:paraId="72756E3D">
            <w:pPr>
              <w:rPr>
                <w:rFonts w:hint="eastAsia" w:ascii="宋体" w:hAnsi="宋体" w:eastAsia="宋体" w:cs="宋体"/>
                <w:color w:val="auto"/>
                <w:sz w:val="21"/>
                <w:highlight w:val="none"/>
              </w:rPr>
            </w:pPr>
          </w:p>
        </w:tc>
        <w:tc>
          <w:tcPr>
            <w:tcW w:w="255" w:type="dxa"/>
            <w:vAlign w:val="top"/>
          </w:tcPr>
          <w:p w14:paraId="34BCD1C4">
            <w:pPr>
              <w:rPr>
                <w:rFonts w:hint="eastAsia" w:ascii="宋体" w:hAnsi="宋体" w:eastAsia="宋体" w:cs="宋体"/>
                <w:color w:val="auto"/>
                <w:sz w:val="21"/>
                <w:highlight w:val="none"/>
              </w:rPr>
            </w:pPr>
          </w:p>
        </w:tc>
        <w:tc>
          <w:tcPr>
            <w:tcW w:w="255" w:type="dxa"/>
            <w:vAlign w:val="top"/>
          </w:tcPr>
          <w:p w14:paraId="2E16EC4F">
            <w:pPr>
              <w:rPr>
                <w:rFonts w:hint="eastAsia" w:ascii="宋体" w:hAnsi="宋体" w:eastAsia="宋体" w:cs="宋体"/>
                <w:color w:val="auto"/>
                <w:sz w:val="21"/>
                <w:highlight w:val="none"/>
              </w:rPr>
            </w:pPr>
          </w:p>
        </w:tc>
        <w:tc>
          <w:tcPr>
            <w:tcW w:w="255" w:type="dxa"/>
            <w:vAlign w:val="top"/>
          </w:tcPr>
          <w:p w14:paraId="60E2DB27">
            <w:pPr>
              <w:rPr>
                <w:rFonts w:hint="eastAsia" w:ascii="宋体" w:hAnsi="宋体" w:eastAsia="宋体" w:cs="宋体"/>
                <w:color w:val="auto"/>
                <w:sz w:val="21"/>
                <w:highlight w:val="none"/>
              </w:rPr>
            </w:pPr>
          </w:p>
        </w:tc>
        <w:tc>
          <w:tcPr>
            <w:tcW w:w="255" w:type="dxa"/>
            <w:vAlign w:val="top"/>
          </w:tcPr>
          <w:p w14:paraId="44972F39">
            <w:pPr>
              <w:rPr>
                <w:rFonts w:hint="eastAsia" w:ascii="宋体" w:hAnsi="宋体" w:eastAsia="宋体" w:cs="宋体"/>
                <w:color w:val="auto"/>
                <w:sz w:val="21"/>
                <w:highlight w:val="none"/>
              </w:rPr>
            </w:pPr>
          </w:p>
        </w:tc>
        <w:tc>
          <w:tcPr>
            <w:tcW w:w="255" w:type="dxa"/>
            <w:vAlign w:val="top"/>
          </w:tcPr>
          <w:p w14:paraId="3A5FA630">
            <w:pPr>
              <w:rPr>
                <w:rFonts w:hint="eastAsia" w:ascii="宋体" w:hAnsi="宋体" w:eastAsia="宋体" w:cs="宋体"/>
                <w:color w:val="auto"/>
                <w:sz w:val="21"/>
                <w:highlight w:val="none"/>
              </w:rPr>
            </w:pPr>
          </w:p>
        </w:tc>
        <w:tc>
          <w:tcPr>
            <w:tcW w:w="255" w:type="dxa"/>
            <w:vAlign w:val="top"/>
          </w:tcPr>
          <w:p w14:paraId="2178CFB9">
            <w:pPr>
              <w:rPr>
                <w:rFonts w:hint="eastAsia" w:ascii="宋体" w:hAnsi="宋体" w:eastAsia="宋体" w:cs="宋体"/>
                <w:color w:val="auto"/>
                <w:sz w:val="21"/>
                <w:highlight w:val="none"/>
              </w:rPr>
            </w:pPr>
          </w:p>
        </w:tc>
        <w:tc>
          <w:tcPr>
            <w:tcW w:w="255" w:type="dxa"/>
            <w:vAlign w:val="top"/>
          </w:tcPr>
          <w:p w14:paraId="0A7F88A0">
            <w:pPr>
              <w:rPr>
                <w:rFonts w:hint="eastAsia" w:ascii="宋体" w:hAnsi="宋体" w:eastAsia="宋体" w:cs="宋体"/>
                <w:color w:val="auto"/>
                <w:sz w:val="21"/>
                <w:highlight w:val="none"/>
              </w:rPr>
            </w:pPr>
          </w:p>
        </w:tc>
        <w:tc>
          <w:tcPr>
            <w:tcW w:w="255" w:type="dxa"/>
            <w:vAlign w:val="top"/>
          </w:tcPr>
          <w:p w14:paraId="5AC22A60">
            <w:pPr>
              <w:rPr>
                <w:rFonts w:hint="eastAsia" w:ascii="宋体" w:hAnsi="宋体" w:eastAsia="宋体" w:cs="宋体"/>
                <w:color w:val="auto"/>
                <w:sz w:val="21"/>
                <w:highlight w:val="none"/>
              </w:rPr>
            </w:pPr>
          </w:p>
        </w:tc>
        <w:tc>
          <w:tcPr>
            <w:tcW w:w="255" w:type="dxa"/>
            <w:vAlign w:val="top"/>
          </w:tcPr>
          <w:p w14:paraId="33C0D3CD">
            <w:pPr>
              <w:rPr>
                <w:rFonts w:hint="eastAsia" w:ascii="宋体" w:hAnsi="宋体" w:eastAsia="宋体" w:cs="宋体"/>
                <w:color w:val="auto"/>
                <w:sz w:val="21"/>
                <w:highlight w:val="none"/>
              </w:rPr>
            </w:pPr>
          </w:p>
        </w:tc>
        <w:tc>
          <w:tcPr>
            <w:tcW w:w="255" w:type="dxa"/>
            <w:vAlign w:val="top"/>
          </w:tcPr>
          <w:p w14:paraId="2D2F4327">
            <w:pPr>
              <w:rPr>
                <w:rFonts w:hint="eastAsia" w:ascii="宋体" w:hAnsi="宋体" w:eastAsia="宋体" w:cs="宋体"/>
                <w:color w:val="auto"/>
                <w:sz w:val="21"/>
                <w:highlight w:val="none"/>
              </w:rPr>
            </w:pPr>
          </w:p>
        </w:tc>
        <w:tc>
          <w:tcPr>
            <w:tcW w:w="255" w:type="dxa"/>
            <w:vAlign w:val="top"/>
          </w:tcPr>
          <w:p w14:paraId="3C5FB0B7">
            <w:pPr>
              <w:rPr>
                <w:rFonts w:hint="eastAsia" w:ascii="宋体" w:hAnsi="宋体" w:eastAsia="宋体" w:cs="宋体"/>
                <w:color w:val="auto"/>
                <w:sz w:val="21"/>
                <w:highlight w:val="none"/>
              </w:rPr>
            </w:pPr>
          </w:p>
        </w:tc>
        <w:tc>
          <w:tcPr>
            <w:tcW w:w="255" w:type="dxa"/>
            <w:vAlign w:val="top"/>
          </w:tcPr>
          <w:p w14:paraId="75374D45">
            <w:pPr>
              <w:rPr>
                <w:rFonts w:hint="eastAsia" w:ascii="宋体" w:hAnsi="宋体" w:eastAsia="宋体" w:cs="宋体"/>
                <w:color w:val="auto"/>
                <w:sz w:val="21"/>
                <w:highlight w:val="none"/>
              </w:rPr>
            </w:pPr>
          </w:p>
        </w:tc>
        <w:tc>
          <w:tcPr>
            <w:tcW w:w="255" w:type="dxa"/>
            <w:vAlign w:val="top"/>
          </w:tcPr>
          <w:p w14:paraId="29405DB3">
            <w:pPr>
              <w:rPr>
                <w:rFonts w:hint="eastAsia" w:ascii="宋体" w:hAnsi="宋体" w:eastAsia="宋体" w:cs="宋体"/>
                <w:color w:val="auto"/>
                <w:sz w:val="21"/>
                <w:highlight w:val="none"/>
              </w:rPr>
            </w:pPr>
          </w:p>
        </w:tc>
        <w:tc>
          <w:tcPr>
            <w:tcW w:w="255" w:type="dxa"/>
            <w:vAlign w:val="top"/>
          </w:tcPr>
          <w:p w14:paraId="20DBF9FF">
            <w:pPr>
              <w:rPr>
                <w:rFonts w:hint="eastAsia" w:ascii="宋体" w:hAnsi="宋体" w:eastAsia="宋体" w:cs="宋体"/>
                <w:color w:val="auto"/>
                <w:sz w:val="21"/>
                <w:highlight w:val="none"/>
              </w:rPr>
            </w:pPr>
          </w:p>
        </w:tc>
        <w:tc>
          <w:tcPr>
            <w:tcW w:w="255" w:type="dxa"/>
            <w:vAlign w:val="top"/>
          </w:tcPr>
          <w:p w14:paraId="3ABC99C9">
            <w:pPr>
              <w:rPr>
                <w:rFonts w:hint="eastAsia" w:ascii="宋体" w:hAnsi="宋体" w:eastAsia="宋体" w:cs="宋体"/>
                <w:color w:val="auto"/>
                <w:sz w:val="21"/>
                <w:highlight w:val="none"/>
              </w:rPr>
            </w:pPr>
          </w:p>
        </w:tc>
        <w:tc>
          <w:tcPr>
            <w:tcW w:w="292" w:type="dxa"/>
            <w:vAlign w:val="top"/>
          </w:tcPr>
          <w:p w14:paraId="0D359340">
            <w:pPr>
              <w:rPr>
                <w:rFonts w:hint="eastAsia" w:ascii="宋体" w:hAnsi="宋体" w:eastAsia="宋体" w:cs="宋体"/>
                <w:color w:val="auto"/>
                <w:sz w:val="21"/>
                <w:highlight w:val="none"/>
              </w:rPr>
            </w:pPr>
          </w:p>
        </w:tc>
      </w:tr>
      <w:tr w14:paraId="48FA45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2230" w:type="dxa"/>
            <w:vAlign w:val="top"/>
          </w:tcPr>
          <w:p w14:paraId="5693F260">
            <w:pPr>
              <w:pStyle w:val="25"/>
              <w:spacing w:before="109" w:line="210" w:lineRule="auto"/>
              <w:ind w:left="339"/>
              <w:rPr>
                <w:rFonts w:hint="eastAsia" w:ascii="宋体" w:hAnsi="宋体" w:eastAsia="宋体" w:cs="宋体"/>
                <w:color w:val="auto"/>
                <w:sz w:val="19"/>
                <w:szCs w:val="19"/>
                <w:highlight w:val="none"/>
              </w:rPr>
            </w:pPr>
            <w:r>
              <w:rPr>
                <w:rFonts w:hint="eastAsia" w:ascii="宋体" w:hAnsi="宋体" w:eastAsia="宋体" w:cs="宋体"/>
                <w:color w:val="auto"/>
                <w:spacing w:val="6"/>
                <w:sz w:val="19"/>
                <w:szCs w:val="19"/>
                <w:highlight w:val="none"/>
              </w:rPr>
              <w:t>（1）基础工程</w:t>
            </w:r>
          </w:p>
        </w:tc>
        <w:tc>
          <w:tcPr>
            <w:tcW w:w="254" w:type="dxa"/>
            <w:vAlign w:val="top"/>
          </w:tcPr>
          <w:p w14:paraId="34E14BC7">
            <w:pPr>
              <w:rPr>
                <w:rFonts w:hint="eastAsia" w:ascii="宋体" w:hAnsi="宋体" w:eastAsia="宋体" w:cs="宋体"/>
                <w:color w:val="auto"/>
                <w:sz w:val="21"/>
                <w:highlight w:val="none"/>
              </w:rPr>
            </w:pPr>
          </w:p>
        </w:tc>
        <w:tc>
          <w:tcPr>
            <w:tcW w:w="254" w:type="dxa"/>
            <w:vAlign w:val="top"/>
          </w:tcPr>
          <w:p w14:paraId="6FCEECEC">
            <w:pPr>
              <w:rPr>
                <w:rFonts w:hint="eastAsia" w:ascii="宋体" w:hAnsi="宋体" w:eastAsia="宋体" w:cs="宋体"/>
                <w:color w:val="auto"/>
                <w:sz w:val="21"/>
                <w:highlight w:val="none"/>
              </w:rPr>
            </w:pPr>
          </w:p>
        </w:tc>
        <w:tc>
          <w:tcPr>
            <w:tcW w:w="255" w:type="dxa"/>
            <w:vAlign w:val="top"/>
          </w:tcPr>
          <w:p w14:paraId="49C5A1B6">
            <w:pPr>
              <w:rPr>
                <w:rFonts w:hint="eastAsia" w:ascii="宋体" w:hAnsi="宋体" w:eastAsia="宋体" w:cs="宋体"/>
                <w:color w:val="auto"/>
                <w:sz w:val="21"/>
                <w:highlight w:val="none"/>
              </w:rPr>
            </w:pPr>
          </w:p>
        </w:tc>
        <w:tc>
          <w:tcPr>
            <w:tcW w:w="254" w:type="dxa"/>
            <w:vAlign w:val="top"/>
          </w:tcPr>
          <w:p w14:paraId="3A6AAE39">
            <w:pPr>
              <w:rPr>
                <w:rFonts w:hint="eastAsia" w:ascii="宋体" w:hAnsi="宋体" w:eastAsia="宋体" w:cs="宋体"/>
                <w:color w:val="auto"/>
                <w:sz w:val="21"/>
                <w:highlight w:val="none"/>
              </w:rPr>
            </w:pPr>
          </w:p>
        </w:tc>
        <w:tc>
          <w:tcPr>
            <w:tcW w:w="255" w:type="dxa"/>
            <w:vAlign w:val="top"/>
          </w:tcPr>
          <w:p w14:paraId="4E780AEB">
            <w:pPr>
              <w:rPr>
                <w:rFonts w:hint="eastAsia" w:ascii="宋体" w:hAnsi="宋体" w:eastAsia="宋体" w:cs="宋体"/>
                <w:color w:val="auto"/>
                <w:sz w:val="21"/>
                <w:highlight w:val="none"/>
              </w:rPr>
            </w:pPr>
          </w:p>
        </w:tc>
        <w:tc>
          <w:tcPr>
            <w:tcW w:w="255" w:type="dxa"/>
            <w:vAlign w:val="top"/>
          </w:tcPr>
          <w:p w14:paraId="28E84FAF">
            <w:pPr>
              <w:rPr>
                <w:rFonts w:hint="eastAsia" w:ascii="宋体" w:hAnsi="宋体" w:eastAsia="宋体" w:cs="宋体"/>
                <w:color w:val="auto"/>
                <w:sz w:val="21"/>
                <w:highlight w:val="none"/>
              </w:rPr>
            </w:pPr>
          </w:p>
        </w:tc>
        <w:tc>
          <w:tcPr>
            <w:tcW w:w="255" w:type="dxa"/>
            <w:vAlign w:val="top"/>
          </w:tcPr>
          <w:p w14:paraId="58224E8E">
            <w:pPr>
              <w:rPr>
                <w:rFonts w:hint="eastAsia" w:ascii="宋体" w:hAnsi="宋体" w:eastAsia="宋体" w:cs="宋体"/>
                <w:color w:val="auto"/>
                <w:sz w:val="21"/>
                <w:highlight w:val="none"/>
              </w:rPr>
            </w:pPr>
          </w:p>
        </w:tc>
        <w:tc>
          <w:tcPr>
            <w:tcW w:w="255" w:type="dxa"/>
            <w:vAlign w:val="top"/>
          </w:tcPr>
          <w:p w14:paraId="2F980073">
            <w:pPr>
              <w:rPr>
                <w:rFonts w:hint="eastAsia" w:ascii="宋体" w:hAnsi="宋体" w:eastAsia="宋体" w:cs="宋体"/>
                <w:color w:val="auto"/>
                <w:sz w:val="21"/>
                <w:highlight w:val="none"/>
              </w:rPr>
            </w:pPr>
          </w:p>
        </w:tc>
        <w:tc>
          <w:tcPr>
            <w:tcW w:w="255" w:type="dxa"/>
            <w:vAlign w:val="top"/>
          </w:tcPr>
          <w:p w14:paraId="4B0AF0F0">
            <w:pPr>
              <w:rPr>
                <w:rFonts w:hint="eastAsia" w:ascii="宋体" w:hAnsi="宋体" w:eastAsia="宋体" w:cs="宋体"/>
                <w:color w:val="auto"/>
                <w:sz w:val="21"/>
                <w:highlight w:val="none"/>
              </w:rPr>
            </w:pPr>
          </w:p>
        </w:tc>
        <w:tc>
          <w:tcPr>
            <w:tcW w:w="255" w:type="dxa"/>
            <w:vAlign w:val="top"/>
          </w:tcPr>
          <w:p w14:paraId="1C11F88B">
            <w:pPr>
              <w:rPr>
                <w:rFonts w:hint="eastAsia" w:ascii="宋体" w:hAnsi="宋体" w:eastAsia="宋体" w:cs="宋体"/>
                <w:color w:val="auto"/>
                <w:sz w:val="21"/>
                <w:highlight w:val="none"/>
              </w:rPr>
            </w:pPr>
          </w:p>
        </w:tc>
        <w:tc>
          <w:tcPr>
            <w:tcW w:w="255" w:type="dxa"/>
            <w:vAlign w:val="top"/>
          </w:tcPr>
          <w:p w14:paraId="524E5D7D">
            <w:pPr>
              <w:rPr>
                <w:rFonts w:hint="eastAsia" w:ascii="宋体" w:hAnsi="宋体" w:eastAsia="宋体" w:cs="宋体"/>
                <w:color w:val="auto"/>
                <w:sz w:val="21"/>
                <w:highlight w:val="none"/>
              </w:rPr>
            </w:pPr>
          </w:p>
        </w:tc>
        <w:tc>
          <w:tcPr>
            <w:tcW w:w="255" w:type="dxa"/>
            <w:vAlign w:val="top"/>
          </w:tcPr>
          <w:p w14:paraId="3E55F9B6">
            <w:pPr>
              <w:rPr>
                <w:rFonts w:hint="eastAsia" w:ascii="宋体" w:hAnsi="宋体" w:eastAsia="宋体" w:cs="宋体"/>
                <w:color w:val="auto"/>
                <w:sz w:val="21"/>
                <w:highlight w:val="none"/>
              </w:rPr>
            </w:pPr>
          </w:p>
        </w:tc>
        <w:tc>
          <w:tcPr>
            <w:tcW w:w="255" w:type="dxa"/>
            <w:vAlign w:val="top"/>
          </w:tcPr>
          <w:p w14:paraId="5C08A950">
            <w:pPr>
              <w:rPr>
                <w:rFonts w:hint="eastAsia" w:ascii="宋体" w:hAnsi="宋体" w:eastAsia="宋体" w:cs="宋体"/>
                <w:color w:val="auto"/>
                <w:sz w:val="21"/>
                <w:highlight w:val="none"/>
              </w:rPr>
            </w:pPr>
          </w:p>
        </w:tc>
        <w:tc>
          <w:tcPr>
            <w:tcW w:w="255" w:type="dxa"/>
            <w:vAlign w:val="top"/>
          </w:tcPr>
          <w:p w14:paraId="123D25FD">
            <w:pPr>
              <w:rPr>
                <w:rFonts w:hint="eastAsia" w:ascii="宋体" w:hAnsi="宋体" w:eastAsia="宋体" w:cs="宋体"/>
                <w:color w:val="auto"/>
                <w:sz w:val="21"/>
                <w:highlight w:val="none"/>
              </w:rPr>
            </w:pPr>
          </w:p>
        </w:tc>
        <w:tc>
          <w:tcPr>
            <w:tcW w:w="255" w:type="dxa"/>
            <w:vAlign w:val="top"/>
          </w:tcPr>
          <w:p w14:paraId="329956AD">
            <w:pPr>
              <w:rPr>
                <w:rFonts w:hint="eastAsia" w:ascii="宋体" w:hAnsi="宋体" w:eastAsia="宋体" w:cs="宋体"/>
                <w:color w:val="auto"/>
                <w:sz w:val="21"/>
                <w:highlight w:val="none"/>
              </w:rPr>
            </w:pPr>
          </w:p>
        </w:tc>
        <w:tc>
          <w:tcPr>
            <w:tcW w:w="255" w:type="dxa"/>
            <w:vAlign w:val="top"/>
          </w:tcPr>
          <w:p w14:paraId="2CAEC6BA">
            <w:pPr>
              <w:rPr>
                <w:rFonts w:hint="eastAsia" w:ascii="宋体" w:hAnsi="宋体" w:eastAsia="宋体" w:cs="宋体"/>
                <w:color w:val="auto"/>
                <w:sz w:val="21"/>
                <w:highlight w:val="none"/>
              </w:rPr>
            </w:pPr>
          </w:p>
        </w:tc>
        <w:tc>
          <w:tcPr>
            <w:tcW w:w="255" w:type="dxa"/>
            <w:vAlign w:val="top"/>
          </w:tcPr>
          <w:p w14:paraId="517479A8">
            <w:pPr>
              <w:rPr>
                <w:rFonts w:hint="eastAsia" w:ascii="宋体" w:hAnsi="宋体" w:eastAsia="宋体" w:cs="宋体"/>
                <w:color w:val="auto"/>
                <w:sz w:val="21"/>
                <w:highlight w:val="none"/>
              </w:rPr>
            </w:pPr>
          </w:p>
        </w:tc>
        <w:tc>
          <w:tcPr>
            <w:tcW w:w="255" w:type="dxa"/>
            <w:vAlign w:val="top"/>
          </w:tcPr>
          <w:p w14:paraId="61A64901">
            <w:pPr>
              <w:rPr>
                <w:rFonts w:hint="eastAsia" w:ascii="宋体" w:hAnsi="宋体" w:eastAsia="宋体" w:cs="宋体"/>
                <w:color w:val="auto"/>
                <w:sz w:val="21"/>
                <w:highlight w:val="none"/>
              </w:rPr>
            </w:pPr>
          </w:p>
        </w:tc>
        <w:tc>
          <w:tcPr>
            <w:tcW w:w="255" w:type="dxa"/>
            <w:vAlign w:val="top"/>
          </w:tcPr>
          <w:p w14:paraId="6DBAF109">
            <w:pPr>
              <w:rPr>
                <w:rFonts w:hint="eastAsia" w:ascii="宋体" w:hAnsi="宋体" w:eastAsia="宋体" w:cs="宋体"/>
                <w:color w:val="auto"/>
                <w:sz w:val="21"/>
                <w:highlight w:val="none"/>
              </w:rPr>
            </w:pPr>
          </w:p>
        </w:tc>
        <w:tc>
          <w:tcPr>
            <w:tcW w:w="255" w:type="dxa"/>
            <w:vAlign w:val="top"/>
          </w:tcPr>
          <w:p w14:paraId="32B0C1C8">
            <w:pPr>
              <w:rPr>
                <w:rFonts w:hint="eastAsia" w:ascii="宋体" w:hAnsi="宋体" w:eastAsia="宋体" w:cs="宋体"/>
                <w:color w:val="auto"/>
                <w:sz w:val="21"/>
                <w:highlight w:val="none"/>
              </w:rPr>
            </w:pPr>
          </w:p>
        </w:tc>
        <w:tc>
          <w:tcPr>
            <w:tcW w:w="255" w:type="dxa"/>
            <w:vAlign w:val="top"/>
          </w:tcPr>
          <w:p w14:paraId="5933215D">
            <w:pPr>
              <w:rPr>
                <w:rFonts w:hint="eastAsia" w:ascii="宋体" w:hAnsi="宋体" w:eastAsia="宋体" w:cs="宋体"/>
                <w:color w:val="auto"/>
                <w:sz w:val="21"/>
                <w:highlight w:val="none"/>
              </w:rPr>
            </w:pPr>
          </w:p>
        </w:tc>
        <w:tc>
          <w:tcPr>
            <w:tcW w:w="255" w:type="dxa"/>
            <w:vAlign w:val="top"/>
          </w:tcPr>
          <w:p w14:paraId="679D9DF4">
            <w:pPr>
              <w:rPr>
                <w:rFonts w:hint="eastAsia" w:ascii="宋体" w:hAnsi="宋体" w:eastAsia="宋体" w:cs="宋体"/>
                <w:color w:val="auto"/>
                <w:sz w:val="21"/>
                <w:highlight w:val="none"/>
              </w:rPr>
            </w:pPr>
          </w:p>
        </w:tc>
        <w:tc>
          <w:tcPr>
            <w:tcW w:w="255" w:type="dxa"/>
            <w:vAlign w:val="top"/>
          </w:tcPr>
          <w:p w14:paraId="559CD7FA">
            <w:pPr>
              <w:rPr>
                <w:rFonts w:hint="eastAsia" w:ascii="宋体" w:hAnsi="宋体" w:eastAsia="宋体" w:cs="宋体"/>
                <w:color w:val="auto"/>
                <w:sz w:val="21"/>
                <w:highlight w:val="none"/>
              </w:rPr>
            </w:pPr>
          </w:p>
        </w:tc>
        <w:tc>
          <w:tcPr>
            <w:tcW w:w="255" w:type="dxa"/>
            <w:vAlign w:val="top"/>
          </w:tcPr>
          <w:p w14:paraId="51CA34BA">
            <w:pPr>
              <w:rPr>
                <w:rFonts w:hint="eastAsia" w:ascii="宋体" w:hAnsi="宋体" w:eastAsia="宋体" w:cs="宋体"/>
                <w:color w:val="auto"/>
                <w:sz w:val="21"/>
                <w:highlight w:val="none"/>
              </w:rPr>
            </w:pPr>
          </w:p>
        </w:tc>
        <w:tc>
          <w:tcPr>
            <w:tcW w:w="255" w:type="dxa"/>
            <w:vAlign w:val="top"/>
          </w:tcPr>
          <w:p w14:paraId="4077212F">
            <w:pPr>
              <w:rPr>
                <w:rFonts w:hint="eastAsia" w:ascii="宋体" w:hAnsi="宋体" w:eastAsia="宋体" w:cs="宋体"/>
                <w:color w:val="auto"/>
                <w:sz w:val="21"/>
                <w:highlight w:val="none"/>
              </w:rPr>
            </w:pPr>
          </w:p>
        </w:tc>
        <w:tc>
          <w:tcPr>
            <w:tcW w:w="255" w:type="dxa"/>
            <w:vAlign w:val="top"/>
          </w:tcPr>
          <w:p w14:paraId="361644DD">
            <w:pPr>
              <w:rPr>
                <w:rFonts w:hint="eastAsia" w:ascii="宋体" w:hAnsi="宋体" w:eastAsia="宋体" w:cs="宋体"/>
                <w:color w:val="auto"/>
                <w:sz w:val="21"/>
                <w:highlight w:val="none"/>
              </w:rPr>
            </w:pPr>
          </w:p>
        </w:tc>
        <w:tc>
          <w:tcPr>
            <w:tcW w:w="255" w:type="dxa"/>
            <w:vAlign w:val="top"/>
          </w:tcPr>
          <w:p w14:paraId="4A838617">
            <w:pPr>
              <w:rPr>
                <w:rFonts w:hint="eastAsia" w:ascii="宋体" w:hAnsi="宋体" w:eastAsia="宋体" w:cs="宋体"/>
                <w:color w:val="auto"/>
                <w:sz w:val="21"/>
                <w:highlight w:val="none"/>
              </w:rPr>
            </w:pPr>
          </w:p>
        </w:tc>
        <w:tc>
          <w:tcPr>
            <w:tcW w:w="255" w:type="dxa"/>
            <w:vAlign w:val="top"/>
          </w:tcPr>
          <w:p w14:paraId="250F2725">
            <w:pPr>
              <w:rPr>
                <w:rFonts w:hint="eastAsia" w:ascii="宋体" w:hAnsi="宋体" w:eastAsia="宋体" w:cs="宋体"/>
                <w:color w:val="auto"/>
                <w:sz w:val="21"/>
                <w:highlight w:val="none"/>
              </w:rPr>
            </w:pPr>
          </w:p>
        </w:tc>
        <w:tc>
          <w:tcPr>
            <w:tcW w:w="292" w:type="dxa"/>
            <w:vAlign w:val="top"/>
          </w:tcPr>
          <w:p w14:paraId="069A52EC">
            <w:pPr>
              <w:rPr>
                <w:rFonts w:hint="eastAsia" w:ascii="宋体" w:hAnsi="宋体" w:eastAsia="宋体" w:cs="宋体"/>
                <w:color w:val="auto"/>
                <w:sz w:val="21"/>
                <w:highlight w:val="none"/>
              </w:rPr>
            </w:pPr>
          </w:p>
        </w:tc>
      </w:tr>
      <w:tr w14:paraId="49C2D0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2230" w:type="dxa"/>
            <w:vAlign w:val="top"/>
          </w:tcPr>
          <w:p w14:paraId="2F69AFA3">
            <w:pPr>
              <w:pStyle w:val="25"/>
              <w:spacing w:before="109" w:line="210" w:lineRule="auto"/>
              <w:ind w:left="339"/>
              <w:rPr>
                <w:rFonts w:hint="eastAsia" w:ascii="宋体" w:hAnsi="宋体" w:eastAsia="宋体" w:cs="宋体"/>
                <w:color w:val="auto"/>
                <w:sz w:val="19"/>
                <w:szCs w:val="19"/>
                <w:highlight w:val="none"/>
              </w:rPr>
            </w:pPr>
            <w:r>
              <w:rPr>
                <w:rFonts w:hint="eastAsia" w:ascii="宋体" w:hAnsi="宋体" w:eastAsia="宋体" w:cs="宋体"/>
                <w:color w:val="auto"/>
                <w:spacing w:val="6"/>
                <w:sz w:val="19"/>
                <w:szCs w:val="19"/>
                <w:highlight w:val="none"/>
              </w:rPr>
              <w:t>（2）墩台工程</w:t>
            </w:r>
          </w:p>
        </w:tc>
        <w:tc>
          <w:tcPr>
            <w:tcW w:w="254" w:type="dxa"/>
            <w:vAlign w:val="top"/>
          </w:tcPr>
          <w:p w14:paraId="6057FE85">
            <w:pPr>
              <w:rPr>
                <w:rFonts w:hint="eastAsia" w:ascii="宋体" w:hAnsi="宋体" w:eastAsia="宋体" w:cs="宋体"/>
                <w:color w:val="auto"/>
                <w:sz w:val="21"/>
                <w:highlight w:val="none"/>
              </w:rPr>
            </w:pPr>
          </w:p>
        </w:tc>
        <w:tc>
          <w:tcPr>
            <w:tcW w:w="254" w:type="dxa"/>
            <w:vAlign w:val="top"/>
          </w:tcPr>
          <w:p w14:paraId="4DF5DDF3">
            <w:pPr>
              <w:rPr>
                <w:rFonts w:hint="eastAsia" w:ascii="宋体" w:hAnsi="宋体" w:eastAsia="宋体" w:cs="宋体"/>
                <w:color w:val="auto"/>
                <w:sz w:val="21"/>
                <w:highlight w:val="none"/>
              </w:rPr>
            </w:pPr>
          </w:p>
        </w:tc>
        <w:tc>
          <w:tcPr>
            <w:tcW w:w="255" w:type="dxa"/>
            <w:vAlign w:val="top"/>
          </w:tcPr>
          <w:p w14:paraId="14ED76F7">
            <w:pPr>
              <w:rPr>
                <w:rFonts w:hint="eastAsia" w:ascii="宋体" w:hAnsi="宋体" w:eastAsia="宋体" w:cs="宋体"/>
                <w:color w:val="auto"/>
                <w:sz w:val="21"/>
                <w:highlight w:val="none"/>
              </w:rPr>
            </w:pPr>
          </w:p>
        </w:tc>
        <w:tc>
          <w:tcPr>
            <w:tcW w:w="254" w:type="dxa"/>
            <w:vAlign w:val="top"/>
          </w:tcPr>
          <w:p w14:paraId="271F1125">
            <w:pPr>
              <w:rPr>
                <w:rFonts w:hint="eastAsia" w:ascii="宋体" w:hAnsi="宋体" w:eastAsia="宋体" w:cs="宋体"/>
                <w:color w:val="auto"/>
                <w:sz w:val="21"/>
                <w:highlight w:val="none"/>
              </w:rPr>
            </w:pPr>
          </w:p>
        </w:tc>
        <w:tc>
          <w:tcPr>
            <w:tcW w:w="255" w:type="dxa"/>
            <w:vAlign w:val="top"/>
          </w:tcPr>
          <w:p w14:paraId="73EC2708">
            <w:pPr>
              <w:rPr>
                <w:rFonts w:hint="eastAsia" w:ascii="宋体" w:hAnsi="宋体" w:eastAsia="宋体" w:cs="宋体"/>
                <w:color w:val="auto"/>
                <w:sz w:val="21"/>
                <w:highlight w:val="none"/>
              </w:rPr>
            </w:pPr>
          </w:p>
        </w:tc>
        <w:tc>
          <w:tcPr>
            <w:tcW w:w="255" w:type="dxa"/>
            <w:vAlign w:val="top"/>
          </w:tcPr>
          <w:p w14:paraId="50369255">
            <w:pPr>
              <w:rPr>
                <w:rFonts w:hint="eastAsia" w:ascii="宋体" w:hAnsi="宋体" w:eastAsia="宋体" w:cs="宋体"/>
                <w:color w:val="auto"/>
                <w:sz w:val="21"/>
                <w:highlight w:val="none"/>
              </w:rPr>
            </w:pPr>
          </w:p>
        </w:tc>
        <w:tc>
          <w:tcPr>
            <w:tcW w:w="255" w:type="dxa"/>
            <w:vAlign w:val="top"/>
          </w:tcPr>
          <w:p w14:paraId="07065423">
            <w:pPr>
              <w:rPr>
                <w:rFonts w:hint="eastAsia" w:ascii="宋体" w:hAnsi="宋体" w:eastAsia="宋体" w:cs="宋体"/>
                <w:color w:val="auto"/>
                <w:sz w:val="21"/>
                <w:highlight w:val="none"/>
              </w:rPr>
            </w:pPr>
          </w:p>
        </w:tc>
        <w:tc>
          <w:tcPr>
            <w:tcW w:w="255" w:type="dxa"/>
            <w:vAlign w:val="top"/>
          </w:tcPr>
          <w:p w14:paraId="7AE0DFCA">
            <w:pPr>
              <w:rPr>
                <w:rFonts w:hint="eastAsia" w:ascii="宋体" w:hAnsi="宋体" w:eastAsia="宋体" w:cs="宋体"/>
                <w:color w:val="auto"/>
                <w:sz w:val="21"/>
                <w:highlight w:val="none"/>
              </w:rPr>
            </w:pPr>
          </w:p>
        </w:tc>
        <w:tc>
          <w:tcPr>
            <w:tcW w:w="255" w:type="dxa"/>
            <w:vAlign w:val="top"/>
          </w:tcPr>
          <w:p w14:paraId="7D2E3D09">
            <w:pPr>
              <w:rPr>
                <w:rFonts w:hint="eastAsia" w:ascii="宋体" w:hAnsi="宋体" w:eastAsia="宋体" w:cs="宋体"/>
                <w:color w:val="auto"/>
                <w:sz w:val="21"/>
                <w:highlight w:val="none"/>
              </w:rPr>
            </w:pPr>
          </w:p>
        </w:tc>
        <w:tc>
          <w:tcPr>
            <w:tcW w:w="255" w:type="dxa"/>
            <w:vAlign w:val="top"/>
          </w:tcPr>
          <w:p w14:paraId="4A7018A3">
            <w:pPr>
              <w:rPr>
                <w:rFonts w:hint="eastAsia" w:ascii="宋体" w:hAnsi="宋体" w:eastAsia="宋体" w:cs="宋体"/>
                <w:color w:val="auto"/>
                <w:sz w:val="21"/>
                <w:highlight w:val="none"/>
              </w:rPr>
            </w:pPr>
          </w:p>
        </w:tc>
        <w:tc>
          <w:tcPr>
            <w:tcW w:w="255" w:type="dxa"/>
            <w:vAlign w:val="top"/>
          </w:tcPr>
          <w:p w14:paraId="4926FEDF">
            <w:pPr>
              <w:rPr>
                <w:rFonts w:hint="eastAsia" w:ascii="宋体" w:hAnsi="宋体" w:eastAsia="宋体" w:cs="宋体"/>
                <w:color w:val="auto"/>
                <w:sz w:val="21"/>
                <w:highlight w:val="none"/>
              </w:rPr>
            </w:pPr>
          </w:p>
        </w:tc>
        <w:tc>
          <w:tcPr>
            <w:tcW w:w="255" w:type="dxa"/>
            <w:vAlign w:val="top"/>
          </w:tcPr>
          <w:p w14:paraId="4E97BAF8">
            <w:pPr>
              <w:rPr>
                <w:rFonts w:hint="eastAsia" w:ascii="宋体" w:hAnsi="宋体" w:eastAsia="宋体" w:cs="宋体"/>
                <w:color w:val="auto"/>
                <w:sz w:val="21"/>
                <w:highlight w:val="none"/>
              </w:rPr>
            </w:pPr>
          </w:p>
        </w:tc>
        <w:tc>
          <w:tcPr>
            <w:tcW w:w="255" w:type="dxa"/>
            <w:vAlign w:val="top"/>
          </w:tcPr>
          <w:p w14:paraId="0C214359">
            <w:pPr>
              <w:rPr>
                <w:rFonts w:hint="eastAsia" w:ascii="宋体" w:hAnsi="宋体" w:eastAsia="宋体" w:cs="宋体"/>
                <w:color w:val="auto"/>
                <w:sz w:val="21"/>
                <w:highlight w:val="none"/>
              </w:rPr>
            </w:pPr>
          </w:p>
        </w:tc>
        <w:tc>
          <w:tcPr>
            <w:tcW w:w="255" w:type="dxa"/>
            <w:vAlign w:val="top"/>
          </w:tcPr>
          <w:p w14:paraId="760367A9">
            <w:pPr>
              <w:rPr>
                <w:rFonts w:hint="eastAsia" w:ascii="宋体" w:hAnsi="宋体" w:eastAsia="宋体" w:cs="宋体"/>
                <w:color w:val="auto"/>
                <w:sz w:val="21"/>
                <w:highlight w:val="none"/>
              </w:rPr>
            </w:pPr>
          </w:p>
        </w:tc>
        <w:tc>
          <w:tcPr>
            <w:tcW w:w="255" w:type="dxa"/>
            <w:vAlign w:val="top"/>
          </w:tcPr>
          <w:p w14:paraId="67AB8455">
            <w:pPr>
              <w:rPr>
                <w:rFonts w:hint="eastAsia" w:ascii="宋体" w:hAnsi="宋体" w:eastAsia="宋体" w:cs="宋体"/>
                <w:color w:val="auto"/>
                <w:sz w:val="21"/>
                <w:highlight w:val="none"/>
              </w:rPr>
            </w:pPr>
          </w:p>
        </w:tc>
        <w:tc>
          <w:tcPr>
            <w:tcW w:w="255" w:type="dxa"/>
            <w:vAlign w:val="top"/>
          </w:tcPr>
          <w:p w14:paraId="218DBC52">
            <w:pPr>
              <w:rPr>
                <w:rFonts w:hint="eastAsia" w:ascii="宋体" w:hAnsi="宋体" w:eastAsia="宋体" w:cs="宋体"/>
                <w:color w:val="auto"/>
                <w:sz w:val="21"/>
                <w:highlight w:val="none"/>
              </w:rPr>
            </w:pPr>
          </w:p>
        </w:tc>
        <w:tc>
          <w:tcPr>
            <w:tcW w:w="255" w:type="dxa"/>
            <w:vAlign w:val="top"/>
          </w:tcPr>
          <w:p w14:paraId="57F82514">
            <w:pPr>
              <w:rPr>
                <w:rFonts w:hint="eastAsia" w:ascii="宋体" w:hAnsi="宋体" w:eastAsia="宋体" w:cs="宋体"/>
                <w:color w:val="auto"/>
                <w:sz w:val="21"/>
                <w:highlight w:val="none"/>
              </w:rPr>
            </w:pPr>
          </w:p>
        </w:tc>
        <w:tc>
          <w:tcPr>
            <w:tcW w:w="255" w:type="dxa"/>
            <w:vAlign w:val="top"/>
          </w:tcPr>
          <w:p w14:paraId="07F91C80">
            <w:pPr>
              <w:rPr>
                <w:rFonts w:hint="eastAsia" w:ascii="宋体" w:hAnsi="宋体" w:eastAsia="宋体" w:cs="宋体"/>
                <w:color w:val="auto"/>
                <w:sz w:val="21"/>
                <w:highlight w:val="none"/>
              </w:rPr>
            </w:pPr>
          </w:p>
        </w:tc>
        <w:tc>
          <w:tcPr>
            <w:tcW w:w="255" w:type="dxa"/>
            <w:vAlign w:val="top"/>
          </w:tcPr>
          <w:p w14:paraId="1CE1DF44">
            <w:pPr>
              <w:rPr>
                <w:rFonts w:hint="eastAsia" w:ascii="宋体" w:hAnsi="宋体" w:eastAsia="宋体" w:cs="宋体"/>
                <w:color w:val="auto"/>
                <w:sz w:val="21"/>
                <w:highlight w:val="none"/>
              </w:rPr>
            </w:pPr>
          </w:p>
        </w:tc>
        <w:tc>
          <w:tcPr>
            <w:tcW w:w="255" w:type="dxa"/>
            <w:vAlign w:val="top"/>
          </w:tcPr>
          <w:p w14:paraId="00B5FFD6">
            <w:pPr>
              <w:rPr>
                <w:rFonts w:hint="eastAsia" w:ascii="宋体" w:hAnsi="宋体" w:eastAsia="宋体" w:cs="宋体"/>
                <w:color w:val="auto"/>
                <w:sz w:val="21"/>
                <w:highlight w:val="none"/>
              </w:rPr>
            </w:pPr>
          </w:p>
        </w:tc>
        <w:tc>
          <w:tcPr>
            <w:tcW w:w="255" w:type="dxa"/>
            <w:vAlign w:val="top"/>
          </w:tcPr>
          <w:p w14:paraId="3AF7151D">
            <w:pPr>
              <w:rPr>
                <w:rFonts w:hint="eastAsia" w:ascii="宋体" w:hAnsi="宋体" w:eastAsia="宋体" w:cs="宋体"/>
                <w:color w:val="auto"/>
                <w:sz w:val="21"/>
                <w:highlight w:val="none"/>
              </w:rPr>
            </w:pPr>
          </w:p>
        </w:tc>
        <w:tc>
          <w:tcPr>
            <w:tcW w:w="255" w:type="dxa"/>
            <w:vAlign w:val="top"/>
          </w:tcPr>
          <w:p w14:paraId="5835F7CB">
            <w:pPr>
              <w:rPr>
                <w:rFonts w:hint="eastAsia" w:ascii="宋体" w:hAnsi="宋体" w:eastAsia="宋体" w:cs="宋体"/>
                <w:color w:val="auto"/>
                <w:sz w:val="21"/>
                <w:highlight w:val="none"/>
              </w:rPr>
            </w:pPr>
          </w:p>
        </w:tc>
        <w:tc>
          <w:tcPr>
            <w:tcW w:w="255" w:type="dxa"/>
            <w:vAlign w:val="top"/>
          </w:tcPr>
          <w:p w14:paraId="184CA8B0">
            <w:pPr>
              <w:rPr>
                <w:rFonts w:hint="eastAsia" w:ascii="宋体" w:hAnsi="宋体" w:eastAsia="宋体" w:cs="宋体"/>
                <w:color w:val="auto"/>
                <w:sz w:val="21"/>
                <w:highlight w:val="none"/>
              </w:rPr>
            </w:pPr>
          </w:p>
        </w:tc>
        <w:tc>
          <w:tcPr>
            <w:tcW w:w="255" w:type="dxa"/>
            <w:vAlign w:val="top"/>
          </w:tcPr>
          <w:p w14:paraId="13C77129">
            <w:pPr>
              <w:rPr>
                <w:rFonts w:hint="eastAsia" w:ascii="宋体" w:hAnsi="宋体" w:eastAsia="宋体" w:cs="宋体"/>
                <w:color w:val="auto"/>
                <w:sz w:val="21"/>
                <w:highlight w:val="none"/>
              </w:rPr>
            </w:pPr>
          </w:p>
        </w:tc>
        <w:tc>
          <w:tcPr>
            <w:tcW w:w="255" w:type="dxa"/>
            <w:vAlign w:val="top"/>
          </w:tcPr>
          <w:p w14:paraId="366C1C29">
            <w:pPr>
              <w:rPr>
                <w:rFonts w:hint="eastAsia" w:ascii="宋体" w:hAnsi="宋体" w:eastAsia="宋体" w:cs="宋体"/>
                <w:color w:val="auto"/>
                <w:sz w:val="21"/>
                <w:highlight w:val="none"/>
              </w:rPr>
            </w:pPr>
          </w:p>
        </w:tc>
        <w:tc>
          <w:tcPr>
            <w:tcW w:w="255" w:type="dxa"/>
            <w:vAlign w:val="top"/>
          </w:tcPr>
          <w:p w14:paraId="2D4C62A5">
            <w:pPr>
              <w:rPr>
                <w:rFonts w:hint="eastAsia" w:ascii="宋体" w:hAnsi="宋体" w:eastAsia="宋体" w:cs="宋体"/>
                <w:color w:val="auto"/>
                <w:sz w:val="21"/>
                <w:highlight w:val="none"/>
              </w:rPr>
            </w:pPr>
          </w:p>
        </w:tc>
        <w:tc>
          <w:tcPr>
            <w:tcW w:w="255" w:type="dxa"/>
            <w:vAlign w:val="top"/>
          </w:tcPr>
          <w:p w14:paraId="427B6E8D">
            <w:pPr>
              <w:rPr>
                <w:rFonts w:hint="eastAsia" w:ascii="宋体" w:hAnsi="宋体" w:eastAsia="宋体" w:cs="宋体"/>
                <w:color w:val="auto"/>
                <w:sz w:val="21"/>
                <w:highlight w:val="none"/>
              </w:rPr>
            </w:pPr>
          </w:p>
        </w:tc>
        <w:tc>
          <w:tcPr>
            <w:tcW w:w="255" w:type="dxa"/>
            <w:vAlign w:val="top"/>
          </w:tcPr>
          <w:p w14:paraId="4ED3BCA0">
            <w:pPr>
              <w:rPr>
                <w:rFonts w:hint="eastAsia" w:ascii="宋体" w:hAnsi="宋体" w:eastAsia="宋体" w:cs="宋体"/>
                <w:color w:val="auto"/>
                <w:sz w:val="21"/>
                <w:highlight w:val="none"/>
              </w:rPr>
            </w:pPr>
          </w:p>
        </w:tc>
        <w:tc>
          <w:tcPr>
            <w:tcW w:w="292" w:type="dxa"/>
            <w:vAlign w:val="top"/>
          </w:tcPr>
          <w:p w14:paraId="19EDA514">
            <w:pPr>
              <w:rPr>
                <w:rFonts w:hint="eastAsia" w:ascii="宋体" w:hAnsi="宋体" w:eastAsia="宋体" w:cs="宋体"/>
                <w:color w:val="auto"/>
                <w:sz w:val="21"/>
                <w:highlight w:val="none"/>
              </w:rPr>
            </w:pPr>
          </w:p>
        </w:tc>
      </w:tr>
      <w:tr w14:paraId="3C84C2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2230" w:type="dxa"/>
            <w:vAlign w:val="top"/>
          </w:tcPr>
          <w:p w14:paraId="5DB6EE5A">
            <w:pPr>
              <w:pStyle w:val="25"/>
              <w:spacing w:before="104" w:line="213" w:lineRule="auto"/>
              <w:ind w:left="339"/>
              <w:rPr>
                <w:rFonts w:hint="eastAsia" w:ascii="宋体" w:hAnsi="宋体" w:eastAsia="宋体" w:cs="宋体"/>
                <w:color w:val="auto"/>
                <w:sz w:val="19"/>
                <w:szCs w:val="19"/>
                <w:highlight w:val="none"/>
              </w:rPr>
            </w:pPr>
            <w:r>
              <w:rPr>
                <w:rFonts w:hint="eastAsia" w:ascii="宋体" w:hAnsi="宋体" w:eastAsia="宋体" w:cs="宋体"/>
                <w:color w:val="auto"/>
                <w:spacing w:val="6"/>
                <w:sz w:val="19"/>
                <w:szCs w:val="19"/>
                <w:highlight w:val="none"/>
              </w:rPr>
              <w:t>（3）梁体工程</w:t>
            </w:r>
          </w:p>
        </w:tc>
        <w:tc>
          <w:tcPr>
            <w:tcW w:w="254" w:type="dxa"/>
            <w:vAlign w:val="top"/>
          </w:tcPr>
          <w:p w14:paraId="67D73B1A">
            <w:pPr>
              <w:rPr>
                <w:rFonts w:hint="eastAsia" w:ascii="宋体" w:hAnsi="宋体" w:eastAsia="宋体" w:cs="宋体"/>
                <w:color w:val="auto"/>
                <w:sz w:val="21"/>
                <w:highlight w:val="none"/>
              </w:rPr>
            </w:pPr>
          </w:p>
        </w:tc>
        <w:tc>
          <w:tcPr>
            <w:tcW w:w="254" w:type="dxa"/>
            <w:vAlign w:val="top"/>
          </w:tcPr>
          <w:p w14:paraId="11C05F23">
            <w:pPr>
              <w:rPr>
                <w:rFonts w:hint="eastAsia" w:ascii="宋体" w:hAnsi="宋体" w:eastAsia="宋体" w:cs="宋体"/>
                <w:color w:val="auto"/>
                <w:sz w:val="21"/>
                <w:highlight w:val="none"/>
              </w:rPr>
            </w:pPr>
          </w:p>
        </w:tc>
        <w:tc>
          <w:tcPr>
            <w:tcW w:w="255" w:type="dxa"/>
            <w:vAlign w:val="top"/>
          </w:tcPr>
          <w:p w14:paraId="0EC13810">
            <w:pPr>
              <w:rPr>
                <w:rFonts w:hint="eastAsia" w:ascii="宋体" w:hAnsi="宋体" w:eastAsia="宋体" w:cs="宋体"/>
                <w:color w:val="auto"/>
                <w:sz w:val="21"/>
                <w:highlight w:val="none"/>
              </w:rPr>
            </w:pPr>
          </w:p>
        </w:tc>
        <w:tc>
          <w:tcPr>
            <w:tcW w:w="254" w:type="dxa"/>
            <w:vAlign w:val="top"/>
          </w:tcPr>
          <w:p w14:paraId="622CCFEC">
            <w:pPr>
              <w:rPr>
                <w:rFonts w:hint="eastAsia" w:ascii="宋体" w:hAnsi="宋体" w:eastAsia="宋体" w:cs="宋体"/>
                <w:color w:val="auto"/>
                <w:sz w:val="21"/>
                <w:highlight w:val="none"/>
              </w:rPr>
            </w:pPr>
          </w:p>
        </w:tc>
        <w:tc>
          <w:tcPr>
            <w:tcW w:w="255" w:type="dxa"/>
            <w:vAlign w:val="top"/>
          </w:tcPr>
          <w:p w14:paraId="6D892789">
            <w:pPr>
              <w:rPr>
                <w:rFonts w:hint="eastAsia" w:ascii="宋体" w:hAnsi="宋体" w:eastAsia="宋体" w:cs="宋体"/>
                <w:color w:val="auto"/>
                <w:sz w:val="21"/>
                <w:highlight w:val="none"/>
              </w:rPr>
            </w:pPr>
          </w:p>
        </w:tc>
        <w:tc>
          <w:tcPr>
            <w:tcW w:w="255" w:type="dxa"/>
            <w:vAlign w:val="top"/>
          </w:tcPr>
          <w:p w14:paraId="590B8BE7">
            <w:pPr>
              <w:rPr>
                <w:rFonts w:hint="eastAsia" w:ascii="宋体" w:hAnsi="宋体" w:eastAsia="宋体" w:cs="宋体"/>
                <w:color w:val="auto"/>
                <w:sz w:val="21"/>
                <w:highlight w:val="none"/>
              </w:rPr>
            </w:pPr>
          </w:p>
        </w:tc>
        <w:tc>
          <w:tcPr>
            <w:tcW w:w="255" w:type="dxa"/>
            <w:vAlign w:val="top"/>
          </w:tcPr>
          <w:p w14:paraId="00141E27">
            <w:pPr>
              <w:rPr>
                <w:rFonts w:hint="eastAsia" w:ascii="宋体" w:hAnsi="宋体" w:eastAsia="宋体" w:cs="宋体"/>
                <w:color w:val="auto"/>
                <w:sz w:val="21"/>
                <w:highlight w:val="none"/>
              </w:rPr>
            </w:pPr>
          </w:p>
        </w:tc>
        <w:tc>
          <w:tcPr>
            <w:tcW w:w="255" w:type="dxa"/>
            <w:vAlign w:val="top"/>
          </w:tcPr>
          <w:p w14:paraId="5A089621">
            <w:pPr>
              <w:rPr>
                <w:rFonts w:hint="eastAsia" w:ascii="宋体" w:hAnsi="宋体" w:eastAsia="宋体" w:cs="宋体"/>
                <w:color w:val="auto"/>
                <w:sz w:val="21"/>
                <w:highlight w:val="none"/>
              </w:rPr>
            </w:pPr>
          </w:p>
        </w:tc>
        <w:tc>
          <w:tcPr>
            <w:tcW w:w="255" w:type="dxa"/>
            <w:vAlign w:val="top"/>
          </w:tcPr>
          <w:p w14:paraId="17575A61">
            <w:pPr>
              <w:rPr>
                <w:rFonts w:hint="eastAsia" w:ascii="宋体" w:hAnsi="宋体" w:eastAsia="宋体" w:cs="宋体"/>
                <w:color w:val="auto"/>
                <w:sz w:val="21"/>
                <w:highlight w:val="none"/>
              </w:rPr>
            </w:pPr>
          </w:p>
        </w:tc>
        <w:tc>
          <w:tcPr>
            <w:tcW w:w="255" w:type="dxa"/>
            <w:vAlign w:val="top"/>
          </w:tcPr>
          <w:p w14:paraId="6326EDD7">
            <w:pPr>
              <w:rPr>
                <w:rFonts w:hint="eastAsia" w:ascii="宋体" w:hAnsi="宋体" w:eastAsia="宋体" w:cs="宋体"/>
                <w:color w:val="auto"/>
                <w:sz w:val="21"/>
                <w:highlight w:val="none"/>
              </w:rPr>
            </w:pPr>
          </w:p>
        </w:tc>
        <w:tc>
          <w:tcPr>
            <w:tcW w:w="255" w:type="dxa"/>
            <w:vAlign w:val="top"/>
          </w:tcPr>
          <w:p w14:paraId="137AB4EC">
            <w:pPr>
              <w:rPr>
                <w:rFonts w:hint="eastAsia" w:ascii="宋体" w:hAnsi="宋体" w:eastAsia="宋体" w:cs="宋体"/>
                <w:color w:val="auto"/>
                <w:sz w:val="21"/>
                <w:highlight w:val="none"/>
              </w:rPr>
            </w:pPr>
          </w:p>
        </w:tc>
        <w:tc>
          <w:tcPr>
            <w:tcW w:w="255" w:type="dxa"/>
            <w:vAlign w:val="top"/>
          </w:tcPr>
          <w:p w14:paraId="2AEDD035">
            <w:pPr>
              <w:rPr>
                <w:rFonts w:hint="eastAsia" w:ascii="宋体" w:hAnsi="宋体" w:eastAsia="宋体" w:cs="宋体"/>
                <w:color w:val="auto"/>
                <w:sz w:val="21"/>
                <w:highlight w:val="none"/>
              </w:rPr>
            </w:pPr>
          </w:p>
        </w:tc>
        <w:tc>
          <w:tcPr>
            <w:tcW w:w="255" w:type="dxa"/>
            <w:vAlign w:val="top"/>
          </w:tcPr>
          <w:p w14:paraId="09C5C19C">
            <w:pPr>
              <w:rPr>
                <w:rFonts w:hint="eastAsia" w:ascii="宋体" w:hAnsi="宋体" w:eastAsia="宋体" w:cs="宋体"/>
                <w:color w:val="auto"/>
                <w:sz w:val="21"/>
                <w:highlight w:val="none"/>
              </w:rPr>
            </w:pPr>
          </w:p>
        </w:tc>
        <w:tc>
          <w:tcPr>
            <w:tcW w:w="255" w:type="dxa"/>
            <w:vAlign w:val="top"/>
          </w:tcPr>
          <w:p w14:paraId="5DF3381B">
            <w:pPr>
              <w:rPr>
                <w:rFonts w:hint="eastAsia" w:ascii="宋体" w:hAnsi="宋体" w:eastAsia="宋体" w:cs="宋体"/>
                <w:color w:val="auto"/>
                <w:sz w:val="21"/>
                <w:highlight w:val="none"/>
              </w:rPr>
            </w:pPr>
          </w:p>
        </w:tc>
        <w:tc>
          <w:tcPr>
            <w:tcW w:w="255" w:type="dxa"/>
            <w:vAlign w:val="top"/>
          </w:tcPr>
          <w:p w14:paraId="12B86B51">
            <w:pPr>
              <w:rPr>
                <w:rFonts w:hint="eastAsia" w:ascii="宋体" w:hAnsi="宋体" w:eastAsia="宋体" w:cs="宋体"/>
                <w:color w:val="auto"/>
                <w:sz w:val="21"/>
                <w:highlight w:val="none"/>
              </w:rPr>
            </w:pPr>
          </w:p>
        </w:tc>
        <w:tc>
          <w:tcPr>
            <w:tcW w:w="255" w:type="dxa"/>
            <w:vAlign w:val="top"/>
          </w:tcPr>
          <w:p w14:paraId="147BBB1C">
            <w:pPr>
              <w:rPr>
                <w:rFonts w:hint="eastAsia" w:ascii="宋体" w:hAnsi="宋体" w:eastAsia="宋体" w:cs="宋体"/>
                <w:color w:val="auto"/>
                <w:sz w:val="21"/>
                <w:highlight w:val="none"/>
              </w:rPr>
            </w:pPr>
          </w:p>
        </w:tc>
        <w:tc>
          <w:tcPr>
            <w:tcW w:w="255" w:type="dxa"/>
            <w:vAlign w:val="top"/>
          </w:tcPr>
          <w:p w14:paraId="0F3CF0E4">
            <w:pPr>
              <w:rPr>
                <w:rFonts w:hint="eastAsia" w:ascii="宋体" w:hAnsi="宋体" w:eastAsia="宋体" w:cs="宋体"/>
                <w:color w:val="auto"/>
                <w:sz w:val="21"/>
                <w:highlight w:val="none"/>
              </w:rPr>
            </w:pPr>
          </w:p>
        </w:tc>
        <w:tc>
          <w:tcPr>
            <w:tcW w:w="255" w:type="dxa"/>
            <w:vAlign w:val="top"/>
          </w:tcPr>
          <w:p w14:paraId="496EE48C">
            <w:pPr>
              <w:rPr>
                <w:rFonts w:hint="eastAsia" w:ascii="宋体" w:hAnsi="宋体" w:eastAsia="宋体" w:cs="宋体"/>
                <w:color w:val="auto"/>
                <w:sz w:val="21"/>
                <w:highlight w:val="none"/>
              </w:rPr>
            </w:pPr>
          </w:p>
        </w:tc>
        <w:tc>
          <w:tcPr>
            <w:tcW w:w="255" w:type="dxa"/>
            <w:vAlign w:val="top"/>
          </w:tcPr>
          <w:p w14:paraId="0D2A4A29">
            <w:pPr>
              <w:rPr>
                <w:rFonts w:hint="eastAsia" w:ascii="宋体" w:hAnsi="宋体" w:eastAsia="宋体" w:cs="宋体"/>
                <w:color w:val="auto"/>
                <w:sz w:val="21"/>
                <w:highlight w:val="none"/>
              </w:rPr>
            </w:pPr>
          </w:p>
        </w:tc>
        <w:tc>
          <w:tcPr>
            <w:tcW w:w="255" w:type="dxa"/>
            <w:vAlign w:val="top"/>
          </w:tcPr>
          <w:p w14:paraId="02FD64F3">
            <w:pPr>
              <w:rPr>
                <w:rFonts w:hint="eastAsia" w:ascii="宋体" w:hAnsi="宋体" w:eastAsia="宋体" w:cs="宋体"/>
                <w:color w:val="auto"/>
                <w:sz w:val="21"/>
                <w:highlight w:val="none"/>
              </w:rPr>
            </w:pPr>
          </w:p>
        </w:tc>
        <w:tc>
          <w:tcPr>
            <w:tcW w:w="255" w:type="dxa"/>
            <w:vAlign w:val="top"/>
          </w:tcPr>
          <w:p w14:paraId="52346E6C">
            <w:pPr>
              <w:rPr>
                <w:rFonts w:hint="eastAsia" w:ascii="宋体" w:hAnsi="宋体" w:eastAsia="宋体" w:cs="宋体"/>
                <w:color w:val="auto"/>
                <w:sz w:val="21"/>
                <w:highlight w:val="none"/>
              </w:rPr>
            </w:pPr>
          </w:p>
        </w:tc>
        <w:tc>
          <w:tcPr>
            <w:tcW w:w="255" w:type="dxa"/>
            <w:vAlign w:val="top"/>
          </w:tcPr>
          <w:p w14:paraId="2EA9B20C">
            <w:pPr>
              <w:rPr>
                <w:rFonts w:hint="eastAsia" w:ascii="宋体" w:hAnsi="宋体" w:eastAsia="宋体" w:cs="宋体"/>
                <w:color w:val="auto"/>
                <w:sz w:val="21"/>
                <w:highlight w:val="none"/>
              </w:rPr>
            </w:pPr>
          </w:p>
        </w:tc>
        <w:tc>
          <w:tcPr>
            <w:tcW w:w="255" w:type="dxa"/>
            <w:vAlign w:val="top"/>
          </w:tcPr>
          <w:p w14:paraId="64D6B27F">
            <w:pPr>
              <w:rPr>
                <w:rFonts w:hint="eastAsia" w:ascii="宋体" w:hAnsi="宋体" w:eastAsia="宋体" w:cs="宋体"/>
                <w:color w:val="auto"/>
                <w:sz w:val="21"/>
                <w:highlight w:val="none"/>
              </w:rPr>
            </w:pPr>
          </w:p>
        </w:tc>
        <w:tc>
          <w:tcPr>
            <w:tcW w:w="255" w:type="dxa"/>
            <w:vAlign w:val="top"/>
          </w:tcPr>
          <w:p w14:paraId="21B4E836">
            <w:pPr>
              <w:rPr>
                <w:rFonts w:hint="eastAsia" w:ascii="宋体" w:hAnsi="宋体" w:eastAsia="宋体" w:cs="宋体"/>
                <w:color w:val="auto"/>
                <w:sz w:val="21"/>
                <w:highlight w:val="none"/>
              </w:rPr>
            </w:pPr>
          </w:p>
        </w:tc>
        <w:tc>
          <w:tcPr>
            <w:tcW w:w="255" w:type="dxa"/>
            <w:vAlign w:val="top"/>
          </w:tcPr>
          <w:p w14:paraId="45D7BB63">
            <w:pPr>
              <w:rPr>
                <w:rFonts w:hint="eastAsia" w:ascii="宋体" w:hAnsi="宋体" w:eastAsia="宋体" w:cs="宋体"/>
                <w:color w:val="auto"/>
                <w:sz w:val="21"/>
                <w:highlight w:val="none"/>
              </w:rPr>
            </w:pPr>
          </w:p>
        </w:tc>
        <w:tc>
          <w:tcPr>
            <w:tcW w:w="255" w:type="dxa"/>
            <w:vAlign w:val="top"/>
          </w:tcPr>
          <w:p w14:paraId="7254FB26">
            <w:pPr>
              <w:rPr>
                <w:rFonts w:hint="eastAsia" w:ascii="宋体" w:hAnsi="宋体" w:eastAsia="宋体" w:cs="宋体"/>
                <w:color w:val="auto"/>
                <w:sz w:val="21"/>
                <w:highlight w:val="none"/>
              </w:rPr>
            </w:pPr>
          </w:p>
        </w:tc>
        <w:tc>
          <w:tcPr>
            <w:tcW w:w="255" w:type="dxa"/>
            <w:vAlign w:val="top"/>
          </w:tcPr>
          <w:p w14:paraId="340C225F">
            <w:pPr>
              <w:rPr>
                <w:rFonts w:hint="eastAsia" w:ascii="宋体" w:hAnsi="宋体" w:eastAsia="宋体" w:cs="宋体"/>
                <w:color w:val="auto"/>
                <w:sz w:val="21"/>
                <w:highlight w:val="none"/>
              </w:rPr>
            </w:pPr>
          </w:p>
        </w:tc>
        <w:tc>
          <w:tcPr>
            <w:tcW w:w="255" w:type="dxa"/>
            <w:vAlign w:val="top"/>
          </w:tcPr>
          <w:p w14:paraId="2583048F">
            <w:pPr>
              <w:rPr>
                <w:rFonts w:hint="eastAsia" w:ascii="宋体" w:hAnsi="宋体" w:eastAsia="宋体" w:cs="宋体"/>
                <w:color w:val="auto"/>
                <w:sz w:val="21"/>
                <w:highlight w:val="none"/>
              </w:rPr>
            </w:pPr>
          </w:p>
        </w:tc>
        <w:tc>
          <w:tcPr>
            <w:tcW w:w="292" w:type="dxa"/>
            <w:vAlign w:val="top"/>
          </w:tcPr>
          <w:p w14:paraId="29FC1E5B">
            <w:pPr>
              <w:rPr>
                <w:rFonts w:hint="eastAsia" w:ascii="宋体" w:hAnsi="宋体" w:eastAsia="宋体" w:cs="宋体"/>
                <w:color w:val="auto"/>
                <w:sz w:val="21"/>
                <w:highlight w:val="none"/>
              </w:rPr>
            </w:pPr>
          </w:p>
        </w:tc>
      </w:tr>
      <w:tr w14:paraId="3E56D4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2230" w:type="dxa"/>
            <w:vAlign w:val="top"/>
          </w:tcPr>
          <w:p w14:paraId="4BA7D12D">
            <w:pPr>
              <w:pStyle w:val="25"/>
              <w:spacing w:before="108" w:line="211" w:lineRule="auto"/>
              <w:ind w:left="339"/>
              <w:rPr>
                <w:rFonts w:hint="eastAsia" w:ascii="宋体" w:hAnsi="宋体" w:eastAsia="宋体" w:cs="宋体"/>
                <w:color w:val="auto"/>
                <w:sz w:val="19"/>
                <w:szCs w:val="19"/>
                <w:highlight w:val="none"/>
              </w:rPr>
            </w:pPr>
            <w:r>
              <w:rPr>
                <w:rFonts w:hint="eastAsia" w:ascii="宋体" w:hAnsi="宋体" w:eastAsia="宋体" w:cs="宋体"/>
                <w:color w:val="auto"/>
                <w:spacing w:val="6"/>
                <w:sz w:val="19"/>
                <w:szCs w:val="19"/>
                <w:highlight w:val="none"/>
              </w:rPr>
              <w:t>（4）梁体安装</w:t>
            </w:r>
          </w:p>
        </w:tc>
        <w:tc>
          <w:tcPr>
            <w:tcW w:w="254" w:type="dxa"/>
            <w:vAlign w:val="top"/>
          </w:tcPr>
          <w:p w14:paraId="024BBEE7">
            <w:pPr>
              <w:rPr>
                <w:rFonts w:hint="eastAsia" w:ascii="宋体" w:hAnsi="宋体" w:eastAsia="宋体" w:cs="宋体"/>
                <w:color w:val="auto"/>
                <w:sz w:val="21"/>
                <w:highlight w:val="none"/>
              </w:rPr>
            </w:pPr>
          </w:p>
        </w:tc>
        <w:tc>
          <w:tcPr>
            <w:tcW w:w="254" w:type="dxa"/>
            <w:vAlign w:val="top"/>
          </w:tcPr>
          <w:p w14:paraId="63710FB8">
            <w:pPr>
              <w:rPr>
                <w:rFonts w:hint="eastAsia" w:ascii="宋体" w:hAnsi="宋体" w:eastAsia="宋体" w:cs="宋体"/>
                <w:color w:val="auto"/>
                <w:sz w:val="21"/>
                <w:highlight w:val="none"/>
              </w:rPr>
            </w:pPr>
          </w:p>
        </w:tc>
        <w:tc>
          <w:tcPr>
            <w:tcW w:w="255" w:type="dxa"/>
            <w:vAlign w:val="top"/>
          </w:tcPr>
          <w:p w14:paraId="1B5E1E89">
            <w:pPr>
              <w:rPr>
                <w:rFonts w:hint="eastAsia" w:ascii="宋体" w:hAnsi="宋体" w:eastAsia="宋体" w:cs="宋体"/>
                <w:color w:val="auto"/>
                <w:sz w:val="21"/>
                <w:highlight w:val="none"/>
              </w:rPr>
            </w:pPr>
          </w:p>
        </w:tc>
        <w:tc>
          <w:tcPr>
            <w:tcW w:w="254" w:type="dxa"/>
            <w:vAlign w:val="top"/>
          </w:tcPr>
          <w:p w14:paraId="095E7470">
            <w:pPr>
              <w:rPr>
                <w:rFonts w:hint="eastAsia" w:ascii="宋体" w:hAnsi="宋体" w:eastAsia="宋体" w:cs="宋体"/>
                <w:color w:val="auto"/>
                <w:sz w:val="21"/>
                <w:highlight w:val="none"/>
              </w:rPr>
            </w:pPr>
          </w:p>
        </w:tc>
        <w:tc>
          <w:tcPr>
            <w:tcW w:w="255" w:type="dxa"/>
            <w:vAlign w:val="top"/>
          </w:tcPr>
          <w:p w14:paraId="38C4A28F">
            <w:pPr>
              <w:rPr>
                <w:rFonts w:hint="eastAsia" w:ascii="宋体" w:hAnsi="宋体" w:eastAsia="宋体" w:cs="宋体"/>
                <w:color w:val="auto"/>
                <w:sz w:val="21"/>
                <w:highlight w:val="none"/>
              </w:rPr>
            </w:pPr>
          </w:p>
        </w:tc>
        <w:tc>
          <w:tcPr>
            <w:tcW w:w="255" w:type="dxa"/>
            <w:vAlign w:val="top"/>
          </w:tcPr>
          <w:p w14:paraId="61F014E7">
            <w:pPr>
              <w:rPr>
                <w:rFonts w:hint="eastAsia" w:ascii="宋体" w:hAnsi="宋体" w:eastAsia="宋体" w:cs="宋体"/>
                <w:color w:val="auto"/>
                <w:sz w:val="21"/>
                <w:highlight w:val="none"/>
              </w:rPr>
            </w:pPr>
          </w:p>
        </w:tc>
        <w:tc>
          <w:tcPr>
            <w:tcW w:w="255" w:type="dxa"/>
            <w:vAlign w:val="top"/>
          </w:tcPr>
          <w:p w14:paraId="3908C23A">
            <w:pPr>
              <w:rPr>
                <w:rFonts w:hint="eastAsia" w:ascii="宋体" w:hAnsi="宋体" w:eastAsia="宋体" w:cs="宋体"/>
                <w:color w:val="auto"/>
                <w:sz w:val="21"/>
                <w:highlight w:val="none"/>
              </w:rPr>
            </w:pPr>
          </w:p>
        </w:tc>
        <w:tc>
          <w:tcPr>
            <w:tcW w:w="255" w:type="dxa"/>
            <w:vAlign w:val="top"/>
          </w:tcPr>
          <w:p w14:paraId="3BEA3753">
            <w:pPr>
              <w:rPr>
                <w:rFonts w:hint="eastAsia" w:ascii="宋体" w:hAnsi="宋体" w:eastAsia="宋体" w:cs="宋体"/>
                <w:color w:val="auto"/>
                <w:sz w:val="21"/>
                <w:highlight w:val="none"/>
              </w:rPr>
            </w:pPr>
          </w:p>
        </w:tc>
        <w:tc>
          <w:tcPr>
            <w:tcW w:w="255" w:type="dxa"/>
            <w:vAlign w:val="top"/>
          </w:tcPr>
          <w:p w14:paraId="631BE46D">
            <w:pPr>
              <w:rPr>
                <w:rFonts w:hint="eastAsia" w:ascii="宋体" w:hAnsi="宋体" w:eastAsia="宋体" w:cs="宋体"/>
                <w:color w:val="auto"/>
                <w:sz w:val="21"/>
                <w:highlight w:val="none"/>
              </w:rPr>
            </w:pPr>
          </w:p>
        </w:tc>
        <w:tc>
          <w:tcPr>
            <w:tcW w:w="255" w:type="dxa"/>
            <w:vAlign w:val="top"/>
          </w:tcPr>
          <w:p w14:paraId="3D6EDB90">
            <w:pPr>
              <w:rPr>
                <w:rFonts w:hint="eastAsia" w:ascii="宋体" w:hAnsi="宋体" w:eastAsia="宋体" w:cs="宋体"/>
                <w:color w:val="auto"/>
                <w:sz w:val="21"/>
                <w:highlight w:val="none"/>
              </w:rPr>
            </w:pPr>
          </w:p>
        </w:tc>
        <w:tc>
          <w:tcPr>
            <w:tcW w:w="255" w:type="dxa"/>
            <w:vAlign w:val="top"/>
          </w:tcPr>
          <w:p w14:paraId="7464C0E9">
            <w:pPr>
              <w:rPr>
                <w:rFonts w:hint="eastAsia" w:ascii="宋体" w:hAnsi="宋体" w:eastAsia="宋体" w:cs="宋体"/>
                <w:color w:val="auto"/>
                <w:sz w:val="21"/>
                <w:highlight w:val="none"/>
              </w:rPr>
            </w:pPr>
          </w:p>
        </w:tc>
        <w:tc>
          <w:tcPr>
            <w:tcW w:w="255" w:type="dxa"/>
            <w:vAlign w:val="top"/>
          </w:tcPr>
          <w:p w14:paraId="5F14D7D2">
            <w:pPr>
              <w:rPr>
                <w:rFonts w:hint="eastAsia" w:ascii="宋体" w:hAnsi="宋体" w:eastAsia="宋体" w:cs="宋体"/>
                <w:color w:val="auto"/>
                <w:sz w:val="21"/>
                <w:highlight w:val="none"/>
              </w:rPr>
            </w:pPr>
          </w:p>
        </w:tc>
        <w:tc>
          <w:tcPr>
            <w:tcW w:w="255" w:type="dxa"/>
            <w:vAlign w:val="top"/>
          </w:tcPr>
          <w:p w14:paraId="225C7264">
            <w:pPr>
              <w:rPr>
                <w:rFonts w:hint="eastAsia" w:ascii="宋体" w:hAnsi="宋体" w:eastAsia="宋体" w:cs="宋体"/>
                <w:color w:val="auto"/>
                <w:sz w:val="21"/>
                <w:highlight w:val="none"/>
              </w:rPr>
            </w:pPr>
          </w:p>
        </w:tc>
        <w:tc>
          <w:tcPr>
            <w:tcW w:w="255" w:type="dxa"/>
            <w:vAlign w:val="top"/>
          </w:tcPr>
          <w:p w14:paraId="7040A3AF">
            <w:pPr>
              <w:rPr>
                <w:rFonts w:hint="eastAsia" w:ascii="宋体" w:hAnsi="宋体" w:eastAsia="宋体" w:cs="宋体"/>
                <w:color w:val="auto"/>
                <w:sz w:val="21"/>
                <w:highlight w:val="none"/>
              </w:rPr>
            </w:pPr>
          </w:p>
        </w:tc>
        <w:tc>
          <w:tcPr>
            <w:tcW w:w="255" w:type="dxa"/>
            <w:vAlign w:val="top"/>
          </w:tcPr>
          <w:p w14:paraId="5F458595">
            <w:pPr>
              <w:rPr>
                <w:rFonts w:hint="eastAsia" w:ascii="宋体" w:hAnsi="宋体" w:eastAsia="宋体" w:cs="宋体"/>
                <w:color w:val="auto"/>
                <w:sz w:val="21"/>
                <w:highlight w:val="none"/>
              </w:rPr>
            </w:pPr>
          </w:p>
        </w:tc>
        <w:tc>
          <w:tcPr>
            <w:tcW w:w="255" w:type="dxa"/>
            <w:vAlign w:val="top"/>
          </w:tcPr>
          <w:p w14:paraId="256F7247">
            <w:pPr>
              <w:rPr>
                <w:rFonts w:hint="eastAsia" w:ascii="宋体" w:hAnsi="宋体" w:eastAsia="宋体" w:cs="宋体"/>
                <w:color w:val="auto"/>
                <w:sz w:val="21"/>
                <w:highlight w:val="none"/>
              </w:rPr>
            </w:pPr>
          </w:p>
        </w:tc>
        <w:tc>
          <w:tcPr>
            <w:tcW w:w="255" w:type="dxa"/>
            <w:vAlign w:val="top"/>
          </w:tcPr>
          <w:p w14:paraId="7378BDE6">
            <w:pPr>
              <w:rPr>
                <w:rFonts w:hint="eastAsia" w:ascii="宋体" w:hAnsi="宋体" w:eastAsia="宋体" w:cs="宋体"/>
                <w:color w:val="auto"/>
                <w:sz w:val="21"/>
                <w:highlight w:val="none"/>
              </w:rPr>
            </w:pPr>
          </w:p>
        </w:tc>
        <w:tc>
          <w:tcPr>
            <w:tcW w:w="255" w:type="dxa"/>
            <w:vAlign w:val="top"/>
          </w:tcPr>
          <w:p w14:paraId="7FBDB793">
            <w:pPr>
              <w:rPr>
                <w:rFonts w:hint="eastAsia" w:ascii="宋体" w:hAnsi="宋体" w:eastAsia="宋体" w:cs="宋体"/>
                <w:color w:val="auto"/>
                <w:sz w:val="21"/>
                <w:highlight w:val="none"/>
              </w:rPr>
            </w:pPr>
          </w:p>
        </w:tc>
        <w:tc>
          <w:tcPr>
            <w:tcW w:w="255" w:type="dxa"/>
            <w:vAlign w:val="top"/>
          </w:tcPr>
          <w:p w14:paraId="1051CEC9">
            <w:pPr>
              <w:rPr>
                <w:rFonts w:hint="eastAsia" w:ascii="宋体" w:hAnsi="宋体" w:eastAsia="宋体" w:cs="宋体"/>
                <w:color w:val="auto"/>
                <w:sz w:val="21"/>
                <w:highlight w:val="none"/>
              </w:rPr>
            </w:pPr>
          </w:p>
        </w:tc>
        <w:tc>
          <w:tcPr>
            <w:tcW w:w="255" w:type="dxa"/>
            <w:vAlign w:val="top"/>
          </w:tcPr>
          <w:p w14:paraId="04A48A1E">
            <w:pPr>
              <w:rPr>
                <w:rFonts w:hint="eastAsia" w:ascii="宋体" w:hAnsi="宋体" w:eastAsia="宋体" w:cs="宋体"/>
                <w:color w:val="auto"/>
                <w:sz w:val="21"/>
                <w:highlight w:val="none"/>
              </w:rPr>
            </w:pPr>
          </w:p>
        </w:tc>
        <w:tc>
          <w:tcPr>
            <w:tcW w:w="255" w:type="dxa"/>
            <w:vAlign w:val="top"/>
          </w:tcPr>
          <w:p w14:paraId="6D1634CD">
            <w:pPr>
              <w:rPr>
                <w:rFonts w:hint="eastAsia" w:ascii="宋体" w:hAnsi="宋体" w:eastAsia="宋体" w:cs="宋体"/>
                <w:color w:val="auto"/>
                <w:sz w:val="21"/>
                <w:highlight w:val="none"/>
              </w:rPr>
            </w:pPr>
          </w:p>
        </w:tc>
        <w:tc>
          <w:tcPr>
            <w:tcW w:w="255" w:type="dxa"/>
            <w:vAlign w:val="top"/>
          </w:tcPr>
          <w:p w14:paraId="0C12E196">
            <w:pPr>
              <w:rPr>
                <w:rFonts w:hint="eastAsia" w:ascii="宋体" w:hAnsi="宋体" w:eastAsia="宋体" w:cs="宋体"/>
                <w:color w:val="auto"/>
                <w:sz w:val="21"/>
                <w:highlight w:val="none"/>
              </w:rPr>
            </w:pPr>
          </w:p>
        </w:tc>
        <w:tc>
          <w:tcPr>
            <w:tcW w:w="255" w:type="dxa"/>
            <w:vAlign w:val="top"/>
          </w:tcPr>
          <w:p w14:paraId="17495CCA">
            <w:pPr>
              <w:rPr>
                <w:rFonts w:hint="eastAsia" w:ascii="宋体" w:hAnsi="宋体" w:eastAsia="宋体" w:cs="宋体"/>
                <w:color w:val="auto"/>
                <w:sz w:val="21"/>
                <w:highlight w:val="none"/>
              </w:rPr>
            </w:pPr>
          </w:p>
        </w:tc>
        <w:tc>
          <w:tcPr>
            <w:tcW w:w="255" w:type="dxa"/>
            <w:vAlign w:val="top"/>
          </w:tcPr>
          <w:p w14:paraId="6E6CC8D8">
            <w:pPr>
              <w:rPr>
                <w:rFonts w:hint="eastAsia" w:ascii="宋体" w:hAnsi="宋体" w:eastAsia="宋体" w:cs="宋体"/>
                <w:color w:val="auto"/>
                <w:sz w:val="21"/>
                <w:highlight w:val="none"/>
              </w:rPr>
            </w:pPr>
          </w:p>
        </w:tc>
        <w:tc>
          <w:tcPr>
            <w:tcW w:w="255" w:type="dxa"/>
            <w:vAlign w:val="top"/>
          </w:tcPr>
          <w:p w14:paraId="3FB0DCC8">
            <w:pPr>
              <w:rPr>
                <w:rFonts w:hint="eastAsia" w:ascii="宋体" w:hAnsi="宋体" w:eastAsia="宋体" w:cs="宋体"/>
                <w:color w:val="auto"/>
                <w:sz w:val="21"/>
                <w:highlight w:val="none"/>
              </w:rPr>
            </w:pPr>
          </w:p>
        </w:tc>
        <w:tc>
          <w:tcPr>
            <w:tcW w:w="255" w:type="dxa"/>
            <w:vAlign w:val="top"/>
          </w:tcPr>
          <w:p w14:paraId="532DD4F2">
            <w:pPr>
              <w:rPr>
                <w:rFonts w:hint="eastAsia" w:ascii="宋体" w:hAnsi="宋体" w:eastAsia="宋体" w:cs="宋体"/>
                <w:color w:val="auto"/>
                <w:sz w:val="21"/>
                <w:highlight w:val="none"/>
              </w:rPr>
            </w:pPr>
          </w:p>
        </w:tc>
        <w:tc>
          <w:tcPr>
            <w:tcW w:w="255" w:type="dxa"/>
            <w:vAlign w:val="top"/>
          </w:tcPr>
          <w:p w14:paraId="2CDE45E5">
            <w:pPr>
              <w:rPr>
                <w:rFonts w:hint="eastAsia" w:ascii="宋体" w:hAnsi="宋体" w:eastAsia="宋体" w:cs="宋体"/>
                <w:color w:val="auto"/>
                <w:sz w:val="21"/>
                <w:highlight w:val="none"/>
              </w:rPr>
            </w:pPr>
          </w:p>
        </w:tc>
        <w:tc>
          <w:tcPr>
            <w:tcW w:w="255" w:type="dxa"/>
            <w:vAlign w:val="top"/>
          </w:tcPr>
          <w:p w14:paraId="6508AE7B">
            <w:pPr>
              <w:rPr>
                <w:rFonts w:hint="eastAsia" w:ascii="宋体" w:hAnsi="宋体" w:eastAsia="宋体" w:cs="宋体"/>
                <w:color w:val="auto"/>
                <w:sz w:val="21"/>
                <w:highlight w:val="none"/>
              </w:rPr>
            </w:pPr>
          </w:p>
        </w:tc>
        <w:tc>
          <w:tcPr>
            <w:tcW w:w="292" w:type="dxa"/>
            <w:vAlign w:val="top"/>
          </w:tcPr>
          <w:p w14:paraId="4EDDF93B">
            <w:pPr>
              <w:rPr>
                <w:rFonts w:hint="eastAsia" w:ascii="宋体" w:hAnsi="宋体" w:eastAsia="宋体" w:cs="宋体"/>
                <w:color w:val="auto"/>
                <w:sz w:val="21"/>
                <w:highlight w:val="none"/>
              </w:rPr>
            </w:pPr>
          </w:p>
        </w:tc>
      </w:tr>
      <w:tr w14:paraId="66B302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 w:hRule="atLeast"/>
        </w:trPr>
        <w:tc>
          <w:tcPr>
            <w:tcW w:w="2230" w:type="dxa"/>
            <w:vAlign w:val="top"/>
          </w:tcPr>
          <w:p w14:paraId="48EC8270">
            <w:pPr>
              <w:pStyle w:val="25"/>
              <w:spacing w:before="109" w:line="198" w:lineRule="auto"/>
              <w:ind w:left="328" w:right="89" w:firstLine="10"/>
              <w:rPr>
                <w:rFonts w:hint="eastAsia" w:ascii="宋体" w:hAnsi="宋体" w:eastAsia="宋体" w:cs="宋体"/>
                <w:color w:val="auto"/>
                <w:sz w:val="19"/>
                <w:szCs w:val="19"/>
                <w:highlight w:val="none"/>
              </w:rPr>
            </w:pPr>
            <w:r>
              <w:rPr>
                <w:rFonts w:hint="eastAsia" w:ascii="宋体" w:hAnsi="宋体" w:eastAsia="宋体" w:cs="宋体"/>
                <w:color w:val="auto"/>
                <w:spacing w:val="-1"/>
                <w:sz w:val="19"/>
                <w:szCs w:val="19"/>
                <w:highlight w:val="none"/>
              </w:rPr>
              <w:t>（5）桥面铺装及人行</w:t>
            </w:r>
            <w:r>
              <w:rPr>
                <w:rFonts w:hint="eastAsia" w:ascii="宋体" w:hAnsi="宋体" w:eastAsia="宋体" w:cs="宋体"/>
                <w:color w:val="auto"/>
                <w:spacing w:val="2"/>
                <w:sz w:val="19"/>
                <w:szCs w:val="19"/>
                <w:highlight w:val="none"/>
              </w:rPr>
              <w:t>道</w:t>
            </w:r>
          </w:p>
        </w:tc>
        <w:tc>
          <w:tcPr>
            <w:tcW w:w="254" w:type="dxa"/>
            <w:vAlign w:val="top"/>
          </w:tcPr>
          <w:p w14:paraId="5D25DD49">
            <w:pPr>
              <w:rPr>
                <w:rFonts w:hint="eastAsia" w:ascii="宋体" w:hAnsi="宋体" w:eastAsia="宋体" w:cs="宋体"/>
                <w:color w:val="auto"/>
                <w:sz w:val="21"/>
                <w:highlight w:val="none"/>
              </w:rPr>
            </w:pPr>
          </w:p>
        </w:tc>
        <w:tc>
          <w:tcPr>
            <w:tcW w:w="254" w:type="dxa"/>
            <w:vAlign w:val="top"/>
          </w:tcPr>
          <w:p w14:paraId="44FE6778">
            <w:pPr>
              <w:rPr>
                <w:rFonts w:hint="eastAsia" w:ascii="宋体" w:hAnsi="宋体" w:eastAsia="宋体" w:cs="宋体"/>
                <w:color w:val="auto"/>
                <w:sz w:val="21"/>
                <w:highlight w:val="none"/>
              </w:rPr>
            </w:pPr>
          </w:p>
        </w:tc>
        <w:tc>
          <w:tcPr>
            <w:tcW w:w="255" w:type="dxa"/>
            <w:vAlign w:val="top"/>
          </w:tcPr>
          <w:p w14:paraId="0DA9B7D6">
            <w:pPr>
              <w:rPr>
                <w:rFonts w:hint="eastAsia" w:ascii="宋体" w:hAnsi="宋体" w:eastAsia="宋体" w:cs="宋体"/>
                <w:color w:val="auto"/>
                <w:sz w:val="21"/>
                <w:highlight w:val="none"/>
              </w:rPr>
            </w:pPr>
          </w:p>
        </w:tc>
        <w:tc>
          <w:tcPr>
            <w:tcW w:w="254" w:type="dxa"/>
            <w:vAlign w:val="top"/>
          </w:tcPr>
          <w:p w14:paraId="08E9E439">
            <w:pPr>
              <w:rPr>
                <w:rFonts w:hint="eastAsia" w:ascii="宋体" w:hAnsi="宋体" w:eastAsia="宋体" w:cs="宋体"/>
                <w:color w:val="auto"/>
                <w:sz w:val="21"/>
                <w:highlight w:val="none"/>
              </w:rPr>
            </w:pPr>
          </w:p>
        </w:tc>
        <w:tc>
          <w:tcPr>
            <w:tcW w:w="255" w:type="dxa"/>
            <w:vAlign w:val="top"/>
          </w:tcPr>
          <w:p w14:paraId="5A4145A2">
            <w:pPr>
              <w:rPr>
                <w:rFonts w:hint="eastAsia" w:ascii="宋体" w:hAnsi="宋体" w:eastAsia="宋体" w:cs="宋体"/>
                <w:color w:val="auto"/>
                <w:sz w:val="21"/>
                <w:highlight w:val="none"/>
              </w:rPr>
            </w:pPr>
          </w:p>
        </w:tc>
        <w:tc>
          <w:tcPr>
            <w:tcW w:w="255" w:type="dxa"/>
            <w:vAlign w:val="top"/>
          </w:tcPr>
          <w:p w14:paraId="50D80729">
            <w:pPr>
              <w:rPr>
                <w:rFonts w:hint="eastAsia" w:ascii="宋体" w:hAnsi="宋体" w:eastAsia="宋体" w:cs="宋体"/>
                <w:color w:val="auto"/>
                <w:sz w:val="21"/>
                <w:highlight w:val="none"/>
              </w:rPr>
            </w:pPr>
          </w:p>
        </w:tc>
        <w:tc>
          <w:tcPr>
            <w:tcW w:w="255" w:type="dxa"/>
            <w:vAlign w:val="top"/>
          </w:tcPr>
          <w:p w14:paraId="281E266B">
            <w:pPr>
              <w:rPr>
                <w:rFonts w:hint="eastAsia" w:ascii="宋体" w:hAnsi="宋体" w:eastAsia="宋体" w:cs="宋体"/>
                <w:color w:val="auto"/>
                <w:sz w:val="21"/>
                <w:highlight w:val="none"/>
              </w:rPr>
            </w:pPr>
          </w:p>
        </w:tc>
        <w:tc>
          <w:tcPr>
            <w:tcW w:w="255" w:type="dxa"/>
            <w:vAlign w:val="top"/>
          </w:tcPr>
          <w:p w14:paraId="69AA591A">
            <w:pPr>
              <w:rPr>
                <w:rFonts w:hint="eastAsia" w:ascii="宋体" w:hAnsi="宋体" w:eastAsia="宋体" w:cs="宋体"/>
                <w:color w:val="auto"/>
                <w:sz w:val="21"/>
                <w:highlight w:val="none"/>
              </w:rPr>
            </w:pPr>
          </w:p>
        </w:tc>
        <w:tc>
          <w:tcPr>
            <w:tcW w:w="255" w:type="dxa"/>
            <w:vAlign w:val="top"/>
          </w:tcPr>
          <w:p w14:paraId="14DBFE8A">
            <w:pPr>
              <w:rPr>
                <w:rFonts w:hint="eastAsia" w:ascii="宋体" w:hAnsi="宋体" w:eastAsia="宋体" w:cs="宋体"/>
                <w:color w:val="auto"/>
                <w:sz w:val="21"/>
                <w:highlight w:val="none"/>
              </w:rPr>
            </w:pPr>
          </w:p>
        </w:tc>
        <w:tc>
          <w:tcPr>
            <w:tcW w:w="255" w:type="dxa"/>
            <w:vAlign w:val="top"/>
          </w:tcPr>
          <w:p w14:paraId="5B543AC8">
            <w:pPr>
              <w:rPr>
                <w:rFonts w:hint="eastAsia" w:ascii="宋体" w:hAnsi="宋体" w:eastAsia="宋体" w:cs="宋体"/>
                <w:color w:val="auto"/>
                <w:sz w:val="21"/>
                <w:highlight w:val="none"/>
              </w:rPr>
            </w:pPr>
          </w:p>
        </w:tc>
        <w:tc>
          <w:tcPr>
            <w:tcW w:w="255" w:type="dxa"/>
            <w:vAlign w:val="top"/>
          </w:tcPr>
          <w:p w14:paraId="534D606F">
            <w:pPr>
              <w:rPr>
                <w:rFonts w:hint="eastAsia" w:ascii="宋体" w:hAnsi="宋体" w:eastAsia="宋体" w:cs="宋体"/>
                <w:color w:val="auto"/>
                <w:sz w:val="21"/>
                <w:highlight w:val="none"/>
              </w:rPr>
            </w:pPr>
          </w:p>
        </w:tc>
        <w:tc>
          <w:tcPr>
            <w:tcW w:w="255" w:type="dxa"/>
            <w:vAlign w:val="top"/>
          </w:tcPr>
          <w:p w14:paraId="4B72712A">
            <w:pPr>
              <w:rPr>
                <w:rFonts w:hint="eastAsia" w:ascii="宋体" w:hAnsi="宋体" w:eastAsia="宋体" w:cs="宋体"/>
                <w:color w:val="auto"/>
                <w:sz w:val="21"/>
                <w:highlight w:val="none"/>
              </w:rPr>
            </w:pPr>
          </w:p>
        </w:tc>
        <w:tc>
          <w:tcPr>
            <w:tcW w:w="255" w:type="dxa"/>
            <w:vAlign w:val="top"/>
          </w:tcPr>
          <w:p w14:paraId="1803C24A">
            <w:pPr>
              <w:rPr>
                <w:rFonts w:hint="eastAsia" w:ascii="宋体" w:hAnsi="宋体" w:eastAsia="宋体" w:cs="宋体"/>
                <w:color w:val="auto"/>
                <w:sz w:val="21"/>
                <w:highlight w:val="none"/>
              </w:rPr>
            </w:pPr>
          </w:p>
        </w:tc>
        <w:tc>
          <w:tcPr>
            <w:tcW w:w="255" w:type="dxa"/>
            <w:vAlign w:val="top"/>
          </w:tcPr>
          <w:p w14:paraId="713259CB">
            <w:pPr>
              <w:rPr>
                <w:rFonts w:hint="eastAsia" w:ascii="宋体" w:hAnsi="宋体" w:eastAsia="宋体" w:cs="宋体"/>
                <w:color w:val="auto"/>
                <w:sz w:val="21"/>
                <w:highlight w:val="none"/>
              </w:rPr>
            </w:pPr>
          </w:p>
        </w:tc>
        <w:tc>
          <w:tcPr>
            <w:tcW w:w="255" w:type="dxa"/>
            <w:vAlign w:val="top"/>
          </w:tcPr>
          <w:p w14:paraId="505F2FD5">
            <w:pPr>
              <w:rPr>
                <w:rFonts w:hint="eastAsia" w:ascii="宋体" w:hAnsi="宋体" w:eastAsia="宋体" w:cs="宋体"/>
                <w:color w:val="auto"/>
                <w:sz w:val="21"/>
                <w:highlight w:val="none"/>
              </w:rPr>
            </w:pPr>
          </w:p>
        </w:tc>
        <w:tc>
          <w:tcPr>
            <w:tcW w:w="255" w:type="dxa"/>
            <w:vAlign w:val="top"/>
          </w:tcPr>
          <w:p w14:paraId="579F7209">
            <w:pPr>
              <w:rPr>
                <w:rFonts w:hint="eastAsia" w:ascii="宋体" w:hAnsi="宋体" w:eastAsia="宋体" w:cs="宋体"/>
                <w:color w:val="auto"/>
                <w:sz w:val="21"/>
                <w:highlight w:val="none"/>
              </w:rPr>
            </w:pPr>
          </w:p>
        </w:tc>
        <w:tc>
          <w:tcPr>
            <w:tcW w:w="255" w:type="dxa"/>
            <w:vAlign w:val="top"/>
          </w:tcPr>
          <w:p w14:paraId="21C72E50">
            <w:pPr>
              <w:rPr>
                <w:rFonts w:hint="eastAsia" w:ascii="宋体" w:hAnsi="宋体" w:eastAsia="宋体" w:cs="宋体"/>
                <w:color w:val="auto"/>
                <w:sz w:val="21"/>
                <w:highlight w:val="none"/>
              </w:rPr>
            </w:pPr>
          </w:p>
        </w:tc>
        <w:tc>
          <w:tcPr>
            <w:tcW w:w="255" w:type="dxa"/>
            <w:vAlign w:val="top"/>
          </w:tcPr>
          <w:p w14:paraId="0D79D001">
            <w:pPr>
              <w:rPr>
                <w:rFonts w:hint="eastAsia" w:ascii="宋体" w:hAnsi="宋体" w:eastAsia="宋体" w:cs="宋体"/>
                <w:color w:val="auto"/>
                <w:sz w:val="21"/>
                <w:highlight w:val="none"/>
              </w:rPr>
            </w:pPr>
          </w:p>
        </w:tc>
        <w:tc>
          <w:tcPr>
            <w:tcW w:w="255" w:type="dxa"/>
            <w:vAlign w:val="top"/>
          </w:tcPr>
          <w:p w14:paraId="19932A83">
            <w:pPr>
              <w:rPr>
                <w:rFonts w:hint="eastAsia" w:ascii="宋体" w:hAnsi="宋体" w:eastAsia="宋体" w:cs="宋体"/>
                <w:color w:val="auto"/>
                <w:sz w:val="21"/>
                <w:highlight w:val="none"/>
              </w:rPr>
            </w:pPr>
          </w:p>
        </w:tc>
        <w:tc>
          <w:tcPr>
            <w:tcW w:w="255" w:type="dxa"/>
            <w:vAlign w:val="top"/>
          </w:tcPr>
          <w:p w14:paraId="5475D0C3">
            <w:pPr>
              <w:rPr>
                <w:rFonts w:hint="eastAsia" w:ascii="宋体" w:hAnsi="宋体" w:eastAsia="宋体" w:cs="宋体"/>
                <w:color w:val="auto"/>
                <w:sz w:val="21"/>
                <w:highlight w:val="none"/>
              </w:rPr>
            </w:pPr>
          </w:p>
        </w:tc>
        <w:tc>
          <w:tcPr>
            <w:tcW w:w="255" w:type="dxa"/>
            <w:vAlign w:val="top"/>
          </w:tcPr>
          <w:p w14:paraId="4372253C">
            <w:pPr>
              <w:rPr>
                <w:rFonts w:hint="eastAsia" w:ascii="宋体" w:hAnsi="宋体" w:eastAsia="宋体" w:cs="宋体"/>
                <w:color w:val="auto"/>
                <w:sz w:val="21"/>
                <w:highlight w:val="none"/>
              </w:rPr>
            </w:pPr>
          </w:p>
        </w:tc>
        <w:tc>
          <w:tcPr>
            <w:tcW w:w="255" w:type="dxa"/>
            <w:vAlign w:val="top"/>
          </w:tcPr>
          <w:p w14:paraId="0BC521B5">
            <w:pPr>
              <w:rPr>
                <w:rFonts w:hint="eastAsia" w:ascii="宋体" w:hAnsi="宋体" w:eastAsia="宋体" w:cs="宋体"/>
                <w:color w:val="auto"/>
                <w:sz w:val="21"/>
                <w:highlight w:val="none"/>
              </w:rPr>
            </w:pPr>
          </w:p>
        </w:tc>
        <w:tc>
          <w:tcPr>
            <w:tcW w:w="255" w:type="dxa"/>
            <w:vAlign w:val="top"/>
          </w:tcPr>
          <w:p w14:paraId="0DCBA02D">
            <w:pPr>
              <w:rPr>
                <w:rFonts w:hint="eastAsia" w:ascii="宋体" w:hAnsi="宋体" w:eastAsia="宋体" w:cs="宋体"/>
                <w:color w:val="auto"/>
                <w:sz w:val="21"/>
                <w:highlight w:val="none"/>
              </w:rPr>
            </w:pPr>
          </w:p>
        </w:tc>
        <w:tc>
          <w:tcPr>
            <w:tcW w:w="255" w:type="dxa"/>
            <w:vAlign w:val="top"/>
          </w:tcPr>
          <w:p w14:paraId="18DD8D29">
            <w:pPr>
              <w:rPr>
                <w:rFonts w:hint="eastAsia" w:ascii="宋体" w:hAnsi="宋体" w:eastAsia="宋体" w:cs="宋体"/>
                <w:color w:val="auto"/>
                <w:sz w:val="21"/>
                <w:highlight w:val="none"/>
              </w:rPr>
            </w:pPr>
          </w:p>
        </w:tc>
        <w:tc>
          <w:tcPr>
            <w:tcW w:w="255" w:type="dxa"/>
            <w:vAlign w:val="top"/>
          </w:tcPr>
          <w:p w14:paraId="55E91DE0">
            <w:pPr>
              <w:rPr>
                <w:rFonts w:hint="eastAsia" w:ascii="宋体" w:hAnsi="宋体" w:eastAsia="宋体" w:cs="宋体"/>
                <w:color w:val="auto"/>
                <w:sz w:val="21"/>
                <w:highlight w:val="none"/>
              </w:rPr>
            </w:pPr>
          </w:p>
        </w:tc>
        <w:tc>
          <w:tcPr>
            <w:tcW w:w="255" w:type="dxa"/>
            <w:vAlign w:val="top"/>
          </w:tcPr>
          <w:p w14:paraId="487FC31C">
            <w:pPr>
              <w:rPr>
                <w:rFonts w:hint="eastAsia" w:ascii="宋体" w:hAnsi="宋体" w:eastAsia="宋体" w:cs="宋体"/>
                <w:color w:val="auto"/>
                <w:sz w:val="21"/>
                <w:highlight w:val="none"/>
              </w:rPr>
            </w:pPr>
          </w:p>
        </w:tc>
        <w:tc>
          <w:tcPr>
            <w:tcW w:w="255" w:type="dxa"/>
            <w:vAlign w:val="top"/>
          </w:tcPr>
          <w:p w14:paraId="0411BE4E">
            <w:pPr>
              <w:rPr>
                <w:rFonts w:hint="eastAsia" w:ascii="宋体" w:hAnsi="宋体" w:eastAsia="宋体" w:cs="宋体"/>
                <w:color w:val="auto"/>
                <w:sz w:val="21"/>
                <w:highlight w:val="none"/>
              </w:rPr>
            </w:pPr>
          </w:p>
        </w:tc>
        <w:tc>
          <w:tcPr>
            <w:tcW w:w="255" w:type="dxa"/>
            <w:vAlign w:val="top"/>
          </w:tcPr>
          <w:p w14:paraId="6F5BA15D">
            <w:pPr>
              <w:rPr>
                <w:rFonts w:hint="eastAsia" w:ascii="宋体" w:hAnsi="宋体" w:eastAsia="宋体" w:cs="宋体"/>
                <w:color w:val="auto"/>
                <w:sz w:val="21"/>
                <w:highlight w:val="none"/>
              </w:rPr>
            </w:pPr>
          </w:p>
        </w:tc>
        <w:tc>
          <w:tcPr>
            <w:tcW w:w="292" w:type="dxa"/>
            <w:vAlign w:val="top"/>
          </w:tcPr>
          <w:p w14:paraId="41B64680">
            <w:pPr>
              <w:rPr>
                <w:rFonts w:hint="eastAsia" w:ascii="宋体" w:hAnsi="宋体" w:eastAsia="宋体" w:cs="宋体"/>
                <w:color w:val="auto"/>
                <w:sz w:val="21"/>
                <w:highlight w:val="none"/>
              </w:rPr>
            </w:pPr>
          </w:p>
        </w:tc>
      </w:tr>
      <w:tr w14:paraId="596B1A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2230" w:type="dxa"/>
            <w:vAlign w:val="top"/>
          </w:tcPr>
          <w:p w14:paraId="1B0CA35C">
            <w:pPr>
              <w:pStyle w:val="25"/>
              <w:spacing w:before="102" w:line="215" w:lineRule="auto"/>
              <w:ind w:left="81"/>
              <w:rPr>
                <w:rFonts w:hint="eastAsia" w:ascii="宋体" w:hAnsi="宋体" w:eastAsia="宋体" w:cs="宋体"/>
                <w:color w:val="auto"/>
                <w:sz w:val="19"/>
                <w:szCs w:val="19"/>
                <w:highlight w:val="none"/>
              </w:rPr>
            </w:pPr>
            <w:r>
              <w:rPr>
                <w:rFonts w:hint="eastAsia" w:ascii="宋体" w:hAnsi="宋体" w:eastAsia="宋体" w:cs="宋体"/>
                <w:color w:val="auto"/>
                <w:spacing w:val="1"/>
                <w:sz w:val="19"/>
                <w:szCs w:val="19"/>
                <w:highlight w:val="none"/>
              </w:rPr>
              <w:t>11.隧道</w:t>
            </w:r>
          </w:p>
        </w:tc>
        <w:tc>
          <w:tcPr>
            <w:tcW w:w="254" w:type="dxa"/>
            <w:vAlign w:val="top"/>
          </w:tcPr>
          <w:p w14:paraId="6D883A08">
            <w:pPr>
              <w:rPr>
                <w:rFonts w:hint="eastAsia" w:ascii="宋体" w:hAnsi="宋体" w:eastAsia="宋体" w:cs="宋体"/>
                <w:color w:val="auto"/>
                <w:sz w:val="21"/>
                <w:highlight w:val="none"/>
              </w:rPr>
            </w:pPr>
          </w:p>
        </w:tc>
        <w:tc>
          <w:tcPr>
            <w:tcW w:w="254" w:type="dxa"/>
            <w:vAlign w:val="top"/>
          </w:tcPr>
          <w:p w14:paraId="4AEA56AD">
            <w:pPr>
              <w:rPr>
                <w:rFonts w:hint="eastAsia" w:ascii="宋体" w:hAnsi="宋体" w:eastAsia="宋体" w:cs="宋体"/>
                <w:color w:val="auto"/>
                <w:sz w:val="21"/>
                <w:highlight w:val="none"/>
              </w:rPr>
            </w:pPr>
          </w:p>
        </w:tc>
        <w:tc>
          <w:tcPr>
            <w:tcW w:w="255" w:type="dxa"/>
            <w:vAlign w:val="top"/>
          </w:tcPr>
          <w:p w14:paraId="21F568BA">
            <w:pPr>
              <w:rPr>
                <w:rFonts w:hint="eastAsia" w:ascii="宋体" w:hAnsi="宋体" w:eastAsia="宋体" w:cs="宋体"/>
                <w:color w:val="auto"/>
                <w:sz w:val="21"/>
                <w:highlight w:val="none"/>
              </w:rPr>
            </w:pPr>
          </w:p>
        </w:tc>
        <w:tc>
          <w:tcPr>
            <w:tcW w:w="254" w:type="dxa"/>
            <w:vAlign w:val="top"/>
          </w:tcPr>
          <w:p w14:paraId="262BE50D">
            <w:pPr>
              <w:rPr>
                <w:rFonts w:hint="eastAsia" w:ascii="宋体" w:hAnsi="宋体" w:eastAsia="宋体" w:cs="宋体"/>
                <w:color w:val="auto"/>
                <w:sz w:val="21"/>
                <w:highlight w:val="none"/>
              </w:rPr>
            </w:pPr>
          </w:p>
        </w:tc>
        <w:tc>
          <w:tcPr>
            <w:tcW w:w="255" w:type="dxa"/>
            <w:vAlign w:val="top"/>
          </w:tcPr>
          <w:p w14:paraId="26031F74">
            <w:pPr>
              <w:rPr>
                <w:rFonts w:hint="eastAsia" w:ascii="宋体" w:hAnsi="宋体" w:eastAsia="宋体" w:cs="宋体"/>
                <w:color w:val="auto"/>
                <w:sz w:val="21"/>
                <w:highlight w:val="none"/>
              </w:rPr>
            </w:pPr>
          </w:p>
        </w:tc>
        <w:tc>
          <w:tcPr>
            <w:tcW w:w="255" w:type="dxa"/>
            <w:vAlign w:val="top"/>
          </w:tcPr>
          <w:p w14:paraId="2C1874A5">
            <w:pPr>
              <w:rPr>
                <w:rFonts w:hint="eastAsia" w:ascii="宋体" w:hAnsi="宋体" w:eastAsia="宋体" w:cs="宋体"/>
                <w:color w:val="auto"/>
                <w:sz w:val="21"/>
                <w:highlight w:val="none"/>
              </w:rPr>
            </w:pPr>
          </w:p>
        </w:tc>
        <w:tc>
          <w:tcPr>
            <w:tcW w:w="255" w:type="dxa"/>
            <w:vAlign w:val="top"/>
          </w:tcPr>
          <w:p w14:paraId="416767FD">
            <w:pPr>
              <w:rPr>
                <w:rFonts w:hint="eastAsia" w:ascii="宋体" w:hAnsi="宋体" w:eastAsia="宋体" w:cs="宋体"/>
                <w:color w:val="auto"/>
                <w:sz w:val="21"/>
                <w:highlight w:val="none"/>
              </w:rPr>
            </w:pPr>
          </w:p>
        </w:tc>
        <w:tc>
          <w:tcPr>
            <w:tcW w:w="255" w:type="dxa"/>
            <w:vAlign w:val="top"/>
          </w:tcPr>
          <w:p w14:paraId="524546E6">
            <w:pPr>
              <w:rPr>
                <w:rFonts w:hint="eastAsia" w:ascii="宋体" w:hAnsi="宋体" w:eastAsia="宋体" w:cs="宋体"/>
                <w:color w:val="auto"/>
                <w:sz w:val="21"/>
                <w:highlight w:val="none"/>
              </w:rPr>
            </w:pPr>
          </w:p>
        </w:tc>
        <w:tc>
          <w:tcPr>
            <w:tcW w:w="255" w:type="dxa"/>
            <w:vAlign w:val="top"/>
          </w:tcPr>
          <w:p w14:paraId="59287FB4">
            <w:pPr>
              <w:rPr>
                <w:rFonts w:hint="eastAsia" w:ascii="宋体" w:hAnsi="宋体" w:eastAsia="宋体" w:cs="宋体"/>
                <w:color w:val="auto"/>
                <w:sz w:val="21"/>
                <w:highlight w:val="none"/>
              </w:rPr>
            </w:pPr>
          </w:p>
        </w:tc>
        <w:tc>
          <w:tcPr>
            <w:tcW w:w="255" w:type="dxa"/>
            <w:vAlign w:val="top"/>
          </w:tcPr>
          <w:p w14:paraId="303A1AD8">
            <w:pPr>
              <w:rPr>
                <w:rFonts w:hint="eastAsia" w:ascii="宋体" w:hAnsi="宋体" w:eastAsia="宋体" w:cs="宋体"/>
                <w:color w:val="auto"/>
                <w:sz w:val="21"/>
                <w:highlight w:val="none"/>
              </w:rPr>
            </w:pPr>
          </w:p>
        </w:tc>
        <w:tc>
          <w:tcPr>
            <w:tcW w:w="255" w:type="dxa"/>
            <w:vAlign w:val="top"/>
          </w:tcPr>
          <w:p w14:paraId="08F4B06D">
            <w:pPr>
              <w:rPr>
                <w:rFonts w:hint="eastAsia" w:ascii="宋体" w:hAnsi="宋体" w:eastAsia="宋体" w:cs="宋体"/>
                <w:color w:val="auto"/>
                <w:sz w:val="21"/>
                <w:highlight w:val="none"/>
              </w:rPr>
            </w:pPr>
          </w:p>
        </w:tc>
        <w:tc>
          <w:tcPr>
            <w:tcW w:w="255" w:type="dxa"/>
            <w:vAlign w:val="top"/>
          </w:tcPr>
          <w:p w14:paraId="726FE754">
            <w:pPr>
              <w:rPr>
                <w:rFonts w:hint="eastAsia" w:ascii="宋体" w:hAnsi="宋体" w:eastAsia="宋体" w:cs="宋体"/>
                <w:color w:val="auto"/>
                <w:sz w:val="21"/>
                <w:highlight w:val="none"/>
              </w:rPr>
            </w:pPr>
          </w:p>
        </w:tc>
        <w:tc>
          <w:tcPr>
            <w:tcW w:w="255" w:type="dxa"/>
            <w:vAlign w:val="top"/>
          </w:tcPr>
          <w:p w14:paraId="73ED37F7">
            <w:pPr>
              <w:rPr>
                <w:rFonts w:hint="eastAsia" w:ascii="宋体" w:hAnsi="宋体" w:eastAsia="宋体" w:cs="宋体"/>
                <w:color w:val="auto"/>
                <w:sz w:val="21"/>
                <w:highlight w:val="none"/>
              </w:rPr>
            </w:pPr>
          </w:p>
        </w:tc>
        <w:tc>
          <w:tcPr>
            <w:tcW w:w="255" w:type="dxa"/>
            <w:vAlign w:val="top"/>
          </w:tcPr>
          <w:p w14:paraId="5FBF36B3">
            <w:pPr>
              <w:rPr>
                <w:rFonts w:hint="eastAsia" w:ascii="宋体" w:hAnsi="宋体" w:eastAsia="宋体" w:cs="宋体"/>
                <w:color w:val="auto"/>
                <w:sz w:val="21"/>
                <w:highlight w:val="none"/>
              </w:rPr>
            </w:pPr>
          </w:p>
        </w:tc>
        <w:tc>
          <w:tcPr>
            <w:tcW w:w="255" w:type="dxa"/>
            <w:vAlign w:val="top"/>
          </w:tcPr>
          <w:p w14:paraId="3A4AF3DF">
            <w:pPr>
              <w:rPr>
                <w:rFonts w:hint="eastAsia" w:ascii="宋体" w:hAnsi="宋体" w:eastAsia="宋体" w:cs="宋体"/>
                <w:color w:val="auto"/>
                <w:sz w:val="21"/>
                <w:highlight w:val="none"/>
              </w:rPr>
            </w:pPr>
          </w:p>
        </w:tc>
        <w:tc>
          <w:tcPr>
            <w:tcW w:w="255" w:type="dxa"/>
            <w:vAlign w:val="top"/>
          </w:tcPr>
          <w:p w14:paraId="0FE05E05">
            <w:pPr>
              <w:rPr>
                <w:rFonts w:hint="eastAsia" w:ascii="宋体" w:hAnsi="宋体" w:eastAsia="宋体" w:cs="宋体"/>
                <w:color w:val="auto"/>
                <w:sz w:val="21"/>
                <w:highlight w:val="none"/>
              </w:rPr>
            </w:pPr>
          </w:p>
        </w:tc>
        <w:tc>
          <w:tcPr>
            <w:tcW w:w="255" w:type="dxa"/>
            <w:vAlign w:val="top"/>
          </w:tcPr>
          <w:p w14:paraId="0E3EAC93">
            <w:pPr>
              <w:rPr>
                <w:rFonts w:hint="eastAsia" w:ascii="宋体" w:hAnsi="宋体" w:eastAsia="宋体" w:cs="宋体"/>
                <w:color w:val="auto"/>
                <w:sz w:val="21"/>
                <w:highlight w:val="none"/>
              </w:rPr>
            </w:pPr>
          </w:p>
        </w:tc>
        <w:tc>
          <w:tcPr>
            <w:tcW w:w="255" w:type="dxa"/>
            <w:vAlign w:val="top"/>
          </w:tcPr>
          <w:p w14:paraId="39A9696B">
            <w:pPr>
              <w:rPr>
                <w:rFonts w:hint="eastAsia" w:ascii="宋体" w:hAnsi="宋体" w:eastAsia="宋体" w:cs="宋体"/>
                <w:color w:val="auto"/>
                <w:sz w:val="21"/>
                <w:highlight w:val="none"/>
              </w:rPr>
            </w:pPr>
          </w:p>
        </w:tc>
        <w:tc>
          <w:tcPr>
            <w:tcW w:w="255" w:type="dxa"/>
            <w:vAlign w:val="top"/>
          </w:tcPr>
          <w:p w14:paraId="0778397B">
            <w:pPr>
              <w:rPr>
                <w:rFonts w:hint="eastAsia" w:ascii="宋体" w:hAnsi="宋体" w:eastAsia="宋体" w:cs="宋体"/>
                <w:color w:val="auto"/>
                <w:sz w:val="21"/>
                <w:highlight w:val="none"/>
              </w:rPr>
            </w:pPr>
          </w:p>
        </w:tc>
        <w:tc>
          <w:tcPr>
            <w:tcW w:w="255" w:type="dxa"/>
            <w:vAlign w:val="top"/>
          </w:tcPr>
          <w:p w14:paraId="4B1F37A6">
            <w:pPr>
              <w:rPr>
                <w:rFonts w:hint="eastAsia" w:ascii="宋体" w:hAnsi="宋体" w:eastAsia="宋体" w:cs="宋体"/>
                <w:color w:val="auto"/>
                <w:sz w:val="21"/>
                <w:highlight w:val="none"/>
              </w:rPr>
            </w:pPr>
          </w:p>
        </w:tc>
        <w:tc>
          <w:tcPr>
            <w:tcW w:w="255" w:type="dxa"/>
            <w:vAlign w:val="top"/>
          </w:tcPr>
          <w:p w14:paraId="0D82DDE5">
            <w:pPr>
              <w:rPr>
                <w:rFonts w:hint="eastAsia" w:ascii="宋体" w:hAnsi="宋体" w:eastAsia="宋体" w:cs="宋体"/>
                <w:color w:val="auto"/>
                <w:sz w:val="21"/>
                <w:highlight w:val="none"/>
              </w:rPr>
            </w:pPr>
          </w:p>
        </w:tc>
        <w:tc>
          <w:tcPr>
            <w:tcW w:w="255" w:type="dxa"/>
            <w:vAlign w:val="top"/>
          </w:tcPr>
          <w:p w14:paraId="074117E5">
            <w:pPr>
              <w:rPr>
                <w:rFonts w:hint="eastAsia" w:ascii="宋体" w:hAnsi="宋体" w:eastAsia="宋体" w:cs="宋体"/>
                <w:color w:val="auto"/>
                <w:sz w:val="21"/>
                <w:highlight w:val="none"/>
              </w:rPr>
            </w:pPr>
          </w:p>
        </w:tc>
        <w:tc>
          <w:tcPr>
            <w:tcW w:w="255" w:type="dxa"/>
            <w:vAlign w:val="top"/>
          </w:tcPr>
          <w:p w14:paraId="548E31C8">
            <w:pPr>
              <w:rPr>
                <w:rFonts w:hint="eastAsia" w:ascii="宋体" w:hAnsi="宋体" w:eastAsia="宋体" w:cs="宋体"/>
                <w:color w:val="auto"/>
                <w:sz w:val="21"/>
                <w:highlight w:val="none"/>
              </w:rPr>
            </w:pPr>
          </w:p>
        </w:tc>
        <w:tc>
          <w:tcPr>
            <w:tcW w:w="255" w:type="dxa"/>
            <w:vAlign w:val="top"/>
          </w:tcPr>
          <w:p w14:paraId="34C1F8B9">
            <w:pPr>
              <w:rPr>
                <w:rFonts w:hint="eastAsia" w:ascii="宋体" w:hAnsi="宋体" w:eastAsia="宋体" w:cs="宋体"/>
                <w:color w:val="auto"/>
                <w:sz w:val="21"/>
                <w:highlight w:val="none"/>
              </w:rPr>
            </w:pPr>
          </w:p>
        </w:tc>
        <w:tc>
          <w:tcPr>
            <w:tcW w:w="255" w:type="dxa"/>
            <w:vAlign w:val="top"/>
          </w:tcPr>
          <w:p w14:paraId="67FCEA8A">
            <w:pPr>
              <w:rPr>
                <w:rFonts w:hint="eastAsia" w:ascii="宋体" w:hAnsi="宋体" w:eastAsia="宋体" w:cs="宋体"/>
                <w:color w:val="auto"/>
                <w:sz w:val="21"/>
                <w:highlight w:val="none"/>
              </w:rPr>
            </w:pPr>
          </w:p>
        </w:tc>
        <w:tc>
          <w:tcPr>
            <w:tcW w:w="255" w:type="dxa"/>
            <w:vAlign w:val="top"/>
          </w:tcPr>
          <w:p w14:paraId="0FFA3056">
            <w:pPr>
              <w:rPr>
                <w:rFonts w:hint="eastAsia" w:ascii="宋体" w:hAnsi="宋体" w:eastAsia="宋体" w:cs="宋体"/>
                <w:color w:val="auto"/>
                <w:sz w:val="21"/>
                <w:highlight w:val="none"/>
              </w:rPr>
            </w:pPr>
          </w:p>
        </w:tc>
        <w:tc>
          <w:tcPr>
            <w:tcW w:w="255" w:type="dxa"/>
            <w:vAlign w:val="top"/>
          </w:tcPr>
          <w:p w14:paraId="703F8E92">
            <w:pPr>
              <w:rPr>
                <w:rFonts w:hint="eastAsia" w:ascii="宋体" w:hAnsi="宋体" w:eastAsia="宋体" w:cs="宋体"/>
                <w:color w:val="auto"/>
                <w:sz w:val="21"/>
                <w:highlight w:val="none"/>
              </w:rPr>
            </w:pPr>
          </w:p>
        </w:tc>
        <w:tc>
          <w:tcPr>
            <w:tcW w:w="255" w:type="dxa"/>
            <w:vAlign w:val="top"/>
          </w:tcPr>
          <w:p w14:paraId="3A494761">
            <w:pPr>
              <w:rPr>
                <w:rFonts w:hint="eastAsia" w:ascii="宋体" w:hAnsi="宋体" w:eastAsia="宋体" w:cs="宋体"/>
                <w:color w:val="auto"/>
                <w:sz w:val="21"/>
                <w:highlight w:val="none"/>
              </w:rPr>
            </w:pPr>
          </w:p>
        </w:tc>
        <w:tc>
          <w:tcPr>
            <w:tcW w:w="292" w:type="dxa"/>
            <w:vAlign w:val="top"/>
          </w:tcPr>
          <w:p w14:paraId="65CA4D3D">
            <w:pPr>
              <w:rPr>
                <w:rFonts w:hint="eastAsia" w:ascii="宋体" w:hAnsi="宋体" w:eastAsia="宋体" w:cs="宋体"/>
                <w:color w:val="auto"/>
                <w:sz w:val="21"/>
                <w:highlight w:val="none"/>
              </w:rPr>
            </w:pPr>
          </w:p>
        </w:tc>
      </w:tr>
      <w:tr w14:paraId="3E568C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2230" w:type="dxa"/>
            <w:vAlign w:val="top"/>
          </w:tcPr>
          <w:p w14:paraId="114A0E0C">
            <w:pPr>
              <w:pStyle w:val="25"/>
              <w:spacing w:before="104" w:line="219" w:lineRule="auto"/>
              <w:ind w:left="81"/>
              <w:rPr>
                <w:rFonts w:hint="eastAsia" w:ascii="宋体" w:hAnsi="宋体" w:eastAsia="宋体" w:cs="宋体"/>
                <w:color w:val="auto"/>
                <w:sz w:val="19"/>
                <w:szCs w:val="19"/>
                <w:highlight w:val="none"/>
              </w:rPr>
            </w:pPr>
            <w:r>
              <w:rPr>
                <w:rFonts w:hint="eastAsia" w:ascii="宋体" w:hAnsi="宋体" w:eastAsia="宋体" w:cs="宋体"/>
                <w:color w:val="auto"/>
                <w:spacing w:val="1"/>
                <w:sz w:val="19"/>
                <w:szCs w:val="19"/>
                <w:highlight w:val="none"/>
              </w:rPr>
              <w:t>12.其他</w:t>
            </w:r>
          </w:p>
        </w:tc>
        <w:tc>
          <w:tcPr>
            <w:tcW w:w="254" w:type="dxa"/>
            <w:vAlign w:val="top"/>
          </w:tcPr>
          <w:p w14:paraId="7282797B">
            <w:pPr>
              <w:rPr>
                <w:rFonts w:hint="eastAsia" w:ascii="宋体" w:hAnsi="宋体" w:eastAsia="宋体" w:cs="宋体"/>
                <w:color w:val="auto"/>
                <w:sz w:val="21"/>
                <w:highlight w:val="none"/>
              </w:rPr>
            </w:pPr>
          </w:p>
        </w:tc>
        <w:tc>
          <w:tcPr>
            <w:tcW w:w="254" w:type="dxa"/>
            <w:vAlign w:val="top"/>
          </w:tcPr>
          <w:p w14:paraId="25330B5E">
            <w:pPr>
              <w:rPr>
                <w:rFonts w:hint="eastAsia" w:ascii="宋体" w:hAnsi="宋体" w:eastAsia="宋体" w:cs="宋体"/>
                <w:color w:val="auto"/>
                <w:sz w:val="21"/>
                <w:highlight w:val="none"/>
              </w:rPr>
            </w:pPr>
          </w:p>
        </w:tc>
        <w:tc>
          <w:tcPr>
            <w:tcW w:w="255" w:type="dxa"/>
            <w:vAlign w:val="top"/>
          </w:tcPr>
          <w:p w14:paraId="5EEA8360">
            <w:pPr>
              <w:rPr>
                <w:rFonts w:hint="eastAsia" w:ascii="宋体" w:hAnsi="宋体" w:eastAsia="宋体" w:cs="宋体"/>
                <w:color w:val="auto"/>
                <w:sz w:val="21"/>
                <w:highlight w:val="none"/>
              </w:rPr>
            </w:pPr>
          </w:p>
        </w:tc>
        <w:tc>
          <w:tcPr>
            <w:tcW w:w="254" w:type="dxa"/>
            <w:vAlign w:val="top"/>
          </w:tcPr>
          <w:p w14:paraId="0CD7934E">
            <w:pPr>
              <w:rPr>
                <w:rFonts w:hint="eastAsia" w:ascii="宋体" w:hAnsi="宋体" w:eastAsia="宋体" w:cs="宋体"/>
                <w:color w:val="auto"/>
                <w:sz w:val="21"/>
                <w:highlight w:val="none"/>
              </w:rPr>
            </w:pPr>
          </w:p>
        </w:tc>
        <w:tc>
          <w:tcPr>
            <w:tcW w:w="255" w:type="dxa"/>
            <w:vAlign w:val="top"/>
          </w:tcPr>
          <w:p w14:paraId="38D976A2">
            <w:pPr>
              <w:rPr>
                <w:rFonts w:hint="eastAsia" w:ascii="宋体" w:hAnsi="宋体" w:eastAsia="宋体" w:cs="宋体"/>
                <w:color w:val="auto"/>
                <w:sz w:val="21"/>
                <w:highlight w:val="none"/>
              </w:rPr>
            </w:pPr>
          </w:p>
        </w:tc>
        <w:tc>
          <w:tcPr>
            <w:tcW w:w="255" w:type="dxa"/>
            <w:vAlign w:val="top"/>
          </w:tcPr>
          <w:p w14:paraId="0BF484DA">
            <w:pPr>
              <w:rPr>
                <w:rFonts w:hint="eastAsia" w:ascii="宋体" w:hAnsi="宋体" w:eastAsia="宋体" w:cs="宋体"/>
                <w:color w:val="auto"/>
                <w:sz w:val="21"/>
                <w:highlight w:val="none"/>
              </w:rPr>
            </w:pPr>
          </w:p>
        </w:tc>
        <w:tc>
          <w:tcPr>
            <w:tcW w:w="255" w:type="dxa"/>
            <w:vAlign w:val="top"/>
          </w:tcPr>
          <w:p w14:paraId="2563BF4F">
            <w:pPr>
              <w:rPr>
                <w:rFonts w:hint="eastAsia" w:ascii="宋体" w:hAnsi="宋体" w:eastAsia="宋体" w:cs="宋体"/>
                <w:color w:val="auto"/>
                <w:sz w:val="21"/>
                <w:highlight w:val="none"/>
              </w:rPr>
            </w:pPr>
          </w:p>
        </w:tc>
        <w:tc>
          <w:tcPr>
            <w:tcW w:w="255" w:type="dxa"/>
            <w:vAlign w:val="top"/>
          </w:tcPr>
          <w:p w14:paraId="19483535">
            <w:pPr>
              <w:rPr>
                <w:rFonts w:hint="eastAsia" w:ascii="宋体" w:hAnsi="宋体" w:eastAsia="宋体" w:cs="宋体"/>
                <w:color w:val="auto"/>
                <w:sz w:val="21"/>
                <w:highlight w:val="none"/>
              </w:rPr>
            </w:pPr>
          </w:p>
        </w:tc>
        <w:tc>
          <w:tcPr>
            <w:tcW w:w="255" w:type="dxa"/>
            <w:vAlign w:val="top"/>
          </w:tcPr>
          <w:p w14:paraId="637AF16C">
            <w:pPr>
              <w:rPr>
                <w:rFonts w:hint="eastAsia" w:ascii="宋体" w:hAnsi="宋体" w:eastAsia="宋体" w:cs="宋体"/>
                <w:color w:val="auto"/>
                <w:sz w:val="21"/>
                <w:highlight w:val="none"/>
              </w:rPr>
            </w:pPr>
          </w:p>
        </w:tc>
        <w:tc>
          <w:tcPr>
            <w:tcW w:w="255" w:type="dxa"/>
            <w:vAlign w:val="top"/>
          </w:tcPr>
          <w:p w14:paraId="25805EC4">
            <w:pPr>
              <w:rPr>
                <w:rFonts w:hint="eastAsia" w:ascii="宋体" w:hAnsi="宋体" w:eastAsia="宋体" w:cs="宋体"/>
                <w:color w:val="auto"/>
                <w:sz w:val="21"/>
                <w:highlight w:val="none"/>
              </w:rPr>
            </w:pPr>
          </w:p>
        </w:tc>
        <w:tc>
          <w:tcPr>
            <w:tcW w:w="255" w:type="dxa"/>
            <w:vAlign w:val="top"/>
          </w:tcPr>
          <w:p w14:paraId="7CF7C8ED">
            <w:pPr>
              <w:rPr>
                <w:rFonts w:hint="eastAsia" w:ascii="宋体" w:hAnsi="宋体" w:eastAsia="宋体" w:cs="宋体"/>
                <w:color w:val="auto"/>
                <w:sz w:val="21"/>
                <w:highlight w:val="none"/>
              </w:rPr>
            </w:pPr>
          </w:p>
        </w:tc>
        <w:tc>
          <w:tcPr>
            <w:tcW w:w="255" w:type="dxa"/>
            <w:vAlign w:val="top"/>
          </w:tcPr>
          <w:p w14:paraId="095F0760">
            <w:pPr>
              <w:rPr>
                <w:rFonts w:hint="eastAsia" w:ascii="宋体" w:hAnsi="宋体" w:eastAsia="宋体" w:cs="宋体"/>
                <w:color w:val="auto"/>
                <w:sz w:val="21"/>
                <w:highlight w:val="none"/>
              </w:rPr>
            </w:pPr>
          </w:p>
        </w:tc>
        <w:tc>
          <w:tcPr>
            <w:tcW w:w="255" w:type="dxa"/>
            <w:vAlign w:val="top"/>
          </w:tcPr>
          <w:p w14:paraId="4E0E65C7">
            <w:pPr>
              <w:rPr>
                <w:rFonts w:hint="eastAsia" w:ascii="宋体" w:hAnsi="宋体" w:eastAsia="宋体" w:cs="宋体"/>
                <w:color w:val="auto"/>
                <w:sz w:val="21"/>
                <w:highlight w:val="none"/>
              </w:rPr>
            </w:pPr>
          </w:p>
        </w:tc>
        <w:tc>
          <w:tcPr>
            <w:tcW w:w="255" w:type="dxa"/>
            <w:vAlign w:val="top"/>
          </w:tcPr>
          <w:p w14:paraId="2D1AB290">
            <w:pPr>
              <w:rPr>
                <w:rFonts w:hint="eastAsia" w:ascii="宋体" w:hAnsi="宋体" w:eastAsia="宋体" w:cs="宋体"/>
                <w:color w:val="auto"/>
                <w:sz w:val="21"/>
                <w:highlight w:val="none"/>
              </w:rPr>
            </w:pPr>
          </w:p>
        </w:tc>
        <w:tc>
          <w:tcPr>
            <w:tcW w:w="255" w:type="dxa"/>
            <w:vAlign w:val="top"/>
          </w:tcPr>
          <w:p w14:paraId="694F67B0">
            <w:pPr>
              <w:rPr>
                <w:rFonts w:hint="eastAsia" w:ascii="宋体" w:hAnsi="宋体" w:eastAsia="宋体" w:cs="宋体"/>
                <w:color w:val="auto"/>
                <w:sz w:val="21"/>
                <w:highlight w:val="none"/>
              </w:rPr>
            </w:pPr>
          </w:p>
        </w:tc>
        <w:tc>
          <w:tcPr>
            <w:tcW w:w="255" w:type="dxa"/>
            <w:vAlign w:val="top"/>
          </w:tcPr>
          <w:p w14:paraId="4A0F932A">
            <w:pPr>
              <w:rPr>
                <w:rFonts w:hint="eastAsia" w:ascii="宋体" w:hAnsi="宋体" w:eastAsia="宋体" w:cs="宋体"/>
                <w:color w:val="auto"/>
                <w:sz w:val="21"/>
                <w:highlight w:val="none"/>
              </w:rPr>
            </w:pPr>
          </w:p>
        </w:tc>
        <w:tc>
          <w:tcPr>
            <w:tcW w:w="255" w:type="dxa"/>
            <w:vAlign w:val="top"/>
          </w:tcPr>
          <w:p w14:paraId="68FAB2F4">
            <w:pPr>
              <w:rPr>
                <w:rFonts w:hint="eastAsia" w:ascii="宋体" w:hAnsi="宋体" w:eastAsia="宋体" w:cs="宋体"/>
                <w:color w:val="auto"/>
                <w:sz w:val="21"/>
                <w:highlight w:val="none"/>
              </w:rPr>
            </w:pPr>
          </w:p>
        </w:tc>
        <w:tc>
          <w:tcPr>
            <w:tcW w:w="255" w:type="dxa"/>
            <w:vAlign w:val="top"/>
          </w:tcPr>
          <w:p w14:paraId="797A5C09">
            <w:pPr>
              <w:rPr>
                <w:rFonts w:hint="eastAsia" w:ascii="宋体" w:hAnsi="宋体" w:eastAsia="宋体" w:cs="宋体"/>
                <w:color w:val="auto"/>
                <w:sz w:val="21"/>
                <w:highlight w:val="none"/>
              </w:rPr>
            </w:pPr>
          </w:p>
        </w:tc>
        <w:tc>
          <w:tcPr>
            <w:tcW w:w="255" w:type="dxa"/>
            <w:vAlign w:val="top"/>
          </w:tcPr>
          <w:p w14:paraId="6F2BDF64">
            <w:pPr>
              <w:rPr>
                <w:rFonts w:hint="eastAsia" w:ascii="宋体" w:hAnsi="宋体" w:eastAsia="宋体" w:cs="宋体"/>
                <w:color w:val="auto"/>
                <w:sz w:val="21"/>
                <w:highlight w:val="none"/>
              </w:rPr>
            </w:pPr>
          </w:p>
        </w:tc>
        <w:tc>
          <w:tcPr>
            <w:tcW w:w="255" w:type="dxa"/>
            <w:vAlign w:val="top"/>
          </w:tcPr>
          <w:p w14:paraId="38F864A2">
            <w:pPr>
              <w:rPr>
                <w:rFonts w:hint="eastAsia" w:ascii="宋体" w:hAnsi="宋体" w:eastAsia="宋体" w:cs="宋体"/>
                <w:color w:val="auto"/>
                <w:sz w:val="21"/>
                <w:highlight w:val="none"/>
              </w:rPr>
            </w:pPr>
          </w:p>
        </w:tc>
        <w:tc>
          <w:tcPr>
            <w:tcW w:w="255" w:type="dxa"/>
            <w:vAlign w:val="top"/>
          </w:tcPr>
          <w:p w14:paraId="55B04F3E">
            <w:pPr>
              <w:rPr>
                <w:rFonts w:hint="eastAsia" w:ascii="宋体" w:hAnsi="宋体" w:eastAsia="宋体" w:cs="宋体"/>
                <w:color w:val="auto"/>
                <w:sz w:val="21"/>
                <w:highlight w:val="none"/>
              </w:rPr>
            </w:pPr>
          </w:p>
        </w:tc>
        <w:tc>
          <w:tcPr>
            <w:tcW w:w="255" w:type="dxa"/>
            <w:vAlign w:val="top"/>
          </w:tcPr>
          <w:p w14:paraId="58E009B8">
            <w:pPr>
              <w:rPr>
                <w:rFonts w:hint="eastAsia" w:ascii="宋体" w:hAnsi="宋体" w:eastAsia="宋体" w:cs="宋体"/>
                <w:color w:val="auto"/>
                <w:sz w:val="21"/>
                <w:highlight w:val="none"/>
              </w:rPr>
            </w:pPr>
          </w:p>
        </w:tc>
        <w:tc>
          <w:tcPr>
            <w:tcW w:w="255" w:type="dxa"/>
            <w:vAlign w:val="top"/>
          </w:tcPr>
          <w:p w14:paraId="5791B974">
            <w:pPr>
              <w:rPr>
                <w:rFonts w:hint="eastAsia" w:ascii="宋体" w:hAnsi="宋体" w:eastAsia="宋体" w:cs="宋体"/>
                <w:color w:val="auto"/>
                <w:sz w:val="21"/>
                <w:highlight w:val="none"/>
              </w:rPr>
            </w:pPr>
          </w:p>
        </w:tc>
        <w:tc>
          <w:tcPr>
            <w:tcW w:w="255" w:type="dxa"/>
            <w:vAlign w:val="top"/>
          </w:tcPr>
          <w:p w14:paraId="136C56F7">
            <w:pPr>
              <w:rPr>
                <w:rFonts w:hint="eastAsia" w:ascii="宋体" w:hAnsi="宋体" w:eastAsia="宋体" w:cs="宋体"/>
                <w:color w:val="auto"/>
                <w:sz w:val="21"/>
                <w:highlight w:val="none"/>
              </w:rPr>
            </w:pPr>
          </w:p>
        </w:tc>
        <w:tc>
          <w:tcPr>
            <w:tcW w:w="255" w:type="dxa"/>
            <w:vAlign w:val="top"/>
          </w:tcPr>
          <w:p w14:paraId="18F46FA1">
            <w:pPr>
              <w:rPr>
                <w:rFonts w:hint="eastAsia" w:ascii="宋体" w:hAnsi="宋体" w:eastAsia="宋体" w:cs="宋体"/>
                <w:color w:val="auto"/>
                <w:sz w:val="21"/>
                <w:highlight w:val="none"/>
              </w:rPr>
            </w:pPr>
          </w:p>
        </w:tc>
        <w:tc>
          <w:tcPr>
            <w:tcW w:w="255" w:type="dxa"/>
            <w:vAlign w:val="top"/>
          </w:tcPr>
          <w:p w14:paraId="338B757F">
            <w:pPr>
              <w:rPr>
                <w:rFonts w:hint="eastAsia" w:ascii="宋体" w:hAnsi="宋体" w:eastAsia="宋体" w:cs="宋体"/>
                <w:color w:val="auto"/>
                <w:sz w:val="21"/>
                <w:highlight w:val="none"/>
              </w:rPr>
            </w:pPr>
          </w:p>
        </w:tc>
        <w:tc>
          <w:tcPr>
            <w:tcW w:w="255" w:type="dxa"/>
            <w:vAlign w:val="top"/>
          </w:tcPr>
          <w:p w14:paraId="20351083">
            <w:pPr>
              <w:rPr>
                <w:rFonts w:hint="eastAsia" w:ascii="宋体" w:hAnsi="宋体" w:eastAsia="宋体" w:cs="宋体"/>
                <w:color w:val="auto"/>
                <w:sz w:val="21"/>
                <w:highlight w:val="none"/>
              </w:rPr>
            </w:pPr>
          </w:p>
        </w:tc>
        <w:tc>
          <w:tcPr>
            <w:tcW w:w="255" w:type="dxa"/>
            <w:vAlign w:val="top"/>
          </w:tcPr>
          <w:p w14:paraId="72DD44E6">
            <w:pPr>
              <w:rPr>
                <w:rFonts w:hint="eastAsia" w:ascii="宋体" w:hAnsi="宋体" w:eastAsia="宋体" w:cs="宋体"/>
                <w:color w:val="auto"/>
                <w:sz w:val="21"/>
                <w:highlight w:val="none"/>
              </w:rPr>
            </w:pPr>
          </w:p>
        </w:tc>
        <w:tc>
          <w:tcPr>
            <w:tcW w:w="292" w:type="dxa"/>
            <w:vAlign w:val="top"/>
          </w:tcPr>
          <w:p w14:paraId="257F4A69">
            <w:pPr>
              <w:rPr>
                <w:rFonts w:hint="eastAsia" w:ascii="宋体" w:hAnsi="宋体" w:eastAsia="宋体" w:cs="宋体"/>
                <w:color w:val="auto"/>
                <w:sz w:val="21"/>
                <w:highlight w:val="none"/>
              </w:rPr>
            </w:pPr>
          </w:p>
        </w:tc>
      </w:tr>
    </w:tbl>
    <w:p w14:paraId="54094D71">
      <w:pPr>
        <w:pStyle w:val="4"/>
        <w:rPr>
          <w:rFonts w:hint="eastAsia" w:ascii="宋体" w:hAnsi="宋体" w:eastAsia="宋体" w:cs="宋体"/>
          <w:color w:val="auto"/>
          <w:highlight w:val="none"/>
        </w:rPr>
      </w:pPr>
    </w:p>
    <w:p w14:paraId="48205EA2">
      <w:pPr>
        <w:rPr>
          <w:rFonts w:hint="eastAsia" w:ascii="宋体" w:hAnsi="宋体" w:eastAsia="宋体" w:cs="宋体"/>
          <w:color w:val="auto"/>
          <w:highlight w:val="none"/>
        </w:rPr>
        <w:sectPr>
          <w:headerReference r:id="rId247" w:type="default"/>
          <w:footerReference r:id="rId248" w:type="default"/>
          <w:pgSz w:w="11907" w:h="16840"/>
          <w:pgMar w:top="1182" w:right="253" w:bottom="1014" w:left="1786" w:header="849" w:footer="852" w:gutter="0"/>
          <w:pgNumType w:fmt="decimal"/>
          <w:cols w:space="720" w:num="1"/>
        </w:sectPr>
      </w:pPr>
    </w:p>
    <w:p w14:paraId="65F2EDCB">
      <w:pPr>
        <w:spacing w:before="298" w:line="222" w:lineRule="auto"/>
        <w:ind w:left="450"/>
        <w:outlineLvl w:val="2"/>
        <w:rPr>
          <w:rFonts w:hint="eastAsia" w:ascii="宋体" w:hAnsi="宋体" w:eastAsia="宋体" w:cs="宋体"/>
          <w:color w:val="auto"/>
          <w:sz w:val="28"/>
          <w:szCs w:val="28"/>
          <w:highlight w:val="none"/>
        </w:rPr>
      </w:pPr>
      <w:bookmarkStart w:id="890" w:name="_Toc13983"/>
      <w:bookmarkStart w:id="891" w:name="_Toc1774"/>
      <w:bookmarkStart w:id="892" w:name="_Toc18110"/>
      <w:bookmarkStart w:id="893" w:name="_Toc20925"/>
      <w:bookmarkStart w:id="894" w:name="_Toc6322"/>
      <w:r>
        <w:rPr>
          <w:rFonts w:hint="eastAsia" w:ascii="宋体" w:hAnsi="宋体" w:eastAsia="宋体" w:cs="宋体"/>
          <w:color w:val="auto"/>
          <w:spacing w:val="-2"/>
          <w:sz w:val="28"/>
          <w:szCs w:val="28"/>
          <w:highlight w:val="none"/>
        </w:rPr>
        <w:t>附表二分项工程进度率计划（斜率图）</w:t>
      </w:r>
      <w:bookmarkEnd w:id="890"/>
      <w:bookmarkEnd w:id="891"/>
      <w:bookmarkEnd w:id="892"/>
      <w:bookmarkEnd w:id="893"/>
      <w:bookmarkEnd w:id="894"/>
    </w:p>
    <w:p w14:paraId="7FB49F36">
      <w:pPr>
        <w:spacing w:before="194"/>
        <w:rPr>
          <w:rFonts w:hint="eastAsia" w:ascii="宋体" w:hAnsi="宋体" w:eastAsia="宋体" w:cs="宋体"/>
          <w:color w:val="auto"/>
          <w:highlight w:val="none"/>
        </w:rPr>
      </w:pPr>
    </w:p>
    <w:tbl>
      <w:tblPr>
        <w:tblStyle w:val="24"/>
        <w:tblW w:w="8711" w:type="dxa"/>
        <w:tblInd w:w="12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770"/>
        <w:gridCol w:w="235"/>
        <w:gridCol w:w="235"/>
        <w:gridCol w:w="234"/>
        <w:gridCol w:w="234"/>
        <w:gridCol w:w="234"/>
        <w:gridCol w:w="234"/>
        <w:gridCol w:w="234"/>
        <w:gridCol w:w="234"/>
        <w:gridCol w:w="234"/>
        <w:gridCol w:w="347"/>
        <w:gridCol w:w="351"/>
        <w:gridCol w:w="346"/>
        <w:gridCol w:w="234"/>
        <w:gridCol w:w="234"/>
        <w:gridCol w:w="234"/>
        <w:gridCol w:w="234"/>
        <w:gridCol w:w="234"/>
        <w:gridCol w:w="234"/>
        <w:gridCol w:w="234"/>
        <w:gridCol w:w="234"/>
        <w:gridCol w:w="234"/>
        <w:gridCol w:w="346"/>
        <w:gridCol w:w="337"/>
      </w:tblGrid>
      <w:tr w14:paraId="41E8D5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 w:hRule="atLeast"/>
        </w:trPr>
        <w:tc>
          <w:tcPr>
            <w:tcW w:w="2770" w:type="dxa"/>
            <w:vAlign w:val="top"/>
          </w:tcPr>
          <w:p w14:paraId="423EF1AB">
            <w:pPr>
              <w:pStyle w:val="25"/>
              <w:spacing w:before="103" w:line="217" w:lineRule="auto"/>
              <w:ind w:left="109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年度</w:t>
            </w:r>
          </w:p>
        </w:tc>
        <w:tc>
          <w:tcPr>
            <w:tcW w:w="3152" w:type="dxa"/>
            <w:gridSpan w:val="12"/>
            <w:vAlign w:val="top"/>
          </w:tcPr>
          <w:p w14:paraId="0ECD6814">
            <w:pPr>
              <w:pStyle w:val="25"/>
              <w:tabs>
                <w:tab w:val="left" w:pos="1723"/>
              </w:tabs>
              <w:spacing w:before="92" w:line="228" w:lineRule="auto"/>
              <w:ind w:left="122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auto"/>
              </w:rPr>
              <w:tab/>
            </w:r>
            <w:r>
              <w:rPr>
                <w:rFonts w:hint="eastAsia" w:ascii="宋体" w:hAnsi="宋体" w:eastAsia="宋体" w:cs="宋体"/>
                <w:color w:val="auto"/>
                <w:sz w:val="24"/>
                <w:szCs w:val="24"/>
                <w:highlight w:val="none"/>
              </w:rPr>
              <w:t>年</w:t>
            </w:r>
          </w:p>
        </w:tc>
        <w:tc>
          <w:tcPr>
            <w:tcW w:w="2789" w:type="dxa"/>
            <w:gridSpan w:val="11"/>
            <w:vAlign w:val="top"/>
          </w:tcPr>
          <w:p w14:paraId="099F5D63">
            <w:pPr>
              <w:pStyle w:val="25"/>
              <w:tabs>
                <w:tab w:val="left" w:pos="1541"/>
              </w:tabs>
              <w:spacing w:before="92" w:line="228" w:lineRule="auto"/>
              <w:ind w:left="103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auto"/>
              </w:rPr>
              <w:tab/>
            </w:r>
            <w:r>
              <w:rPr>
                <w:rFonts w:hint="eastAsia" w:ascii="宋体" w:hAnsi="宋体" w:eastAsia="宋体" w:cs="宋体"/>
                <w:color w:val="auto"/>
                <w:sz w:val="24"/>
                <w:szCs w:val="24"/>
                <w:highlight w:val="none"/>
              </w:rPr>
              <w:t>年</w:t>
            </w:r>
          </w:p>
        </w:tc>
      </w:tr>
      <w:tr w14:paraId="034E19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2770" w:type="dxa"/>
            <w:vAlign w:val="top"/>
          </w:tcPr>
          <w:p w14:paraId="260EAE5B">
            <w:pPr>
              <w:pStyle w:val="25"/>
              <w:spacing w:before="102" w:line="215" w:lineRule="auto"/>
              <w:ind w:left="109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季度</w:t>
            </w:r>
          </w:p>
        </w:tc>
        <w:tc>
          <w:tcPr>
            <w:tcW w:w="704" w:type="dxa"/>
            <w:gridSpan w:val="3"/>
            <w:vAlign w:val="top"/>
          </w:tcPr>
          <w:p w14:paraId="6FE987B3">
            <w:pPr>
              <w:pStyle w:val="25"/>
              <w:spacing w:before="143" w:line="148" w:lineRule="exact"/>
              <w:ind w:left="262"/>
              <w:rPr>
                <w:rFonts w:hint="eastAsia" w:ascii="宋体" w:hAnsi="宋体" w:eastAsia="宋体" w:cs="宋体"/>
                <w:color w:val="auto"/>
                <w:sz w:val="24"/>
                <w:szCs w:val="24"/>
                <w:highlight w:val="none"/>
              </w:rPr>
            </w:pPr>
            <w:r>
              <w:rPr>
                <w:rFonts w:hint="eastAsia" w:ascii="宋体" w:hAnsi="宋体" w:eastAsia="宋体" w:cs="宋体"/>
                <w:color w:val="auto"/>
                <w:position w:val="-4"/>
                <w:sz w:val="24"/>
                <w:szCs w:val="24"/>
                <w:highlight w:val="none"/>
              </w:rPr>
              <w:t>一</w:t>
            </w:r>
          </w:p>
        </w:tc>
        <w:tc>
          <w:tcPr>
            <w:tcW w:w="702" w:type="dxa"/>
            <w:gridSpan w:val="3"/>
            <w:vAlign w:val="top"/>
          </w:tcPr>
          <w:p w14:paraId="3F874452">
            <w:pPr>
              <w:pStyle w:val="25"/>
              <w:spacing w:before="105" w:line="184" w:lineRule="auto"/>
              <w:ind w:left="26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w:t>
            </w:r>
          </w:p>
        </w:tc>
        <w:tc>
          <w:tcPr>
            <w:tcW w:w="702" w:type="dxa"/>
            <w:gridSpan w:val="3"/>
            <w:vAlign w:val="top"/>
          </w:tcPr>
          <w:p w14:paraId="0530A814">
            <w:pPr>
              <w:pStyle w:val="25"/>
              <w:spacing w:before="69" w:line="252" w:lineRule="exact"/>
              <w:ind w:left="257"/>
              <w:rPr>
                <w:rFonts w:hint="eastAsia" w:ascii="宋体" w:hAnsi="宋体" w:eastAsia="宋体" w:cs="宋体"/>
                <w:color w:val="auto"/>
                <w:sz w:val="24"/>
                <w:szCs w:val="24"/>
                <w:highlight w:val="none"/>
              </w:rPr>
            </w:pPr>
            <w:r>
              <w:rPr>
                <w:rFonts w:hint="eastAsia" w:ascii="宋体" w:hAnsi="宋体" w:eastAsia="宋体" w:cs="宋体"/>
                <w:color w:val="auto"/>
                <w:position w:val="1"/>
                <w:sz w:val="24"/>
                <w:szCs w:val="24"/>
                <w:highlight w:val="none"/>
              </w:rPr>
              <w:t>三</w:t>
            </w:r>
          </w:p>
        </w:tc>
        <w:tc>
          <w:tcPr>
            <w:tcW w:w="1044" w:type="dxa"/>
            <w:gridSpan w:val="3"/>
            <w:vAlign w:val="top"/>
          </w:tcPr>
          <w:p w14:paraId="7777F030">
            <w:pPr>
              <w:pStyle w:val="25"/>
              <w:spacing w:before="69" w:line="231" w:lineRule="auto"/>
              <w:ind w:left="44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w:t>
            </w:r>
          </w:p>
        </w:tc>
        <w:tc>
          <w:tcPr>
            <w:tcW w:w="702" w:type="dxa"/>
            <w:gridSpan w:val="3"/>
            <w:vAlign w:val="top"/>
          </w:tcPr>
          <w:p w14:paraId="0D528D81">
            <w:pPr>
              <w:pStyle w:val="25"/>
              <w:spacing w:before="143" w:line="148" w:lineRule="exact"/>
              <w:ind w:left="261"/>
              <w:rPr>
                <w:rFonts w:hint="eastAsia" w:ascii="宋体" w:hAnsi="宋体" w:eastAsia="宋体" w:cs="宋体"/>
                <w:color w:val="auto"/>
                <w:sz w:val="24"/>
                <w:szCs w:val="24"/>
                <w:highlight w:val="none"/>
              </w:rPr>
            </w:pPr>
            <w:r>
              <w:rPr>
                <w:rFonts w:hint="eastAsia" w:ascii="宋体" w:hAnsi="宋体" w:eastAsia="宋体" w:cs="宋体"/>
                <w:color w:val="auto"/>
                <w:position w:val="-4"/>
                <w:sz w:val="24"/>
                <w:szCs w:val="24"/>
                <w:highlight w:val="none"/>
              </w:rPr>
              <w:t>一</w:t>
            </w:r>
          </w:p>
        </w:tc>
        <w:tc>
          <w:tcPr>
            <w:tcW w:w="702" w:type="dxa"/>
            <w:gridSpan w:val="3"/>
            <w:vAlign w:val="top"/>
          </w:tcPr>
          <w:p w14:paraId="0409F339">
            <w:pPr>
              <w:pStyle w:val="25"/>
              <w:spacing w:before="105" w:line="184" w:lineRule="auto"/>
              <w:ind w:left="26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w:t>
            </w:r>
          </w:p>
        </w:tc>
        <w:tc>
          <w:tcPr>
            <w:tcW w:w="702" w:type="dxa"/>
            <w:gridSpan w:val="3"/>
            <w:vAlign w:val="top"/>
          </w:tcPr>
          <w:p w14:paraId="1B26FC4E">
            <w:pPr>
              <w:pStyle w:val="25"/>
              <w:spacing w:before="69" w:line="252" w:lineRule="exact"/>
              <w:ind w:left="258"/>
              <w:rPr>
                <w:rFonts w:hint="eastAsia" w:ascii="宋体" w:hAnsi="宋体" w:eastAsia="宋体" w:cs="宋体"/>
                <w:color w:val="auto"/>
                <w:sz w:val="24"/>
                <w:szCs w:val="24"/>
                <w:highlight w:val="none"/>
              </w:rPr>
            </w:pPr>
            <w:r>
              <w:rPr>
                <w:rFonts w:hint="eastAsia" w:ascii="宋体" w:hAnsi="宋体" w:eastAsia="宋体" w:cs="宋体"/>
                <w:color w:val="auto"/>
                <w:position w:val="1"/>
                <w:sz w:val="24"/>
                <w:szCs w:val="24"/>
                <w:highlight w:val="none"/>
              </w:rPr>
              <w:t>三</w:t>
            </w:r>
          </w:p>
        </w:tc>
        <w:tc>
          <w:tcPr>
            <w:tcW w:w="683" w:type="dxa"/>
            <w:gridSpan w:val="2"/>
            <w:vAlign w:val="top"/>
          </w:tcPr>
          <w:p w14:paraId="166173B7">
            <w:pPr>
              <w:pStyle w:val="25"/>
              <w:spacing w:before="69" w:line="231" w:lineRule="auto"/>
              <w:ind w:left="2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w:t>
            </w:r>
          </w:p>
        </w:tc>
      </w:tr>
      <w:tr w14:paraId="7DCE54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2770" w:type="dxa"/>
            <w:vAlign w:val="top"/>
          </w:tcPr>
          <w:p w14:paraId="2B049814">
            <w:pPr>
              <w:pStyle w:val="25"/>
              <w:spacing w:before="104" w:line="213" w:lineRule="auto"/>
              <w:ind w:left="109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月份</w:t>
            </w:r>
          </w:p>
        </w:tc>
        <w:tc>
          <w:tcPr>
            <w:tcW w:w="235" w:type="dxa"/>
            <w:vAlign w:val="top"/>
          </w:tcPr>
          <w:p w14:paraId="08F255DE">
            <w:pPr>
              <w:spacing w:before="95" w:line="195" w:lineRule="auto"/>
              <w:ind w:left="8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35" w:type="dxa"/>
            <w:vAlign w:val="top"/>
          </w:tcPr>
          <w:p w14:paraId="04AD3493">
            <w:pPr>
              <w:spacing w:before="95" w:line="195" w:lineRule="auto"/>
              <w:ind w:left="7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34" w:type="dxa"/>
            <w:vAlign w:val="top"/>
          </w:tcPr>
          <w:p w14:paraId="04CEA631">
            <w:pPr>
              <w:spacing w:before="95" w:line="195" w:lineRule="auto"/>
              <w:ind w:left="7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234" w:type="dxa"/>
            <w:vAlign w:val="top"/>
          </w:tcPr>
          <w:p w14:paraId="7CBE95B6">
            <w:pPr>
              <w:spacing w:before="95" w:line="195" w:lineRule="auto"/>
              <w:ind w:left="6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234" w:type="dxa"/>
            <w:vAlign w:val="top"/>
          </w:tcPr>
          <w:p w14:paraId="2E1F39E1">
            <w:pPr>
              <w:spacing w:before="98" w:line="192" w:lineRule="auto"/>
              <w:ind w:left="7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234" w:type="dxa"/>
            <w:vAlign w:val="top"/>
          </w:tcPr>
          <w:p w14:paraId="3D7B5B0F">
            <w:pPr>
              <w:spacing w:before="95" w:line="195" w:lineRule="auto"/>
              <w:ind w:left="7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234" w:type="dxa"/>
            <w:vAlign w:val="top"/>
          </w:tcPr>
          <w:p w14:paraId="51E62D23">
            <w:pPr>
              <w:spacing w:before="98" w:line="192" w:lineRule="auto"/>
              <w:ind w:left="7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234" w:type="dxa"/>
            <w:vAlign w:val="top"/>
          </w:tcPr>
          <w:p w14:paraId="580CBDEF">
            <w:pPr>
              <w:spacing w:before="95" w:line="195" w:lineRule="auto"/>
              <w:ind w:left="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234" w:type="dxa"/>
            <w:vAlign w:val="top"/>
          </w:tcPr>
          <w:p w14:paraId="2A21FCBB">
            <w:pPr>
              <w:spacing w:before="95" w:line="195" w:lineRule="auto"/>
              <w:ind w:left="7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347" w:type="dxa"/>
            <w:vAlign w:val="top"/>
          </w:tcPr>
          <w:p w14:paraId="24B00E73">
            <w:pPr>
              <w:spacing w:before="95" w:line="195" w:lineRule="auto"/>
              <w:ind w:right="1"/>
              <w:jc w:val="right"/>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10</w:t>
            </w:r>
          </w:p>
        </w:tc>
        <w:tc>
          <w:tcPr>
            <w:tcW w:w="351" w:type="dxa"/>
            <w:vAlign w:val="top"/>
          </w:tcPr>
          <w:p w14:paraId="3A6A745D">
            <w:pPr>
              <w:spacing w:before="95" w:line="195" w:lineRule="auto"/>
              <w:ind w:right="1"/>
              <w:jc w:val="right"/>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11</w:t>
            </w:r>
          </w:p>
        </w:tc>
        <w:tc>
          <w:tcPr>
            <w:tcW w:w="346" w:type="dxa"/>
            <w:vAlign w:val="top"/>
          </w:tcPr>
          <w:p w14:paraId="6A66D7D7">
            <w:pPr>
              <w:spacing w:before="95" w:line="195" w:lineRule="auto"/>
              <w:jc w:val="right"/>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12</w:t>
            </w:r>
          </w:p>
        </w:tc>
        <w:tc>
          <w:tcPr>
            <w:tcW w:w="234" w:type="dxa"/>
            <w:vAlign w:val="top"/>
          </w:tcPr>
          <w:p w14:paraId="1AB87C5D">
            <w:pPr>
              <w:spacing w:before="95" w:line="195" w:lineRule="auto"/>
              <w:ind w:left="8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34" w:type="dxa"/>
            <w:vAlign w:val="top"/>
          </w:tcPr>
          <w:p w14:paraId="1F8130A6">
            <w:pPr>
              <w:spacing w:before="95" w:line="195" w:lineRule="auto"/>
              <w:ind w:left="7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34" w:type="dxa"/>
            <w:vAlign w:val="top"/>
          </w:tcPr>
          <w:p w14:paraId="7012EDE0">
            <w:pPr>
              <w:spacing w:before="95" w:line="195" w:lineRule="auto"/>
              <w:ind w:left="7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234" w:type="dxa"/>
            <w:vAlign w:val="top"/>
          </w:tcPr>
          <w:p w14:paraId="7898F5B4">
            <w:pPr>
              <w:spacing w:before="95" w:line="195" w:lineRule="auto"/>
              <w:ind w:left="7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234" w:type="dxa"/>
            <w:vAlign w:val="top"/>
          </w:tcPr>
          <w:p w14:paraId="6080E5D4">
            <w:pPr>
              <w:spacing w:before="98" w:line="192" w:lineRule="auto"/>
              <w:ind w:left="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234" w:type="dxa"/>
            <w:vAlign w:val="top"/>
          </w:tcPr>
          <w:p w14:paraId="265F156D">
            <w:pPr>
              <w:spacing w:before="95" w:line="195" w:lineRule="auto"/>
              <w:ind w:left="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234" w:type="dxa"/>
            <w:vAlign w:val="top"/>
          </w:tcPr>
          <w:p w14:paraId="71B5EE59">
            <w:pPr>
              <w:spacing w:before="98" w:line="192" w:lineRule="auto"/>
              <w:ind w:left="7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234" w:type="dxa"/>
            <w:vAlign w:val="top"/>
          </w:tcPr>
          <w:p w14:paraId="37C5E5D5">
            <w:pPr>
              <w:spacing w:before="95" w:line="195" w:lineRule="auto"/>
              <w:ind w:left="7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234" w:type="dxa"/>
            <w:vAlign w:val="top"/>
          </w:tcPr>
          <w:p w14:paraId="4C6A97A2">
            <w:pPr>
              <w:spacing w:before="95" w:line="195" w:lineRule="auto"/>
              <w:ind w:left="7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346" w:type="dxa"/>
            <w:vAlign w:val="top"/>
          </w:tcPr>
          <w:p w14:paraId="1DF717EE">
            <w:pPr>
              <w:spacing w:before="95" w:line="195" w:lineRule="auto"/>
              <w:jc w:val="right"/>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10</w:t>
            </w:r>
          </w:p>
        </w:tc>
        <w:tc>
          <w:tcPr>
            <w:tcW w:w="337" w:type="dxa"/>
            <w:vAlign w:val="top"/>
          </w:tcPr>
          <w:p w14:paraId="23E77C4E">
            <w:pPr>
              <w:spacing w:before="167" w:line="69" w:lineRule="exact"/>
              <w:jc w:val="right"/>
              <w:rPr>
                <w:rFonts w:hint="eastAsia" w:ascii="宋体" w:hAnsi="宋体" w:eastAsia="宋体" w:cs="宋体"/>
                <w:color w:val="auto"/>
                <w:sz w:val="24"/>
                <w:szCs w:val="24"/>
                <w:highlight w:val="none"/>
              </w:rPr>
            </w:pPr>
            <w:r>
              <w:rPr>
                <w:rFonts w:hint="eastAsia" w:ascii="宋体" w:hAnsi="宋体" w:eastAsia="宋体" w:cs="宋体"/>
                <w:color w:val="auto"/>
                <w:spacing w:val="-24"/>
                <w:position w:val="1"/>
                <w:sz w:val="24"/>
                <w:szCs w:val="24"/>
                <w:highlight w:val="none"/>
              </w:rPr>
              <w:t>…</w:t>
            </w:r>
          </w:p>
        </w:tc>
      </w:tr>
      <w:tr w14:paraId="519251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2770" w:type="dxa"/>
            <w:tcBorders>
              <w:bottom w:val="nil"/>
            </w:tcBorders>
            <w:vAlign w:val="top"/>
          </w:tcPr>
          <w:p w14:paraId="5F8070B3">
            <w:pPr>
              <w:pStyle w:val="25"/>
              <w:spacing w:before="34" w:line="227" w:lineRule="auto"/>
              <w:ind w:left="224"/>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图例：</w:t>
            </w:r>
            <w:r>
              <w:rPr>
                <w:rFonts w:hint="eastAsia" w:ascii="宋体" w:hAnsi="宋体" w:eastAsia="宋体" w:cs="宋体"/>
                <w:color w:val="auto"/>
                <w:spacing w:val="-3"/>
                <w:position w:val="1"/>
                <w:sz w:val="24"/>
                <w:szCs w:val="24"/>
                <w:highlight w:val="none"/>
              </w:rPr>
              <w:t>100</w:t>
            </w:r>
          </w:p>
        </w:tc>
        <w:tc>
          <w:tcPr>
            <w:tcW w:w="235" w:type="dxa"/>
            <w:vAlign w:val="top"/>
          </w:tcPr>
          <w:p w14:paraId="56C9668C">
            <w:pPr>
              <w:rPr>
                <w:rFonts w:hint="eastAsia" w:ascii="宋体" w:hAnsi="宋体" w:eastAsia="宋体" w:cs="宋体"/>
                <w:color w:val="auto"/>
                <w:sz w:val="24"/>
                <w:szCs w:val="24"/>
                <w:highlight w:val="none"/>
              </w:rPr>
            </w:pPr>
          </w:p>
        </w:tc>
        <w:tc>
          <w:tcPr>
            <w:tcW w:w="235" w:type="dxa"/>
            <w:vAlign w:val="top"/>
          </w:tcPr>
          <w:p w14:paraId="643BA2FA">
            <w:pPr>
              <w:rPr>
                <w:rFonts w:hint="eastAsia" w:ascii="宋体" w:hAnsi="宋体" w:eastAsia="宋体" w:cs="宋体"/>
                <w:color w:val="auto"/>
                <w:sz w:val="24"/>
                <w:szCs w:val="24"/>
                <w:highlight w:val="none"/>
              </w:rPr>
            </w:pPr>
          </w:p>
        </w:tc>
        <w:tc>
          <w:tcPr>
            <w:tcW w:w="234" w:type="dxa"/>
            <w:vAlign w:val="top"/>
          </w:tcPr>
          <w:p w14:paraId="1E59E08D">
            <w:pPr>
              <w:rPr>
                <w:rFonts w:hint="eastAsia" w:ascii="宋体" w:hAnsi="宋体" w:eastAsia="宋体" w:cs="宋体"/>
                <w:color w:val="auto"/>
                <w:sz w:val="24"/>
                <w:szCs w:val="24"/>
                <w:highlight w:val="none"/>
              </w:rPr>
            </w:pPr>
          </w:p>
        </w:tc>
        <w:tc>
          <w:tcPr>
            <w:tcW w:w="234" w:type="dxa"/>
            <w:vAlign w:val="top"/>
          </w:tcPr>
          <w:p w14:paraId="07A55D8E">
            <w:pPr>
              <w:rPr>
                <w:rFonts w:hint="eastAsia" w:ascii="宋体" w:hAnsi="宋体" w:eastAsia="宋体" w:cs="宋体"/>
                <w:color w:val="auto"/>
                <w:sz w:val="24"/>
                <w:szCs w:val="24"/>
                <w:highlight w:val="none"/>
              </w:rPr>
            </w:pPr>
          </w:p>
        </w:tc>
        <w:tc>
          <w:tcPr>
            <w:tcW w:w="234" w:type="dxa"/>
            <w:vAlign w:val="top"/>
          </w:tcPr>
          <w:p w14:paraId="6707C4E0">
            <w:pPr>
              <w:rPr>
                <w:rFonts w:hint="eastAsia" w:ascii="宋体" w:hAnsi="宋体" w:eastAsia="宋体" w:cs="宋体"/>
                <w:color w:val="auto"/>
                <w:sz w:val="24"/>
                <w:szCs w:val="24"/>
                <w:highlight w:val="none"/>
              </w:rPr>
            </w:pPr>
          </w:p>
        </w:tc>
        <w:tc>
          <w:tcPr>
            <w:tcW w:w="234" w:type="dxa"/>
            <w:vAlign w:val="top"/>
          </w:tcPr>
          <w:p w14:paraId="02E2C783">
            <w:pPr>
              <w:rPr>
                <w:rFonts w:hint="eastAsia" w:ascii="宋体" w:hAnsi="宋体" w:eastAsia="宋体" w:cs="宋体"/>
                <w:color w:val="auto"/>
                <w:sz w:val="24"/>
                <w:szCs w:val="24"/>
                <w:highlight w:val="none"/>
              </w:rPr>
            </w:pPr>
          </w:p>
        </w:tc>
        <w:tc>
          <w:tcPr>
            <w:tcW w:w="234" w:type="dxa"/>
            <w:vAlign w:val="top"/>
          </w:tcPr>
          <w:p w14:paraId="58181826">
            <w:pPr>
              <w:rPr>
                <w:rFonts w:hint="eastAsia" w:ascii="宋体" w:hAnsi="宋体" w:eastAsia="宋体" w:cs="宋体"/>
                <w:color w:val="auto"/>
                <w:sz w:val="24"/>
                <w:szCs w:val="24"/>
                <w:highlight w:val="none"/>
              </w:rPr>
            </w:pPr>
          </w:p>
        </w:tc>
        <w:tc>
          <w:tcPr>
            <w:tcW w:w="234" w:type="dxa"/>
            <w:vAlign w:val="top"/>
          </w:tcPr>
          <w:p w14:paraId="683FC4EB">
            <w:pPr>
              <w:rPr>
                <w:rFonts w:hint="eastAsia" w:ascii="宋体" w:hAnsi="宋体" w:eastAsia="宋体" w:cs="宋体"/>
                <w:color w:val="auto"/>
                <w:sz w:val="24"/>
                <w:szCs w:val="24"/>
                <w:highlight w:val="none"/>
              </w:rPr>
            </w:pPr>
          </w:p>
        </w:tc>
        <w:tc>
          <w:tcPr>
            <w:tcW w:w="234" w:type="dxa"/>
            <w:vAlign w:val="top"/>
          </w:tcPr>
          <w:p w14:paraId="0468FBF6">
            <w:pPr>
              <w:rPr>
                <w:rFonts w:hint="eastAsia" w:ascii="宋体" w:hAnsi="宋体" w:eastAsia="宋体" w:cs="宋体"/>
                <w:color w:val="auto"/>
                <w:sz w:val="24"/>
                <w:szCs w:val="24"/>
                <w:highlight w:val="none"/>
              </w:rPr>
            </w:pPr>
          </w:p>
        </w:tc>
        <w:tc>
          <w:tcPr>
            <w:tcW w:w="347" w:type="dxa"/>
            <w:vAlign w:val="top"/>
          </w:tcPr>
          <w:p w14:paraId="1A174FA0">
            <w:pPr>
              <w:rPr>
                <w:rFonts w:hint="eastAsia" w:ascii="宋体" w:hAnsi="宋体" w:eastAsia="宋体" w:cs="宋体"/>
                <w:color w:val="auto"/>
                <w:sz w:val="24"/>
                <w:szCs w:val="24"/>
                <w:highlight w:val="none"/>
              </w:rPr>
            </w:pPr>
          </w:p>
        </w:tc>
        <w:tc>
          <w:tcPr>
            <w:tcW w:w="351" w:type="dxa"/>
            <w:vAlign w:val="top"/>
          </w:tcPr>
          <w:p w14:paraId="66EA20A7">
            <w:pPr>
              <w:rPr>
                <w:rFonts w:hint="eastAsia" w:ascii="宋体" w:hAnsi="宋体" w:eastAsia="宋体" w:cs="宋体"/>
                <w:color w:val="auto"/>
                <w:sz w:val="24"/>
                <w:szCs w:val="24"/>
                <w:highlight w:val="none"/>
              </w:rPr>
            </w:pPr>
          </w:p>
        </w:tc>
        <w:tc>
          <w:tcPr>
            <w:tcW w:w="346" w:type="dxa"/>
            <w:vAlign w:val="top"/>
          </w:tcPr>
          <w:p w14:paraId="1253148A">
            <w:pPr>
              <w:rPr>
                <w:rFonts w:hint="eastAsia" w:ascii="宋体" w:hAnsi="宋体" w:eastAsia="宋体" w:cs="宋体"/>
                <w:color w:val="auto"/>
                <w:sz w:val="24"/>
                <w:szCs w:val="24"/>
                <w:highlight w:val="none"/>
              </w:rPr>
            </w:pPr>
          </w:p>
        </w:tc>
        <w:tc>
          <w:tcPr>
            <w:tcW w:w="234" w:type="dxa"/>
            <w:vAlign w:val="top"/>
          </w:tcPr>
          <w:p w14:paraId="53589AD5">
            <w:pPr>
              <w:rPr>
                <w:rFonts w:hint="eastAsia" w:ascii="宋体" w:hAnsi="宋体" w:eastAsia="宋体" w:cs="宋体"/>
                <w:color w:val="auto"/>
                <w:sz w:val="24"/>
                <w:szCs w:val="24"/>
                <w:highlight w:val="none"/>
              </w:rPr>
            </w:pPr>
          </w:p>
        </w:tc>
        <w:tc>
          <w:tcPr>
            <w:tcW w:w="234" w:type="dxa"/>
            <w:vAlign w:val="top"/>
          </w:tcPr>
          <w:p w14:paraId="1EB03DC7">
            <w:pPr>
              <w:rPr>
                <w:rFonts w:hint="eastAsia" w:ascii="宋体" w:hAnsi="宋体" w:eastAsia="宋体" w:cs="宋体"/>
                <w:color w:val="auto"/>
                <w:sz w:val="24"/>
                <w:szCs w:val="24"/>
                <w:highlight w:val="none"/>
              </w:rPr>
            </w:pPr>
          </w:p>
        </w:tc>
        <w:tc>
          <w:tcPr>
            <w:tcW w:w="234" w:type="dxa"/>
            <w:vAlign w:val="top"/>
          </w:tcPr>
          <w:p w14:paraId="219475C1">
            <w:pPr>
              <w:rPr>
                <w:rFonts w:hint="eastAsia" w:ascii="宋体" w:hAnsi="宋体" w:eastAsia="宋体" w:cs="宋体"/>
                <w:color w:val="auto"/>
                <w:sz w:val="24"/>
                <w:szCs w:val="24"/>
                <w:highlight w:val="none"/>
              </w:rPr>
            </w:pPr>
          </w:p>
        </w:tc>
        <w:tc>
          <w:tcPr>
            <w:tcW w:w="234" w:type="dxa"/>
            <w:vAlign w:val="top"/>
          </w:tcPr>
          <w:p w14:paraId="72B08259">
            <w:pPr>
              <w:rPr>
                <w:rFonts w:hint="eastAsia" w:ascii="宋体" w:hAnsi="宋体" w:eastAsia="宋体" w:cs="宋体"/>
                <w:color w:val="auto"/>
                <w:sz w:val="24"/>
                <w:szCs w:val="24"/>
                <w:highlight w:val="none"/>
              </w:rPr>
            </w:pPr>
          </w:p>
        </w:tc>
        <w:tc>
          <w:tcPr>
            <w:tcW w:w="234" w:type="dxa"/>
            <w:vAlign w:val="top"/>
          </w:tcPr>
          <w:p w14:paraId="2EF76AE8">
            <w:pPr>
              <w:rPr>
                <w:rFonts w:hint="eastAsia" w:ascii="宋体" w:hAnsi="宋体" w:eastAsia="宋体" w:cs="宋体"/>
                <w:color w:val="auto"/>
                <w:sz w:val="24"/>
                <w:szCs w:val="24"/>
                <w:highlight w:val="none"/>
              </w:rPr>
            </w:pPr>
          </w:p>
        </w:tc>
        <w:tc>
          <w:tcPr>
            <w:tcW w:w="234" w:type="dxa"/>
            <w:vAlign w:val="top"/>
          </w:tcPr>
          <w:p w14:paraId="1C652619">
            <w:pPr>
              <w:rPr>
                <w:rFonts w:hint="eastAsia" w:ascii="宋体" w:hAnsi="宋体" w:eastAsia="宋体" w:cs="宋体"/>
                <w:color w:val="auto"/>
                <w:sz w:val="24"/>
                <w:szCs w:val="24"/>
                <w:highlight w:val="none"/>
              </w:rPr>
            </w:pPr>
          </w:p>
        </w:tc>
        <w:tc>
          <w:tcPr>
            <w:tcW w:w="234" w:type="dxa"/>
            <w:vAlign w:val="top"/>
          </w:tcPr>
          <w:p w14:paraId="11DEF083">
            <w:pPr>
              <w:rPr>
                <w:rFonts w:hint="eastAsia" w:ascii="宋体" w:hAnsi="宋体" w:eastAsia="宋体" w:cs="宋体"/>
                <w:color w:val="auto"/>
                <w:sz w:val="24"/>
                <w:szCs w:val="24"/>
                <w:highlight w:val="none"/>
              </w:rPr>
            </w:pPr>
          </w:p>
        </w:tc>
        <w:tc>
          <w:tcPr>
            <w:tcW w:w="234" w:type="dxa"/>
            <w:vAlign w:val="top"/>
          </w:tcPr>
          <w:p w14:paraId="436CB36A">
            <w:pPr>
              <w:rPr>
                <w:rFonts w:hint="eastAsia" w:ascii="宋体" w:hAnsi="宋体" w:eastAsia="宋体" w:cs="宋体"/>
                <w:color w:val="auto"/>
                <w:sz w:val="24"/>
                <w:szCs w:val="24"/>
                <w:highlight w:val="none"/>
              </w:rPr>
            </w:pPr>
          </w:p>
        </w:tc>
        <w:tc>
          <w:tcPr>
            <w:tcW w:w="234" w:type="dxa"/>
            <w:vAlign w:val="top"/>
          </w:tcPr>
          <w:p w14:paraId="1E2BBE99">
            <w:pPr>
              <w:rPr>
                <w:rFonts w:hint="eastAsia" w:ascii="宋体" w:hAnsi="宋体" w:eastAsia="宋体" w:cs="宋体"/>
                <w:color w:val="auto"/>
                <w:sz w:val="24"/>
                <w:szCs w:val="24"/>
                <w:highlight w:val="none"/>
              </w:rPr>
            </w:pPr>
          </w:p>
        </w:tc>
        <w:tc>
          <w:tcPr>
            <w:tcW w:w="346" w:type="dxa"/>
            <w:vAlign w:val="top"/>
          </w:tcPr>
          <w:p w14:paraId="7C8CC44F">
            <w:pPr>
              <w:rPr>
                <w:rFonts w:hint="eastAsia" w:ascii="宋体" w:hAnsi="宋体" w:eastAsia="宋体" w:cs="宋体"/>
                <w:color w:val="auto"/>
                <w:sz w:val="24"/>
                <w:szCs w:val="24"/>
                <w:highlight w:val="none"/>
              </w:rPr>
            </w:pPr>
          </w:p>
        </w:tc>
        <w:tc>
          <w:tcPr>
            <w:tcW w:w="337" w:type="dxa"/>
            <w:vAlign w:val="top"/>
          </w:tcPr>
          <w:p w14:paraId="2D126BAB">
            <w:pPr>
              <w:rPr>
                <w:rFonts w:hint="eastAsia" w:ascii="宋体" w:hAnsi="宋体" w:eastAsia="宋体" w:cs="宋体"/>
                <w:color w:val="auto"/>
                <w:sz w:val="24"/>
                <w:szCs w:val="24"/>
                <w:highlight w:val="none"/>
              </w:rPr>
            </w:pPr>
          </w:p>
        </w:tc>
      </w:tr>
      <w:tr w14:paraId="711BE5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2770" w:type="dxa"/>
            <w:vMerge w:val="restart"/>
            <w:tcBorders>
              <w:top w:val="nil"/>
              <w:bottom w:val="nil"/>
            </w:tcBorders>
            <w:vAlign w:val="top"/>
          </w:tcPr>
          <w:p w14:paraId="5502D7CE">
            <w:pPr>
              <w:spacing w:before="3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pict>
                <v:shape id="_x0000_s1037" o:spid="_x0000_s1037" o:spt="202" type="#_x0000_t202" style="position:absolute;left:0pt;margin-left:125.8pt;margin-top:15.65pt;height:10.9pt;width:11.65pt;mso-position-horizontal-relative:page;mso-position-vertical-relative:page;z-index:251731968;mso-width-relative:page;mso-height-relative:page;" filled="f" stroked="f" coordsize="21600,21600">
                  <v:path/>
                  <v:fill on="f" focussize="0,0"/>
                  <v:stroke on="f"/>
                  <v:imagedata o:title=""/>
                  <o:lock v:ext="edit" aspectratio="f"/>
                  <v:textbox inset="0mm,0mm,0mm,0mm">
                    <w:txbxContent>
                      <w:p w14:paraId="34E36E10">
                        <w:pPr>
                          <w:spacing w:before="20" w:line="195" w:lineRule="auto"/>
                          <w:ind w:left="20"/>
                          <w:rPr>
                            <w:rFonts w:ascii="Times New Roman" w:hAnsi="Times New Roman" w:eastAsia="Times New Roman" w:cs="Times New Roman"/>
                            <w:sz w:val="19"/>
                            <w:szCs w:val="19"/>
                          </w:rPr>
                        </w:pPr>
                        <w:r>
                          <w:rPr>
                            <w:rFonts w:ascii="Times New Roman" w:hAnsi="Times New Roman" w:eastAsia="Times New Roman" w:cs="Times New Roman"/>
                            <w:spacing w:val="1"/>
                            <w:sz w:val="19"/>
                            <w:szCs w:val="19"/>
                          </w:rPr>
                          <w:t>90</w:t>
                        </w:r>
                      </w:p>
                    </w:txbxContent>
                  </v:textbox>
                </v:shape>
              </w:pict>
            </w:r>
            <w:r>
              <w:rPr>
                <w:rFonts w:hint="eastAsia" w:ascii="宋体" w:hAnsi="宋体" w:eastAsia="宋体" w:cs="宋体"/>
                <w:color w:val="auto"/>
                <w:sz w:val="24"/>
                <w:szCs w:val="24"/>
                <w:highlight w:val="none"/>
              </w:rPr>
              <w:pict>
                <v:shape id="_x0000_s1038" o:spid="_x0000_s1038" o:spt="202" type="#_x0000_t202" style="position:absolute;left:0pt;margin-left:126pt;margin-top:43.6pt;height:10.9pt;width:11.45pt;mso-position-horizontal-relative:page;mso-position-vertical-relative:page;z-index:251730944;mso-width-relative:page;mso-height-relative:page;" filled="f" stroked="f" coordsize="21600,21600">
                  <v:path/>
                  <v:fill on="f" focussize="0,0"/>
                  <v:stroke on="f"/>
                  <v:imagedata o:title=""/>
                  <o:lock v:ext="edit" aspectratio="f"/>
                  <v:textbox inset="0mm,0mm,0mm,0mm">
                    <w:txbxContent>
                      <w:p w14:paraId="2942A5A5">
                        <w:pPr>
                          <w:spacing w:before="20" w:line="195" w:lineRule="auto"/>
                          <w:ind w:left="20"/>
                          <w:rPr>
                            <w:rFonts w:ascii="Times New Roman" w:hAnsi="Times New Roman" w:eastAsia="Times New Roman" w:cs="Times New Roman"/>
                            <w:sz w:val="19"/>
                            <w:szCs w:val="19"/>
                          </w:rPr>
                        </w:pPr>
                        <w:r>
                          <w:rPr>
                            <w:rFonts w:ascii="Times New Roman" w:hAnsi="Times New Roman" w:eastAsia="Times New Roman" w:cs="Times New Roman"/>
                            <w:spacing w:val="-1"/>
                            <w:sz w:val="19"/>
                            <w:szCs w:val="19"/>
                          </w:rPr>
                          <w:t>80</w:t>
                        </w:r>
                      </w:p>
                    </w:txbxContent>
                  </v:textbox>
                </v:shape>
              </w:pict>
            </w:r>
            <w:r>
              <w:rPr>
                <w:rFonts w:hint="eastAsia" w:ascii="宋体" w:hAnsi="宋体" w:eastAsia="宋体" w:cs="宋体"/>
                <w:color w:val="auto"/>
                <w:sz w:val="24"/>
                <w:szCs w:val="24"/>
                <w:highlight w:val="none"/>
              </w:rPr>
              <w:pict>
                <v:shape id="_x0000_s1039" o:spid="_x0000_s1039" o:spt="202" type="#_x0000_t202" style="position:absolute;left:0pt;margin-left:125.8pt;margin-top:72.65pt;height:10.9pt;width:11.65pt;mso-position-horizontal-relative:page;mso-position-vertical-relative:page;z-index:251729920;mso-width-relative:page;mso-height-relative:page;" filled="f" stroked="f" coordsize="21600,21600">
                  <v:path/>
                  <v:fill on="f" focussize="0,0"/>
                  <v:stroke on="f"/>
                  <v:imagedata o:title=""/>
                  <o:lock v:ext="edit" aspectratio="f"/>
                  <v:textbox inset="0mm,0mm,0mm,0mm">
                    <w:txbxContent>
                      <w:p w14:paraId="47D8FC0C">
                        <w:pPr>
                          <w:spacing w:before="20" w:line="195" w:lineRule="auto"/>
                          <w:ind w:left="20"/>
                          <w:rPr>
                            <w:rFonts w:ascii="Times New Roman" w:hAnsi="Times New Roman" w:eastAsia="Times New Roman" w:cs="Times New Roman"/>
                            <w:sz w:val="19"/>
                            <w:szCs w:val="19"/>
                          </w:rPr>
                        </w:pPr>
                        <w:r>
                          <w:rPr>
                            <w:rFonts w:ascii="Times New Roman" w:hAnsi="Times New Roman" w:eastAsia="Times New Roman" w:cs="Times New Roman"/>
                            <w:spacing w:val="1"/>
                            <w:sz w:val="19"/>
                            <w:szCs w:val="19"/>
                          </w:rPr>
                          <w:t>70</w:t>
                        </w:r>
                      </w:p>
                    </w:txbxContent>
                  </v:textbox>
                </v:shape>
              </w:pict>
            </w:r>
            <w:r>
              <w:rPr>
                <w:rFonts w:hint="eastAsia" w:ascii="宋体" w:hAnsi="宋体" w:eastAsia="宋体" w:cs="宋体"/>
                <w:color w:val="auto"/>
                <w:sz w:val="24"/>
                <w:szCs w:val="24"/>
                <w:highlight w:val="none"/>
              </w:rPr>
              <w:pict>
                <v:shape id="_x0000_s1040" o:spid="_x0000_s1040" o:spt="202" type="#_x0000_t202" style="position:absolute;left:0pt;margin-left:125.85pt;margin-top:102.75pt;height:10.9pt;width:11.6pt;mso-position-horizontal-relative:page;mso-position-vertical-relative:page;z-index:251732992;mso-width-relative:page;mso-height-relative:page;" filled="f" stroked="f" coordsize="21600,21600">
                  <v:path/>
                  <v:fill on="f" focussize="0,0"/>
                  <v:stroke on="f"/>
                  <v:imagedata o:title=""/>
                  <o:lock v:ext="edit" aspectratio="f"/>
                  <v:textbox inset="0mm,0mm,0mm,0mm">
                    <w:txbxContent>
                      <w:p w14:paraId="5634878E">
                        <w:pPr>
                          <w:spacing w:before="20" w:line="195" w:lineRule="auto"/>
                          <w:ind w:left="20"/>
                          <w:rPr>
                            <w:rFonts w:ascii="Times New Roman" w:hAnsi="Times New Roman" w:eastAsia="Times New Roman" w:cs="Times New Roman"/>
                            <w:sz w:val="19"/>
                            <w:szCs w:val="19"/>
                          </w:rPr>
                        </w:pPr>
                        <w:r>
                          <w:rPr>
                            <w:rFonts w:ascii="Times New Roman" w:hAnsi="Times New Roman" w:eastAsia="Times New Roman" w:cs="Times New Roman"/>
                            <w:sz w:val="19"/>
                            <w:szCs w:val="19"/>
                          </w:rPr>
                          <w:t>60</w:t>
                        </w:r>
                      </w:p>
                    </w:txbxContent>
                  </v:textbox>
                </v:shape>
              </w:pict>
            </w:r>
            <w:r>
              <w:rPr>
                <w:rFonts w:hint="eastAsia" w:ascii="宋体" w:hAnsi="宋体" w:eastAsia="宋体" w:cs="宋体"/>
                <w:color w:val="auto"/>
                <w:sz w:val="24"/>
                <w:szCs w:val="24"/>
                <w:highlight w:val="none"/>
              </w:rPr>
              <w:pict>
                <v:shape id="_x0000_s1041" o:spid="_x0000_s1041" o:spt="202" type="#_x0000_t202" style="position:absolute;left:0pt;margin-left:125.9pt;margin-top:131.45pt;height:10.9pt;width:11.55pt;mso-position-horizontal-relative:page;mso-position-vertical-relative:page;z-index:251727872;mso-width-relative:page;mso-height-relative:page;" filled="f" stroked="f" coordsize="21600,21600">
                  <v:path/>
                  <v:fill on="f" focussize="0,0"/>
                  <v:stroke on="f"/>
                  <v:imagedata o:title=""/>
                  <o:lock v:ext="edit" aspectratio="f"/>
                  <v:textbox inset="0mm,0mm,0mm,0mm">
                    <w:txbxContent>
                      <w:p w14:paraId="3257751E">
                        <w:pPr>
                          <w:spacing w:before="20" w:line="195" w:lineRule="auto"/>
                          <w:ind w:left="20"/>
                          <w:rPr>
                            <w:rFonts w:ascii="Times New Roman" w:hAnsi="Times New Roman" w:eastAsia="Times New Roman" w:cs="Times New Roman"/>
                            <w:sz w:val="19"/>
                            <w:szCs w:val="19"/>
                          </w:rPr>
                        </w:pPr>
                        <w:r>
                          <w:rPr>
                            <w:rFonts w:ascii="Times New Roman" w:hAnsi="Times New Roman" w:eastAsia="Times New Roman" w:cs="Times New Roman"/>
                            <w:sz w:val="19"/>
                            <w:szCs w:val="19"/>
                          </w:rPr>
                          <w:t>50</w:t>
                        </w:r>
                      </w:p>
                    </w:txbxContent>
                  </v:textbox>
                </v:shape>
              </w:pict>
            </w:r>
            <w:r>
              <w:rPr>
                <w:rFonts w:hint="eastAsia" w:ascii="宋体" w:hAnsi="宋体" w:eastAsia="宋体" w:cs="宋体"/>
                <w:color w:val="auto"/>
                <w:sz w:val="24"/>
                <w:szCs w:val="24"/>
                <w:highlight w:val="none"/>
              </w:rPr>
              <w:pict>
                <v:shape id="_x0000_s1042" o:spid="_x0000_s1042" o:spt="202" type="#_x0000_t202" style="position:absolute;left:0pt;margin-left:125.55pt;margin-top:159.75pt;height:63.95pt;width:11.9pt;mso-position-horizontal-relative:page;mso-position-vertical-relative:page;z-index:251728896;mso-width-relative:page;mso-height-relative:page;" filled="f" stroked="f" coordsize="21600,21600">
                  <v:path/>
                  <v:fill on="f" focussize="0,0"/>
                  <v:stroke on="f"/>
                  <v:imagedata o:title=""/>
                  <o:lock v:ext="edit" aspectratio="f"/>
                  <v:textbox inset="0mm,0mm,0mm,0mm">
                    <w:txbxContent>
                      <w:p w14:paraId="6F7B2860">
                        <w:pPr>
                          <w:spacing w:before="20" w:line="195" w:lineRule="auto"/>
                          <w:ind w:left="20"/>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40</w:t>
                        </w:r>
                      </w:p>
                      <w:p w14:paraId="59FEF3D6">
                        <w:pPr>
                          <w:spacing w:line="289" w:lineRule="auto"/>
                          <w:rPr>
                            <w:rFonts w:ascii="Arial"/>
                            <w:sz w:val="21"/>
                          </w:rPr>
                        </w:pPr>
                      </w:p>
                      <w:p w14:paraId="7BD3C675">
                        <w:pPr>
                          <w:spacing w:before="54" w:line="195" w:lineRule="auto"/>
                          <w:ind w:left="24"/>
                          <w:rPr>
                            <w:rFonts w:ascii="Times New Roman" w:hAnsi="Times New Roman" w:eastAsia="Times New Roman" w:cs="Times New Roman"/>
                            <w:sz w:val="19"/>
                            <w:szCs w:val="19"/>
                          </w:rPr>
                        </w:pPr>
                        <w:r>
                          <w:rPr>
                            <w:rFonts w:ascii="Times New Roman" w:hAnsi="Times New Roman" w:eastAsia="Times New Roman" w:cs="Times New Roman"/>
                            <w:spacing w:val="1"/>
                            <w:sz w:val="19"/>
                            <w:szCs w:val="19"/>
                          </w:rPr>
                          <w:t>30</w:t>
                        </w:r>
                      </w:p>
                      <w:p w14:paraId="2FC35CBA">
                        <w:pPr>
                          <w:spacing w:line="303" w:lineRule="auto"/>
                          <w:rPr>
                            <w:rFonts w:ascii="Arial"/>
                            <w:sz w:val="21"/>
                          </w:rPr>
                        </w:pPr>
                      </w:p>
                      <w:p w14:paraId="78912EA8">
                        <w:pPr>
                          <w:spacing w:before="55" w:line="195" w:lineRule="auto"/>
                          <w:ind w:left="20"/>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20</w:t>
                        </w:r>
                      </w:p>
                    </w:txbxContent>
                  </v:textbox>
                </v:shape>
              </w:pict>
            </w:r>
          </w:p>
          <w:tbl>
            <w:tblPr>
              <w:tblStyle w:val="24"/>
              <w:tblW w:w="2425"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2425"/>
            </w:tblGrid>
            <w:tr w14:paraId="38565EC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51" w:hRule="atLeast"/>
              </w:trPr>
              <w:tc>
                <w:tcPr>
                  <w:tcW w:w="2425" w:type="dxa"/>
                  <w:tcBorders>
                    <w:top w:val="single" w:color="000000" w:sz="2" w:space="0"/>
                    <w:bottom w:val="single" w:color="000000" w:sz="2" w:space="0"/>
                  </w:tcBorders>
                  <w:vAlign w:val="top"/>
                </w:tcPr>
                <w:p w14:paraId="0FE5333B">
                  <w:pPr>
                    <w:pStyle w:val="25"/>
                    <w:spacing w:before="37" w:line="229" w:lineRule="auto"/>
                    <w:ind w:left="876"/>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施工准备</w:t>
                  </w:r>
                </w:p>
              </w:tc>
            </w:tr>
            <w:tr w14:paraId="6C8ADBA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116" w:hRule="atLeast"/>
              </w:trPr>
              <w:tc>
                <w:tcPr>
                  <w:tcW w:w="2425" w:type="dxa"/>
                  <w:tcBorders>
                    <w:top w:val="single" w:color="000000" w:sz="2" w:space="0"/>
                    <w:bottom w:val="single" w:color="000000" w:sz="10" w:space="0"/>
                  </w:tcBorders>
                  <w:vAlign w:val="top"/>
                </w:tcPr>
                <w:p w14:paraId="5FD9EDF3">
                  <w:pPr>
                    <w:pStyle w:val="25"/>
                    <w:spacing w:before="22" w:line="228" w:lineRule="auto"/>
                    <w:ind w:left="878"/>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路基填筑</w:t>
                  </w:r>
                </w:p>
                <w:p w14:paraId="4939C9C6">
                  <w:pPr>
                    <w:spacing w:line="274" w:lineRule="auto"/>
                    <w:rPr>
                      <w:rFonts w:hint="eastAsia" w:ascii="宋体" w:hAnsi="宋体" w:eastAsia="宋体" w:cs="宋体"/>
                      <w:color w:val="auto"/>
                      <w:sz w:val="24"/>
                      <w:szCs w:val="24"/>
                      <w:highlight w:val="none"/>
                    </w:rPr>
                  </w:pPr>
                </w:p>
                <w:p w14:paraId="4729AF93">
                  <w:pPr>
                    <w:pStyle w:val="25"/>
                    <w:spacing w:before="62" w:line="228" w:lineRule="auto"/>
                    <w:ind w:left="878"/>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路面基层</w:t>
                  </w:r>
                </w:p>
              </w:tc>
            </w:tr>
            <w:tr w14:paraId="61ABFCD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178" w:hRule="atLeast"/>
              </w:trPr>
              <w:tc>
                <w:tcPr>
                  <w:tcW w:w="2425" w:type="dxa"/>
                  <w:tcBorders>
                    <w:top w:val="single" w:color="000000" w:sz="10" w:space="0"/>
                    <w:bottom w:val="single" w:color="000000" w:sz="10" w:space="0"/>
                  </w:tcBorders>
                  <w:vAlign w:val="top"/>
                </w:tcPr>
                <w:p w14:paraId="3F38E6DE">
                  <w:pPr>
                    <w:pStyle w:val="25"/>
                    <w:spacing w:before="121" w:line="228" w:lineRule="auto"/>
                    <w:ind w:left="87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pict>
                      <v:shape id="_x0000_s1043" o:spid="_x0000_s1043" style="position:absolute;left:0pt;margin-left:0.5pt;margin-top:2pt;height:0.75pt;width:120.8pt;mso-position-horizontal-relative:page;mso-position-vertical-relative:page;z-index:251726848;mso-width-relative:page;mso-height-relative:page;" filled="f" stroked="t" coordsize="2416,15" path="m0,7l2415,7e">
                        <v:fill on="f" focussize="0,0"/>
                        <v:stroke weight="0.72pt" color="#000000" miterlimit="2" joinstyle="bevel"/>
                        <v:imagedata o:title=""/>
                        <o:lock v:ext="edit"/>
                      </v:shape>
                    </w:pict>
                  </w:r>
                  <w:r>
                    <w:rPr>
                      <w:rFonts w:hint="eastAsia" w:ascii="宋体" w:hAnsi="宋体" w:eastAsia="宋体" w:cs="宋体"/>
                      <w:color w:val="auto"/>
                      <w:spacing w:val="6"/>
                      <w:sz w:val="24"/>
                      <w:szCs w:val="24"/>
                      <w:highlight w:val="none"/>
                    </w:rPr>
                    <w:t>路面面层</w:t>
                  </w:r>
                </w:p>
                <w:p w14:paraId="5C4E7337">
                  <w:pPr>
                    <w:pStyle w:val="25"/>
                    <w:spacing w:before="273" w:line="228" w:lineRule="auto"/>
                    <w:ind w:left="789"/>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防护及排水</w:t>
                  </w:r>
                </w:p>
              </w:tc>
            </w:tr>
            <w:tr w14:paraId="5114816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10" w:hRule="atLeast"/>
              </w:trPr>
              <w:tc>
                <w:tcPr>
                  <w:tcW w:w="2425" w:type="dxa"/>
                  <w:tcBorders>
                    <w:top w:val="single" w:color="000000" w:sz="10" w:space="0"/>
                    <w:bottom w:val="single" w:color="000000" w:sz="10" w:space="0"/>
                  </w:tcBorders>
                  <w:vAlign w:val="top"/>
                </w:tcPr>
                <w:p w14:paraId="23E7062B">
                  <w:pPr>
                    <w:pStyle w:val="25"/>
                    <w:spacing w:before="2" w:line="229" w:lineRule="auto"/>
                    <w:ind w:left="777"/>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涵洞及通道</w:t>
                  </w:r>
                </w:p>
              </w:tc>
            </w:tr>
            <w:tr w14:paraId="0432CE0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64" w:hRule="atLeast"/>
              </w:trPr>
              <w:tc>
                <w:tcPr>
                  <w:tcW w:w="2425" w:type="dxa"/>
                  <w:tcBorders>
                    <w:top w:val="single" w:color="000000" w:sz="10" w:space="0"/>
                    <w:bottom w:val="single" w:color="000000" w:sz="10" w:space="0"/>
                  </w:tcBorders>
                  <w:vAlign w:val="top"/>
                </w:tcPr>
                <w:p w14:paraId="17AE6512">
                  <w:pPr>
                    <w:pStyle w:val="25"/>
                    <w:spacing w:before="78" w:line="228" w:lineRule="auto"/>
                    <w:ind w:left="71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桥梁下部工程</w:t>
                  </w:r>
                </w:p>
              </w:tc>
            </w:tr>
            <w:tr w14:paraId="5B18C5F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56" w:hRule="atLeast"/>
              </w:trPr>
              <w:tc>
                <w:tcPr>
                  <w:tcW w:w="2425" w:type="dxa"/>
                  <w:tcBorders>
                    <w:top w:val="single" w:color="000000" w:sz="10" w:space="0"/>
                    <w:bottom w:val="single" w:color="000000" w:sz="10" w:space="0"/>
                  </w:tcBorders>
                  <w:vAlign w:val="top"/>
                </w:tcPr>
                <w:p w14:paraId="7EB0D9EE">
                  <w:pPr>
                    <w:pStyle w:val="25"/>
                    <w:spacing w:before="30" w:line="228" w:lineRule="auto"/>
                    <w:ind w:left="71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桥梁上部工程</w:t>
                  </w:r>
                </w:p>
              </w:tc>
            </w:tr>
          </w:tbl>
          <w:p w14:paraId="45A62F75">
            <w:pPr>
              <w:spacing w:line="14" w:lineRule="auto"/>
              <w:rPr>
                <w:rFonts w:hint="eastAsia" w:ascii="宋体" w:hAnsi="宋体" w:eastAsia="宋体" w:cs="宋体"/>
                <w:color w:val="auto"/>
                <w:sz w:val="24"/>
                <w:szCs w:val="24"/>
                <w:highlight w:val="none"/>
              </w:rPr>
            </w:pPr>
          </w:p>
        </w:tc>
        <w:tc>
          <w:tcPr>
            <w:tcW w:w="235" w:type="dxa"/>
            <w:vAlign w:val="top"/>
          </w:tcPr>
          <w:p w14:paraId="20EAC626">
            <w:pPr>
              <w:rPr>
                <w:rFonts w:hint="eastAsia" w:ascii="宋体" w:hAnsi="宋体" w:eastAsia="宋体" w:cs="宋体"/>
                <w:color w:val="auto"/>
                <w:sz w:val="24"/>
                <w:szCs w:val="24"/>
                <w:highlight w:val="none"/>
              </w:rPr>
            </w:pPr>
          </w:p>
        </w:tc>
        <w:tc>
          <w:tcPr>
            <w:tcW w:w="235" w:type="dxa"/>
            <w:vAlign w:val="top"/>
          </w:tcPr>
          <w:p w14:paraId="4A44363E">
            <w:pPr>
              <w:rPr>
                <w:rFonts w:hint="eastAsia" w:ascii="宋体" w:hAnsi="宋体" w:eastAsia="宋体" w:cs="宋体"/>
                <w:color w:val="auto"/>
                <w:sz w:val="24"/>
                <w:szCs w:val="24"/>
                <w:highlight w:val="none"/>
              </w:rPr>
            </w:pPr>
          </w:p>
        </w:tc>
        <w:tc>
          <w:tcPr>
            <w:tcW w:w="234" w:type="dxa"/>
            <w:vAlign w:val="top"/>
          </w:tcPr>
          <w:p w14:paraId="715CB3F9">
            <w:pPr>
              <w:rPr>
                <w:rFonts w:hint="eastAsia" w:ascii="宋体" w:hAnsi="宋体" w:eastAsia="宋体" w:cs="宋体"/>
                <w:color w:val="auto"/>
                <w:sz w:val="24"/>
                <w:szCs w:val="24"/>
                <w:highlight w:val="none"/>
              </w:rPr>
            </w:pPr>
          </w:p>
        </w:tc>
        <w:tc>
          <w:tcPr>
            <w:tcW w:w="234" w:type="dxa"/>
            <w:vAlign w:val="top"/>
          </w:tcPr>
          <w:p w14:paraId="35028519">
            <w:pPr>
              <w:rPr>
                <w:rFonts w:hint="eastAsia" w:ascii="宋体" w:hAnsi="宋体" w:eastAsia="宋体" w:cs="宋体"/>
                <w:color w:val="auto"/>
                <w:sz w:val="24"/>
                <w:szCs w:val="24"/>
                <w:highlight w:val="none"/>
              </w:rPr>
            </w:pPr>
          </w:p>
        </w:tc>
        <w:tc>
          <w:tcPr>
            <w:tcW w:w="234" w:type="dxa"/>
            <w:vAlign w:val="top"/>
          </w:tcPr>
          <w:p w14:paraId="77A6C444">
            <w:pPr>
              <w:rPr>
                <w:rFonts w:hint="eastAsia" w:ascii="宋体" w:hAnsi="宋体" w:eastAsia="宋体" w:cs="宋体"/>
                <w:color w:val="auto"/>
                <w:sz w:val="24"/>
                <w:szCs w:val="24"/>
                <w:highlight w:val="none"/>
              </w:rPr>
            </w:pPr>
          </w:p>
        </w:tc>
        <w:tc>
          <w:tcPr>
            <w:tcW w:w="234" w:type="dxa"/>
            <w:vAlign w:val="top"/>
          </w:tcPr>
          <w:p w14:paraId="2F2E9093">
            <w:pPr>
              <w:rPr>
                <w:rFonts w:hint="eastAsia" w:ascii="宋体" w:hAnsi="宋体" w:eastAsia="宋体" w:cs="宋体"/>
                <w:color w:val="auto"/>
                <w:sz w:val="24"/>
                <w:szCs w:val="24"/>
                <w:highlight w:val="none"/>
              </w:rPr>
            </w:pPr>
          </w:p>
        </w:tc>
        <w:tc>
          <w:tcPr>
            <w:tcW w:w="234" w:type="dxa"/>
            <w:vAlign w:val="top"/>
          </w:tcPr>
          <w:p w14:paraId="6D290D70">
            <w:pPr>
              <w:rPr>
                <w:rFonts w:hint="eastAsia" w:ascii="宋体" w:hAnsi="宋体" w:eastAsia="宋体" w:cs="宋体"/>
                <w:color w:val="auto"/>
                <w:sz w:val="24"/>
                <w:szCs w:val="24"/>
                <w:highlight w:val="none"/>
              </w:rPr>
            </w:pPr>
          </w:p>
        </w:tc>
        <w:tc>
          <w:tcPr>
            <w:tcW w:w="234" w:type="dxa"/>
            <w:vAlign w:val="top"/>
          </w:tcPr>
          <w:p w14:paraId="1FFA5618">
            <w:pPr>
              <w:rPr>
                <w:rFonts w:hint="eastAsia" w:ascii="宋体" w:hAnsi="宋体" w:eastAsia="宋体" w:cs="宋体"/>
                <w:color w:val="auto"/>
                <w:sz w:val="24"/>
                <w:szCs w:val="24"/>
                <w:highlight w:val="none"/>
              </w:rPr>
            </w:pPr>
          </w:p>
        </w:tc>
        <w:tc>
          <w:tcPr>
            <w:tcW w:w="234" w:type="dxa"/>
            <w:vAlign w:val="top"/>
          </w:tcPr>
          <w:p w14:paraId="2892F966">
            <w:pPr>
              <w:rPr>
                <w:rFonts w:hint="eastAsia" w:ascii="宋体" w:hAnsi="宋体" w:eastAsia="宋体" w:cs="宋体"/>
                <w:color w:val="auto"/>
                <w:sz w:val="24"/>
                <w:szCs w:val="24"/>
                <w:highlight w:val="none"/>
              </w:rPr>
            </w:pPr>
          </w:p>
        </w:tc>
        <w:tc>
          <w:tcPr>
            <w:tcW w:w="347" w:type="dxa"/>
            <w:vAlign w:val="top"/>
          </w:tcPr>
          <w:p w14:paraId="44D28B51">
            <w:pPr>
              <w:rPr>
                <w:rFonts w:hint="eastAsia" w:ascii="宋体" w:hAnsi="宋体" w:eastAsia="宋体" w:cs="宋体"/>
                <w:color w:val="auto"/>
                <w:sz w:val="24"/>
                <w:szCs w:val="24"/>
                <w:highlight w:val="none"/>
              </w:rPr>
            </w:pPr>
          </w:p>
        </w:tc>
        <w:tc>
          <w:tcPr>
            <w:tcW w:w="351" w:type="dxa"/>
            <w:vAlign w:val="top"/>
          </w:tcPr>
          <w:p w14:paraId="0B538D53">
            <w:pPr>
              <w:rPr>
                <w:rFonts w:hint="eastAsia" w:ascii="宋体" w:hAnsi="宋体" w:eastAsia="宋体" w:cs="宋体"/>
                <w:color w:val="auto"/>
                <w:sz w:val="24"/>
                <w:szCs w:val="24"/>
                <w:highlight w:val="none"/>
              </w:rPr>
            </w:pPr>
          </w:p>
        </w:tc>
        <w:tc>
          <w:tcPr>
            <w:tcW w:w="346" w:type="dxa"/>
            <w:vAlign w:val="top"/>
          </w:tcPr>
          <w:p w14:paraId="50D13843">
            <w:pPr>
              <w:rPr>
                <w:rFonts w:hint="eastAsia" w:ascii="宋体" w:hAnsi="宋体" w:eastAsia="宋体" w:cs="宋体"/>
                <w:color w:val="auto"/>
                <w:sz w:val="24"/>
                <w:szCs w:val="24"/>
                <w:highlight w:val="none"/>
              </w:rPr>
            </w:pPr>
          </w:p>
        </w:tc>
        <w:tc>
          <w:tcPr>
            <w:tcW w:w="234" w:type="dxa"/>
            <w:vAlign w:val="top"/>
          </w:tcPr>
          <w:p w14:paraId="0C0FD669">
            <w:pPr>
              <w:rPr>
                <w:rFonts w:hint="eastAsia" w:ascii="宋体" w:hAnsi="宋体" w:eastAsia="宋体" w:cs="宋体"/>
                <w:color w:val="auto"/>
                <w:sz w:val="24"/>
                <w:szCs w:val="24"/>
                <w:highlight w:val="none"/>
              </w:rPr>
            </w:pPr>
          </w:p>
        </w:tc>
        <w:tc>
          <w:tcPr>
            <w:tcW w:w="234" w:type="dxa"/>
            <w:vAlign w:val="top"/>
          </w:tcPr>
          <w:p w14:paraId="75562F27">
            <w:pPr>
              <w:rPr>
                <w:rFonts w:hint="eastAsia" w:ascii="宋体" w:hAnsi="宋体" w:eastAsia="宋体" w:cs="宋体"/>
                <w:color w:val="auto"/>
                <w:sz w:val="24"/>
                <w:szCs w:val="24"/>
                <w:highlight w:val="none"/>
              </w:rPr>
            </w:pPr>
          </w:p>
        </w:tc>
        <w:tc>
          <w:tcPr>
            <w:tcW w:w="234" w:type="dxa"/>
            <w:vAlign w:val="top"/>
          </w:tcPr>
          <w:p w14:paraId="594193D8">
            <w:pPr>
              <w:rPr>
                <w:rFonts w:hint="eastAsia" w:ascii="宋体" w:hAnsi="宋体" w:eastAsia="宋体" w:cs="宋体"/>
                <w:color w:val="auto"/>
                <w:sz w:val="24"/>
                <w:szCs w:val="24"/>
                <w:highlight w:val="none"/>
              </w:rPr>
            </w:pPr>
          </w:p>
        </w:tc>
        <w:tc>
          <w:tcPr>
            <w:tcW w:w="234" w:type="dxa"/>
            <w:vAlign w:val="top"/>
          </w:tcPr>
          <w:p w14:paraId="11CBDBC6">
            <w:pPr>
              <w:rPr>
                <w:rFonts w:hint="eastAsia" w:ascii="宋体" w:hAnsi="宋体" w:eastAsia="宋体" w:cs="宋体"/>
                <w:color w:val="auto"/>
                <w:sz w:val="24"/>
                <w:szCs w:val="24"/>
                <w:highlight w:val="none"/>
              </w:rPr>
            </w:pPr>
          </w:p>
        </w:tc>
        <w:tc>
          <w:tcPr>
            <w:tcW w:w="234" w:type="dxa"/>
            <w:vAlign w:val="top"/>
          </w:tcPr>
          <w:p w14:paraId="492993EB">
            <w:pPr>
              <w:rPr>
                <w:rFonts w:hint="eastAsia" w:ascii="宋体" w:hAnsi="宋体" w:eastAsia="宋体" w:cs="宋体"/>
                <w:color w:val="auto"/>
                <w:sz w:val="24"/>
                <w:szCs w:val="24"/>
                <w:highlight w:val="none"/>
              </w:rPr>
            </w:pPr>
          </w:p>
        </w:tc>
        <w:tc>
          <w:tcPr>
            <w:tcW w:w="234" w:type="dxa"/>
            <w:vAlign w:val="top"/>
          </w:tcPr>
          <w:p w14:paraId="3E3BBB7F">
            <w:pPr>
              <w:rPr>
                <w:rFonts w:hint="eastAsia" w:ascii="宋体" w:hAnsi="宋体" w:eastAsia="宋体" w:cs="宋体"/>
                <w:color w:val="auto"/>
                <w:sz w:val="24"/>
                <w:szCs w:val="24"/>
                <w:highlight w:val="none"/>
              </w:rPr>
            </w:pPr>
          </w:p>
        </w:tc>
        <w:tc>
          <w:tcPr>
            <w:tcW w:w="234" w:type="dxa"/>
            <w:vAlign w:val="top"/>
          </w:tcPr>
          <w:p w14:paraId="0D2176B7">
            <w:pPr>
              <w:rPr>
                <w:rFonts w:hint="eastAsia" w:ascii="宋体" w:hAnsi="宋体" w:eastAsia="宋体" w:cs="宋体"/>
                <w:color w:val="auto"/>
                <w:sz w:val="24"/>
                <w:szCs w:val="24"/>
                <w:highlight w:val="none"/>
              </w:rPr>
            </w:pPr>
          </w:p>
        </w:tc>
        <w:tc>
          <w:tcPr>
            <w:tcW w:w="234" w:type="dxa"/>
            <w:vAlign w:val="top"/>
          </w:tcPr>
          <w:p w14:paraId="53A7E5E7">
            <w:pPr>
              <w:rPr>
                <w:rFonts w:hint="eastAsia" w:ascii="宋体" w:hAnsi="宋体" w:eastAsia="宋体" w:cs="宋体"/>
                <w:color w:val="auto"/>
                <w:sz w:val="24"/>
                <w:szCs w:val="24"/>
                <w:highlight w:val="none"/>
              </w:rPr>
            </w:pPr>
          </w:p>
        </w:tc>
        <w:tc>
          <w:tcPr>
            <w:tcW w:w="234" w:type="dxa"/>
            <w:vAlign w:val="top"/>
          </w:tcPr>
          <w:p w14:paraId="0BE134D5">
            <w:pPr>
              <w:rPr>
                <w:rFonts w:hint="eastAsia" w:ascii="宋体" w:hAnsi="宋体" w:eastAsia="宋体" w:cs="宋体"/>
                <w:color w:val="auto"/>
                <w:sz w:val="24"/>
                <w:szCs w:val="24"/>
                <w:highlight w:val="none"/>
              </w:rPr>
            </w:pPr>
          </w:p>
        </w:tc>
        <w:tc>
          <w:tcPr>
            <w:tcW w:w="346" w:type="dxa"/>
            <w:vAlign w:val="top"/>
          </w:tcPr>
          <w:p w14:paraId="0689E4E8">
            <w:pPr>
              <w:rPr>
                <w:rFonts w:hint="eastAsia" w:ascii="宋体" w:hAnsi="宋体" w:eastAsia="宋体" w:cs="宋体"/>
                <w:color w:val="auto"/>
                <w:sz w:val="24"/>
                <w:szCs w:val="24"/>
                <w:highlight w:val="none"/>
              </w:rPr>
            </w:pPr>
          </w:p>
        </w:tc>
        <w:tc>
          <w:tcPr>
            <w:tcW w:w="337" w:type="dxa"/>
            <w:vAlign w:val="top"/>
          </w:tcPr>
          <w:p w14:paraId="677546F0">
            <w:pPr>
              <w:rPr>
                <w:rFonts w:hint="eastAsia" w:ascii="宋体" w:hAnsi="宋体" w:eastAsia="宋体" w:cs="宋体"/>
                <w:color w:val="auto"/>
                <w:sz w:val="24"/>
                <w:szCs w:val="24"/>
                <w:highlight w:val="none"/>
              </w:rPr>
            </w:pPr>
          </w:p>
        </w:tc>
      </w:tr>
      <w:tr w14:paraId="378BED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0" w:hRule="atLeast"/>
        </w:trPr>
        <w:tc>
          <w:tcPr>
            <w:tcW w:w="2770" w:type="dxa"/>
            <w:vMerge w:val="continue"/>
            <w:tcBorders>
              <w:top w:val="nil"/>
              <w:bottom w:val="nil"/>
            </w:tcBorders>
            <w:vAlign w:val="top"/>
          </w:tcPr>
          <w:p w14:paraId="4D351882">
            <w:pPr>
              <w:rPr>
                <w:rFonts w:hint="eastAsia" w:ascii="宋体" w:hAnsi="宋体" w:eastAsia="宋体" w:cs="宋体"/>
                <w:color w:val="auto"/>
                <w:sz w:val="24"/>
                <w:szCs w:val="24"/>
                <w:highlight w:val="none"/>
              </w:rPr>
            </w:pPr>
          </w:p>
        </w:tc>
        <w:tc>
          <w:tcPr>
            <w:tcW w:w="235" w:type="dxa"/>
            <w:vAlign w:val="top"/>
          </w:tcPr>
          <w:p w14:paraId="69BC38C9">
            <w:pPr>
              <w:rPr>
                <w:rFonts w:hint="eastAsia" w:ascii="宋体" w:hAnsi="宋体" w:eastAsia="宋体" w:cs="宋体"/>
                <w:color w:val="auto"/>
                <w:sz w:val="24"/>
                <w:szCs w:val="24"/>
                <w:highlight w:val="none"/>
              </w:rPr>
            </w:pPr>
          </w:p>
        </w:tc>
        <w:tc>
          <w:tcPr>
            <w:tcW w:w="235" w:type="dxa"/>
            <w:vAlign w:val="top"/>
          </w:tcPr>
          <w:p w14:paraId="686707B4">
            <w:pPr>
              <w:rPr>
                <w:rFonts w:hint="eastAsia" w:ascii="宋体" w:hAnsi="宋体" w:eastAsia="宋体" w:cs="宋体"/>
                <w:color w:val="auto"/>
                <w:sz w:val="24"/>
                <w:szCs w:val="24"/>
                <w:highlight w:val="none"/>
              </w:rPr>
            </w:pPr>
          </w:p>
        </w:tc>
        <w:tc>
          <w:tcPr>
            <w:tcW w:w="234" w:type="dxa"/>
            <w:vAlign w:val="top"/>
          </w:tcPr>
          <w:p w14:paraId="2532F807">
            <w:pPr>
              <w:rPr>
                <w:rFonts w:hint="eastAsia" w:ascii="宋体" w:hAnsi="宋体" w:eastAsia="宋体" w:cs="宋体"/>
                <w:color w:val="auto"/>
                <w:sz w:val="24"/>
                <w:szCs w:val="24"/>
                <w:highlight w:val="none"/>
              </w:rPr>
            </w:pPr>
          </w:p>
        </w:tc>
        <w:tc>
          <w:tcPr>
            <w:tcW w:w="234" w:type="dxa"/>
            <w:vAlign w:val="top"/>
          </w:tcPr>
          <w:p w14:paraId="4E20C6AD">
            <w:pPr>
              <w:rPr>
                <w:rFonts w:hint="eastAsia" w:ascii="宋体" w:hAnsi="宋体" w:eastAsia="宋体" w:cs="宋体"/>
                <w:color w:val="auto"/>
                <w:sz w:val="24"/>
                <w:szCs w:val="24"/>
                <w:highlight w:val="none"/>
              </w:rPr>
            </w:pPr>
          </w:p>
        </w:tc>
        <w:tc>
          <w:tcPr>
            <w:tcW w:w="234" w:type="dxa"/>
            <w:vAlign w:val="top"/>
          </w:tcPr>
          <w:p w14:paraId="06C8F211">
            <w:pPr>
              <w:rPr>
                <w:rFonts w:hint="eastAsia" w:ascii="宋体" w:hAnsi="宋体" w:eastAsia="宋体" w:cs="宋体"/>
                <w:color w:val="auto"/>
                <w:sz w:val="24"/>
                <w:szCs w:val="24"/>
                <w:highlight w:val="none"/>
              </w:rPr>
            </w:pPr>
          </w:p>
        </w:tc>
        <w:tc>
          <w:tcPr>
            <w:tcW w:w="234" w:type="dxa"/>
            <w:vAlign w:val="top"/>
          </w:tcPr>
          <w:p w14:paraId="62437253">
            <w:pPr>
              <w:rPr>
                <w:rFonts w:hint="eastAsia" w:ascii="宋体" w:hAnsi="宋体" w:eastAsia="宋体" w:cs="宋体"/>
                <w:color w:val="auto"/>
                <w:sz w:val="24"/>
                <w:szCs w:val="24"/>
                <w:highlight w:val="none"/>
              </w:rPr>
            </w:pPr>
          </w:p>
        </w:tc>
        <w:tc>
          <w:tcPr>
            <w:tcW w:w="234" w:type="dxa"/>
            <w:vAlign w:val="top"/>
          </w:tcPr>
          <w:p w14:paraId="16CF5E7A">
            <w:pPr>
              <w:rPr>
                <w:rFonts w:hint="eastAsia" w:ascii="宋体" w:hAnsi="宋体" w:eastAsia="宋体" w:cs="宋体"/>
                <w:color w:val="auto"/>
                <w:sz w:val="24"/>
                <w:szCs w:val="24"/>
                <w:highlight w:val="none"/>
              </w:rPr>
            </w:pPr>
          </w:p>
        </w:tc>
        <w:tc>
          <w:tcPr>
            <w:tcW w:w="234" w:type="dxa"/>
            <w:vAlign w:val="top"/>
          </w:tcPr>
          <w:p w14:paraId="459BDC96">
            <w:pPr>
              <w:rPr>
                <w:rFonts w:hint="eastAsia" w:ascii="宋体" w:hAnsi="宋体" w:eastAsia="宋体" w:cs="宋体"/>
                <w:color w:val="auto"/>
                <w:sz w:val="24"/>
                <w:szCs w:val="24"/>
                <w:highlight w:val="none"/>
              </w:rPr>
            </w:pPr>
          </w:p>
        </w:tc>
        <w:tc>
          <w:tcPr>
            <w:tcW w:w="234" w:type="dxa"/>
            <w:vAlign w:val="top"/>
          </w:tcPr>
          <w:p w14:paraId="2F07D2F0">
            <w:pPr>
              <w:rPr>
                <w:rFonts w:hint="eastAsia" w:ascii="宋体" w:hAnsi="宋体" w:eastAsia="宋体" w:cs="宋体"/>
                <w:color w:val="auto"/>
                <w:sz w:val="24"/>
                <w:szCs w:val="24"/>
                <w:highlight w:val="none"/>
              </w:rPr>
            </w:pPr>
          </w:p>
        </w:tc>
        <w:tc>
          <w:tcPr>
            <w:tcW w:w="347" w:type="dxa"/>
            <w:vAlign w:val="top"/>
          </w:tcPr>
          <w:p w14:paraId="4D061F28">
            <w:pPr>
              <w:rPr>
                <w:rFonts w:hint="eastAsia" w:ascii="宋体" w:hAnsi="宋体" w:eastAsia="宋体" w:cs="宋体"/>
                <w:color w:val="auto"/>
                <w:sz w:val="24"/>
                <w:szCs w:val="24"/>
                <w:highlight w:val="none"/>
              </w:rPr>
            </w:pPr>
          </w:p>
        </w:tc>
        <w:tc>
          <w:tcPr>
            <w:tcW w:w="351" w:type="dxa"/>
            <w:vAlign w:val="top"/>
          </w:tcPr>
          <w:p w14:paraId="7AD7E9A0">
            <w:pPr>
              <w:rPr>
                <w:rFonts w:hint="eastAsia" w:ascii="宋体" w:hAnsi="宋体" w:eastAsia="宋体" w:cs="宋体"/>
                <w:color w:val="auto"/>
                <w:sz w:val="24"/>
                <w:szCs w:val="24"/>
                <w:highlight w:val="none"/>
              </w:rPr>
            </w:pPr>
          </w:p>
        </w:tc>
        <w:tc>
          <w:tcPr>
            <w:tcW w:w="346" w:type="dxa"/>
            <w:vAlign w:val="top"/>
          </w:tcPr>
          <w:p w14:paraId="2930093B">
            <w:pPr>
              <w:rPr>
                <w:rFonts w:hint="eastAsia" w:ascii="宋体" w:hAnsi="宋体" w:eastAsia="宋体" w:cs="宋体"/>
                <w:color w:val="auto"/>
                <w:sz w:val="24"/>
                <w:szCs w:val="24"/>
                <w:highlight w:val="none"/>
              </w:rPr>
            </w:pPr>
          </w:p>
        </w:tc>
        <w:tc>
          <w:tcPr>
            <w:tcW w:w="234" w:type="dxa"/>
            <w:vAlign w:val="top"/>
          </w:tcPr>
          <w:p w14:paraId="214A22E6">
            <w:pPr>
              <w:rPr>
                <w:rFonts w:hint="eastAsia" w:ascii="宋体" w:hAnsi="宋体" w:eastAsia="宋体" w:cs="宋体"/>
                <w:color w:val="auto"/>
                <w:sz w:val="24"/>
                <w:szCs w:val="24"/>
                <w:highlight w:val="none"/>
              </w:rPr>
            </w:pPr>
          </w:p>
        </w:tc>
        <w:tc>
          <w:tcPr>
            <w:tcW w:w="234" w:type="dxa"/>
            <w:vAlign w:val="top"/>
          </w:tcPr>
          <w:p w14:paraId="758CBB58">
            <w:pPr>
              <w:rPr>
                <w:rFonts w:hint="eastAsia" w:ascii="宋体" w:hAnsi="宋体" w:eastAsia="宋体" w:cs="宋体"/>
                <w:color w:val="auto"/>
                <w:sz w:val="24"/>
                <w:szCs w:val="24"/>
                <w:highlight w:val="none"/>
              </w:rPr>
            </w:pPr>
          </w:p>
        </w:tc>
        <w:tc>
          <w:tcPr>
            <w:tcW w:w="234" w:type="dxa"/>
            <w:vAlign w:val="top"/>
          </w:tcPr>
          <w:p w14:paraId="5377A775">
            <w:pPr>
              <w:rPr>
                <w:rFonts w:hint="eastAsia" w:ascii="宋体" w:hAnsi="宋体" w:eastAsia="宋体" w:cs="宋体"/>
                <w:color w:val="auto"/>
                <w:sz w:val="24"/>
                <w:szCs w:val="24"/>
                <w:highlight w:val="none"/>
              </w:rPr>
            </w:pPr>
          </w:p>
        </w:tc>
        <w:tc>
          <w:tcPr>
            <w:tcW w:w="234" w:type="dxa"/>
            <w:vAlign w:val="top"/>
          </w:tcPr>
          <w:p w14:paraId="6662A319">
            <w:pPr>
              <w:rPr>
                <w:rFonts w:hint="eastAsia" w:ascii="宋体" w:hAnsi="宋体" w:eastAsia="宋体" w:cs="宋体"/>
                <w:color w:val="auto"/>
                <w:sz w:val="24"/>
                <w:szCs w:val="24"/>
                <w:highlight w:val="none"/>
              </w:rPr>
            </w:pPr>
          </w:p>
        </w:tc>
        <w:tc>
          <w:tcPr>
            <w:tcW w:w="234" w:type="dxa"/>
            <w:vAlign w:val="top"/>
          </w:tcPr>
          <w:p w14:paraId="77A928A1">
            <w:pPr>
              <w:rPr>
                <w:rFonts w:hint="eastAsia" w:ascii="宋体" w:hAnsi="宋体" w:eastAsia="宋体" w:cs="宋体"/>
                <w:color w:val="auto"/>
                <w:sz w:val="24"/>
                <w:szCs w:val="24"/>
                <w:highlight w:val="none"/>
              </w:rPr>
            </w:pPr>
          </w:p>
        </w:tc>
        <w:tc>
          <w:tcPr>
            <w:tcW w:w="234" w:type="dxa"/>
            <w:vAlign w:val="top"/>
          </w:tcPr>
          <w:p w14:paraId="0AF7DA73">
            <w:pPr>
              <w:rPr>
                <w:rFonts w:hint="eastAsia" w:ascii="宋体" w:hAnsi="宋体" w:eastAsia="宋体" w:cs="宋体"/>
                <w:color w:val="auto"/>
                <w:sz w:val="24"/>
                <w:szCs w:val="24"/>
                <w:highlight w:val="none"/>
              </w:rPr>
            </w:pPr>
          </w:p>
        </w:tc>
        <w:tc>
          <w:tcPr>
            <w:tcW w:w="234" w:type="dxa"/>
            <w:vAlign w:val="top"/>
          </w:tcPr>
          <w:p w14:paraId="23456E93">
            <w:pPr>
              <w:rPr>
                <w:rFonts w:hint="eastAsia" w:ascii="宋体" w:hAnsi="宋体" w:eastAsia="宋体" w:cs="宋体"/>
                <w:color w:val="auto"/>
                <w:sz w:val="24"/>
                <w:szCs w:val="24"/>
                <w:highlight w:val="none"/>
              </w:rPr>
            </w:pPr>
          </w:p>
        </w:tc>
        <w:tc>
          <w:tcPr>
            <w:tcW w:w="234" w:type="dxa"/>
            <w:vAlign w:val="top"/>
          </w:tcPr>
          <w:p w14:paraId="641E9775">
            <w:pPr>
              <w:rPr>
                <w:rFonts w:hint="eastAsia" w:ascii="宋体" w:hAnsi="宋体" w:eastAsia="宋体" w:cs="宋体"/>
                <w:color w:val="auto"/>
                <w:sz w:val="24"/>
                <w:szCs w:val="24"/>
                <w:highlight w:val="none"/>
              </w:rPr>
            </w:pPr>
          </w:p>
        </w:tc>
        <w:tc>
          <w:tcPr>
            <w:tcW w:w="234" w:type="dxa"/>
            <w:vAlign w:val="top"/>
          </w:tcPr>
          <w:p w14:paraId="00AAE5DD">
            <w:pPr>
              <w:rPr>
                <w:rFonts w:hint="eastAsia" w:ascii="宋体" w:hAnsi="宋体" w:eastAsia="宋体" w:cs="宋体"/>
                <w:color w:val="auto"/>
                <w:sz w:val="24"/>
                <w:szCs w:val="24"/>
                <w:highlight w:val="none"/>
              </w:rPr>
            </w:pPr>
          </w:p>
        </w:tc>
        <w:tc>
          <w:tcPr>
            <w:tcW w:w="346" w:type="dxa"/>
            <w:vAlign w:val="top"/>
          </w:tcPr>
          <w:p w14:paraId="5A6F4F0D">
            <w:pPr>
              <w:rPr>
                <w:rFonts w:hint="eastAsia" w:ascii="宋体" w:hAnsi="宋体" w:eastAsia="宋体" w:cs="宋体"/>
                <w:color w:val="auto"/>
                <w:sz w:val="24"/>
                <w:szCs w:val="24"/>
                <w:highlight w:val="none"/>
              </w:rPr>
            </w:pPr>
          </w:p>
        </w:tc>
        <w:tc>
          <w:tcPr>
            <w:tcW w:w="337" w:type="dxa"/>
            <w:vAlign w:val="top"/>
          </w:tcPr>
          <w:p w14:paraId="173BBAE8">
            <w:pPr>
              <w:rPr>
                <w:rFonts w:hint="eastAsia" w:ascii="宋体" w:hAnsi="宋体" w:eastAsia="宋体" w:cs="宋体"/>
                <w:color w:val="auto"/>
                <w:sz w:val="24"/>
                <w:szCs w:val="24"/>
                <w:highlight w:val="none"/>
              </w:rPr>
            </w:pPr>
          </w:p>
        </w:tc>
      </w:tr>
      <w:tr w14:paraId="072133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2770" w:type="dxa"/>
            <w:vMerge w:val="continue"/>
            <w:tcBorders>
              <w:top w:val="nil"/>
              <w:bottom w:val="nil"/>
            </w:tcBorders>
            <w:vAlign w:val="top"/>
          </w:tcPr>
          <w:p w14:paraId="0ACA4A3D">
            <w:pPr>
              <w:rPr>
                <w:rFonts w:hint="eastAsia" w:ascii="宋体" w:hAnsi="宋体" w:eastAsia="宋体" w:cs="宋体"/>
                <w:color w:val="auto"/>
                <w:sz w:val="24"/>
                <w:szCs w:val="24"/>
                <w:highlight w:val="none"/>
              </w:rPr>
            </w:pPr>
          </w:p>
        </w:tc>
        <w:tc>
          <w:tcPr>
            <w:tcW w:w="235" w:type="dxa"/>
            <w:vAlign w:val="top"/>
          </w:tcPr>
          <w:p w14:paraId="0EC20D93">
            <w:pPr>
              <w:rPr>
                <w:rFonts w:hint="eastAsia" w:ascii="宋体" w:hAnsi="宋体" w:eastAsia="宋体" w:cs="宋体"/>
                <w:color w:val="auto"/>
                <w:sz w:val="24"/>
                <w:szCs w:val="24"/>
                <w:highlight w:val="none"/>
              </w:rPr>
            </w:pPr>
          </w:p>
        </w:tc>
        <w:tc>
          <w:tcPr>
            <w:tcW w:w="235" w:type="dxa"/>
            <w:vAlign w:val="top"/>
          </w:tcPr>
          <w:p w14:paraId="6A4FFA53">
            <w:pPr>
              <w:rPr>
                <w:rFonts w:hint="eastAsia" w:ascii="宋体" w:hAnsi="宋体" w:eastAsia="宋体" w:cs="宋体"/>
                <w:color w:val="auto"/>
                <w:sz w:val="24"/>
                <w:szCs w:val="24"/>
                <w:highlight w:val="none"/>
              </w:rPr>
            </w:pPr>
          </w:p>
        </w:tc>
        <w:tc>
          <w:tcPr>
            <w:tcW w:w="234" w:type="dxa"/>
            <w:vAlign w:val="top"/>
          </w:tcPr>
          <w:p w14:paraId="75EBFCDC">
            <w:pPr>
              <w:rPr>
                <w:rFonts w:hint="eastAsia" w:ascii="宋体" w:hAnsi="宋体" w:eastAsia="宋体" w:cs="宋体"/>
                <w:color w:val="auto"/>
                <w:sz w:val="24"/>
                <w:szCs w:val="24"/>
                <w:highlight w:val="none"/>
              </w:rPr>
            </w:pPr>
          </w:p>
        </w:tc>
        <w:tc>
          <w:tcPr>
            <w:tcW w:w="234" w:type="dxa"/>
            <w:vAlign w:val="top"/>
          </w:tcPr>
          <w:p w14:paraId="5E3F91EC">
            <w:pPr>
              <w:rPr>
                <w:rFonts w:hint="eastAsia" w:ascii="宋体" w:hAnsi="宋体" w:eastAsia="宋体" w:cs="宋体"/>
                <w:color w:val="auto"/>
                <w:sz w:val="24"/>
                <w:szCs w:val="24"/>
                <w:highlight w:val="none"/>
              </w:rPr>
            </w:pPr>
          </w:p>
        </w:tc>
        <w:tc>
          <w:tcPr>
            <w:tcW w:w="234" w:type="dxa"/>
            <w:vAlign w:val="top"/>
          </w:tcPr>
          <w:p w14:paraId="559CFE64">
            <w:pPr>
              <w:rPr>
                <w:rFonts w:hint="eastAsia" w:ascii="宋体" w:hAnsi="宋体" w:eastAsia="宋体" w:cs="宋体"/>
                <w:color w:val="auto"/>
                <w:sz w:val="24"/>
                <w:szCs w:val="24"/>
                <w:highlight w:val="none"/>
              </w:rPr>
            </w:pPr>
          </w:p>
        </w:tc>
        <w:tc>
          <w:tcPr>
            <w:tcW w:w="234" w:type="dxa"/>
            <w:vAlign w:val="top"/>
          </w:tcPr>
          <w:p w14:paraId="7ED05E50">
            <w:pPr>
              <w:rPr>
                <w:rFonts w:hint="eastAsia" w:ascii="宋体" w:hAnsi="宋体" w:eastAsia="宋体" w:cs="宋体"/>
                <w:color w:val="auto"/>
                <w:sz w:val="24"/>
                <w:szCs w:val="24"/>
                <w:highlight w:val="none"/>
              </w:rPr>
            </w:pPr>
          </w:p>
        </w:tc>
        <w:tc>
          <w:tcPr>
            <w:tcW w:w="234" w:type="dxa"/>
            <w:vAlign w:val="top"/>
          </w:tcPr>
          <w:p w14:paraId="0BFD65F2">
            <w:pPr>
              <w:rPr>
                <w:rFonts w:hint="eastAsia" w:ascii="宋体" w:hAnsi="宋体" w:eastAsia="宋体" w:cs="宋体"/>
                <w:color w:val="auto"/>
                <w:sz w:val="24"/>
                <w:szCs w:val="24"/>
                <w:highlight w:val="none"/>
              </w:rPr>
            </w:pPr>
          </w:p>
        </w:tc>
        <w:tc>
          <w:tcPr>
            <w:tcW w:w="234" w:type="dxa"/>
            <w:vAlign w:val="top"/>
          </w:tcPr>
          <w:p w14:paraId="0E9FC009">
            <w:pPr>
              <w:rPr>
                <w:rFonts w:hint="eastAsia" w:ascii="宋体" w:hAnsi="宋体" w:eastAsia="宋体" w:cs="宋体"/>
                <w:color w:val="auto"/>
                <w:sz w:val="24"/>
                <w:szCs w:val="24"/>
                <w:highlight w:val="none"/>
              </w:rPr>
            </w:pPr>
          </w:p>
        </w:tc>
        <w:tc>
          <w:tcPr>
            <w:tcW w:w="234" w:type="dxa"/>
            <w:vAlign w:val="top"/>
          </w:tcPr>
          <w:p w14:paraId="4CE330EB">
            <w:pPr>
              <w:rPr>
                <w:rFonts w:hint="eastAsia" w:ascii="宋体" w:hAnsi="宋体" w:eastAsia="宋体" w:cs="宋体"/>
                <w:color w:val="auto"/>
                <w:sz w:val="24"/>
                <w:szCs w:val="24"/>
                <w:highlight w:val="none"/>
              </w:rPr>
            </w:pPr>
          </w:p>
        </w:tc>
        <w:tc>
          <w:tcPr>
            <w:tcW w:w="347" w:type="dxa"/>
            <w:vAlign w:val="top"/>
          </w:tcPr>
          <w:p w14:paraId="0E47ECA2">
            <w:pPr>
              <w:rPr>
                <w:rFonts w:hint="eastAsia" w:ascii="宋体" w:hAnsi="宋体" w:eastAsia="宋体" w:cs="宋体"/>
                <w:color w:val="auto"/>
                <w:sz w:val="24"/>
                <w:szCs w:val="24"/>
                <w:highlight w:val="none"/>
              </w:rPr>
            </w:pPr>
          </w:p>
        </w:tc>
        <w:tc>
          <w:tcPr>
            <w:tcW w:w="351" w:type="dxa"/>
            <w:vAlign w:val="top"/>
          </w:tcPr>
          <w:p w14:paraId="33C98168">
            <w:pPr>
              <w:rPr>
                <w:rFonts w:hint="eastAsia" w:ascii="宋体" w:hAnsi="宋体" w:eastAsia="宋体" w:cs="宋体"/>
                <w:color w:val="auto"/>
                <w:sz w:val="24"/>
                <w:szCs w:val="24"/>
                <w:highlight w:val="none"/>
              </w:rPr>
            </w:pPr>
          </w:p>
        </w:tc>
        <w:tc>
          <w:tcPr>
            <w:tcW w:w="346" w:type="dxa"/>
            <w:vAlign w:val="top"/>
          </w:tcPr>
          <w:p w14:paraId="08ED9809">
            <w:pPr>
              <w:rPr>
                <w:rFonts w:hint="eastAsia" w:ascii="宋体" w:hAnsi="宋体" w:eastAsia="宋体" w:cs="宋体"/>
                <w:color w:val="auto"/>
                <w:sz w:val="24"/>
                <w:szCs w:val="24"/>
                <w:highlight w:val="none"/>
              </w:rPr>
            </w:pPr>
          </w:p>
        </w:tc>
        <w:tc>
          <w:tcPr>
            <w:tcW w:w="234" w:type="dxa"/>
            <w:vAlign w:val="top"/>
          </w:tcPr>
          <w:p w14:paraId="3E4AF3A8">
            <w:pPr>
              <w:rPr>
                <w:rFonts w:hint="eastAsia" w:ascii="宋体" w:hAnsi="宋体" w:eastAsia="宋体" w:cs="宋体"/>
                <w:color w:val="auto"/>
                <w:sz w:val="24"/>
                <w:szCs w:val="24"/>
                <w:highlight w:val="none"/>
              </w:rPr>
            </w:pPr>
          </w:p>
        </w:tc>
        <w:tc>
          <w:tcPr>
            <w:tcW w:w="234" w:type="dxa"/>
            <w:vAlign w:val="top"/>
          </w:tcPr>
          <w:p w14:paraId="437D4A54">
            <w:pPr>
              <w:rPr>
                <w:rFonts w:hint="eastAsia" w:ascii="宋体" w:hAnsi="宋体" w:eastAsia="宋体" w:cs="宋体"/>
                <w:color w:val="auto"/>
                <w:sz w:val="24"/>
                <w:szCs w:val="24"/>
                <w:highlight w:val="none"/>
              </w:rPr>
            </w:pPr>
          </w:p>
        </w:tc>
        <w:tc>
          <w:tcPr>
            <w:tcW w:w="234" w:type="dxa"/>
            <w:vAlign w:val="top"/>
          </w:tcPr>
          <w:p w14:paraId="49930A80">
            <w:pPr>
              <w:rPr>
                <w:rFonts w:hint="eastAsia" w:ascii="宋体" w:hAnsi="宋体" w:eastAsia="宋体" w:cs="宋体"/>
                <w:color w:val="auto"/>
                <w:sz w:val="24"/>
                <w:szCs w:val="24"/>
                <w:highlight w:val="none"/>
              </w:rPr>
            </w:pPr>
          </w:p>
        </w:tc>
        <w:tc>
          <w:tcPr>
            <w:tcW w:w="234" w:type="dxa"/>
            <w:vAlign w:val="top"/>
          </w:tcPr>
          <w:p w14:paraId="7C627B8C">
            <w:pPr>
              <w:rPr>
                <w:rFonts w:hint="eastAsia" w:ascii="宋体" w:hAnsi="宋体" w:eastAsia="宋体" w:cs="宋体"/>
                <w:color w:val="auto"/>
                <w:sz w:val="24"/>
                <w:szCs w:val="24"/>
                <w:highlight w:val="none"/>
              </w:rPr>
            </w:pPr>
          </w:p>
        </w:tc>
        <w:tc>
          <w:tcPr>
            <w:tcW w:w="234" w:type="dxa"/>
            <w:vAlign w:val="top"/>
          </w:tcPr>
          <w:p w14:paraId="5D6CD579">
            <w:pPr>
              <w:rPr>
                <w:rFonts w:hint="eastAsia" w:ascii="宋体" w:hAnsi="宋体" w:eastAsia="宋体" w:cs="宋体"/>
                <w:color w:val="auto"/>
                <w:sz w:val="24"/>
                <w:szCs w:val="24"/>
                <w:highlight w:val="none"/>
              </w:rPr>
            </w:pPr>
          </w:p>
        </w:tc>
        <w:tc>
          <w:tcPr>
            <w:tcW w:w="234" w:type="dxa"/>
            <w:vAlign w:val="top"/>
          </w:tcPr>
          <w:p w14:paraId="0195C283">
            <w:pPr>
              <w:rPr>
                <w:rFonts w:hint="eastAsia" w:ascii="宋体" w:hAnsi="宋体" w:eastAsia="宋体" w:cs="宋体"/>
                <w:color w:val="auto"/>
                <w:sz w:val="24"/>
                <w:szCs w:val="24"/>
                <w:highlight w:val="none"/>
              </w:rPr>
            </w:pPr>
          </w:p>
        </w:tc>
        <w:tc>
          <w:tcPr>
            <w:tcW w:w="234" w:type="dxa"/>
            <w:vAlign w:val="top"/>
          </w:tcPr>
          <w:p w14:paraId="76D9027B">
            <w:pPr>
              <w:rPr>
                <w:rFonts w:hint="eastAsia" w:ascii="宋体" w:hAnsi="宋体" w:eastAsia="宋体" w:cs="宋体"/>
                <w:color w:val="auto"/>
                <w:sz w:val="24"/>
                <w:szCs w:val="24"/>
                <w:highlight w:val="none"/>
              </w:rPr>
            </w:pPr>
          </w:p>
        </w:tc>
        <w:tc>
          <w:tcPr>
            <w:tcW w:w="234" w:type="dxa"/>
            <w:vAlign w:val="top"/>
          </w:tcPr>
          <w:p w14:paraId="6223EEBD">
            <w:pPr>
              <w:rPr>
                <w:rFonts w:hint="eastAsia" w:ascii="宋体" w:hAnsi="宋体" w:eastAsia="宋体" w:cs="宋体"/>
                <w:color w:val="auto"/>
                <w:sz w:val="24"/>
                <w:szCs w:val="24"/>
                <w:highlight w:val="none"/>
              </w:rPr>
            </w:pPr>
          </w:p>
        </w:tc>
        <w:tc>
          <w:tcPr>
            <w:tcW w:w="234" w:type="dxa"/>
            <w:vAlign w:val="top"/>
          </w:tcPr>
          <w:p w14:paraId="649B0170">
            <w:pPr>
              <w:rPr>
                <w:rFonts w:hint="eastAsia" w:ascii="宋体" w:hAnsi="宋体" w:eastAsia="宋体" w:cs="宋体"/>
                <w:color w:val="auto"/>
                <w:sz w:val="24"/>
                <w:szCs w:val="24"/>
                <w:highlight w:val="none"/>
              </w:rPr>
            </w:pPr>
          </w:p>
        </w:tc>
        <w:tc>
          <w:tcPr>
            <w:tcW w:w="346" w:type="dxa"/>
            <w:vAlign w:val="top"/>
          </w:tcPr>
          <w:p w14:paraId="720076A9">
            <w:pPr>
              <w:rPr>
                <w:rFonts w:hint="eastAsia" w:ascii="宋体" w:hAnsi="宋体" w:eastAsia="宋体" w:cs="宋体"/>
                <w:color w:val="auto"/>
                <w:sz w:val="24"/>
                <w:szCs w:val="24"/>
                <w:highlight w:val="none"/>
              </w:rPr>
            </w:pPr>
          </w:p>
        </w:tc>
        <w:tc>
          <w:tcPr>
            <w:tcW w:w="337" w:type="dxa"/>
            <w:vAlign w:val="top"/>
          </w:tcPr>
          <w:p w14:paraId="27F7F416">
            <w:pPr>
              <w:rPr>
                <w:rFonts w:hint="eastAsia" w:ascii="宋体" w:hAnsi="宋体" w:eastAsia="宋体" w:cs="宋体"/>
                <w:color w:val="auto"/>
                <w:sz w:val="24"/>
                <w:szCs w:val="24"/>
                <w:highlight w:val="none"/>
              </w:rPr>
            </w:pPr>
          </w:p>
        </w:tc>
      </w:tr>
      <w:tr w14:paraId="54AD88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3" w:hRule="atLeast"/>
        </w:trPr>
        <w:tc>
          <w:tcPr>
            <w:tcW w:w="2770" w:type="dxa"/>
            <w:vMerge w:val="continue"/>
            <w:tcBorders>
              <w:top w:val="nil"/>
              <w:bottom w:val="nil"/>
            </w:tcBorders>
            <w:vAlign w:val="top"/>
          </w:tcPr>
          <w:p w14:paraId="5BEDB7AE">
            <w:pPr>
              <w:rPr>
                <w:rFonts w:hint="eastAsia" w:ascii="宋体" w:hAnsi="宋体" w:eastAsia="宋体" w:cs="宋体"/>
                <w:color w:val="auto"/>
                <w:sz w:val="24"/>
                <w:szCs w:val="24"/>
                <w:highlight w:val="none"/>
              </w:rPr>
            </w:pPr>
          </w:p>
        </w:tc>
        <w:tc>
          <w:tcPr>
            <w:tcW w:w="235" w:type="dxa"/>
            <w:vAlign w:val="top"/>
          </w:tcPr>
          <w:p w14:paraId="03C3A144">
            <w:pPr>
              <w:rPr>
                <w:rFonts w:hint="eastAsia" w:ascii="宋体" w:hAnsi="宋体" w:eastAsia="宋体" w:cs="宋体"/>
                <w:color w:val="auto"/>
                <w:sz w:val="24"/>
                <w:szCs w:val="24"/>
                <w:highlight w:val="none"/>
              </w:rPr>
            </w:pPr>
          </w:p>
        </w:tc>
        <w:tc>
          <w:tcPr>
            <w:tcW w:w="235" w:type="dxa"/>
            <w:vAlign w:val="top"/>
          </w:tcPr>
          <w:p w14:paraId="1DC468B1">
            <w:pPr>
              <w:rPr>
                <w:rFonts w:hint="eastAsia" w:ascii="宋体" w:hAnsi="宋体" w:eastAsia="宋体" w:cs="宋体"/>
                <w:color w:val="auto"/>
                <w:sz w:val="24"/>
                <w:szCs w:val="24"/>
                <w:highlight w:val="none"/>
              </w:rPr>
            </w:pPr>
          </w:p>
        </w:tc>
        <w:tc>
          <w:tcPr>
            <w:tcW w:w="234" w:type="dxa"/>
            <w:vAlign w:val="top"/>
          </w:tcPr>
          <w:p w14:paraId="333C838D">
            <w:pPr>
              <w:rPr>
                <w:rFonts w:hint="eastAsia" w:ascii="宋体" w:hAnsi="宋体" w:eastAsia="宋体" w:cs="宋体"/>
                <w:color w:val="auto"/>
                <w:sz w:val="24"/>
                <w:szCs w:val="24"/>
                <w:highlight w:val="none"/>
              </w:rPr>
            </w:pPr>
          </w:p>
        </w:tc>
        <w:tc>
          <w:tcPr>
            <w:tcW w:w="234" w:type="dxa"/>
            <w:vAlign w:val="top"/>
          </w:tcPr>
          <w:p w14:paraId="0B44EF8B">
            <w:pPr>
              <w:rPr>
                <w:rFonts w:hint="eastAsia" w:ascii="宋体" w:hAnsi="宋体" w:eastAsia="宋体" w:cs="宋体"/>
                <w:color w:val="auto"/>
                <w:sz w:val="24"/>
                <w:szCs w:val="24"/>
                <w:highlight w:val="none"/>
              </w:rPr>
            </w:pPr>
          </w:p>
        </w:tc>
        <w:tc>
          <w:tcPr>
            <w:tcW w:w="234" w:type="dxa"/>
            <w:vAlign w:val="top"/>
          </w:tcPr>
          <w:p w14:paraId="2A8DE5EE">
            <w:pPr>
              <w:rPr>
                <w:rFonts w:hint="eastAsia" w:ascii="宋体" w:hAnsi="宋体" w:eastAsia="宋体" w:cs="宋体"/>
                <w:color w:val="auto"/>
                <w:sz w:val="24"/>
                <w:szCs w:val="24"/>
                <w:highlight w:val="none"/>
              </w:rPr>
            </w:pPr>
          </w:p>
        </w:tc>
        <w:tc>
          <w:tcPr>
            <w:tcW w:w="234" w:type="dxa"/>
            <w:vAlign w:val="top"/>
          </w:tcPr>
          <w:p w14:paraId="376AD4A2">
            <w:pPr>
              <w:rPr>
                <w:rFonts w:hint="eastAsia" w:ascii="宋体" w:hAnsi="宋体" w:eastAsia="宋体" w:cs="宋体"/>
                <w:color w:val="auto"/>
                <w:sz w:val="24"/>
                <w:szCs w:val="24"/>
                <w:highlight w:val="none"/>
              </w:rPr>
            </w:pPr>
          </w:p>
        </w:tc>
        <w:tc>
          <w:tcPr>
            <w:tcW w:w="234" w:type="dxa"/>
            <w:vAlign w:val="top"/>
          </w:tcPr>
          <w:p w14:paraId="3709ACC7">
            <w:pPr>
              <w:rPr>
                <w:rFonts w:hint="eastAsia" w:ascii="宋体" w:hAnsi="宋体" w:eastAsia="宋体" w:cs="宋体"/>
                <w:color w:val="auto"/>
                <w:sz w:val="24"/>
                <w:szCs w:val="24"/>
                <w:highlight w:val="none"/>
              </w:rPr>
            </w:pPr>
          </w:p>
        </w:tc>
        <w:tc>
          <w:tcPr>
            <w:tcW w:w="234" w:type="dxa"/>
            <w:vAlign w:val="top"/>
          </w:tcPr>
          <w:p w14:paraId="5CA47FE3">
            <w:pPr>
              <w:rPr>
                <w:rFonts w:hint="eastAsia" w:ascii="宋体" w:hAnsi="宋体" w:eastAsia="宋体" w:cs="宋体"/>
                <w:color w:val="auto"/>
                <w:sz w:val="24"/>
                <w:szCs w:val="24"/>
                <w:highlight w:val="none"/>
              </w:rPr>
            </w:pPr>
          </w:p>
        </w:tc>
        <w:tc>
          <w:tcPr>
            <w:tcW w:w="234" w:type="dxa"/>
            <w:vAlign w:val="top"/>
          </w:tcPr>
          <w:p w14:paraId="6C35742F">
            <w:pPr>
              <w:rPr>
                <w:rFonts w:hint="eastAsia" w:ascii="宋体" w:hAnsi="宋体" w:eastAsia="宋体" w:cs="宋体"/>
                <w:color w:val="auto"/>
                <w:sz w:val="24"/>
                <w:szCs w:val="24"/>
                <w:highlight w:val="none"/>
              </w:rPr>
            </w:pPr>
          </w:p>
        </w:tc>
        <w:tc>
          <w:tcPr>
            <w:tcW w:w="347" w:type="dxa"/>
            <w:vAlign w:val="top"/>
          </w:tcPr>
          <w:p w14:paraId="14B5B382">
            <w:pPr>
              <w:rPr>
                <w:rFonts w:hint="eastAsia" w:ascii="宋体" w:hAnsi="宋体" w:eastAsia="宋体" w:cs="宋体"/>
                <w:color w:val="auto"/>
                <w:sz w:val="24"/>
                <w:szCs w:val="24"/>
                <w:highlight w:val="none"/>
              </w:rPr>
            </w:pPr>
          </w:p>
        </w:tc>
        <w:tc>
          <w:tcPr>
            <w:tcW w:w="351" w:type="dxa"/>
            <w:vAlign w:val="top"/>
          </w:tcPr>
          <w:p w14:paraId="0F1B8578">
            <w:pPr>
              <w:rPr>
                <w:rFonts w:hint="eastAsia" w:ascii="宋体" w:hAnsi="宋体" w:eastAsia="宋体" w:cs="宋体"/>
                <w:color w:val="auto"/>
                <w:sz w:val="24"/>
                <w:szCs w:val="24"/>
                <w:highlight w:val="none"/>
              </w:rPr>
            </w:pPr>
          </w:p>
        </w:tc>
        <w:tc>
          <w:tcPr>
            <w:tcW w:w="346" w:type="dxa"/>
            <w:vAlign w:val="top"/>
          </w:tcPr>
          <w:p w14:paraId="69AD350A">
            <w:pPr>
              <w:rPr>
                <w:rFonts w:hint="eastAsia" w:ascii="宋体" w:hAnsi="宋体" w:eastAsia="宋体" w:cs="宋体"/>
                <w:color w:val="auto"/>
                <w:sz w:val="24"/>
                <w:szCs w:val="24"/>
                <w:highlight w:val="none"/>
              </w:rPr>
            </w:pPr>
          </w:p>
        </w:tc>
        <w:tc>
          <w:tcPr>
            <w:tcW w:w="234" w:type="dxa"/>
            <w:vAlign w:val="top"/>
          </w:tcPr>
          <w:p w14:paraId="6FF9A9B8">
            <w:pPr>
              <w:rPr>
                <w:rFonts w:hint="eastAsia" w:ascii="宋体" w:hAnsi="宋体" w:eastAsia="宋体" w:cs="宋体"/>
                <w:color w:val="auto"/>
                <w:sz w:val="24"/>
                <w:szCs w:val="24"/>
                <w:highlight w:val="none"/>
              </w:rPr>
            </w:pPr>
          </w:p>
        </w:tc>
        <w:tc>
          <w:tcPr>
            <w:tcW w:w="234" w:type="dxa"/>
            <w:vAlign w:val="top"/>
          </w:tcPr>
          <w:p w14:paraId="3B898989">
            <w:pPr>
              <w:rPr>
                <w:rFonts w:hint="eastAsia" w:ascii="宋体" w:hAnsi="宋体" w:eastAsia="宋体" w:cs="宋体"/>
                <w:color w:val="auto"/>
                <w:sz w:val="24"/>
                <w:szCs w:val="24"/>
                <w:highlight w:val="none"/>
              </w:rPr>
            </w:pPr>
          </w:p>
        </w:tc>
        <w:tc>
          <w:tcPr>
            <w:tcW w:w="234" w:type="dxa"/>
            <w:vAlign w:val="top"/>
          </w:tcPr>
          <w:p w14:paraId="216A59F9">
            <w:pPr>
              <w:rPr>
                <w:rFonts w:hint="eastAsia" w:ascii="宋体" w:hAnsi="宋体" w:eastAsia="宋体" w:cs="宋体"/>
                <w:color w:val="auto"/>
                <w:sz w:val="24"/>
                <w:szCs w:val="24"/>
                <w:highlight w:val="none"/>
              </w:rPr>
            </w:pPr>
          </w:p>
        </w:tc>
        <w:tc>
          <w:tcPr>
            <w:tcW w:w="234" w:type="dxa"/>
            <w:vAlign w:val="top"/>
          </w:tcPr>
          <w:p w14:paraId="42167B5A">
            <w:pPr>
              <w:rPr>
                <w:rFonts w:hint="eastAsia" w:ascii="宋体" w:hAnsi="宋体" w:eastAsia="宋体" w:cs="宋体"/>
                <w:color w:val="auto"/>
                <w:sz w:val="24"/>
                <w:szCs w:val="24"/>
                <w:highlight w:val="none"/>
              </w:rPr>
            </w:pPr>
          </w:p>
        </w:tc>
        <w:tc>
          <w:tcPr>
            <w:tcW w:w="234" w:type="dxa"/>
            <w:vAlign w:val="top"/>
          </w:tcPr>
          <w:p w14:paraId="18BA6FFE">
            <w:pPr>
              <w:rPr>
                <w:rFonts w:hint="eastAsia" w:ascii="宋体" w:hAnsi="宋体" w:eastAsia="宋体" w:cs="宋体"/>
                <w:color w:val="auto"/>
                <w:sz w:val="24"/>
                <w:szCs w:val="24"/>
                <w:highlight w:val="none"/>
              </w:rPr>
            </w:pPr>
          </w:p>
        </w:tc>
        <w:tc>
          <w:tcPr>
            <w:tcW w:w="234" w:type="dxa"/>
            <w:vAlign w:val="top"/>
          </w:tcPr>
          <w:p w14:paraId="4D0EE558">
            <w:pPr>
              <w:rPr>
                <w:rFonts w:hint="eastAsia" w:ascii="宋体" w:hAnsi="宋体" w:eastAsia="宋体" w:cs="宋体"/>
                <w:color w:val="auto"/>
                <w:sz w:val="24"/>
                <w:szCs w:val="24"/>
                <w:highlight w:val="none"/>
              </w:rPr>
            </w:pPr>
          </w:p>
        </w:tc>
        <w:tc>
          <w:tcPr>
            <w:tcW w:w="234" w:type="dxa"/>
            <w:vAlign w:val="top"/>
          </w:tcPr>
          <w:p w14:paraId="7397493B">
            <w:pPr>
              <w:rPr>
                <w:rFonts w:hint="eastAsia" w:ascii="宋体" w:hAnsi="宋体" w:eastAsia="宋体" w:cs="宋体"/>
                <w:color w:val="auto"/>
                <w:sz w:val="24"/>
                <w:szCs w:val="24"/>
                <w:highlight w:val="none"/>
              </w:rPr>
            </w:pPr>
          </w:p>
        </w:tc>
        <w:tc>
          <w:tcPr>
            <w:tcW w:w="234" w:type="dxa"/>
            <w:vAlign w:val="top"/>
          </w:tcPr>
          <w:p w14:paraId="5C61717D">
            <w:pPr>
              <w:rPr>
                <w:rFonts w:hint="eastAsia" w:ascii="宋体" w:hAnsi="宋体" w:eastAsia="宋体" w:cs="宋体"/>
                <w:color w:val="auto"/>
                <w:sz w:val="24"/>
                <w:szCs w:val="24"/>
                <w:highlight w:val="none"/>
              </w:rPr>
            </w:pPr>
          </w:p>
        </w:tc>
        <w:tc>
          <w:tcPr>
            <w:tcW w:w="234" w:type="dxa"/>
            <w:vAlign w:val="top"/>
          </w:tcPr>
          <w:p w14:paraId="46EFF2B2">
            <w:pPr>
              <w:rPr>
                <w:rFonts w:hint="eastAsia" w:ascii="宋体" w:hAnsi="宋体" w:eastAsia="宋体" w:cs="宋体"/>
                <w:color w:val="auto"/>
                <w:sz w:val="24"/>
                <w:szCs w:val="24"/>
                <w:highlight w:val="none"/>
              </w:rPr>
            </w:pPr>
          </w:p>
        </w:tc>
        <w:tc>
          <w:tcPr>
            <w:tcW w:w="346" w:type="dxa"/>
            <w:vAlign w:val="top"/>
          </w:tcPr>
          <w:p w14:paraId="18027370">
            <w:pPr>
              <w:rPr>
                <w:rFonts w:hint="eastAsia" w:ascii="宋体" w:hAnsi="宋体" w:eastAsia="宋体" w:cs="宋体"/>
                <w:color w:val="auto"/>
                <w:sz w:val="24"/>
                <w:szCs w:val="24"/>
                <w:highlight w:val="none"/>
              </w:rPr>
            </w:pPr>
          </w:p>
        </w:tc>
        <w:tc>
          <w:tcPr>
            <w:tcW w:w="337" w:type="dxa"/>
            <w:vAlign w:val="top"/>
          </w:tcPr>
          <w:p w14:paraId="3B1178BB">
            <w:pPr>
              <w:rPr>
                <w:rFonts w:hint="eastAsia" w:ascii="宋体" w:hAnsi="宋体" w:eastAsia="宋体" w:cs="宋体"/>
                <w:color w:val="auto"/>
                <w:sz w:val="24"/>
                <w:szCs w:val="24"/>
                <w:highlight w:val="none"/>
              </w:rPr>
            </w:pPr>
          </w:p>
        </w:tc>
      </w:tr>
      <w:tr w14:paraId="518C1B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2770" w:type="dxa"/>
            <w:vMerge w:val="continue"/>
            <w:tcBorders>
              <w:top w:val="nil"/>
              <w:bottom w:val="nil"/>
            </w:tcBorders>
            <w:vAlign w:val="top"/>
          </w:tcPr>
          <w:p w14:paraId="5CB9A4DE">
            <w:pPr>
              <w:rPr>
                <w:rFonts w:hint="eastAsia" w:ascii="宋体" w:hAnsi="宋体" w:eastAsia="宋体" w:cs="宋体"/>
                <w:color w:val="auto"/>
                <w:sz w:val="24"/>
                <w:szCs w:val="24"/>
                <w:highlight w:val="none"/>
              </w:rPr>
            </w:pPr>
          </w:p>
        </w:tc>
        <w:tc>
          <w:tcPr>
            <w:tcW w:w="235" w:type="dxa"/>
            <w:vAlign w:val="top"/>
          </w:tcPr>
          <w:p w14:paraId="7541174D">
            <w:pPr>
              <w:rPr>
                <w:rFonts w:hint="eastAsia" w:ascii="宋体" w:hAnsi="宋体" w:eastAsia="宋体" w:cs="宋体"/>
                <w:color w:val="auto"/>
                <w:sz w:val="24"/>
                <w:szCs w:val="24"/>
                <w:highlight w:val="none"/>
              </w:rPr>
            </w:pPr>
          </w:p>
        </w:tc>
        <w:tc>
          <w:tcPr>
            <w:tcW w:w="235" w:type="dxa"/>
            <w:vAlign w:val="top"/>
          </w:tcPr>
          <w:p w14:paraId="7B46C1E7">
            <w:pPr>
              <w:rPr>
                <w:rFonts w:hint="eastAsia" w:ascii="宋体" w:hAnsi="宋体" w:eastAsia="宋体" w:cs="宋体"/>
                <w:color w:val="auto"/>
                <w:sz w:val="24"/>
                <w:szCs w:val="24"/>
                <w:highlight w:val="none"/>
              </w:rPr>
            </w:pPr>
          </w:p>
        </w:tc>
        <w:tc>
          <w:tcPr>
            <w:tcW w:w="234" w:type="dxa"/>
            <w:vAlign w:val="top"/>
          </w:tcPr>
          <w:p w14:paraId="64A0C0EB">
            <w:pPr>
              <w:rPr>
                <w:rFonts w:hint="eastAsia" w:ascii="宋体" w:hAnsi="宋体" w:eastAsia="宋体" w:cs="宋体"/>
                <w:color w:val="auto"/>
                <w:sz w:val="24"/>
                <w:szCs w:val="24"/>
                <w:highlight w:val="none"/>
              </w:rPr>
            </w:pPr>
          </w:p>
        </w:tc>
        <w:tc>
          <w:tcPr>
            <w:tcW w:w="234" w:type="dxa"/>
            <w:vAlign w:val="top"/>
          </w:tcPr>
          <w:p w14:paraId="6B43769A">
            <w:pPr>
              <w:rPr>
                <w:rFonts w:hint="eastAsia" w:ascii="宋体" w:hAnsi="宋体" w:eastAsia="宋体" w:cs="宋体"/>
                <w:color w:val="auto"/>
                <w:sz w:val="24"/>
                <w:szCs w:val="24"/>
                <w:highlight w:val="none"/>
              </w:rPr>
            </w:pPr>
          </w:p>
        </w:tc>
        <w:tc>
          <w:tcPr>
            <w:tcW w:w="234" w:type="dxa"/>
            <w:vAlign w:val="top"/>
          </w:tcPr>
          <w:p w14:paraId="0BA548F2">
            <w:pPr>
              <w:rPr>
                <w:rFonts w:hint="eastAsia" w:ascii="宋体" w:hAnsi="宋体" w:eastAsia="宋体" w:cs="宋体"/>
                <w:color w:val="auto"/>
                <w:sz w:val="24"/>
                <w:szCs w:val="24"/>
                <w:highlight w:val="none"/>
              </w:rPr>
            </w:pPr>
          </w:p>
        </w:tc>
        <w:tc>
          <w:tcPr>
            <w:tcW w:w="234" w:type="dxa"/>
            <w:vAlign w:val="top"/>
          </w:tcPr>
          <w:p w14:paraId="29947868">
            <w:pPr>
              <w:rPr>
                <w:rFonts w:hint="eastAsia" w:ascii="宋体" w:hAnsi="宋体" w:eastAsia="宋体" w:cs="宋体"/>
                <w:color w:val="auto"/>
                <w:sz w:val="24"/>
                <w:szCs w:val="24"/>
                <w:highlight w:val="none"/>
              </w:rPr>
            </w:pPr>
          </w:p>
        </w:tc>
        <w:tc>
          <w:tcPr>
            <w:tcW w:w="234" w:type="dxa"/>
            <w:vAlign w:val="top"/>
          </w:tcPr>
          <w:p w14:paraId="0AE5176F">
            <w:pPr>
              <w:rPr>
                <w:rFonts w:hint="eastAsia" w:ascii="宋体" w:hAnsi="宋体" w:eastAsia="宋体" w:cs="宋体"/>
                <w:color w:val="auto"/>
                <w:sz w:val="24"/>
                <w:szCs w:val="24"/>
                <w:highlight w:val="none"/>
              </w:rPr>
            </w:pPr>
          </w:p>
        </w:tc>
        <w:tc>
          <w:tcPr>
            <w:tcW w:w="234" w:type="dxa"/>
            <w:vAlign w:val="top"/>
          </w:tcPr>
          <w:p w14:paraId="5E805A30">
            <w:pPr>
              <w:rPr>
                <w:rFonts w:hint="eastAsia" w:ascii="宋体" w:hAnsi="宋体" w:eastAsia="宋体" w:cs="宋体"/>
                <w:color w:val="auto"/>
                <w:sz w:val="24"/>
                <w:szCs w:val="24"/>
                <w:highlight w:val="none"/>
              </w:rPr>
            </w:pPr>
          </w:p>
        </w:tc>
        <w:tc>
          <w:tcPr>
            <w:tcW w:w="234" w:type="dxa"/>
            <w:vAlign w:val="top"/>
          </w:tcPr>
          <w:p w14:paraId="20CAF054">
            <w:pPr>
              <w:rPr>
                <w:rFonts w:hint="eastAsia" w:ascii="宋体" w:hAnsi="宋体" w:eastAsia="宋体" w:cs="宋体"/>
                <w:color w:val="auto"/>
                <w:sz w:val="24"/>
                <w:szCs w:val="24"/>
                <w:highlight w:val="none"/>
              </w:rPr>
            </w:pPr>
          </w:p>
        </w:tc>
        <w:tc>
          <w:tcPr>
            <w:tcW w:w="347" w:type="dxa"/>
            <w:vAlign w:val="top"/>
          </w:tcPr>
          <w:p w14:paraId="0F825501">
            <w:pPr>
              <w:rPr>
                <w:rFonts w:hint="eastAsia" w:ascii="宋体" w:hAnsi="宋体" w:eastAsia="宋体" w:cs="宋体"/>
                <w:color w:val="auto"/>
                <w:sz w:val="24"/>
                <w:szCs w:val="24"/>
                <w:highlight w:val="none"/>
              </w:rPr>
            </w:pPr>
          </w:p>
        </w:tc>
        <w:tc>
          <w:tcPr>
            <w:tcW w:w="351" w:type="dxa"/>
            <w:vAlign w:val="top"/>
          </w:tcPr>
          <w:p w14:paraId="0F629225">
            <w:pPr>
              <w:rPr>
                <w:rFonts w:hint="eastAsia" w:ascii="宋体" w:hAnsi="宋体" w:eastAsia="宋体" w:cs="宋体"/>
                <w:color w:val="auto"/>
                <w:sz w:val="24"/>
                <w:szCs w:val="24"/>
                <w:highlight w:val="none"/>
              </w:rPr>
            </w:pPr>
          </w:p>
        </w:tc>
        <w:tc>
          <w:tcPr>
            <w:tcW w:w="346" w:type="dxa"/>
            <w:vAlign w:val="top"/>
          </w:tcPr>
          <w:p w14:paraId="4E76D099">
            <w:pPr>
              <w:rPr>
                <w:rFonts w:hint="eastAsia" w:ascii="宋体" w:hAnsi="宋体" w:eastAsia="宋体" w:cs="宋体"/>
                <w:color w:val="auto"/>
                <w:sz w:val="24"/>
                <w:szCs w:val="24"/>
                <w:highlight w:val="none"/>
              </w:rPr>
            </w:pPr>
          </w:p>
        </w:tc>
        <w:tc>
          <w:tcPr>
            <w:tcW w:w="234" w:type="dxa"/>
            <w:vAlign w:val="top"/>
          </w:tcPr>
          <w:p w14:paraId="4FE821F4">
            <w:pPr>
              <w:rPr>
                <w:rFonts w:hint="eastAsia" w:ascii="宋体" w:hAnsi="宋体" w:eastAsia="宋体" w:cs="宋体"/>
                <w:color w:val="auto"/>
                <w:sz w:val="24"/>
                <w:szCs w:val="24"/>
                <w:highlight w:val="none"/>
              </w:rPr>
            </w:pPr>
          </w:p>
        </w:tc>
        <w:tc>
          <w:tcPr>
            <w:tcW w:w="234" w:type="dxa"/>
            <w:vAlign w:val="top"/>
          </w:tcPr>
          <w:p w14:paraId="199F5BAD">
            <w:pPr>
              <w:rPr>
                <w:rFonts w:hint="eastAsia" w:ascii="宋体" w:hAnsi="宋体" w:eastAsia="宋体" w:cs="宋体"/>
                <w:color w:val="auto"/>
                <w:sz w:val="24"/>
                <w:szCs w:val="24"/>
                <w:highlight w:val="none"/>
              </w:rPr>
            </w:pPr>
          </w:p>
        </w:tc>
        <w:tc>
          <w:tcPr>
            <w:tcW w:w="234" w:type="dxa"/>
            <w:vAlign w:val="top"/>
          </w:tcPr>
          <w:p w14:paraId="767672C2">
            <w:pPr>
              <w:rPr>
                <w:rFonts w:hint="eastAsia" w:ascii="宋体" w:hAnsi="宋体" w:eastAsia="宋体" w:cs="宋体"/>
                <w:color w:val="auto"/>
                <w:sz w:val="24"/>
                <w:szCs w:val="24"/>
                <w:highlight w:val="none"/>
              </w:rPr>
            </w:pPr>
          </w:p>
        </w:tc>
        <w:tc>
          <w:tcPr>
            <w:tcW w:w="234" w:type="dxa"/>
            <w:vAlign w:val="top"/>
          </w:tcPr>
          <w:p w14:paraId="4E3B4979">
            <w:pPr>
              <w:rPr>
                <w:rFonts w:hint="eastAsia" w:ascii="宋体" w:hAnsi="宋体" w:eastAsia="宋体" w:cs="宋体"/>
                <w:color w:val="auto"/>
                <w:sz w:val="24"/>
                <w:szCs w:val="24"/>
                <w:highlight w:val="none"/>
              </w:rPr>
            </w:pPr>
          </w:p>
        </w:tc>
        <w:tc>
          <w:tcPr>
            <w:tcW w:w="234" w:type="dxa"/>
            <w:vAlign w:val="top"/>
          </w:tcPr>
          <w:p w14:paraId="5C8D993D">
            <w:pPr>
              <w:rPr>
                <w:rFonts w:hint="eastAsia" w:ascii="宋体" w:hAnsi="宋体" w:eastAsia="宋体" w:cs="宋体"/>
                <w:color w:val="auto"/>
                <w:sz w:val="24"/>
                <w:szCs w:val="24"/>
                <w:highlight w:val="none"/>
              </w:rPr>
            </w:pPr>
          </w:p>
        </w:tc>
        <w:tc>
          <w:tcPr>
            <w:tcW w:w="234" w:type="dxa"/>
            <w:vAlign w:val="top"/>
          </w:tcPr>
          <w:p w14:paraId="3323D5C5">
            <w:pPr>
              <w:rPr>
                <w:rFonts w:hint="eastAsia" w:ascii="宋体" w:hAnsi="宋体" w:eastAsia="宋体" w:cs="宋体"/>
                <w:color w:val="auto"/>
                <w:sz w:val="24"/>
                <w:szCs w:val="24"/>
                <w:highlight w:val="none"/>
              </w:rPr>
            </w:pPr>
          </w:p>
        </w:tc>
        <w:tc>
          <w:tcPr>
            <w:tcW w:w="234" w:type="dxa"/>
            <w:vAlign w:val="top"/>
          </w:tcPr>
          <w:p w14:paraId="3E1E8606">
            <w:pPr>
              <w:rPr>
                <w:rFonts w:hint="eastAsia" w:ascii="宋体" w:hAnsi="宋体" w:eastAsia="宋体" w:cs="宋体"/>
                <w:color w:val="auto"/>
                <w:sz w:val="24"/>
                <w:szCs w:val="24"/>
                <w:highlight w:val="none"/>
              </w:rPr>
            </w:pPr>
          </w:p>
        </w:tc>
        <w:tc>
          <w:tcPr>
            <w:tcW w:w="234" w:type="dxa"/>
            <w:vAlign w:val="top"/>
          </w:tcPr>
          <w:p w14:paraId="2F51E3FC">
            <w:pPr>
              <w:rPr>
                <w:rFonts w:hint="eastAsia" w:ascii="宋体" w:hAnsi="宋体" w:eastAsia="宋体" w:cs="宋体"/>
                <w:color w:val="auto"/>
                <w:sz w:val="24"/>
                <w:szCs w:val="24"/>
                <w:highlight w:val="none"/>
              </w:rPr>
            </w:pPr>
          </w:p>
        </w:tc>
        <w:tc>
          <w:tcPr>
            <w:tcW w:w="234" w:type="dxa"/>
            <w:vAlign w:val="top"/>
          </w:tcPr>
          <w:p w14:paraId="57477CE9">
            <w:pPr>
              <w:rPr>
                <w:rFonts w:hint="eastAsia" w:ascii="宋体" w:hAnsi="宋体" w:eastAsia="宋体" w:cs="宋体"/>
                <w:color w:val="auto"/>
                <w:sz w:val="24"/>
                <w:szCs w:val="24"/>
                <w:highlight w:val="none"/>
              </w:rPr>
            </w:pPr>
          </w:p>
        </w:tc>
        <w:tc>
          <w:tcPr>
            <w:tcW w:w="346" w:type="dxa"/>
            <w:vAlign w:val="top"/>
          </w:tcPr>
          <w:p w14:paraId="7C5D8462">
            <w:pPr>
              <w:rPr>
                <w:rFonts w:hint="eastAsia" w:ascii="宋体" w:hAnsi="宋体" w:eastAsia="宋体" w:cs="宋体"/>
                <w:color w:val="auto"/>
                <w:sz w:val="24"/>
                <w:szCs w:val="24"/>
                <w:highlight w:val="none"/>
              </w:rPr>
            </w:pPr>
          </w:p>
        </w:tc>
        <w:tc>
          <w:tcPr>
            <w:tcW w:w="337" w:type="dxa"/>
            <w:vAlign w:val="top"/>
          </w:tcPr>
          <w:p w14:paraId="44E78736">
            <w:pPr>
              <w:rPr>
                <w:rFonts w:hint="eastAsia" w:ascii="宋体" w:hAnsi="宋体" w:eastAsia="宋体" w:cs="宋体"/>
                <w:color w:val="auto"/>
                <w:sz w:val="24"/>
                <w:szCs w:val="24"/>
                <w:highlight w:val="none"/>
              </w:rPr>
            </w:pPr>
          </w:p>
        </w:tc>
      </w:tr>
      <w:tr w14:paraId="2CE955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2770" w:type="dxa"/>
            <w:vMerge w:val="continue"/>
            <w:tcBorders>
              <w:top w:val="nil"/>
              <w:bottom w:val="nil"/>
            </w:tcBorders>
            <w:vAlign w:val="top"/>
          </w:tcPr>
          <w:p w14:paraId="194249D1">
            <w:pPr>
              <w:rPr>
                <w:rFonts w:hint="eastAsia" w:ascii="宋体" w:hAnsi="宋体" w:eastAsia="宋体" w:cs="宋体"/>
                <w:color w:val="auto"/>
                <w:sz w:val="24"/>
                <w:szCs w:val="24"/>
                <w:highlight w:val="none"/>
              </w:rPr>
            </w:pPr>
          </w:p>
        </w:tc>
        <w:tc>
          <w:tcPr>
            <w:tcW w:w="235" w:type="dxa"/>
            <w:vAlign w:val="top"/>
          </w:tcPr>
          <w:p w14:paraId="43783F4D">
            <w:pPr>
              <w:rPr>
                <w:rFonts w:hint="eastAsia" w:ascii="宋体" w:hAnsi="宋体" w:eastAsia="宋体" w:cs="宋体"/>
                <w:color w:val="auto"/>
                <w:sz w:val="24"/>
                <w:szCs w:val="24"/>
                <w:highlight w:val="none"/>
              </w:rPr>
            </w:pPr>
          </w:p>
        </w:tc>
        <w:tc>
          <w:tcPr>
            <w:tcW w:w="235" w:type="dxa"/>
            <w:vAlign w:val="top"/>
          </w:tcPr>
          <w:p w14:paraId="204AAC11">
            <w:pPr>
              <w:rPr>
                <w:rFonts w:hint="eastAsia" w:ascii="宋体" w:hAnsi="宋体" w:eastAsia="宋体" w:cs="宋体"/>
                <w:color w:val="auto"/>
                <w:sz w:val="24"/>
                <w:szCs w:val="24"/>
                <w:highlight w:val="none"/>
              </w:rPr>
            </w:pPr>
          </w:p>
        </w:tc>
        <w:tc>
          <w:tcPr>
            <w:tcW w:w="234" w:type="dxa"/>
            <w:vAlign w:val="top"/>
          </w:tcPr>
          <w:p w14:paraId="1620F65A">
            <w:pPr>
              <w:rPr>
                <w:rFonts w:hint="eastAsia" w:ascii="宋体" w:hAnsi="宋体" w:eastAsia="宋体" w:cs="宋体"/>
                <w:color w:val="auto"/>
                <w:sz w:val="24"/>
                <w:szCs w:val="24"/>
                <w:highlight w:val="none"/>
              </w:rPr>
            </w:pPr>
          </w:p>
        </w:tc>
        <w:tc>
          <w:tcPr>
            <w:tcW w:w="234" w:type="dxa"/>
            <w:vAlign w:val="top"/>
          </w:tcPr>
          <w:p w14:paraId="67641E2B">
            <w:pPr>
              <w:rPr>
                <w:rFonts w:hint="eastAsia" w:ascii="宋体" w:hAnsi="宋体" w:eastAsia="宋体" w:cs="宋体"/>
                <w:color w:val="auto"/>
                <w:sz w:val="24"/>
                <w:szCs w:val="24"/>
                <w:highlight w:val="none"/>
              </w:rPr>
            </w:pPr>
          </w:p>
        </w:tc>
        <w:tc>
          <w:tcPr>
            <w:tcW w:w="234" w:type="dxa"/>
            <w:vAlign w:val="top"/>
          </w:tcPr>
          <w:p w14:paraId="62AB7021">
            <w:pPr>
              <w:rPr>
                <w:rFonts w:hint="eastAsia" w:ascii="宋体" w:hAnsi="宋体" w:eastAsia="宋体" w:cs="宋体"/>
                <w:color w:val="auto"/>
                <w:sz w:val="24"/>
                <w:szCs w:val="24"/>
                <w:highlight w:val="none"/>
              </w:rPr>
            </w:pPr>
          </w:p>
        </w:tc>
        <w:tc>
          <w:tcPr>
            <w:tcW w:w="234" w:type="dxa"/>
            <w:vAlign w:val="top"/>
          </w:tcPr>
          <w:p w14:paraId="02188EF5">
            <w:pPr>
              <w:rPr>
                <w:rFonts w:hint="eastAsia" w:ascii="宋体" w:hAnsi="宋体" w:eastAsia="宋体" w:cs="宋体"/>
                <w:color w:val="auto"/>
                <w:sz w:val="24"/>
                <w:szCs w:val="24"/>
                <w:highlight w:val="none"/>
              </w:rPr>
            </w:pPr>
          </w:p>
        </w:tc>
        <w:tc>
          <w:tcPr>
            <w:tcW w:w="234" w:type="dxa"/>
            <w:vAlign w:val="top"/>
          </w:tcPr>
          <w:p w14:paraId="25164DA4">
            <w:pPr>
              <w:rPr>
                <w:rFonts w:hint="eastAsia" w:ascii="宋体" w:hAnsi="宋体" w:eastAsia="宋体" w:cs="宋体"/>
                <w:color w:val="auto"/>
                <w:sz w:val="24"/>
                <w:szCs w:val="24"/>
                <w:highlight w:val="none"/>
              </w:rPr>
            </w:pPr>
          </w:p>
        </w:tc>
        <w:tc>
          <w:tcPr>
            <w:tcW w:w="234" w:type="dxa"/>
            <w:vAlign w:val="top"/>
          </w:tcPr>
          <w:p w14:paraId="79D2792D">
            <w:pPr>
              <w:rPr>
                <w:rFonts w:hint="eastAsia" w:ascii="宋体" w:hAnsi="宋体" w:eastAsia="宋体" w:cs="宋体"/>
                <w:color w:val="auto"/>
                <w:sz w:val="24"/>
                <w:szCs w:val="24"/>
                <w:highlight w:val="none"/>
              </w:rPr>
            </w:pPr>
          </w:p>
        </w:tc>
        <w:tc>
          <w:tcPr>
            <w:tcW w:w="234" w:type="dxa"/>
            <w:vAlign w:val="top"/>
          </w:tcPr>
          <w:p w14:paraId="6EF82794">
            <w:pPr>
              <w:rPr>
                <w:rFonts w:hint="eastAsia" w:ascii="宋体" w:hAnsi="宋体" w:eastAsia="宋体" w:cs="宋体"/>
                <w:color w:val="auto"/>
                <w:sz w:val="24"/>
                <w:szCs w:val="24"/>
                <w:highlight w:val="none"/>
              </w:rPr>
            </w:pPr>
          </w:p>
        </w:tc>
        <w:tc>
          <w:tcPr>
            <w:tcW w:w="347" w:type="dxa"/>
            <w:vAlign w:val="top"/>
          </w:tcPr>
          <w:p w14:paraId="22CB5C92">
            <w:pPr>
              <w:rPr>
                <w:rFonts w:hint="eastAsia" w:ascii="宋体" w:hAnsi="宋体" w:eastAsia="宋体" w:cs="宋体"/>
                <w:color w:val="auto"/>
                <w:sz w:val="24"/>
                <w:szCs w:val="24"/>
                <w:highlight w:val="none"/>
              </w:rPr>
            </w:pPr>
          </w:p>
        </w:tc>
        <w:tc>
          <w:tcPr>
            <w:tcW w:w="351" w:type="dxa"/>
            <w:vAlign w:val="top"/>
          </w:tcPr>
          <w:p w14:paraId="2E9DA016">
            <w:pPr>
              <w:rPr>
                <w:rFonts w:hint="eastAsia" w:ascii="宋体" w:hAnsi="宋体" w:eastAsia="宋体" w:cs="宋体"/>
                <w:color w:val="auto"/>
                <w:sz w:val="24"/>
                <w:szCs w:val="24"/>
                <w:highlight w:val="none"/>
              </w:rPr>
            </w:pPr>
          </w:p>
        </w:tc>
        <w:tc>
          <w:tcPr>
            <w:tcW w:w="346" w:type="dxa"/>
            <w:vAlign w:val="top"/>
          </w:tcPr>
          <w:p w14:paraId="46626FF4">
            <w:pPr>
              <w:rPr>
                <w:rFonts w:hint="eastAsia" w:ascii="宋体" w:hAnsi="宋体" w:eastAsia="宋体" w:cs="宋体"/>
                <w:color w:val="auto"/>
                <w:sz w:val="24"/>
                <w:szCs w:val="24"/>
                <w:highlight w:val="none"/>
              </w:rPr>
            </w:pPr>
          </w:p>
        </w:tc>
        <w:tc>
          <w:tcPr>
            <w:tcW w:w="234" w:type="dxa"/>
            <w:vAlign w:val="top"/>
          </w:tcPr>
          <w:p w14:paraId="79955773">
            <w:pPr>
              <w:rPr>
                <w:rFonts w:hint="eastAsia" w:ascii="宋体" w:hAnsi="宋体" w:eastAsia="宋体" w:cs="宋体"/>
                <w:color w:val="auto"/>
                <w:sz w:val="24"/>
                <w:szCs w:val="24"/>
                <w:highlight w:val="none"/>
              </w:rPr>
            </w:pPr>
          </w:p>
        </w:tc>
        <w:tc>
          <w:tcPr>
            <w:tcW w:w="234" w:type="dxa"/>
            <w:vAlign w:val="top"/>
          </w:tcPr>
          <w:p w14:paraId="291082C5">
            <w:pPr>
              <w:rPr>
                <w:rFonts w:hint="eastAsia" w:ascii="宋体" w:hAnsi="宋体" w:eastAsia="宋体" w:cs="宋体"/>
                <w:color w:val="auto"/>
                <w:sz w:val="24"/>
                <w:szCs w:val="24"/>
                <w:highlight w:val="none"/>
              </w:rPr>
            </w:pPr>
          </w:p>
        </w:tc>
        <w:tc>
          <w:tcPr>
            <w:tcW w:w="234" w:type="dxa"/>
            <w:vAlign w:val="top"/>
          </w:tcPr>
          <w:p w14:paraId="5F7432B2">
            <w:pPr>
              <w:rPr>
                <w:rFonts w:hint="eastAsia" w:ascii="宋体" w:hAnsi="宋体" w:eastAsia="宋体" w:cs="宋体"/>
                <w:color w:val="auto"/>
                <w:sz w:val="24"/>
                <w:szCs w:val="24"/>
                <w:highlight w:val="none"/>
              </w:rPr>
            </w:pPr>
          </w:p>
        </w:tc>
        <w:tc>
          <w:tcPr>
            <w:tcW w:w="234" w:type="dxa"/>
            <w:vAlign w:val="top"/>
          </w:tcPr>
          <w:p w14:paraId="6B731779">
            <w:pPr>
              <w:rPr>
                <w:rFonts w:hint="eastAsia" w:ascii="宋体" w:hAnsi="宋体" w:eastAsia="宋体" w:cs="宋体"/>
                <w:color w:val="auto"/>
                <w:sz w:val="24"/>
                <w:szCs w:val="24"/>
                <w:highlight w:val="none"/>
              </w:rPr>
            </w:pPr>
          </w:p>
        </w:tc>
        <w:tc>
          <w:tcPr>
            <w:tcW w:w="234" w:type="dxa"/>
            <w:vAlign w:val="top"/>
          </w:tcPr>
          <w:p w14:paraId="212BF4BB">
            <w:pPr>
              <w:rPr>
                <w:rFonts w:hint="eastAsia" w:ascii="宋体" w:hAnsi="宋体" w:eastAsia="宋体" w:cs="宋体"/>
                <w:color w:val="auto"/>
                <w:sz w:val="24"/>
                <w:szCs w:val="24"/>
                <w:highlight w:val="none"/>
              </w:rPr>
            </w:pPr>
          </w:p>
        </w:tc>
        <w:tc>
          <w:tcPr>
            <w:tcW w:w="234" w:type="dxa"/>
            <w:vAlign w:val="top"/>
          </w:tcPr>
          <w:p w14:paraId="37F3696D">
            <w:pPr>
              <w:rPr>
                <w:rFonts w:hint="eastAsia" w:ascii="宋体" w:hAnsi="宋体" w:eastAsia="宋体" w:cs="宋体"/>
                <w:color w:val="auto"/>
                <w:sz w:val="24"/>
                <w:szCs w:val="24"/>
                <w:highlight w:val="none"/>
              </w:rPr>
            </w:pPr>
          </w:p>
        </w:tc>
        <w:tc>
          <w:tcPr>
            <w:tcW w:w="234" w:type="dxa"/>
            <w:vAlign w:val="top"/>
          </w:tcPr>
          <w:p w14:paraId="1365BD16">
            <w:pPr>
              <w:rPr>
                <w:rFonts w:hint="eastAsia" w:ascii="宋体" w:hAnsi="宋体" w:eastAsia="宋体" w:cs="宋体"/>
                <w:color w:val="auto"/>
                <w:sz w:val="24"/>
                <w:szCs w:val="24"/>
                <w:highlight w:val="none"/>
              </w:rPr>
            </w:pPr>
          </w:p>
        </w:tc>
        <w:tc>
          <w:tcPr>
            <w:tcW w:w="234" w:type="dxa"/>
            <w:vAlign w:val="top"/>
          </w:tcPr>
          <w:p w14:paraId="5B68EF27">
            <w:pPr>
              <w:rPr>
                <w:rFonts w:hint="eastAsia" w:ascii="宋体" w:hAnsi="宋体" w:eastAsia="宋体" w:cs="宋体"/>
                <w:color w:val="auto"/>
                <w:sz w:val="24"/>
                <w:szCs w:val="24"/>
                <w:highlight w:val="none"/>
              </w:rPr>
            </w:pPr>
          </w:p>
        </w:tc>
        <w:tc>
          <w:tcPr>
            <w:tcW w:w="234" w:type="dxa"/>
            <w:vAlign w:val="top"/>
          </w:tcPr>
          <w:p w14:paraId="5B284E4C">
            <w:pPr>
              <w:rPr>
                <w:rFonts w:hint="eastAsia" w:ascii="宋体" w:hAnsi="宋体" w:eastAsia="宋体" w:cs="宋体"/>
                <w:color w:val="auto"/>
                <w:sz w:val="24"/>
                <w:szCs w:val="24"/>
                <w:highlight w:val="none"/>
              </w:rPr>
            </w:pPr>
          </w:p>
        </w:tc>
        <w:tc>
          <w:tcPr>
            <w:tcW w:w="346" w:type="dxa"/>
            <w:vAlign w:val="top"/>
          </w:tcPr>
          <w:p w14:paraId="6D6D68F8">
            <w:pPr>
              <w:rPr>
                <w:rFonts w:hint="eastAsia" w:ascii="宋体" w:hAnsi="宋体" w:eastAsia="宋体" w:cs="宋体"/>
                <w:color w:val="auto"/>
                <w:sz w:val="24"/>
                <w:szCs w:val="24"/>
                <w:highlight w:val="none"/>
              </w:rPr>
            </w:pPr>
          </w:p>
        </w:tc>
        <w:tc>
          <w:tcPr>
            <w:tcW w:w="337" w:type="dxa"/>
            <w:vAlign w:val="top"/>
          </w:tcPr>
          <w:p w14:paraId="0423A2DC">
            <w:pPr>
              <w:rPr>
                <w:rFonts w:hint="eastAsia" w:ascii="宋体" w:hAnsi="宋体" w:eastAsia="宋体" w:cs="宋体"/>
                <w:color w:val="auto"/>
                <w:sz w:val="24"/>
                <w:szCs w:val="24"/>
                <w:highlight w:val="none"/>
              </w:rPr>
            </w:pPr>
          </w:p>
        </w:tc>
      </w:tr>
      <w:tr w14:paraId="0453DC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3" w:hRule="atLeast"/>
        </w:trPr>
        <w:tc>
          <w:tcPr>
            <w:tcW w:w="2770" w:type="dxa"/>
            <w:vMerge w:val="continue"/>
            <w:tcBorders>
              <w:top w:val="nil"/>
              <w:bottom w:val="nil"/>
            </w:tcBorders>
            <w:vAlign w:val="top"/>
          </w:tcPr>
          <w:p w14:paraId="22583B57">
            <w:pPr>
              <w:rPr>
                <w:rFonts w:hint="eastAsia" w:ascii="宋体" w:hAnsi="宋体" w:eastAsia="宋体" w:cs="宋体"/>
                <w:color w:val="auto"/>
                <w:sz w:val="24"/>
                <w:szCs w:val="24"/>
                <w:highlight w:val="none"/>
              </w:rPr>
            </w:pPr>
          </w:p>
        </w:tc>
        <w:tc>
          <w:tcPr>
            <w:tcW w:w="235" w:type="dxa"/>
            <w:vAlign w:val="top"/>
          </w:tcPr>
          <w:p w14:paraId="77C6AAAF">
            <w:pPr>
              <w:rPr>
                <w:rFonts w:hint="eastAsia" w:ascii="宋体" w:hAnsi="宋体" w:eastAsia="宋体" w:cs="宋体"/>
                <w:color w:val="auto"/>
                <w:sz w:val="24"/>
                <w:szCs w:val="24"/>
                <w:highlight w:val="none"/>
              </w:rPr>
            </w:pPr>
          </w:p>
        </w:tc>
        <w:tc>
          <w:tcPr>
            <w:tcW w:w="235" w:type="dxa"/>
            <w:vAlign w:val="top"/>
          </w:tcPr>
          <w:p w14:paraId="0D8E526C">
            <w:pPr>
              <w:rPr>
                <w:rFonts w:hint="eastAsia" w:ascii="宋体" w:hAnsi="宋体" w:eastAsia="宋体" w:cs="宋体"/>
                <w:color w:val="auto"/>
                <w:sz w:val="24"/>
                <w:szCs w:val="24"/>
                <w:highlight w:val="none"/>
              </w:rPr>
            </w:pPr>
          </w:p>
        </w:tc>
        <w:tc>
          <w:tcPr>
            <w:tcW w:w="234" w:type="dxa"/>
            <w:vAlign w:val="top"/>
          </w:tcPr>
          <w:p w14:paraId="651EF99E">
            <w:pPr>
              <w:rPr>
                <w:rFonts w:hint="eastAsia" w:ascii="宋体" w:hAnsi="宋体" w:eastAsia="宋体" w:cs="宋体"/>
                <w:color w:val="auto"/>
                <w:sz w:val="24"/>
                <w:szCs w:val="24"/>
                <w:highlight w:val="none"/>
              </w:rPr>
            </w:pPr>
          </w:p>
        </w:tc>
        <w:tc>
          <w:tcPr>
            <w:tcW w:w="234" w:type="dxa"/>
            <w:vAlign w:val="top"/>
          </w:tcPr>
          <w:p w14:paraId="1D05B761">
            <w:pPr>
              <w:rPr>
                <w:rFonts w:hint="eastAsia" w:ascii="宋体" w:hAnsi="宋体" w:eastAsia="宋体" w:cs="宋体"/>
                <w:color w:val="auto"/>
                <w:sz w:val="24"/>
                <w:szCs w:val="24"/>
                <w:highlight w:val="none"/>
              </w:rPr>
            </w:pPr>
          </w:p>
        </w:tc>
        <w:tc>
          <w:tcPr>
            <w:tcW w:w="234" w:type="dxa"/>
            <w:vAlign w:val="top"/>
          </w:tcPr>
          <w:p w14:paraId="52C5C79D">
            <w:pPr>
              <w:rPr>
                <w:rFonts w:hint="eastAsia" w:ascii="宋体" w:hAnsi="宋体" w:eastAsia="宋体" w:cs="宋体"/>
                <w:color w:val="auto"/>
                <w:sz w:val="24"/>
                <w:szCs w:val="24"/>
                <w:highlight w:val="none"/>
              </w:rPr>
            </w:pPr>
          </w:p>
        </w:tc>
        <w:tc>
          <w:tcPr>
            <w:tcW w:w="234" w:type="dxa"/>
            <w:vAlign w:val="top"/>
          </w:tcPr>
          <w:p w14:paraId="4E2B5330">
            <w:pPr>
              <w:rPr>
                <w:rFonts w:hint="eastAsia" w:ascii="宋体" w:hAnsi="宋体" w:eastAsia="宋体" w:cs="宋体"/>
                <w:color w:val="auto"/>
                <w:sz w:val="24"/>
                <w:szCs w:val="24"/>
                <w:highlight w:val="none"/>
              </w:rPr>
            </w:pPr>
          </w:p>
        </w:tc>
        <w:tc>
          <w:tcPr>
            <w:tcW w:w="234" w:type="dxa"/>
            <w:vAlign w:val="top"/>
          </w:tcPr>
          <w:p w14:paraId="77522E42">
            <w:pPr>
              <w:rPr>
                <w:rFonts w:hint="eastAsia" w:ascii="宋体" w:hAnsi="宋体" w:eastAsia="宋体" w:cs="宋体"/>
                <w:color w:val="auto"/>
                <w:sz w:val="24"/>
                <w:szCs w:val="24"/>
                <w:highlight w:val="none"/>
              </w:rPr>
            </w:pPr>
          </w:p>
        </w:tc>
        <w:tc>
          <w:tcPr>
            <w:tcW w:w="234" w:type="dxa"/>
            <w:vAlign w:val="top"/>
          </w:tcPr>
          <w:p w14:paraId="6656F617">
            <w:pPr>
              <w:rPr>
                <w:rFonts w:hint="eastAsia" w:ascii="宋体" w:hAnsi="宋体" w:eastAsia="宋体" w:cs="宋体"/>
                <w:color w:val="auto"/>
                <w:sz w:val="24"/>
                <w:szCs w:val="24"/>
                <w:highlight w:val="none"/>
              </w:rPr>
            </w:pPr>
          </w:p>
        </w:tc>
        <w:tc>
          <w:tcPr>
            <w:tcW w:w="234" w:type="dxa"/>
            <w:vAlign w:val="top"/>
          </w:tcPr>
          <w:p w14:paraId="633CBCAC">
            <w:pPr>
              <w:rPr>
                <w:rFonts w:hint="eastAsia" w:ascii="宋体" w:hAnsi="宋体" w:eastAsia="宋体" w:cs="宋体"/>
                <w:color w:val="auto"/>
                <w:sz w:val="24"/>
                <w:szCs w:val="24"/>
                <w:highlight w:val="none"/>
              </w:rPr>
            </w:pPr>
          </w:p>
        </w:tc>
        <w:tc>
          <w:tcPr>
            <w:tcW w:w="347" w:type="dxa"/>
            <w:vAlign w:val="top"/>
          </w:tcPr>
          <w:p w14:paraId="12D2EDB9">
            <w:pPr>
              <w:rPr>
                <w:rFonts w:hint="eastAsia" w:ascii="宋体" w:hAnsi="宋体" w:eastAsia="宋体" w:cs="宋体"/>
                <w:color w:val="auto"/>
                <w:sz w:val="24"/>
                <w:szCs w:val="24"/>
                <w:highlight w:val="none"/>
              </w:rPr>
            </w:pPr>
          </w:p>
        </w:tc>
        <w:tc>
          <w:tcPr>
            <w:tcW w:w="351" w:type="dxa"/>
            <w:vAlign w:val="top"/>
          </w:tcPr>
          <w:p w14:paraId="7ED90EA9">
            <w:pPr>
              <w:rPr>
                <w:rFonts w:hint="eastAsia" w:ascii="宋体" w:hAnsi="宋体" w:eastAsia="宋体" w:cs="宋体"/>
                <w:color w:val="auto"/>
                <w:sz w:val="24"/>
                <w:szCs w:val="24"/>
                <w:highlight w:val="none"/>
              </w:rPr>
            </w:pPr>
          </w:p>
        </w:tc>
        <w:tc>
          <w:tcPr>
            <w:tcW w:w="346" w:type="dxa"/>
            <w:vAlign w:val="top"/>
          </w:tcPr>
          <w:p w14:paraId="70855815">
            <w:pPr>
              <w:rPr>
                <w:rFonts w:hint="eastAsia" w:ascii="宋体" w:hAnsi="宋体" w:eastAsia="宋体" w:cs="宋体"/>
                <w:color w:val="auto"/>
                <w:sz w:val="24"/>
                <w:szCs w:val="24"/>
                <w:highlight w:val="none"/>
              </w:rPr>
            </w:pPr>
          </w:p>
        </w:tc>
        <w:tc>
          <w:tcPr>
            <w:tcW w:w="234" w:type="dxa"/>
            <w:vAlign w:val="top"/>
          </w:tcPr>
          <w:p w14:paraId="6D5ED1C6">
            <w:pPr>
              <w:rPr>
                <w:rFonts w:hint="eastAsia" w:ascii="宋体" w:hAnsi="宋体" w:eastAsia="宋体" w:cs="宋体"/>
                <w:color w:val="auto"/>
                <w:sz w:val="24"/>
                <w:szCs w:val="24"/>
                <w:highlight w:val="none"/>
              </w:rPr>
            </w:pPr>
          </w:p>
        </w:tc>
        <w:tc>
          <w:tcPr>
            <w:tcW w:w="234" w:type="dxa"/>
            <w:vAlign w:val="top"/>
          </w:tcPr>
          <w:p w14:paraId="19D8DB3D">
            <w:pPr>
              <w:rPr>
                <w:rFonts w:hint="eastAsia" w:ascii="宋体" w:hAnsi="宋体" w:eastAsia="宋体" w:cs="宋体"/>
                <w:color w:val="auto"/>
                <w:sz w:val="24"/>
                <w:szCs w:val="24"/>
                <w:highlight w:val="none"/>
              </w:rPr>
            </w:pPr>
          </w:p>
        </w:tc>
        <w:tc>
          <w:tcPr>
            <w:tcW w:w="234" w:type="dxa"/>
            <w:vAlign w:val="top"/>
          </w:tcPr>
          <w:p w14:paraId="6CF935B3">
            <w:pPr>
              <w:rPr>
                <w:rFonts w:hint="eastAsia" w:ascii="宋体" w:hAnsi="宋体" w:eastAsia="宋体" w:cs="宋体"/>
                <w:color w:val="auto"/>
                <w:sz w:val="24"/>
                <w:szCs w:val="24"/>
                <w:highlight w:val="none"/>
              </w:rPr>
            </w:pPr>
          </w:p>
        </w:tc>
        <w:tc>
          <w:tcPr>
            <w:tcW w:w="234" w:type="dxa"/>
            <w:vAlign w:val="top"/>
          </w:tcPr>
          <w:p w14:paraId="29BA57A4">
            <w:pPr>
              <w:rPr>
                <w:rFonts w:hint="eastAsia" w:ascii="宋体" w:hAnsi="宋体" w:eastAsia="宋体" w:cs="宋体"/>
                <w:color w:val="auto"/>
                <w:sz w:val="24"/>
                <w:szCs w:val="24"/>
                <w:highlight w:val="none"/>
              </w:rPr>
            </w:pPr>
          </w:p>
        </w:tc>
        <w:tc>
          <w:tcPr>
            <w:tcW w:w="234" w:type="dxa"/>
            <w:vAlign w:val="top"/>
          </w:tcPr>
          <w:p w14:paraId="2B857133">
            <w:pPr>
              <w:rPr>
                <w:rFonts w:hint="eastAsia" w:ascii="宋体" w:hAnsi="宋体" w:eastAsia="宋体" w:cs="宋体"/>
                <w:color w:val="auto"/>
                <w:sz w:val="24"/>
                <w:szCs w:val="24"/>
                <w:highlight w:val="none"/>
              </w:rPr>
            </w:pPr>
          </w:p>
        </w:tc>
        <w:tc>
          <w:tcPr>
            <w:tcW w:w="234" w:type="dxa"/>
            <w:vAlign w:val="top"/>
          </w:tcPr>
          <w:p w14:paraId="70226C3A">
            <w:pPr>
              <w:rPr>
                <w:rFonts w:hint="eastAsia" w:ascii="宋体" w:hAnsi="宋体" w:eastAsia="宋体" w:cs="宋体"/>
                <w:color w:val="auto"/>
                <w:sz w:val="24"/>
                <w:szCs w:val="24"/>
                <w:highlight w:val="none"/>
              </w:rPr>
            </w:pPr>
          </w:p>
        </w:tc>
        <w:tc>
          <w:tcPr>
            <w:tcW w:w="234" w:type="dxa"/>
            <w:vAlign w:val="top"/>
          </w:tcPr>
          <w:p w14:paraId="3B6967FD">
            <w:pPr>
              <w:rPr>
                <w:rFonts w:hint="eastAsia" w:ascii="宋体" w:hAnsi="宋体" w:eastAsia="宋体" w:cs="宋体"/>
                <w:color w:val="auto"/>
                <w:sz w:val="24"/>
                <w:szCs w:val="24"/>
                <w:highlight w:val="none"/>
              </w:rPr>
            </w:pPr>
          </w:p>
        </w:tc>
        <w:tc>
          <w:tcPr>
            <w:tcW w:w="234" w:type="dxa"/>
            <w:vAlign w:val="top"/>
          </w:tcPr>
          <w:p w14:paraId="48D778B8">
            <w:pPr>
              <w:rPr>
                <w:rFonts w:hint="eastAsia" w:ascii="宋体" w:hAnsi="宋体" w:eastAsia="宋体" w:cs="宋体"/>
                <w:color w:val="auto"/>
                <w:sz w:val="24"/>
                <w:szCs w:val="24"/>
                <w:highlight w:val="none"/>
              </w:rPr>
            </w:pPr>
          </w:p>
        </w:tc>
        <w:tc>
          <w:tcPr>
            <w:tcW w:w="234" w:type="dxa"/>
            <w:vAlign w:val="top"/>
          </w:tcPr>
          <w:p w14:paraId="2CB5C9FC">
            <w:pPr>
              <w:rPr>
                <w:rFonts w:hint="eastAsia" w:ascii="宋体" w:hAnsi="宋体" w:eastAsia="宋体" w:cs="宋体"/>
                <w:color w:val="auto"/>
                <w:sz w:val="24"/>
                <w:szCs w:val="24"/>
                <w:highlight w:val="none"/>
              </w:rPr>
            </w:pPr>
          </w:p>
        </w:tc>
        <w:tc>
          <w:tcPr>
            <w:tcW w:w="346" w:type="dxa"/>
            <w:vAlign w:val="top"/>
          </w:tcPr>
          <w:p w14:paraId="6BB99467">
            <w:pPr>
              <w:rPr>
                <w:rFonts w:hint="eastAsia" w:ascii="宋体" w:hAnsi="宋体" w:eastAsia="宋体" w:cs="宋体"/>
                <w:color w:val="auto"/>
                <w:sz w:val="24"/>
                <w:szCs w:val="24"/>
                <w:highlight w:val="none"/>
              </w:rPr>
            </w:pPr>
          </w:p>
        </w:tc>
        <w:tc>
          <w:tcPr>
            <w:tcW w:w="337" w:type="dxa"/>
            <w:vAlign w:val="top"/>
          </w:tcPr>
          <w:p w14:paraId="714E0E34">
            <w:pPr>
              <w:rPr>
                <w:rFonts w:hint="eastAsia" w:ascii="宋体" w:hAnsi="宋体" w:eastAsia="宋体" w:cs="宋体"/>
                <w:color w:val="auto"/>
                <w:sz w:val="24"/>
                <w:szCs w:val="24"/>
                <w:highlight w:val="none"/>
              </w:rPr>
            </w:pPr>
          </w:p>
        </w:tc>
      </w:tr>
      <w:tr w14:paraId="0A7F56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2770" w:type="dxa"/>
            <w:vMerge w:val="continue"/>
            <w:tcBorders>
              <w:top w:val="nil"/>
              <w:bottom w:val="nil"/>
            </w:tcBorders>
            <w:vAlign w:val="top"/>
          </w:tcPr>
          <w:p w14:paraId="604277DB">
            <w:pPr>
              <w:rPr>
                <w:rFonts w:hint="eastAsia" w:ascii="宋体" w:hAnsi="宋体" w:eastAsia="宋体" w:cs="宋体"/>
                <w:color w:val="auto"/>
                <w:sz w:val="24"/>
                <w:szCs w:val="24"/>
                <w:highlight w:val="none"/>
              </w:rPr>
            </w:pPr>
          </w:p>
        </w:tc>
        <w:tc>
          <w:tcPr>
            <w:tcW w:w="235" w:type="dxa"/>
            <w:vAlign w:val="top"/>
          </w:tcPr>
          <w:p w14:paraId="2633FF45">
            <w:pPr>
              <w:rPr>
                <w:rFonts w:hint="eastAsia" w:ascii="宋体" w:hAnsi="宋体" w:eastAsia="宋体" w:cs="宋体"/>
                <w:color w:val="auto"/>
                <w:sz w:val="24"/>
                <w:szCs w:val="24"/>
                <w:highlight w:val="none"/>
              </w:rPr>
            </w:pPr>
          </w:p>
        </w:tc>
        <w:tc>
          <w:tcPr>
            <w:tcW w:w="235" w:type="dxa"/>
            <w:vAlign w:val="top"/>
          </w:tcPr>
          <w:p w14:paraId="6EBB3247">
            <w:pPr>
              <w:rPr>
                <w:rFonts w:hint="eastAsia" w:ascii="宋体" w:hAnsi="宋体" w:eastAsia="宋体" w:cs="宋体"/>
                <w:color w:val="auto"/>
                <w:sz w:val="24"/>
                <w:szCs w:val="24"/>
                <w:highlight w:val="none"/>
              </w:rPr>
            </w:pPr>
          </w:p>
        </w:tc>
        <w:tc>
          <w:tcPr>
            <w:tcW w:w="234" w:type="dxa"/>
            <w:vAlign w:val="top"/>
          </w:tcPr>
          <w:p w14:paraId="6ABA3782">
            <w:pPr>
              <w:rPr>
                <w:rFonts w:hint="eastAsia" w:ascii="宋体" w:hAnsi="宋体" w:eastAsia="宋体" w:cs="宋体"/>
                <w:color w:val="auto"/>
                <w:sz w:val="24"/>
                <w:szCs w:val="24"/>
                <w:highlight w:val="none"/>
              </w:rPr>
            </w:pPr>
          </w:p>
        </w:tc>
        <w:tc>
          <w:tcPr>
            <w:tcW w:w="234" w:type="dxa"/>
            <w:vAlign w:val="top"/>
          </w:tcPr>
          <w:p w14:paraId="1ECCA64D">
            <w:pPr>
              <w:rPr>
                <w:rFonts w:hint="eastAsia" w:ascii="宋体" w:hAnsi="宋体" w:eastAsia="宋体" w:cs="宋体"/>
                <w:color w:val="auto"/>
                <w:sz w:val="24"/>
                <w:szCs w:val="24"/>
                <w:highlight w:val="none"/>
              </w:rPr>
            </w:pPr>
          </w:p>
        </w:tc>
        <w:tc>
          <w:tcPr>
            <w:tcW w:w="234" w:type="dxa"/>
            <w:vAlign w:val="top"/>
          </w:tcPr>
          <w:p w14:paraId="238E2B61">
            <w:pPr>
              <w:rPr>
                <w:rFonts w:hint="eastAsia" w:ascii="宋体" w:hAnsi="宋体" w:eastAsia="宋体" w:cs="宋体"/>
                <w:color w:val="auto"/>
                <w:sz w:val="24"/>
                <w:szCs w:val="24"/>
                <w:highlight w:val="none"/>
              </w:rPr>
            </w:pPr>
          </w:p>
        </w:tc>
        <w:tc>
          <w:tcPr>
            <w:tcW w:w="234" w:type="dxa"/>
            <w:vAlign w:val="top"/>
          </w:tcPr>
          <w:p w14:paraId="71C9A5E8">
            <w:pPr>
              <w:rPr>
                <w:rFonts w:hint="eastAsia" w:ascii="宋体" w:hAnsi="宋体" w:eastAsia="宋体" w:cs="宋体"/>
                <w:color w:val="auto"/>
                <w:sz w:val="24"/>
                <w:szCs w:val="24"/>
                <w:highlight w:val="none"/>
              </w:rPr>
            </w:pPr>
          </w:p>
        </w:tc>
        <w:tc>
          <w:tcPr>
            <w:tcW w:w="234" w:type="dxa"/>
            <w:vAlign w:val="top"/>
          </w:tcPr>
          <w:p w14:paraId="7AEB1D44">
            <w:pPr>
              <w:rPr>
                <w:rFonts w:hint="eastAsia" w:ascii="宋体" w:hAnsi="宋体" w:eastAsia="宋体" w:cs="宋体"/>
                <w:color w:val="auto"/>
                <w:sz w:val="24"/>
                <w:szCs w:val="24"/>
                <w:highlight w:val="none"/>
              </w:rPr>
            </w:pPr>
          </w:p>
        </w:tc>
        <w:tc>
          <w:tcPr>
            <w:tcW w:w="234" w:type="dxa"/>
            <w:vAlign w:val="top"/>
          </w:tcPr>
          <w:p w14:paraId="459462B5">
            <w:pPr>
              <w:rPr>
                <w:rFonts w:hint="eastAsia" w:ascii="宋体" w:hAnsi="宋体" w:eastAsia="宋体" w:cs="宋体"/>
                <w:color w:val="auto"/>
                <w:sz w:val="24"/>
                <w:szCs w:val="24"/>
                <w:highlight w:val="none"/>
              </w:rPr>
            </w:pPr>
          </w:p>
        </w:tc>
        <w:tc>
          <w:tcPr>
            <w:tcW w:w="234" w:type="dxa"/>
            <w:vAlign w:val="top"/>
          </w:tcPr>
          <w:p w14:paraId="43119877">
            <w:pPr>
              <w:rPr>
                <w:rFonts w:hint="eastAsia" w:ascii="宋体" w:hAnsi="宋体" w:eastAsia="宋体" w:cs="宋体"/>
                <w:color w:val="auto"/>
                <w:sz w:val="24"/>
                <w:szCs w:val="24"/>
                <w:highlight w:val="none"/>
              </w:rPr>
            </w:pPr>
          </w:p>
        </w:tc>
        <w:tc>
          <w:tcPr>
            <w:tcW w:w="347" w:type="dxa"/>
            <w:vAlign w:val="top"/>
          </w:tcPr>
          <w:p w14:paraId="01AF3BFD">
            <w:pPr>
              <w:rPr>
                <w:rFonts w:hint="eastAsia" w:ascii="宋体" w:hAnsi="宋体" w:eastAsia="宋体" w:cs="宋体"/>
                <w:color w:val="auto"/>
                <w:sz w:val="24"/>
                <w:szCs w:val="24"/>
                <w:highlight w:val="none"/>
              </w:rPr>
            </w:pPr>
          </w:p>
        </w:tc>
        <w:tc>
          <w:tcPr>
            <w:tcW w:w="351" w:type="dxa"/>
            <w:vAlign w:val="top"/>
          </w:tcPr>
          <w:p w14:paraId="2B3D25FF">
            <w:pPr>
              <w:rPr>
                <w:rFonts w:hint="eastAsia" w:ascii="宋体" w:hAnsi="宋体" w:eastAsia="宋体" w:cs="宋体"/>
                <w:color w:val="auto"/>
                <w:sz w:val="24"/>
                <w:szCs w:val="24"/>
                <w:highlight w:val="none"/>
              </w:rPr>
            </w:pPr>
          </w:p>
        </w:tc>
        <w:tc>
          <w:tcPr>
            <w:tcW w:w="346" w:type="dxa"/>
            <w:vAlign w:val="top"/>
          </w:tcPr>
          <w:p w14:paraId="4025E2D2">
            <w:pPr>
              <w:rPr>
                <w:rFonts w:hint="eastAsia" w:ascii="宋体" w:hAnsi="宋体" w:eastAsia="宋体" w:cs="宋体"/>
                <w:color w:val="auto"/>
                <w:sz w:val="24"/>
                <w:szCs w:val="24"/>
                <w:highlight w:val="none"/>
              </w:rPr>
            </w:pPr>
          </w:p>
        </w:tc>
        <w:tc>
          <w:tcPr>
            <w:tcW w:w="234" w:type="dxa"/>
            <w:vAlign w:val="top"/>
          </w:tcPr>
          <w:p w14:paraId="2E33108B">
            <w:pPr>
              <w:rPr>
                <w:rFonts w:hint="eastAsia" w:ascii="宋体" w:hAnsi="宋体" w:eastAsia="宋体" w:cs="宋体"/>
                <w:color w:val="auto"/>
                <w:sz w:val="24"/>
                <w:szCs w:val="24"/>
                <w:highlight w:val="none"/>
              </w:rPr>
            </w:pPr>
          </w:p>
        </w:tc>
        <w:tc>
          <w:tcPr>
            <w:tcW w:w="234" w:type="dxa"/>
            <w:vAlign w:val="top"/>
          </w:tcPr>
          <w:p w14:paraId="3A8155AF">
            <w:pPr>
              <w:rPr>
                <w:rFonts w:hint="eastAsia" w:ascii="宋体" w:hAnsi="宋体" w:eastAsia="宋体" w:cs="宋体"/>
                <w:color w:val="auto"/>
                <w:sz w:val="24"/>
                <w:szCs w:val="24"/>
                <w:highlight w:val="none"/>
              </w:rPr>
            </w:pPr>
          </w:p>
        </w:tc>
        <w:tc>
          <w:tcPr>
            <w:tcW w:w="234" w:type="dxa"/>
            <w:vAlign w:val="top"/>
          </w:tcPr>
          <w:p w14:paraId="18597F2B">
            <w:pPr>
              <w:rPr>
                <w:rFonts w:hint="eastAsia" w:ascii="宋体" w:hAnsi="宋体" w:eastAsia="宋体" w:cs="宋体"/>
                <w:color w:val="auto"/>
                <w:sz w:val="24"/>
                <w:szCs w:val="24"/>
                <w:highlight w:val="none"/>
              </w:rPr>
            </w:pPr>
          </w:p>
        </w:tc>
        <w:tc>
          <w:tcPr>
            <w:tcW w:w="234" w:type="dxa"/>
            <w:vAlign w:val="top"/>
          </w:tcPr>
          <w:p w14:paraId="6DA3D9EC">
            <w:pPr>
              <w:rPr>
                <w:rFonts w:hint="eastAsia" w:ascii="宋体" w:hAnsi="宋体" w:eastAsia="宋体" w:cs="宋体"/>
                <w:color w:val="auto"/>
                <w:sz w:val="24"/>
                <w:szCs w:val="24"/>
                <w:highlight w:val="none"/>
              </w:rPr>
            </w:pPr>
          </w:p>
        </w:tc>
        <w:tc>
          <w:tcPr>
            <w:tcW w:w="234" w:type="dxa"/>
            <w:vAlign w:val="top"/>
          </w:tcPr>
          <w:p w14:paraId="36C0418A">
            <w:pPr>
              <w:rPr>
                <w:rFonts w:hint="eastAsia" w:ascii="宋体" w:hAnsi="宋体" w:eastAsia="宋体" w:cs="宋体"/>
                <w:color w:val="auto"/>
                <w:sz w:val="24"/>
                <w:szCs w:val="24"/>
                <w:highlight w:val="none"/>
              </w:rPr>
            </w:pPr>
          </w:p>
        </w:tc>
        <w:tc>
          <w:tcPr>
            <w:tcW w:w="234" w:type="dxa"/>
            <w:vAlign w:val="top"/>
          </w:tcPr>
          <w:p w14:paraId="42FCBF5F">
            <w:pPr>
              <w:rPr>
                <w:rFonts w:hint="eastAsia" w:ascii="宋体" w:hAnsi="宋体" w:eastAsia="宋体" w:cs="宋体"/>
                <w:color w:val="auto"/>
                <w:sz w:val="24"/>
                <w:szCs w:val="24"/>
                <w:highlight w:val="none"/>
              </w:rPr>
            </w:pPr>
          </w:p>
        </w:tc>
        <w:tc>
          <w:tcPr>
            <w:tcW w:w="234" w:type="dxa"/>
            <w:vAlign w:val="top"/>
          </w:tcPr>
          <w:p w14:paraId="41F507EC">
            <w:pPr>
              <w:rPr>
                <w:rFonts w:hint="eastAsia" w:ascii="宋体" w:hAnsi="宋体" w:eastAsia="宋体" w:cs="宋体"/>
                <w:color w:val="auto"/>
                <w:sz w:val="24"/>
                <w:szCs w:val="24"/>
                <w:highlight w:val="none"/>
              </w:rPr>
            </w:pPr>
          </w:p>
        </w:tc>
        <w:tc>
          <w:tcPr>
            <w:tcW w:w="234" w:type="dxa"/>
            <w:vAlign w:val="top"/>
          </w:tcPr>
          <w:p w14:paraId="2144F24D">
            <w:pPr>
              <w:rPr>
                <w:rFonts w:hint="eastAsia" w:ascii="宋体" w:hAnsi="宋体" w:eastAsia="宋体" w:cs="宋体"/>
                <w:color w:val="auto"/>
                <w:sz w:val="24"/>
                <w:szCs w:val="24"/>
                <w:highlight w:val="none"/>
              </w:rPr>
            </w:pPr>
          </w:p>
        </w:tc>
        <w:tc>
          <w:tcPr>
            <w:tcW w:w="234" w:type="dxa"/>
            <w:vAlign w:val="top"/>
          </w:tcPr>
          <w:p w14:paraId="7760A1E1">
            <w:pPr>
              <w:rPr>
                <w:rFonts w:hint="eastAsia" w:ascii="宋体" w:hAnsi="宋体" w:eastAsia="宋体" w:cs="宋体"/>
                <w:color w:val="auto"/>
                <w:sz w:val="24"/>
                <w:szCs w:val="24"/>
                <w:highlight w:val="none"/>
              </w:rPr>
            </w:pPr>
          </w:p>
        </w:tc>
        <w:tc>
          <w:tcPr>
            <w:tcW w:w="346" w:type="dxa"/>
            <w:vAlign w:val="top"/>
          </w:tcPr>
          <w:p w14:paraId="09294145">
            <w:pPr>
              <w:rPr>
                <w:rFonts w:hint="eastAsia" w:ascii="宋体" w:hAnsi="宋体" w:eastAsia="宋体" w:cs="宋体"/>
                <w:color w:val="auto"/>
                <w:sz w:val="24"/>
                <w:szCs w:val="24"/>
                <w:highlight w:val="none"/>
              </w:rPr>
            </w:pPr>
          </w:p>
        </w:tc>
        <w:tc>
          <w:tcPr>
            <w:tcW w:w="337" w:type="dxa"/>
            <w:vAlign w:val="top"/>
          </w:tcPr>
          <w:p w14:paraId="78E4AD28">
            <w:pPr>
              <w:rPr>
                <w:rFonts w:hint="eastAsia" w:ascii="宋体" w:hAnsi="宋体" w:eastAsia="宋体" w:cs="宋体"/>
                <w:color w:val="auto"/>
                <w:sz w:val="24"/>
                <w:szCs w:val="24"/>
                <w:highlight w:val="none"/>
              </w:rPr>
            </w:pPr>
          </w:p>
        </w:tc>
      </w:tr>
      <w:tr w14:paraId="5B040C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2770" w:type="dxa"/>
            <w:vMerge w:val="continue"/>
            <w:tcBorders>
              <w:top w:val="nil"/>
              <w:bottom w:val="nil"/>
            </w:tcBorders>
            <w:vAlign w:val="top"/>
          </w:tcPr>
          <w:p w14:paraId="17BDC7B7">
            <w:pPr>
              <w:rPr>
                <w:rFonts w:hint="eastAsia" w:ascii="宋体" w:hAnsi="宋体" w:eastAsia="宋体" w:cs="宋体"/>
                <w:color w:val="auto"/>
                <w:sz w:val="24"/>
                <w:szCs w:val="24"/>
                <w:highlight w:val="none"/>
              </w:rPr>
            </w:pPr>
          </w:p>
        </w:tc>
        <w:tc>
          <w:tcPr>
            <w:tcW w:w="235" w:type="dxa"/>
            <w:vAlign w:val="top"/>
          </w:tcPr>
          <w:p w14:paraId="4ECDF26B">
            <w:pPr>
              <w:rPr>
                <w:rFonts w:hint="eastAsia" w:ascii="宋体" w:hAnsi="宋体" w:eastAsia="宋体" w:cs="宋体"/>
                <w:color w:val="auto"/>
                <w:sz w:val="24"/>
                <w:szCs w:val="24"/>
                <w:highlight w:val="none"/>
              </w:rPr>
            </w:pPr>
          </w:p>
        </w:tc>
        <w:tc>
          <w:tcPr>
            <w:tcW w:w="235" w:type="dxa"/>
            <w:vAlign w:val="top"/>
          </w:tcPr>
          <w:p w14:paraId="775B0601">
            <w:pPr>
              <w:rPr>
                <w:rFonts w:hint="eastAsia" w:ascii="宋体" w:hAnsi="宋体" w:eastAsia="宋体" w:cs="宋体"/>
                <w:color w:val="auto"/>
                <w:sz w:val="24"/>
                <w:szCs w:val="24"/>
                <w:highlight w:val="none"/>
              </w:rPr>
            </w:pPr>
          </w:p>
        </w:tc>
        <w:tc>
          <w:tcPr>
            <w:tcW w:w="234" w:type="dxa"/>
            <w:vAlign w:val="top"/>
          </w:tcPr>
          <w:p w14:paraId="433F3605">
            <w:pPr>
              <w:rPr>
                <w:rFonts w:hint="eastAsia" w:ascii="宋体" w:hAnsi="宋体" w:eastAsia="宋体" w:cs="宋体"/>
                <w:color w:val="auto"/>
                <w:sz w:val="24"/>
                <w:szCs w:val="24"/>
                <w:highlight w:val="none"/>
              </w:rPr>
            </w:pPr>
          </w:p>
        </w:tc>
        <w:tc>
          <w:tcPr>
            <w:tcW w:w="234" w:type="dxa"/>
            <w:vAlign w:val="top"/>
          </w:tcPr>
          <w:p w14:paraId="4B8E4D13">
            <w:pPr>
              <w:rPr>
                <w:rFonts w:hint="eastAsia" w:ascii="宋体" w:hAnsi="宋体" w:eastAsia="宋体" w:cs="宋体"/>
                <w:color w:val="auto"/>
                <w:sz w:val="24"/>
                <w:szCs w:val="24"/>
                <w:highlight w:val="none"/>
              </w:rPr>
            </w:pPr>
          </w:p>
        </w:tc>
        <w:tc>
          <w:tcPr>
            <w:tcW w:w="234" w:type="dxa"/>
            <w:vAlign w:val="top"/>
          </w:tcPr>
          <w:p w14:paraId="7399AEE7">
            <w:pPr>
              <w:rPr>
                <w:rFonts w:hint="eastAsia" w:ascii="宋体" w:hAnsi="宋体" w:eastAsia="宋体" w:cs="宋体"/>
                <w:color w:val="auto"/>
                <w:sz w:val="24"/>
                <w:szCs w:val="24"/>
                <w:highlight w:val="none"/>
              </w:rPr>
            </w:pPr>
          </w:p>
        </w:tc>
        <w:tc>
          <w:tcPr>
            <w:tcW w:w="234" w:type="dxa"/>
            <w:vAlign w:val="top"/>
          </w:tcPr>
          <w:p w14:paraId="3B4364D6">
            <w:pPr>
              <w:rPr>
                <w:rFonts w:hint="eastAsia" w:ascii="宋体" w:hAnsi="宋体" w:eastAsia="宋体" w:cs="宋体"/>
                <w:color w:val="auto"/>
                <w:sz w:val="24"/>
                <w:szCs w:val="24"/>
                <w:highlight w:val="none"/>
              </w:rPr>
            </w:pPr>
          </w:p>
        </w:tc>
        <w:tc>
          <w:tcPr>
            <w:tcW w:w="234" w:type="dxa"/>
            <w:vAlign w:val="top"/>
          </w:tcPr>
          <w:p w14:paraId="5A0305F6">
            <w:pPr>
              <w:rPr>
                <w:rFonts w:hint="eastAsia" w:ascii="宋体" w:hAnsi="宋体" w:eastAsia="宋体" w:cs="宋体"/>
                <w:color w:val="auto"/>
                <w:sz w:val="24"/>
                <w:szCs w:val="24"/>
                <w:highlight w:val="none"/>
              </w:rPr>
            </w:pPr>
          </w:p>
        </w:tc>
        <w:tc>
          <w:tcPr>
            <w:tcW w:w="234" w:type="dxa"/>
            <w:vAlign w:val="top"/>
          </w:tcPr>
          <w:p w14:paraId="61A020EF">
            <w:pPr>
              <w:rPr>
                <w:rFonts w:hint="eastAsia" w:ascii="宋体" w:hAnsi="宋体" w:eastAsia="宋体" w:cs="宋体"/>
                <w:color w:val="auto"/>
                <w:sz w:val="24"/>
                <w:szCs w:val="24"/>
                <w:highlight w:val="none"/>
              </w:rPr>
            </w:pPr>
          </w:p>
        </w:tc>
        <w:tc>
          <w:tcPr>
            <w:tcW w:w="234" w:type="dxa"/>
            <w:vAlign w:val="top"/>
          </w:tcPr>
          <w:p w14:paraId="72FDD286">
            <w:pPr>
              <w:rPr>
                <w:rFonts w:hint="eastAsia" w:ascii="宋体" w:hAnsi="宋体" w:eastAsia="宋体" w:cs="宋体"/>
                <w:color w:val="auto"/>
                <w:sz w:val="24"/>
                <w:szCs w:val="24"/>
                <w:highlight w:val="none"/>
              </w:rPr>
            </w:pPr>
          </w:p>
        </w:tc>
        <w:tc>
          <w:tcPr>
            <w:tcW w:w="347" w:type="dxa"/>
            <w:vAlign w:val="top"/>
          </w:tcPr>
          <w:p w14:paraId="55E4BA00">
            <w:pPr>
              <w:rPr>
                <w:rFonts w:hint="eastAsia" w:ascii="宋体" w:hAnsi="宋体" w:eastAsia="宋体" w:cs="宋体"/>
                <w:color w:val="auto"/>
                <w:sz w:val="24"/>
                <w:szCs w:val="24"/>
                <w:highlight w:val="none"/>
              </w:rPr>
            </w:pPr>
          </w:p>
        </w:tc>
        <w:tc>
          <w:tcPr>
            <w:tcW w:w="351" w:type="dxa"/>
            <w:vAlign w:val="top"/>
          </w:tcPr>
          <w:p w14:paraId="00980A9B">
            <w:pPr>
              <w:rPr>
                <w:rFonts w:hint="eastAsia" w:ascii="宋体" w:hAnsi="宋体" w:eastAsia="宋体" w:cs="宋体"/>
                <w:color w:val="auto"/>
                <w:sz w:val="24"/>
                <w:szCs w:val="24"/>
                <w:highlight w:val="none"/>
              </w:rPr>
            </w:pPr>
          </w:p>
        </w:tc>
        <w:tc>
          <w:tcPr>
            <w:tcW w:w="346" w:type="dxa"/>
            <w:vAlign w:val="top"/>
          </w:tcPr>
          <w:p w14:paraId="6E2011D6">
            <w:pPr>
              <w:rPr>
                <w:rFonts w:hint="eastAsia" w:ascii="宋体" w:hAnsi="宋体" w:eastAsia="宋体" w:cs="宋体"/>
                <w:color w:val="auto"/>
                <w:sz w:val="24"/>
                <w:szCs w:val="24"/>
                <w:highlight w:val="none"/>
              </w:rPr>
            </w:pPr>
          </w:p>
        </w:tc>
        <w:tc>
          <w:tcPr>
            <w:tcW w:w="234" w:type="dxa"/>
            <w:vAlign w:val="top"/>
          </w:tcPr>
          <w:p w14:paraId="3488E78D">
            <w:pPr>
              <w:rPr>
                <w:rFonts w:hint="eastAsia" w:ascii="宋体" w:hAnsi="宋体" w:eastAsia="宋体" w:cs="宋体"/>
                <w:color w:val="auto"/>
                <w:sz w:val="24"/>
                <w:szCs w:val="24"/>
                <w:highlight w:val="none"/>
              </w:rPr>
            </w:pPr>
          </w:p>
        </w:tc>
        <w:tc>
          <w:tcPr>
            <w:tcW w:w="234" w:type="dxa"/>
            <w:vAlign w:val="top"/>
          </w:tcPr>
          <w:p w14:paraId="775276E1">
            <w:pPr>
              <w:rPr>
                <w:rFonts w:hint="eastAsia" w:ascii="宋体" w:hAnsi="宋体" w:eastAsia="宋体" w:cs="宋体"/>
                <w:color w:val="auto"/>
                <w:sz w:val="24"/>
                <w:szCs w:val="24"/>
                <w:highlight w:val="none"/>
              </w:rPr>
            </w:pPr>
          </w:p>
        </w:tc>
        <w:tc>
          <w:tcPr>
            <w:tcW w:w="234" w:type="dxa"/>
            <w:vAlign w:val="top"/>
          </w:tcPr>
          <w:p w14:paraId="44FDDB95">
            <w:pPr>
              <w:rPr>
                <w:rFonts w:hint="eastAsia" w:ascii="宋体" w:hAnsi="宋体" w:eastAsia="宋体" w:cs="宋体"/>
                <w:color w:val="auto"/>
                <w:sz w:val="24"/>
                <w:szCs w:val="24"/>
                <w:highlight w:val="none"/>
              </w:rPr>
            </w:pPr>
          </w:p>
        </w:tc>
        <w:tc>
          <w:tcPr>
            <w:tcW w:w="234" w:type="dxa"/>
            <w:vAlign w:val="top"/>
          </w:tcPr>
          <w:p w14:paraId="53A0CD00">
            <w:pPr>
              <w:rPr>
                <w:rFonts w:hint="eastAsia" w:ascii="宋体" w:hAnsi="宋体" w:eastAsia="宋体" w:cs="宋体"/>
                <w:color w:val="auto"/>
                <w:sz w:val="24"/>
                <w:szCs w:val="24"/>
                <w:highlight w:val="none"/>
              </w:rPr>
            </w:pPr>
          </w:p>
        </w:tc>
        <w:tc>
          <w:tcPr>
            <w:tcW w:w="234" w:type="dxa"/>
            <w:vAlign w:val="top"/>
          </w:tcPr>
          <w:p w14:paraId="17E72EB1">
            <w:pPr>
              <w:rPr>
                <w:rFonts w:hint="eastAsia" w:ascii="宋体" w:hAnsi="宋体" w:eastAsia="宋体" w:cs="宋体"/>
                <w:color w:val="auto"/>
                <w:sz w:val="24"/>
                <w:szCs w:val="24"/>
                <w:highlight w:val="none"/>
              </w:rPr>
            </w:pPr>
          </w:p>
        </w:tc>
        <w:tc>
          <w:tcPr>
            <w:tcW w:w="234" w:type="dxa"/>
            <w:vAlign w:val="top"/>
          </w:tcPr>
          <w:p w14:paraId="5E6E9241">
            <w:pPr>
              <w:rPr>
                <w:rFonts w:hint="eastAsia" w:ascii="宋体" w:hAnsi="宋体" w:eastAsia="宋体" w:cs="宋体"/>
                <w:color w:val="auto"/>
                <w:sz w:val="24"/>
                <w:szCs w:val="24"/>
                <w:highlight w:val="none"/>
              </w:rPr>
            </w:pPr>
          </w:p>
        </w:tc>
        <w:tc>
          <w:tcPr>
            <w:tcW w:w="234" w:type="dxa"/>
            <w:vAlign w:val="top"/>
          </w:tcPr>
          <w:p w14:paraId="332DCA90">
            <w:pPr>
              <w:rPr>
                <w:rFonts w:hint="eastAsia" w:ascii="宋体" w:hAnsi="宋体" w:eastAsia="宋体" w:cs="宋体"/>
                <w:color w:val="auto"/>
                <w:sz w:val="24"/>
                <w:szCs w:val="24"/>
                <w:highlight w:val="none"/>
              </w:rPr>
            </w:pPr>
          </w:p>
        </w:tc>
        <w:tc>
          <w:tcPr>
            <w:tcW w:w="234" w:type="dxa"/>
            <w:vAlign w:val="top"/>
          </w:tcPr>
          <w:p w14:paraId="67F4DB43">
            <w:pPr>
              <w:rPr>
                <w:rFonts w:hint="eastAsia" w:ascii="宋体" w:hAnsi="宋体" w:eastAsia="宋体" w:cs="宋体"/>
                <w:color w:val="auto"/>
                <w:sz w:val="24"/>
                <w:szCs w:val="24"/>
                <w:highlight w:val="none"/>
              </w:rPr>
            </w:pPr>
          </w:p>
        </w:tc>
        <w:tc>
          <w:tcPr>
            <w:tcW w:w="234" w:type="dxa"/>
            <w:vAlign w:val="top"/>
          </w:tcPr>
          <w:p w14:paraId="16A90B3E">
            <w:pPr>
              <w:rPr>
                <w:rFonts w:hint="eastAsia" w:ascii="宋体" w:hAnsi="宋体" w:eastAsia="宋体" w:cs="宋体"/>
                <w:color w:val="auto"/>
                <w:sz w:val="24"/>
                <w:szCs w:val="24"/>
                <w:highlight w:val="none"/>
              </w:rPr>
            </w:pPr>
          </w:p>
        </w:tc>
        <w:tc>
          <w:tcPr>
            <w:tcW w:w="346" w:type="dxa"/>
            <w:vAlign w:val="top"/>
          </w:tcPr>
          <w:p w14:paraId="4DFF0059">
            <w:pPr>
              <w:rPr>
                <w:rFonts w:hint="eastAsia" w:ascii="宋体" w:hAnsi="宋体" w:eastAsia="宋体" w:cs="宋体"/>
                <w:color w:val="auto"/>
                <w:sz w:val="24"/>
                <w:szCs w:val="24"/>
                <w:highlight w:val="none"/>
              </w:rPr>
            </w:pPr>
          </w:p>
        </w:tc>
        <w:tc>
          <w:tcPr>
            <w:tcW w:w="337" w:type="dxa"/>
            <w:vAlign w:val="top"/>
          </w:tcPr>
          <w:p w14:paraId="0EC85D93">
            <w:pPr>
              <w:rPr>
                <w:rFonts w:hint="eastAsia" w:ascii="宋体" w:hAnsi="宋体" w:eastAsia="宋体" w:cs="宋体"/>
                <w:color w:val="auto"/>
                <w:sz w:val="24"/>
                <w:szCs w:val="24"/>
                <w:highlight w:val="none"/>
              </w:rPr>
            </w:pPr>
          </w:p>
        </w:tc>
      </w:tr>
      <w:tr w14:paraId="76052D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2770" w:type="dxa"/>
            <w:vMerge w:val="continue"/>
            <w:tcBorders>
              <w:top w:val="nil"/>
              <w:bottom w:val="nil"/>
            </w:tcBorders>
            <w:vAlign w:val="top"/>
          </w:tcPr>
          <w:p w14:paraId="01D0B436">
            <w:pPr>
              <w:rPr>
                <w:rFonts w:hint="eastAsia" w:ascii="宋体" w:hAnsi="宋体" w:eastAsia="宋体" w:cs="宋体"/>
                <w:color w:val="auto"/>
                <w:sz w:val="24"/>
                <w:szCs w:val="24"/>
                <w:highlight w:val="none"/>
              </w:rPr>
            </w:pPr>
          </w:p>
        </w:tc>
        <w:tc>
          <w:tcPr>
            <w:tcW w:w="235" w:type="dxa"/>
            <w:vAlign w:val="top"/>
          </w:tcPr>
          <w:p w14:paraId="4A6FBE8A">
            <w:pPr>
              <w:rPr>
                <w:rFonts w:hint="eastAsia" w:ascii="宋体" w:hAnsi="宋体" w:eastAsia="宋体" w:cs="宋体"/>
                <w:color w:val="auto"/>
                <w:sz w:val="24"/>
                <w:szCs w:val="24"/>
                <w:highlight w:val="none"/>
              </w:rPr>
            </w:pPr>
          </w:p>
        </w:tc>
        <w:tc>
          <w:tcPr>
            <w:tcW w:w="235" w:type="dxa"/>
            <w:vAlign w:val="top"/>
          </w:tcPr>
          <w:p w14:paraId="12059E23">
            <w:pPr>
              <w:rPr>
                <w:rFonts w:hint="eastAsia" w:ascii="宋体" w:hAnsi="宋体" w:eastAsia="宋体" w:cs="宋体"/>
                <w:color w:val="auto"/>
                <w:sz w:val="24"/>
                <w:szCs w:val="24"/>
                <w:highlight w:val="none"/>
              </w:rPr>
            </w:pPr>
          </w:p>
        </w:tc>
        <w:tc>
          <w:tcPr>
            <w:tcW w:w="234" w:type="dxa"/>
            <w:vAlign w:val="top"/>
          </w:tcPr>
          <w:p w14:paraId="78F0022D">
            <w:pPr>
              <w:rPr>
                <w:rFonts w:hint="eastAsia" w:ascii="宋体" w:hAnsi="宋体" w:eastAsia="宋体" w:cs="宋体"/>
                <w:color w:val="auto"/>
                <w:sz w:val="24"/>
                <w:szCs w:val="24"/>
                <w:highlight w:val="none"/>
              </w:rPr>
            </w:pPr>
          </w:p>
        </w:tc>
        <w:tc>
          <w:tcPr>
            <w:tcW w:w="234" w:type="dxa"/>
            <w:vAlign w:val="top"/>
          </w:tcPr>
          <w:p w14:paraId="57BC249A">
            <w:pPr>
              <w:rPr>
                <w:rFonts w:hint="eastAsia" w:ascii="宋体" w:hAnsi="宋体" w:eastAsia="宋体" w:cs="宋体"/>
                <w:color w:val="auto"/>
                <w:sz w:val="24"/>
                <w:szCs w:val="24"/>
                <w:highlight w:val="none"/>
              </w:rPr>
            </w:pPr>
          </w:p>
        </w:tc>
        <w:tc>
          <w:tcPr>
            <w:tcW w:w="234" w:type="dxa"/>
            <w:vAlign w:val="top"/>
          </w:tcPr>
          <w:p w14:paraId="352574A5">
            <w:pPr>
              <w:rPr>
                <w:rFonts w:hint="eastAsia" w:ascii="宋体" w:hAnsi="宋体" w:eastAsia="宋体" w:cs="宋体"/>
                <w:color w:val="auto"/>
                <w:sz w:val="24"/>
                <w:szCs w:val="24"/>
                <w:highlight w:val="none"/>
              </w:rPr>
            </w:pPr>
          </w:p>
        </w:tc>
        <w:tc>
          <w:tcPr>
            <w:tcW w:w="234" w:type="dxa"/>
            <w:vAlign w:val="top"/>
          </w:tcPr>
          <w:p w14:paraId="276728D9">
            <w:pPr>
              <w:rPr>
                <w:rFonts w:hint="eastAsia" w:ascii="宋体" w:hAnsi="宋体" w:eastAsia="宋体" w:cs="宋体"/>
                <w:color w:val="auto"/>
                <w:sz w:val="24"/>
                <w:szCs w:val="24"/>
                <w:highlight w:val="none"/>
              </w:rPr>
            </w:pPr>
          </w:p>
        </w:tc>
        <w:tc>
          <w:tcPr>
            <w:tcW w:w="234" w:type="dxa"/>
            <w:vAlign w:val="top"/>
          </w:tcPr>
          <w:p w14:paraId="58DBD42B">
            <w:pPr>
              <w:rPr>
                <w:rFonts w:hint="eastAsia" w:ascii="宋体" w:hAnsi="宋体" w:eastAsia="宋体" w:cs="宋体"/>
                <w:color w:val="auto"/>
                <w:sz w:val="24"/>
                <w:szCs w:val="24"/>
                <w:highlight w:val="none"/>
              </w:rPr>
            </w:pPr>
          </w:p>
        </w:tc>
        <w:tc>
          <w:tcPr>
            <w:tcW w:w="234" w:type="dxa"/>
            <w:vAlign w:val="top"/>
          </w:tcPr>
          <w:p w14:paraId="059CA556">
            <w:pPr>
              <w:rPr>
                <w:rFonts w:hint="eastAsia" w:ascii="宋体" w:hAnsi="宋体" w:eastAsia="宋体" w:cs="宋体"/>
                <w:color w:val="auto"/>
                <w:sz w:val="24"/>
                <w:szCs w:val="24"/>
                <w:highlight w:val="none"/>
              </w:rPr>
            </w:pPr>
          </w:p>
        </w:tc>
        <w:tc>
          <w:tcPr>
            <w:tcW w:w="234" w:type="dxa"/>
            <w:vAlign w:val="top"/>
          </w:tcPr>
          <w:p w14:paraId="4FB5F69B">
            <w:pPr>
              <w:rPr>
                <w:rFonts w:hint="eastAsia" w:ascii="宋体" w:hAnsi="宋体" w:eastAsia="宋体" w:cs="宋体"/>
                <w:color w:val="auto"/>
                <w:sz w:val="24"/>
                <w:szCs w:val="24"/>
                <w:highlight w:val="none"/>
              </w:rPr>
            </w:pPr>
          </w:p>
        </w:tc>
        <w:tc>
          <w:tcPr>
            <w:tcW w:w="347" w:type="dxa"/>
            <w:vAlign w:val="top"/>
          </w:tcPr>
          <w:p w14:paraId="019FD252">
            <w:pPr>
              <w:rPr>
                <w:rFonts w:hint="eastAsia" w:ascii="宋体" w:hAnsi="宋体" w:eastAsia="宋体" w:cs="宋体"/>
                <w:color w:val="auto"/>
                <w:sz w:val="24"/>
                <w:szCs w:val="24"/>
                <w:highlight w:val="none"/>
              </w:rPr>
            </w:pPr>
          </w:p>
        </w:tc>
        <w:tc>
          <w:tcPr>
            <w:tcW w:w="351" w:type="dxa"/>
            <w:vAlign w:val="top"/>
          </w:tcPr>
          <w:p w14:paraId="7B7673C0">
            <w:pPr>
              <w:rPr>
                <w:rFonts w:hint="eastAsia" w:ascii="宋体" w:hAnsi="宋体" w:eastAsia="宋体" w:cs="宋体"/>
                <w:color w:val="auto"/>
                <w:sz w:val="24"/>
                <w:szCs w:val="24"/>
                <w:highlight w:val="none"/>
              </w:rPr>
            </w:pPr>
          </w:p>
        </w:tc>
        <w:tc>
          <w:tcPr>
            <w:tcW w:w="346" w:type="dxa"/>
            <w:vAlign w:val="top"/>
          </w:tcPr>
          <w:p w14:paraId="152AF74B">
            <w:pPr>
              <w:rPr>
                <w:rFonts w:hint="eastAsia" w:ascii="宋体" w:hAnsi="宋体" w:eastAsia="宋体" w:cs="宋体"/>
                <w:color w:val="auto"/>
                <w:sz w:val="24"/>
                <w:szCs w:val="24"/>
                <w:highlight w:val="none"/>
              </w:rPr>
            </w:pPr>
          </w:p>
        </w:tc>
        <w:tc>
          <w:tcPr>
            <w:tcW w:w="234" w:type="dxa"/>
            <w:vAlign w:val="top"/>
          </w:tcPr>
          <w:p w14:paraId="1B090419">
            <w:pPr>
              <w:rPr>
                <w:rFonts w:hint="eastAsia" w:ascii="宋体" w:hAnsi="宋体" w:eastAsia="宋体" w:cs="宋体"/>
                <w:color w:val="auto"/>
                <w:sz w:val="24"/>
                <w:szCs w:val="24"/>
                <w:highlight w:val="none"/>
              </w:rPr>
            </w:pPr>
          </w:p>
        </w:tc>
        <w:tc>
          <w:tcPr>
            <w:tcW w:w="234" w:type="dxa"/>
            <w:vAlign w:val="top"/>
          </w:tcPr>
          <w:p w14:paraId="6BE65AF5">
            <w:pPr>
              <w:rPr>
                <w:rFonts w:hint="eastAsia" w:ascii="宋体" w:hAnsi="宋体" w:eastAsia="宋体" w:cs="宋体"/>
                <w:color w:val="auto"/>
                <w:sz w:val="24"/>
                <w:szCs w:val="24"/>
                <w:highlight w:val="none"/>
              </w:rPr>
            </w:pPr>
          </w:p>
        </w:tc>
        <w:tc>
          <w:tcPr>
            <w:tcW w:w="234" w:type="dxa"/>
            <w:vAlign w:val="top"/>
          </w:tcPr>
          <w:p w14:paraId="2CA709E1">
            <w:pPr>
              <w:rPr>
                <w:rFonts w:hint="eastAsia" w:ascii="宋体" w:hAnsi="宋体" w:eastAsia="宋体" w:cs="宋体"/>
                <w:color w:val="auto"/>
                <w:sz w:val="24"/>
                <w:szCs w:val="24"/>
                <w:highlight w:val="none"/>
              </w:rPr>
            </w:pPr>
          </w:p>
        </w:tc>
        <w:tc>
          <w:tcPr>
            <w:tcW w:w="234" w:type="dxa"/>
            <w:vAlign w:val="top"/>
          </w:tcPr>
          <w:p w14:paraId="3DB04F92">
            <w:pPr>
              <w:rPr>
                <w:rFonts w:hint="eastAsia" w:ascii="宋体" w:hAnsi="宋体" w:eastAsia="宋体" w:cs="宋体"/>
                <w:color w:val="auto"/>
                <w:sz w:val="24"/>
                <w:szCs w:val="24"/>
                <w:highlight w:val="none"/>
              </w:rPr>
            </w:pPr>
          </w:p>
        </w:tc>
        <w:tc>
          <w:tcPr>
            <w:tcW w:w="234" w:type="dxa"/>
            <w:vAlign w:val="top"/>
          </w:tcPr>
          <w:p w14:paraId="4BD1E9B7">
            <w:pPr>
              <w:rPr>
                <w:rFonts w:hint="eastAsia" w:ascii="宋体" w:hAnsi="宋体" w:eastAsia="宋体" w:cs="宋体"/>
                <w:color w:val="auto"/>
                <w:sz w:val="24"/>
                <w:szCs w:val="24"/>
                <w:highlight w:val="none"/>
              </w:rPr>
            </w:pPr>
          </w:p>
        </w:tc>
        <w:tc>
          <w:tcPr>
            <w:tcW w:w="234" w:type="dxa"/>
            <w:vAlign w:val="top"/>
          </w:tcPr>
          <w:p w14:paraId="3DDAF40E">
            <w:pPr>
              <w:rPr>
                <w:rFonts w:hint="eastAsia" w:ascii="宋体" w:hAnsi="宋体" w:eastAsia="宋体" w:cs="宋体"/>
                <w:color w:val="auto"/>
                <w:sz w:val="24"/>
                <w:szCs w:val="24"/>
                <w:highlight w:val="none"/>
              </w:rPr>
            </w:pPr>
          </w:p>
        </w:tc>
        <w:tc>
          <w:tcPr>
            <w:tcW w:w="234" w:type="dxa"/>
            <w:vAlign w:val="top"/>
          </w:tcPr>
          <w:p w14:paraId="128BA675">
            <w:pPr>
              <w:rPr>
                <w:rFonts w:hint="eastAsia" w:ascii="宋体" w:hAnsi="宋体" w:eastAsia="宋体" w:cs="宋体"/>
                <w:color w:val="auto"/>
                <w:sz w:val="24"/>
                <w:szCs w:val="24"/>
                <w:highlight w:val="none"/>
              </w:rPr>
            </w:pPr>
          </w:p>
        </w:tc>
        <w:tc>
          <w:tcPr>
            <w:tcW w:w="234" w:type="dxa"/>
            <w:vAlign w:val="top"/>
          </w:tcPr>
          <w:p w14:paraId="38F802DF">
            <w:pPr>
              <w:rPr>
                <w:rFonts w:hint="eastAsia" w:ascii="宋体" w:hAnsi="宋体" w:eastAsia="宋体" w:cs="宋体"/>
                <w:color w:val="auto"/>
                <w:sz w:val="24"/>
                <w:szCs w:val="24"/>
                <w:highlight w:val="none"/>
              </w:rPr>
            </w:pPr>
          </w:p>
        </w:tc>
        <w:tc>
          <w:tcPr>
            <w:tcW w:w="234" w:type="dxa"/>
            <w:vAlign w:val="top"/>
          </w:tcPr>
          <w:p w14:paraId="0964B569">
            <w:pPr>
              <w:rPr>
                <w:rFonts w:hint="eastAsia" w:ascii="宋体" w:hAnsi="宋体" w:eastAsia="宋体" w:cs="宋体"/>
                <w:color w:val="auto"/>
                <w:sz w:val="24"/>
                <w:szCs w:val="24"/>
                <w:highlight w:val="none"/>
              </w:rPr>
            </w:pPr>
          </w:p>
        </w:tc>
        <w:tc>
          <w:tcPr>
            <w:tcW w:w="346" w:type="dxa"/>
            <w:vAlign w:val="top"/>
          </w:tcPr>
          <w:p w14:paraId="6EAB2DAB">
            <w:pPr>
              <w:rPr>
                <w:rFonts w:hint="eastAsia" w:ascii="宋体" w:hAnsi="宋体" w:eastAsia="宋体" w:cs="宋体"/>
                <w:color w:val="auto"/>
                <w:sz w:val="24"/>
                <w:szCs w:val="24"/>
                <w:highlight w:val="none"/>
              </w:rPr>
            </w:pPr>
          </w:p>
        </w:tc>
        <w:tc>
          <w:tcPr>
            <w:tcW w:w="337" w:type="dxa"/>
            <w:vAlign w:val="top"/>
          </w:tcPr>
          <w:p w14:paraId="24319246">
            <w:pPr>
              <w:rPr>
                <w:rFonts w:hint="eastAsia" w:ascii="宋体" w:hAnsi="宋体" w:eastAsia="宋体" w:cs="宋体"/>
                <w:color w:val="auto"/>
                <w:sz w:val="24"/>
                <w:szCs w:val="24"/>
                <w:highlight w:val="none"/>
              </w:rPr>
            </w:pPr>
          </w:p>
        </w:tc>
      </w:tr>
      <w:tr w14:paraId="473651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 w:hRule="atLeast"/>
        </w:trPr>
        <w:tc>
          <w:tcPr>
            <w:tcW w:w="2770" w:type="dxa"/>
            <w:vMerge w:val="continue"/>
            <w:tcBorders>
              <w:top w:val="nil"/>
              <w:bottom w:val="nil"/>
            </w:tcBorders>
            <w:vAlign w:val="top"/>
          </w:tcPr>
          <w:p w14:paraId="16997B73">
            <w:pPr>
              <w:rPr>
                <w:rFonts w:hint="eastAsia" w:ascii="宋体" w:hAnsi="宋体" w:eastAsia="宋体" w:cs="宋体"/>
                <w:color w:val="auto"/>
                <w:sz w:val="24"/>
                <w:szCs w:val="24"/>
                <w:highlight w:val="none"/>
              </w:rPr>
            </w:pPr>
          </w:p>
        </w:tc>
        <w:tc>
          <w:tcPr>
            <w:tcW w:w="235" w:type="dxa"/>
            <w:vAlign w:val="top"/>
          </w:tcPr>
          <w:p w14:paraId="7DF444F8">
            <w:pPr>
              <w:rPr>
                <w:rFonts w:hint="eastAsia" w:ascii="宋体" w:hAnsi="宋体" w:eastAsia="宋体" w:cs="宋体"/>
                <w:color w:val="auto"/>
                <w:sz w:val="24"/>
                <w:szCs w:val="24"/>
                <w:highlight w:val="none"/>
              </w:rPr>
            </w:pPr>
          </w:p>
        </w:tc>
        <w:tc>
          <w:tcPr>
            <w:tcW w:w="235" w:type="dxa"/>
            <w:vAlign w:val="top"/>
          </w:tcPr>
          <w:p w14:paraId="13172385">
            <w:pPr>
              <w:rPr>
                <w:rFonts w:hint="eastAsia" w:ascii="宋体" w:hAnsi="宋体" w:eastAsia="宋体" w:cs="宋体"/>
                <w:color w:val="auto"/>
                <w:sz w:val="24"/>
                <w:szCs w:val="24"/>
                <w:highlight w:val="none"/>
              </w:rPr>
            </w:pPr>
          </w:p>
        </w:tc>
        <w:tc>
          <w:tcPr>
            <w:tcW w:w="234" w:type="dxa"/>
            <w:vAlign w:val="top"/>
          </w:tcPr>
          <w:p w14:paraId="1334382E">
            <w:pPr>
              <w:rPr>
                <w:rFonts w:hint="eastAsia" w:ascii="宋体" w:hAnsi="宋体" w:eastAsia="宋体" w:cs="宋体"/>
                <w:color w:val="auto"/>
                <w:sz w:val="24"/>
                <w:szCs w:val="24"/>
                <w:highlight w:val="none"/>
              </w:rPr>
            </w:pPr>
          </w:p>
        </w:tc>
        <w:tc>
          <w:tcPr>
            <w:tcW w:w="234" w:type="dxa"/>
            <w:vAlign w:val="top"/>
          </w:tcPr>
          <w:p w14:paraId="0705064A">
            <w:pPr>
              <w:rPr>
                <w:rFonts w:hint="eastAsia" w:ascii="宋体" w:hAnsi="宋体" w:eastAsia="宋体" w:cs="宋体"/>
                <w:color w:val="auto"/>
                <w:sz w:val="24"/>
                <w:szCs w:val="24"/>
                <w:highlight w:val="none"/>
              </w:rPr>
            </w:pPr>
          </w:p>
        </w:tc>
        <w:tc>
          <w:tcPr>
            <w:tcW w:w="234" w:type="dxa"/>
            <w:vAlign w:val="top"/>
          </w:tcPr>
          <w:p w14:paraId="3A937468">
            <w:pPr>
              <w:rPr>
                <w:rFonts w:hint="eastAsia" w:ascii="宋体" w:hAnsi="宋体" w:eastAsia="宋体" w:cs="宋体"/>
                <w:color w:val="auto"/>
                <w:sz w:val="24"/>
                <w:szCs w:val="24"/>
                <w:highlight w:val="none"/>
              </w:rPr>
            </w:pPr>
          </w:p>
        </w:tc>
        <w:tc>
          <w:tcPr>
            <w:tcW w:w="234" w:type="dxa"/>
            <w:vAlign w:val="top"/>
          </w:tcPr>
          <w:p w14:paraId="5875B0D9">
            <w:pPr>
              <w:rPr>
                <w:rFonts w:hint="eastAsia" w:ascii="宋体" w:hAnsi="宋体" w:eastAsia="宋体" w:cs="宋体"/>
                <w:color w:val="auto"/>
                <w:sz w:val="24"/>
                <w:szCs w:val="24"/>
                <w:highlight w:val="none"/>
              </w:rPr>
            </w:pPr>
          </w:p>
        </w:tc>
        <w:tc>
          <w:tcPr>
            <w:tcW w:w="234" w:type="dxa"/>
            <w:vAlign w:val="top"/>
          </w:tcPr>
          <w:p w14:paraId="16E7BE5A">
            <w:pPr>
              <w:rPr>
                <w:rFonts w:hint="eastAsia" w:ascii="宋体" w:hAnsi="宋体" w:eastAsia="宋体" w:cs="宋体"/>
                <w:color w:val="auto"/>
                <w:sz w:val="24"/>
                <w:szCs w:val="24"/>
                <w:highlight w:val="none"/>
              </w:rPr>
            </w:pPr>
          </w:p>
        </w:tc>
        <w:tc>
          <w:tcPr>
            <w:tcW w:w="234" w:type="dxa"/>
            <w:vAlign w:val="top"/>
          </w:tcPr>
          <w:p w14:paraId="177F2B1B">
            <w:pPr>
              <w:rPr>
                <w:rFonts w:hint="eastAsia" w:ascii="宋体" w:hAnsi="宋体" w:eastAsia="宋体" w:cs="宋体"/>
                <w:color w:val="auto"/>
                <w:sz w:val="24"/>
                <w:szCs w:val="24"/>
                <w:highlight w:val="none"/>
              </w:rPr>
            </w:pPr>
          </w:p>
        </w:tc>
        <w:tc>
          <w:tcPr>
            <w:tcW w:w="234" w:type="dxa"/>
            <w:vAlign w:val="top"/>
          </w:tcPr>
          <w:p w14:paraId="1472726F">
            <w:pPr>
              <w:rPr>
                <w:rFonts w:hint="eastAsia" w:ascii="宋体" w:hAnsi="宋体" w:eastAsia="宋体" w:cs="宋体"/>
                <w:color w:val="auto"/>
                <w:sz w:val="24"/>
                <w:szCs w:val="24"/>
                <w:highlight w:val="none"/>
              </w:rPr>
            </w:pPr>
          </w:p>
        </w:tc>
        <w:tc>
          <w:tcPr>
            <w:tcW w:w="347" w:type="dxa"/>
            <w:vAlign w:val="top"/>
          </w:tcPr>
          <w:p w14:paraId="64C242D1">
            <w:pPr>
              <w:rPr>
                <w:rFonts w:hint="eastAsia" w:ascii="宋体" w:hAnsi="宋体" w:eastAsia="宋体" w:cs="宋体"/>
                <w:color w:val="auto"/>
                <w:sz w:val="24"/>
                <w:szCs w:val="24"/>
                <w:highlight w:val="none"/>
              </w:rPr>
            </w:pPr>
          </w:p>
        </w:tc>
        <w:tc>
          <w:tcPr>
            <w:tcW w:w="351" w:type="dxa"/>
            <w:vAlign w:val="top"/>
          </w:tcPr>
          <w:p w14:paraId="1F251600">
            <w:pPr>
              <w:rPr>
                <w:rFonts w:hint="eastAsia" w:ascii="宋体" w:hAnsi="宋体" w:eastAsia="宋体" w:cs="宋体"/>
                <w:color w:val="auto"/>
                <w:sz w:val="24"/>
                <w:szCs w:val="24"/>
                <w:highlight w:val="none"/>
              </w:rPr>
            </w:pPr>
          </w:p>
        </w:tc>
        <w:tc>
          <w:tcPr>
            <w:tcW w:w="346" w:type="dxa"/>
            <w:vAlign w:val="top"/>
          </w:tcPr>
          <w:p w14:paraId="7F48AA8D">
            <w:pPr>
              <w:rPr>
                <w:rFonts w:hint="eastAsia" w:ascii="宋体" w:hAnsi="宋体" w:eastAsia="宋体" w:cs="宋体"/>
                <w:color w:val="auto"/>
                <w:sz w:val="24"/>
                <w:szCs w:val="24"/>
                <w:highlight w:val="none"/>
              </w:rPr>
            </w:pPr>
          </w:p>
        </w:tc>
        <w:tc>
          <w:tcPr>
            <w:tcW w:w="234" w:type="dxa"/>
            <w:vAlign w:val="top"/>
          </w:tcPr>
          <w:p w14:paraId="0503ADB7">
            <w:pPr>
              <w:rPr>
                <w:rFonts w:hint="eastAsia" w:ascii="宋体" w:hAnsi="宋体" w:eastAsia="宋体" w:cs="宋体"/>
                <w:color w:val="auto"/>
                <w:sz w:val="24"/>
                <w:szCs w:val="24"/>
                <w:highlight w:val="none"/>
              </w:rPr>
            </w:pPr>
          </w:p>
        </w:tc>
        <w:tc>
          <w:tcPr>
            <w:tcW w:w="234" w:type="dxa"/>
            <w:vAlign w:val="top"/>
          </w:tcPr>
          <w:p w14:paraId="73E47610">
            <w:pPr>
              <w:rPr>
                <w:rFonts w:hint="eastAsia" w:ascii="宋体" w:hAnsi="宋体" w:eastAsia="宋体" w:cs="宋体"/>
                <w:color w:val="auto"/>
                <w:sz w:val="24"/>
                <w:szCs w:val="24"/>
                <w:highlight w:val="none"/>
              </w:rPr>
            </w:pPr>
          </w:p>
        </w:tc>
        <w:tc>
          <w:tcPr>
            <w:tcW w:w="234" w:type="dxa"/>
            <w:vAlign w:val="top"/>
          </w:tcPr>
          <w:p w14:paraId="7C7F6DE3">
            <w:pPr>
              <w:rPr>
                <w:rFonts w:hint="eastAsia" w:ascii="宋体" w:hAnsi="宋体" w:eastAsia="宋体" w:cs="宋体"/>
                <w:color w:val="auto"/>
                <w:sz w:val="24"/>
                <w:szCs w:val="24"/>
                <w:highlight w:val="none"/>
              </w:rPr>
            </w:pPr>
          </w:p>
        </w:tc>
        <w:tc>
          <w:tcPr>
            <w:tcW w:w="234" w:type="dxa"/>
            <w:vAlign w:val="top"/>
          </w:tcPr>
          <w:p w14:paraId="25D39A51">
            <w:pPr>
              <w:rPr>
                <w:rFonts w:hint="eastAsia" w:ascii="宋体" w:hAnsi="宋体" w:eastAsia="宋体" w:cs="宋体"/>
                <w:color w:val="auto"/>
                <w:sz w:val="24"/>
                <w:szCs w:val="24"/>
                <w:highlight w:val="none"/>
              </w:rPr>
            </w:pPr>
          </w:p>
        </w:tc>
        <w:tc>
          <w:tcPr>
            <w:tcW w:w="234" w:type="dxa"/>
            <w:vAlign w:val="top"/>
          </w:tcPr>
          <w:p w14:paraId="46A14A53">
            <w:pPr>
              <w:rPr>
                <w:rFonts w:hint="eastAsia" w:ascii="宋体" w:hAnsi="宋体" w:eastAsia="宋体" w:cs="宋体"/>
                <w:color w:val="auto"/>
                <w:sz w:val="24"/>
                <w:szCs w:val="24"/>
                <w:highlight w:val="none"/>
              </w:rPr>
            </w:pPr>
          </w:p>
        </w:tc>
        <w:tc>
          <w:tcPr>
            <w:tcW w:w="234" w:type="dxa"/>
            <w:vAlign w:val="top"/>
          </w:tcPr>
          <w:p w14:paraId="41953FAB">
            <w:pPr>
              <w:rPr>
                <w:rFonts w:hint="eastAsia" w:ascii="宋体" w:hAnsi="宋体" w:eastAsia="宋体" w:cs="宋体"/>
                <w:color w:val="auto"/>
                <w:sz w:val="24"/>
                <w:szCs w:val="24"/>
                <w:highlight w:val="none"/>
              </w:rPr>
            </w:pPr>
          </w:p>
        </w:tc>
        <w:tc>
          <w:tcPr>
            <w:tcW w:w="234" w:type="dxa"/>
            <w:vAlign w:val="top"/>
          </w:tcPr>
          <w:p w14:paraId="31ADDB41">
            <w:pPr>
              <w:rPr>
                <w:rFonts w:hint="eastAsia" w:ascii="宋体" w:hAnsi="宋体" w:eastAsia="宋体" w:cs="宋体"/>
                <w:color w:val="auto"/>
                <w:sz w:val="24"/>
                <w:szCs w:val="24"/>
                <w:highlight w:val="none"/>
              </w:rPr>
            </w:pPr>
          </w:p>
        </w:tc>
        <w:tc>
          <w:tcPr>
            <w:tcW w:w="234" w:type="dxa"/>
            <w:vAlign w:val="top"/>
          </w:tcPr>
          <w:p w14:paraId="005684D9">
            <w:pPr>
              <w:rPr>
                <w:rFonts w:hint="eastAsia" w:ascii="宋体" w:hAnsi="宋体" w:eastAsia="宋体" w:cs="宋体"/>
                <w:color w:val="auto"/>
                <w:sz w:val="24"/>
                <w:szCs w:val="24"/>
                <w:highlight w:val="none"/>
              </w:rPr>
            </w:pPr>
          </w:p>
        </w:tc>
        <w:tc>
          <w:tcPr>
            <w:tcW w:w="234" w:type="dxa"/>
            <w:vAlign w:val="top"/>
          </w:tcPr>
          <w:p w14:paraId="2D0B0EDF">
            <w:pPr>
              <w:rPr>
                <w:rFonts w:hint="eastAsia" w:ascii="宋体" w:hAnsi="宋体" w:eastAsia="宋体" w:cs="宋体"/>
                <w:color w:val="auto"/>
                <w:sz w:val="24"/>
                <w:szCs w:val="24"/>
                <w:highlight w:val="none"/>
              </w:rPr>
            </w:pPr>
          </w:p>
        </w:tc>
        <w:tc>
          <w:tcPr>
            <w:tcW w:w="346" w:type="dxa"/>
            <w:vAlign w:val="top"/>
          </w:tcPr>
          <w:p w14:paraId="2C3FA7BE">
            <w:pPr>
              <w:rPr>
                <w:rFonts w:hint="eastAsia" w:ascii="宋体" w:hAnsi="宋体" w:eastAsia="宋体" w:cs="宋体"/>
                <w:color w:val="auto"/>
                <w:sz w:val="24"/>
                <w:szCs w:val="24"/>
                <w:highlight w:val="none"/>
              </w:rPr>
            </w:pPr>
          </w:p>
        </w:tc>
        <w:tc>
          <w:tcPr>
            <w:tcW w:w="337" w:type="dxa"/>
            <w:vAlign w:val="top"/>
          </w:tcPr>
          <w:p w14:paraId="268EDCC3">
            <w:pPr>
              <w:rPr>
                <w:rFonts w:hint="eastAsia" w:ascii="宋体" w:hAnsi="宋体" w:eastAsia="宋体" w:cs="宋体"/>
                <w:color w:val="auto"/>
                <w:sz w:val="24"/>
                <w:szCs w:val="24"/>
                <w:highlight w:val="none"/>
              </w:rPr>
            </w:pPr>
          </w:p>
        </w:tc>
      </w:tr>
      <w:tr w14:paraId="3AB08D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2770" w:type="dxa"/>
            <w:vMerge w:val="continue"/>
            <w:tcBorders>
              <w:top w:val="nil"/>
              <w:bottom w:val="nil"/>
            </w:tcBorders>
            <w:vAlign w:val="top"/>
          </w:tcPr>
          <w:p w14:paraId="775B3645">
            <w:pPr>
              <w:rPr>
                <w:rFonts w:hint="eastAsia" w:ascii="宋体" w:hAnsi="宋体" w:eastAsia="宋体" w:cs="宋体"/>
                <w:color w:val="auto"/>
                <w:sz w:val="24"/>
                <w:szCs w:val="24"/>
                <w:highlight w:val="none"/>
              </w:rPr>
            </w:pPr>
          </w:p>
        </w:tc>
        <w:tc>
          <w:tcPr>
            <w:tcW w:w="235" w:type="dxa"/>
            <w:vAlign w:val="top"/>
          </w:tcPr>
          <w:p w14:paraId="0E2DA0DC">
            <w:pPr>
              <w:spacing w:line="237" w:lineRule="exact"/>
              <w:rPr>
                <w:rFonts w:hint="eastAsia" w:ascii="宋体" w:hAnsi="宋体" w:eastAsia="宋体" w:cs="宋体"/>
                <w:color w:val="auto"/>
                <w:sz w:val="24"/>
                <w:szCs w:val="24"/>
                <w:highlight w:val="none"/>
              </w:rPr>
            </w:pPr>
          </w:p>
        </w:tc>
        <w:tc>
          <w:tcPr>
            <w:tcW w:w="235" w:type="dxa"/>
            <w:vAlign w:val="top"/>
          </w:tcPr>
          <w:p w14:paraId="56375AF2">
            <w:pPr>
              <w:spacing w:line="237" w:lineRule="exact"/>
              <w:rPr>
                <w:rFonts w:hint="eastAsia" w:ascii="宋体" w:hAnsi="宋体" w:eastAsia="宋体" w:cs="宋体"/>
                <w:color w:val="auto"/>
                <w:sz w:val="24"/>
                <w:szCs w:val="24"/>
                <w:highlight w:val="none"/>
              </w:rPr>
            </w:pPr>
          </w:p>
        </w:tc>
        <w:tc>
          <w:tcPr>
            <w:tcW w:w="234" w:type="dxa"/>
            <w:vAlign w:val="top"/>
          </w:tcPr>
          <w:p w14:paraId="1A2EF53B">
            <w:pPr>
              <w:spacing w:line="237" w:lineRule="exact"/>
              <w:rPr>
                <w:rFonts w:hint="eastAsia" w:ascii="宋体" w:hAnsi="宋体" w:eastAsia="宋体" w:cs="宋体"/>
                <w:color w:val="auto"/>
                <w:sz w:val="24"/>
                <w:szCs w:val="24"/>
                <w:highlight w:val="none"/>
              </w:rPr>
            </w:pPr>
          </w:p>
        </w:tc>
        <w:tc>
          <w:tcPr>
            <w:tcW w:w="234" w:type="dxa"/>
            <w:vAlign w:val="top"/>
          </w:tcPr>
          <w:p w14:paraId="447F9AEA">
            <w:pPr>
              <w:spacing w:line="237" w:lineRule="exact"/>
              <w:rPr>
                <w:rFonts w:hint="eastAsia" w:ascii="宋体" w:hAnsi="宋体" w:eastAsia="宋体" w:cs="宋体"/>
                <w:color w:val="auto"/>
                <w:sz w:val="24"/>
                <w:szCs w:val="24"/>
                <w:highlight w:val="none"/>
              </w:rPr>
            </w:pPr>
          </w:p>
        </w:tc>
        <w:tc>
          <w:tcPr>
            <w:tcW w:w="234" w:type="dxa"/>
            <w:vAlign w:val="top"/>
          </w:tcPr>
          <w:p w14:paraId="78FD0A9B">
            <w:pPr>
              <w:spacing w:line="237" w:lineRule="exact"/>
              <w:rPr>
                <w:rFonts w:hint="eastAsia" w:ascii="宋体" w:hAnsi="宋体" w:eastAsia="宋体" w:cs="宋体"/>
                <w:color w:val="auto"/>
                <w:sz w:val="24"/>
                <w:szCs w:val="24"/>
                <w:highlight w:val="none"/>
              </w:rPr>
            </w:pPr>
          </w:p>
        </w:tc>
        <w:tc>
          <w:tcPr>
            <w:tcW w:w="234" w:type="dxa"/>
            <w:vAlign w:val="top"/>
          </w:tcPr>
          <w:p w14:paraId="1363B287">
            <w:pPr>
              <w:spacing w:line="237" w:lineRule="exact"/>
              <w:rPr>
                <w:rFonts w:hint="eastAsia" w:ascii="宋体" w:hAnsi="宋体" w:eastAsia="宋体" w:cs="宋体"/>
                <w:color w:val="auto"/>
                <w:sz w:val="24"/>
                <w:szCs w:val="24"/>
                <w:highlight w:val="none"/>
              </w:rPr>
            </w:pPr>
          </w:p>
        </w:tc>
        <w:tc>
          <w:tcPr>
            <w:tcW w:w="234" w:type="dxa"/>
            <w:vAlign w:val="top"/>
          </w:tcPr>
          <w:p w14:paraId="52A3C1DC">
            <w:pPr>
              <w:spacing w:line="237" w:lineRule="exact"/>
              <w:rPr>
                <w:rFonts w:hint="eastAsia" w:ascii="宋体" w:hAnsi="宋体" w:eastAsia="宋体" w:cs="宋体"/>
                <w:color w:val="auto"/>
                <w:sz w:val="24"/>
                <w:szCs w:val="24"/>
                <w:highlight w:val="none"/>
              </w:rPr>
            </w:pPr>
          </w:p>
        </w:tc>
        <w:tc>
          <w:tcPr>
            <w:tcW w:w="234" w:type="dxa"/>
            <w:vAlign w:val="top"/>
          </w:tcPr>
          <w:p w14:paraId="7770CB3D">
            <w:pPr>
              <w:spacing w:line="237" w:lineRule="exact"/>
              <w:rPr>
                <w:rFonts w:hint="eastAsia" w:ascii="宋体" w:hAnsi="宋体" w:eastAsia="宋体" w:cs="宋体"/>
                <w:color w:val="auto"/>
                <w:sz w:val="24"/>
                <w:szCs w:val="24"/>
                <w:highlight w:val="none"/>
              </w:rPr>
            </w:pPr>
          </w:p>
        </w:tc>
        <w:tc>
          <w:tcPr>
            <w:tcW w:w="234" w:type="dxa"/>
            <w:vAlign w:val="top"/>
          </w:tcPr>
          <w:p w14:paraId="1BBED818">
            <w:pPr>
              <w:spacing w:line="237" w:lineRule="exact"/>
              <w:rPr>
                <w:rFonts w:hint="eastAsia" w:ascii="宋体" w:hAnsi="宋体" w:eastAsia="宋体" w:cs="宋体"/>
                <w:color w:val="auto"/>
                <w:sz w:val="24"/>
                <w:szCs w:val="24"/>
                <w:highlight w:val="none"/>
              </w:rPr>
            </w:pPr>
          </w:p>
        </w:tc>
        <w:tc>
          <w:tcPr>
            <w:tcW w:w="347" w:type="dxa"/>
            <w:vAlign w:val="top"/>
          </w:tcPr>
          <w:p w14:paraId="7368D330">
            <w:pPr>
              <w:spacing w:line="237" w:lineRule="exact"/>
              <w:rPr>
                <w:rFonts w:hint="eastAsia" w:ascii="宋体" w:hAnsi="宋体" w:eastAsia="宋体" w:cs="宋体"/>
                <w:color w:val="auto"/>
                <w:sz w:val="24"/>
                <w:szCs w:val="24"/>
                <w:highlight w:val="none"/>
              </w:rPr>
            </w:pPr>
          </w:p>
        </w:tc>
        <w:tc>
          <w:tcPr>
            <w:tcW w:w="351" w:type="dxa"/>
            <w:vAlign w:val="top"/>
          </w:tcPr>
          <w:p w14:paraId="5254C7BE">
            <w:pPr>
              <w:spacing w:line="237" w:lineRule="exact"/>
              <w:rPr>
                <w:rFonts w:hint="eastAsia" w:ascii="宋体" w:hAnsi="宋体" w:eastAsia="宋体" w:cs="宋体"/>
                <w:color w:val="auto"/>
                <w:sz w:val="24"/>
                <w:szCs w:val="24"/>
                <w:highlight w:val="none"/>
              </w:rPr>
            </w:pPr>
          </w:p>
        </w:tc>
        <w:tc>
          <w:tcPr>
            <w:tcW w:w="346" w:type="dxa"/>
            <w:vAlign w:val="top"/>
          </w:tcPr>
          <w:p w14:paraId="0D11F7FA">
            <w:pPr>
              <w:spacing w:line="237" w:lineRule="exact"/>
              <w:rPr>
                <w:rFonts w:hint="eastAsia" w:ascii="宋体" w:hAnsi="宋体" w:eastAsia="宋体" w:cs="宋体"/>
                <w:color w:val="auto"/>
                <w:sz w:val="24"/>
                <w:szCs w:val="24"/>
                <w:highlight w:val="none"/>
              </w:rPr>
            </w:pPr>
          </w:p>
        </w:tc>
        <w:tc>
          <w:tcPr>
            <w:tcW w:w="234" w:type="dxa"/>
            <w:vAlign w:val="top"/>
          </w:tcPr>
          <w:p w14:paraId="2F474F27">
            <w:pPr>
              <w:spacing w:line="237" w:lineRule="exact"/>
              <w:rPr>
                <w:rFonts w:hint="eastAsia" w:ascii="宋体" w:hAnsi="宋体" w:eastAsia="宋体" w:cs="宋体"/>
                <w:color w:val="auto"/>
                <w:sz w:val="24"/>
                <w:szCs w:val="24"/>
                <w:highlight w:val="none"/>
              </w:rPr>
            </w:pPr>
          </w:p>
        </w:tc>
        <w:tc>
          <w:tcPr>
            <w:tcW w:w="234" w:type="dxa"/>
            <w:vAlign w:val="top"/>
          </w:tcPr>
          <w:p w14:paraId="09C4AB92">
            <w:pPr>
              <w:spacing w:line="237" w:lineRule="exact"/>
              <w:rPr>
                <w:rFonts w:hint="eastAsia" w:ascii="宋体" w:hAnsi="宋体" w:eastAsia="宋体" w:cs="宋体"/>
                <w:color w:val="auto"/>
                <w:sz w:val="24"/>
                <w:szCs w:val="24"/>
                <w:highlight w:val="none"/>
              </w:rPr>
            </w:pPr>
          </w:p>
        </w:tc>
        <w:tc>
          <w:tcPr>
            <w:tcW w:w="234" w:type="dxa"/>
            <w:vAlign w:val="top"/>
          </w:tcPr>
          <w:p w14:paraId="5F9BDF10">
            <w:pPr>
              <w:spacing w:line="237" w:lineRule="exact"/>
              <w:rPr>
                <w:rFonts w:hint="eastAsia" w:ascii="宋体" w:hAnsi="宋体" w:eastAsia="宋体" w:cs="宋体"/>
                <w:color w:val="auto"/>
                <w:sz w:val="24"/>
                <w:szCs w:val="24"/>
                <w:highlight w:val="none"/>
              </w:rPr>
            </w:pPr>
          </w:p>
        </w:tc>
        <w:tc>
          <w:tcPr>
            <w:tcW w:w="234" w:type="dxa"/>
            <w:vAlign w:val="top"/>
          </w:tcPr>
          <w:p w14:paraId="5290D052">
            <w:pPr>
              <w:spacing w:line="237" w:lineRule="exact"/>
              <w:rPr>
                <w:rFonts w:hint="eastAsia" w:ascii="宋体" w:hAnsi="宋体" w:eastAsia="宋体" w:cs="宋体"/>
                <w:color w:val="auto"/>
                <w:sz w:val="24"/>
                <w:szCs w:val="24"/>
                <w:highlight w:val="none"/>
              </w:rPr>
            </w:pPr>
          </w:p>
        </w:tc>
        <w:tc>
          <w:tcPr>
            <w:tcW w:w="234" w:type="dxa"/>
            <w:vAlign w:val="top"/>
          </w:tcPr>
          <w:p w14:paraId="016D539A">
            <w:pPr>
              <w:spacing w:line="237" w:lineRule="exact"/>
              <w:rPr>
                <w:rFonts w:hint="eastAsia" w:ascii="宋体" w:hAnsi="宋体" w:eastAsia="宋体" w:cs="宋体"/>
                <w:color w:val="auto"/>
                <w:sz w:val="24"/>
                <w:szCs w:val="24"/>
                <w:highlight w:val="none"/>
              </w:rPr>
            </w:pPr>
          </w:p>
        </w:tc>
        <w:tc>
          <w:tcPr>
            <w:tcW w:w="234" w:type="dxa"/>
            <w:vAlign w:val="top"/>
          </w:tcPr>
          <w:p w14:paraId="65AD1364">
            <w:pPr>
              <w:spacing w:line="237" w:lineRule="exact"/>
              <w:rPr>
                <w:rFonts w:hint="eastAsia" w:ascii="宋体" w:hAnsi="宋体" w:eastAsia="宋体" w:cs="宋体"/>
                <w:color w:val="auto"/>
                <w:sz w:val="24"/>
                <w:szCs w:val="24"/>
                <w:highlight w:val="none"/>
              </w:rPr>
            </w:pPr>
          </w:p>
        </w:tc>
        <w:tc>
          <w:tcPr>
            <w:tcW w:w="234" w:type="dxa"/>
            <w:vAlign w:val="top"/>
          </w:tcPr>
          <w:p w14:paraId="2FBE29BF">
            <w:pPr>
              <w:spacing w:line="237" w:lineRule="exact"/>
              <w:rPr>
                <w:rFonts w:hint="eastAsia" w:ascii="宋体" w:hAnsi="宋体" w:eastAsia="宋体" w:cs="宋体"/>
                <w:color w:val="auto"/>
                <w:sz w:val="24"/>
                <w:szCs w:val="24"/>
                <w:highlight w:val="none"/>
              </w:rPr>
            </w:pPr>
          </w:p>
        </w:tc>
        <w:tc>
          <w:tcPr>
            <w:tcW w:w="234" w:type="dxa"/>
            <w:vAlign w:val="top"/>
          </w:tcPr>
          <w:p w14:paraId="0E0F1966">
            <w:pPr>
              <w:spacing w:line="237" w:lineRule="exact"/>
              <w:rPr>
                <w:rFonts w:hint="eastAsia" w:ascii="宋体" w:hAnsi="宋体" w:eastAsia="宋体" w:cs="宋体"/>
                <w:color w:val="auto"/>
                <w:sz w:val="24"/>
                <w:szCs w:val="24"/>
                <w:highlight w:val="none"/>
              </w:rPr>
            </w:pPr>
          </w:p>
        </w:tc>
        <w:tc>
          <w:tcPr>
            <w:tcW w:w="234" w:type="dxa"/>
            <w:vAlign w:val="top"/>
          </w:tcPr>
          <w:p w14:paraId="065B0264">
            <w:pPr>
              <w:spacing w:line="237" w:lineRule="exact"/>
              <w:rPr>
                <w:rFonts w:hint="eastAsia" w:ascii="宋体" w:hAnsi="宋体" w:eastAsia="宋体" w:cs="宋体"/>
                <w:color w:val="auto"/>
                <w:sz w:val="24"/>
                <w:szCs w:val="24"/>
                <w:highlight w:val="none"/>
              </w:rPr>
            </w:pPr>
          </w:p>
        </w:tc>
        <w:tc>
          <w:tcPr>
            <w:tcW w:w="346" w:type="dxa"/>
            <w:vAlign w:val="top"/>
          </w:tcPr>
          <w:p w14:paraId="24D3199C">
            <w:pPr>
              <w:spacing w:line="237" w:lineRule="exact"/>
              <w:rPr>
                <w:rFonts w:hint="eastAsia" w:ascii="宋体" w:hAnsi="宋体" w:eastAsia="宋体" w:cs="宋体"/>
                <w:color w:val="auto"/>
                <w:sz w:val="24"/>
                <w:szCs w:val="24"/>
                <w:highlight w:val="none"/>
              </w:rPr>
            </w:pPr>
          </w:p>
        </w:tc>
        <w:tc>
          <w:tcPr>
            <w:tcW w:w="337" w:type="dxa"/>
            <w:vAlign w:val="top"/>
          </w:tcPr>
          <w:p w14:paraId="2FD546D0">
            <w:pPr>
              <w:spacing w:line="237" w:lineRule="exact"/>
              <w:rPr>
                <w:rFonts w:hint="eastAsia" w:ascii="宋体" w:hAnsi="宋体" w:eastAsia="宋体" w:cs="宋体"/>
                <w:color w:val="auto"/>
                <w:sz w:val="24"/>
                <w:szCs w:val="24"/>
                <w:highlight w:val="none"/>
              </w:rPr>
            </w:pPr>
          </w:p>
        </w:tc>
      </w:tr>
      <w:tr w14:paraId="60CE10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8" w:hRule="atLeast"/>
        </w:trPr>
        <w:tc>
          <w:tcPr>
            <w:tcW w:w="2770" w:type="dxa"/>
            <w:vMerge w:val="continue"/>
            <w:tcBorders>
              <w:top w:val="nil"/>
              <w:bottom w:val="nil"/>
            </w:tcBorders>
            <w:vAlign w:val="top"/>
          </w:tcPr>
          <w:p w14:paraId="11CE0810">
            <w:pPr>
              <w:rPr>
                <w:rFonts w:hint="eastAsia" w:ascii="宋体" w:hAnsi="宋体" w:eastAsia="宋体" w:cs="宋体"/>
                <w:color w:val="auto"/>
                <w:sz w:val="24"/>
                <w:szCs w:val="24"/>
                <w:highlight w:val="none"/>
              </w:rPr>
            </w:pPr>
          </w:p>
        </w:tc>
        <w:tc>
          <w:tcPr>
            <w:tcW w:w="235" w:type="dxa"/>
            <w:vAlign w:val="top"/>
          </w:tcPr>
          <w:p w14:paraId="5D4E2974">
            <w:pPr>
              <w:spacing w:line="227" w:lineRule="exact"/>
              <w:rPr>
                <w:rFonts w:hint="eastAsia" w:ascii="宋体" w:hAnsi="宋体" w:eastAsia="宋体" w:cs="宋体"/>
                <w:color w:val="auto"/>
                <w:sz w:val="24"/>
                <w:szCs w:val="24"/>
                <w:highlight w:val="none"/>
              </w:rPr>
            </w:pPr>
          </w:p>
        </w:tc>
        <w:tc>
          <w:tcPr>
            <w:tcW w:w="235" w:type="dxa"/>
            <w:vAlign w:val="top"/>
          </w:tcPr>
          <w:p w14:paraId="7FF92FED">
            <w:pPr>
              <w:spacing w:line="227" w:lineRule="exact"/>
              <w:rPr>
                <w:rFonts w:hint="eastAsia" w:ascii="宋体" w:hAnsi="宋体" w:eastAsia="宋体" w:cs="宋体"/>
                <w:color w:val="auto"/>
                <w:sz w:val="24"/>
                <w:szCs w:val="24"/>
                <w:highlight w:val="none"/>
              </w:rPr>
            </w:pPr>
          </w:p>
        </w:tc>
        <w:tc>
          <w:tcPr>
            <w:tcW w:w="234" w:type="dxa"/>
            <w:vAlign w:val="top"/>
          </w:tcPr>
          <w:p w14:paraId="52C90F01">
            <w:pPr>
              <w:spacing w:line="227" w:lineRule="exact"/>
              <w:rPr>
                <w:rFonts w:hint="eastAsia" w:ascii="宋体" w:hAnsi="宋体" w:eastAsia="宋体" w:cs="宋体"/>
                <w:color w:val="auto"/>
                <w:sz w:val="24"/>
                <w:szCs w:val="24"/>
                <w:highlight w:val="none"/>
              </w:rPr>
            </w:pPr>
          </w:p>
        </w:tc>
        <w:tc>
          <w:tcPr>
            <w:tcW w:w="234" w:type="dxa"/>
            <w:vAlign w:val="top"/>
          </w:tcPr>
          <w:p w14:paraId="7AAB2295">
            <w:pPr>
              <w:spacing w:line="227" w:lineRule="exact"/>
              <w:rPr>
                <w:rFonts w:hint="eastAsia" w:ascii="宋体" w:hAnsi="宋体" w:eastAsia="宋体" w:cs="宋体"/>
                <w:color w:val="auto"/>
                <w:sz w:val="24"/>
                <w:szCs w:val="24"/>
                <w:highlight w:val="none"/>
              </w:rPr>
            </w:pPr>
          </w:p>
        </w:tc>
        <w:tc>
          <w:tcPr>
            <w:tcW w:w="234" w:type="dxa"/>
            <w:vAlign w:val="top"/>
          </w:tcPr>
          <w:p w14:paraId="7CDDC3E4">
            <w:pPr>
              <w:spacing w:line="227" w:lineRule="exact"/>
              <w:rPr>
                <w:rFonts w:hint="eastAsia" w:ascii="宋体" w:hAnsi="宋体" w:eastAsia="宋体" w:cs="宋体"/>
                <w:color w:val="auto"/>
                <w:sz w:val="24"/>
                <w:szCs w:val="24"/>
                <w:highlight w:val="none"/>
              </w:rPr>
            </w:pPr>
          </w:p>
        </w:tc>
        <w:tc>
          <w:tcPr>
            <w:tcW w:w="234" w:type="dxa"/>
            <w:vAlign w:val="top"/>
          </w:tcPr>
          <w:p w14:paraId="6A809E9E">
            <w:pPr>
              <w:spacing w:line="227" w:lineRule="exact"/>
              <w:rPr>
                <w:rFonts w:hint="eastAsia" w:ascii="宋体" w:hAnsi="宋体" w:eastAsia="宋体" w:cs="宋体"/>
                <w:color w:val="auto"/>
                <w:sz w:val="24"/>
                <w:szCs w:val="24"/>
                <w:highlight w:val="none"/>
              </w:rPr>
            </w:pPr>
          </w:p>
        </w:tc>
        <w:tc>
          <w:tcPr>
            <w:tcW w:w="234" w:type="dxa"/>
            <w:vAlign w:val="top"/>
          </w:tcPr>
          <w:p w14:paraId="04C4FDAE">
            <w:pPr>
              <w:spacing w:line="227" w:lineRule="exact"/>
              <w:rPr>
                <w:rFonts w:hint="eastAsia" w:ascii="宋体" w:hAnsi="宋体" w:eastAsia="宋体" w:cs="宋体"/>
                <w:color w:val="auto"/>
                <w:sz w:val="24"/>
                <w:szCs w:val="24"/>
                <w:highlight w:val="none"/>
              </w:rPr>
            </w:pPr>
          </w:p>
        </w:tc>
        <w:tc>
          <w:tcPr>
            <w:tcW w:w="234" w:type="dxa"/>
            <w:vAlign w:val="top"/>
          </w:tcPr>
          <w:p w14:paraId="5607ED17">
            <w:pPr>
              <w:spacing w:line="227" w:lineRule="exact"/>
              <w:rPr>
                <w:rFonts w:hint="eastAsia" w:ascii="宋体" w:hAnsi="宋体" w:eastAsia="宋体" w:cs="宋体"/>
                <w:color w:val="auto"/>
                <w:sz w:val="24"/>
                <w:szCs w:val="24"/>
                <w:highlight w:val="none"/>
              </w:rPr>
            </w:pPr>
          </w:p>
        </w:tc>
        <w:tc>
          <w:tcPr>
            <w:tcW w:w="234" w:type="dxa"/>
            <w:vAlign w:val="top"/>
          </w:tcPr>
          <w:p w14:paraId="52386CEB">
            <w:pPr>
              <w:spacing w:line="227" w:lineRule="exact"/>
              <w:rPr>
                <w:rFonts w:hint="eastAsia" w:ascii="宋体" w:hAnsi="宋体" w:eastAsia="宋体" w:cs="宋体"/>
                <w:color w:val="auto"/>
                <w:sz w:val="24"/>
                <w:szCs w:val="24"/>
                <w:highlight w:val="none"/>
              </w:rPr>
            </w:pPr>
          </w:p>
        </w:tc>
        <w:tc>
          <w:tcPr>
            <w:tcW w:w="347" w:type="dxa"/>
            <w:vAlign w:val="top"/>
          </w:tcPr>
          <w:p w14:paraId="3D962D56">
            <w:pPr>
              <w:spacing w:line="227" w:lineRule="exact"/>
              <w:rPr>
                <w:rFonts w:hint="eastAsia" w:ascii="宋体" w:hAnsi="宋体" w:eastAsia="宋体" w:cs="宋体"/>
                <w:color w:val="auto"/>
                <w:sz w:val="24"/>
                <w:szCs w:val="24"/>
                <w:highlight w:val="none"/>
              </w:rPr>
            </w:pPr>
          </w:p>
        </w:tc>
        <w:tc>
          <w:tcPr>
            <w:tcW w:w="351" w:type="dxa"/>
            <w:vAlign w:val="top"/>
          </w:tcPr>
          <w:p w14:paraId="3DDD4D1A">
            <w:pPr>
              <w:spacing w:line="227" w:lineRule="exact"/>
              <w:rPr>
                <w:rFonts w:hint="eastAsia" w:ascii="宋体" w:hAnsi="宋体" w:eastAsia="宋体" w:cs="宋体"/>
                <w:color w:val="auto"/>
                <w:sz w:val="24"/>
                <w:szCs w:val="24"/>
                <w:highlight w:val="none"/>
              </w:rPr>
            </w:pPr>
          </w:p>
        </w:tc>
        <w:tc>
          <w:tcPr>
            <w:tcW w:w="346" w:type="dxa"/>
            <w:vAlign w:val="top"/>
          </w:tcPr>
          <w:p w14:paraId="2A54511D">
            <w:pPr>
              <w:spacing w:line="227" w:lineRule="exact"/>
              <w:rPr>
                <w:rFonts w:hint="eastAsia" w:ascii="宋体" w:hAnsi="宋体" w:eastAsia="宋体" w:cs="宋体"/>
                <w:color w:val="auto"/>
                <w:sz w:val="24"/>
                <w:szCs w:val="24"/>
                <w:highlight w:val="none"/>
              </w:rPr>
            </w:pPr>
          </w:p>
        </w:tc>
        <w:tc>
          <w:tcPr>
            <w:tcW w:w="234" w:type="dxa"/>
            <w:vAlign w:val="top"/>
          </w:tcPr>
          <w:p w14:paraId="5A133EF0">
            <w:pPr>
              <w:spacing w:line="227" w:lineRule="exact"/>
              <w:rPr>
                <w:rFonts w:hint="eastAsia" w:ascii="宋体" w:hAnsi="宋体" w:eastAsia="宋体" w:cs="宋体"/>
                <w:color w:val="auto"/>
                <w:sz w:val="24"/>
                <w:szCs w:val="24"/>
                <w:highlight w:val="none"/>
              </w:rPr>
            </w:pPr>
          </w:p>
        </w:tc>
        <w:tc>
          <w:tcPr>
            <w:tcW w:w="234" w:type="dxa"/>
            <w:vAlign w:val="top"/>
          </w:tcPr>
          <w:p w14:paraId="0C96C4A3">
            <w:pPr>
              <w:spacing w:line="227" w:lineRule="exact"/>
              <w:rPr>
                <w:rFonts w:hint="eastAsia" w:ascii="宋体" w:hAnsi="宋体" w:eastAsia="宋体" w:cs="宋体"/>
                <w:color w:val="auto"/>
                <w:sz w:val="24"/>
                <w:szCs w:val="24"/>
                <w:highlight w:val="none"/>
              </w:rPr>
            </w:pPr>
          </w:p>
        </w:tc>
        <w:tc>
          <w:tcPr>
            <w:tcW w:w="234" w:type="dxa"/>
            <w:vAlign w:val="top"/>
          </w:tcPr>
          <w:p w14:paraId="1E2C57A4">
            <w:pPr>
              <w:spacing w:line="227" w:lineRule="exact"/>
              <w:rPr>
                <w:rFonts w:hint="eastAsia" w:ascii="宋体" w:hAnsi="宋体" w:eastAsia="宋体" w:cs="宋体"/>
                <w:color w:val="auto"/>
                <w:sz w:val="24"/>
                <w:szCs w:val="24"/>
                <w:highlight w:val="none"/>
              </w:rPr>
            </w:pPr>
          </w:p>
        </w:tc>
        <w:tc>
          <w:tcPr>
            <w:tcW w:w="234" w:type="dxa"/>
            <w:vAlign w:val="top"/>
          </w:tcPr>
          <w:p w14:paraId="24FA9265">
            <w:pPr>
              <w:spacing w:line="227" w:lineRule="exact"/>
              <w:rPr>
                <w:rFonts w:hint="eastAsia" w:ascii="宋体" w:hAnsi="宋体" w:eastAsia="宋体" w:cs="宋体"/>
                <w:color w:val="auto"/>
                <w:sz w:val="24"/>
                <w:szCs w:val="24"/>
                <w:highlight w:val="none"/>
              </w:rPr>
            </w:pPr>
          </w:p>
        </w:tc>
        <w:tc>
          <w:tcPr>
            <w:tcW w:w="234" w:type="dxa"/>
            <w:vAlign w:val="top"/>
          </w:tcPr>
          <w:p w14:paraId="0FA6DF0C">
            <w:pPr>
              <w:spacing w:line="227" w:lineRule="exact"/>
              <w:rPr>
                <w:rFonts w:hint="eastAsia" w:ascii="宋体" w:hAnsi="宋体" w:eastAsia="宋体" w:cs="宋体"/>
                <w:color w:val="auto"/>
                <w:sz w:val="24"/>
                <w:szCs w:val="24"/>
                <w:highlight w:val="none"/>
              </w:rPr>
            </w:pPr>
          </w:p>
        </w:tc>
        <w:tc>
          <w:tcPr>
            <w:tcW w:w="234" w:type="dxa"/>
            <w:vAlign w:val="top"/>
          </w:tcPr>
          <w:p w14:paraId="1E5F9BF0">
            <w:pPr>
              <w:spacing w:line="227" w:lineRule="exact"/>
              <w:rPr>
                <w:rFonts w:hint="eastAsia" w:ascii="宋体" w:hAnsi="宋体" w:eastAsia="宋体" w:cs="宋体"/>
                <w:color w:val="auto"/>
                <w:sz w:val="24"/>
                <w:szCs w:val="24"/>
                <w:highlight w:val="none"/>
              </w:rPr>
            </w:pPr>
          </w:p>
        </w:tc>
        <w:tc>
          <w:tcPr>
            <w:tcW w:w="234" w:type="dxa"/>
            <w:vAlign w:val="top"/>
          </w:tcPr>
          <w:p w14:paraId="40F535EB">
            <w:pPr>
              <w:spacing w:line="227" w:lineRule="exact"/>
              <w:rPr>
                <w:rFonts w:hint="eastAsia" w:ascii="宋体" w:hAnsi="宋体" w:eastAsia="宋体" w:cs="宋体"/>
                <w:color w:val="auto"/>
                <w:sz w:val="24"/>
                <w:szCs w:val="24"/>
                <w:highlight w:val="none"/>
              </w:rPr>
            </w:pPr>
          </w:p>
        </w:tc>
        <w:tc>
          <w:tcPr>
            <w:tcW w:w="234" w:type="dxa"/>
            <w:vAlign w:val="top"/>
          </w:tcPr>
          <w:p w14:paraId="6D76B6E5">
            <w:pPr>
              <w:spacing w:line="227" w:lineRule="exact"/>
              <w:rPr>
                <w:rFonts w:hint="eastAsia" w:ascii="宋体" w:hAnsi="宋体" w:eastAsia="宋体" w:cs="宋体"/>
                <w:color w:val="auto"/>
                <w:sz w:val="24"/>
                <w:szCs w:val="24"/>
                <w:highlight w:val="none"/>
              </w:rPr>
            </w:pPr>
          </w:p>
        </w:tc>
        <w:tc>
          <w:tcPr>
            <w:tcW w:w="234" w:type="dxa"/>
            <w:vAlign w:val="top"/>
          </w:tcPr>
          <w:p w14:paraId="136993F1">
            <w:pPr>
              <w:spacing w:line="227" w:lineRule="exact"/>
              <w:rPr>
                <w:rFonts w:hint="eastAsia" w:ascii="宋体" w:hAnsi="宋体" w:eastAsia="宋体" w:cs="宋体"/>
                <w:color w:val="auto"/>
                <w:sz w:val="24"/>
                <w:szCs w:val="24"/>
                <w:highlight w:val="none"/>
              </w:rPr>
            </w:pPr>
          </w:p>
        </w:tc>
        <w:tc>
          <w:tcPr>
            <w:tcW w:w="346" w:type="dxa"/>
            <w:vAlign w:val="top"/>
          </w:tcPr>
          <w:p w14:paraId="2F8C1FFB">
            <w:pPr>
              <w:spacing w:line="227" w:lineRule="exact"/>
              <w:rPr>
                <w:rFonts w:hint="eastAsia" w:ascii="宋体" w:hAnsi="宋体" w:eastAsia="宋体" w:cs="宋体"/>
                <w:color w:val="auto"/>
                <w:sz w:val="24"/>
                <w:szCs w:val="24"/>
                <w:highlight w:val="none"/>
              </w:rPr>
            </w:pPr>
          </w:p>
        </w:tc>
        <w:tc>
          <w:tcPr>
            <w:tcW w:w="337" w:type="dxa"/>
            <w:vAlign w:val="top"/>
          </w:tcPr>
          <w:p w14:paraId="37530BDD">
            <w:pPr>
              <w:spacing w:line="227" w:lineRule="exact"/>
              <w:rPr>
                <w:rFonts w:hint="eastAsia" w:ascii="宋体" w:hAnsi="宋体" w:eastAsia="宋体" w:cs="宋体"/>
                <w:color w:val="auto"/>
                <w:sz w:val="24"/>
                <w:szCs w:val="24"/>
                <w:highlight w:val="none"/>
              </w:rPr>
            </w:pPr>
          </w:p>
        </w:tc>
      </w:tr>
      <w:tr w14:paraId="673FBF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0" w:hRule="atLeast"/>
        </w:trPr>
        <w:tc>
          <w:tcPr>
            <w:tcW w:w="2770" w:type="dxa"/>
            <w:vMerge w:val="continue"/>
            <w:tcBorders>
              <w:top w:val="nil"/>
              <w:bottom w:val="nil"/>
            </w:tcBorders>
            <w:vAlign w:val="top"/>
          </w:tcPr>
          <w:p w14:paraId="2FD4DB42">
            <w:pPr>
              <w:rPr>
                <w:rFonts w:hint="eastAsia" w:ascii="宋体" w:hAnsi="宋体" w:eastAsia="宋体" w:cs="宋体"/>
                <w:color w:val="auto"/>
                <w:sz w:val="24"/>
                <w:szCs w:val="24"/>
                <w:highlight w:val="none"/>
              </w:rPr>
            </w:pPr>
          </w:p>
        </w:tc>
        <w:tc>
          <w:tcPr>
            <w:tcW w:w="235" w:type="dxa"/>
            <w:vAlign w:val="top"/>
          </w:tcPr>
          <w:p w14:paraId="391446AE">
            <w:pPr>
              <w:spacing w:line="240" w:lineRule="exact"/>
              <w:rPr>
                <w:rFonts w:hint="eastAsia" w:ascii="宋体" w:hAnsi="宋体" w:eastAsia="宋体" w:cs="宋体"/>
                <w:color w:val="auto"/>
                <w:sz w:val="24"/>
                <w:szCs w:val="24"/>
                <w:highlight w:val="none"/>
              </w:rPr>
            </w:pPr>
          </w:p>
        </w:tc>
        <w:tc>
          <w:tcPr>
            <w:tcW w:w="235" w:type="dxa"/>
            <w:vAlign w:val="top"/>
          </w:tcPr>
          <w:p w14:paraId="5633318F">
            <w:pPr>
              <w:spacing w:line="240" w:lineRule="exact"/>
              <w:rPr>
                <w:rFonts w:hint="eastAsia" w:ascii="宋体" w:hAnsi="宋体" w:eastAsia="宋体" w:cs="宋体"/>
                <w:color w:val="auto"/>
                <w:sz w:val="24"/>
                <w:szCs w:val="24"/>
                <w:highlight w:val="none"/>
              </w:rPr>
            </w:pPr>
          </w:p>
        </w:tc>
        <w:tc>
          <w:tcPr>
            <w:tcW w:w="234" w:type="dxa"/>
            <w:vAlign w:val="top"/>
          </w:tcPr>
          <w:p w14:paraId="73F3DF9A">
            <w:pPr>
              <w:spacing w:line="240" w:lineRule="exact"/>
              <w:rPr>
                <w:rFonts w:hint="eastAsia" w:ascii="宋体" w:hAnsi="宋体" w:eastAsia="宋体" w:cs="宋体"/>
                <w:color w:val="auto"/>
                <w:sz w:val="24"/>
                <w:szCs w:val="24"/>
                <w:highlight w:val="none"/>
              </w:rPr>
            </w:pPr>
          </w:p>
        </w:tc>
        <w:tc>
          <w:tcPr>
            <w:tcW w:w="234" w:type="dxa"/>
            <w:vAlign w:val="top"/>
          </w:tcPr>
          <w:p w14:paraId="3CE4E601">
            <w:pPr>
              <w:spacing w:line="240" w:lineRule="exact"/>
              <w:rPr>
                <w:rFonts w:hint="eastAsia" w:ascii="宋体" w:hAnsi="宋体" w:eastAsia="宋体" w:cs="宋体"/>
                <w:color w:val="auto"/>
                <w:sz w:val="24"/>
                <w:szCs w:val="24"/>
                <w:highlight w:val="none"/>
              </w:rPr>
            </w:pPr>
          </w:p>
        </w:tc>
        <w:tc>
          <w:tcPr>
            <w:tcW w:w="234" w:type="dxa"/>
            <w:vAlign w:val="top"/>
          </w:tcPr>
          <w:p w14:paraId="10F5DC55">
            <w:pPr>
              <w:spacing w:line="240" w:lineRule="exact"/>
              <w:rPr>
                <w:rFonts w:hint="eastAsia" w:ascii="宋体" w:hAnsi="宋体" w:eastAsia="宋体" w:cs="宋体"/>
                <w:color w:val="auto"/>
                <w:sz w:val="24"/>
                <w:szCs w:val="24"/>
                <w:highlight w:val="none"/>
              </w:rPr>
            </w:pPr>
          </w:p>
        </w:tc>
        <w:tc>
          <w:tcPr>
            <w:tcW w:w="234" w:type="dxa"/>
            <w:vAlign w:val="top"/>
          </w:tcPr>
          <w:p w14:paraId="687485A5">
            <w:pPr>
              <w:spacing w:line="240" w:lineRule="exact"/>
              <w:rPr>
                <w:rFonts w:hint="eastAsia" w:ascii="宋体" w:hAnsi="宋体" w:eastAsia="宋体" w:cs="宋体"/>
                <w:color w:val="auto"/>
                <w:sz w:val="24"/>
                <w:szCs w:val="24"/>
                <w:highlight w:val="none"/>
              </w:rPr>
            </w:pPr>
          </w:p>
        </w:tc>
        <w:tc>
          <w:tcPr>
            <w:tcW w:w="234" w:type="dxa"/>
            <w:vAlign w:val="top"/>
          </w:tcPr>
          <w:p w14:paraId="5CEFD2D9">
            <w:pPr>
              <w:spacing w:line="240" w:lineRule="exact"/>
              <w:rPr>
                <w:rFonts w:hint="eastAsia" w:ascii="宋体" w:hAnsi="宋体" w:eastAsia="宋体" w:cs="宋体"/>
                <w:color w:val="auto"/>
                <w:sz w:val="24"/>
                <w:szCs w:val="24"/>
                <w:highlight w:val="none"/>
              </w:rPr>
            </w:pPr>
          </w:p>
        </w:tc>
        <w:tc>
          <w:tcPr>
            <w:tcW w:w="234" w:type="dxa"/>
            <w:vAlign w:val="top"/>
          </w:tcPr>
          <w:p w14:paraId="0D27283D">
            <w:pPr>
              <w:spacing w:line="240" w:lineRule="exact"/>
              <w:rPr>
                <w:rFonts w:hint="eastAsia" w:ascii="宋体" w:hAnsi="宋体" w:eastAsia="宋体" w:cs="宋体"/>
                <w:color w:val="auto"/>
                <w:sz w:val="24"/>
                <w:szCs w:val="24"/>
                <w:highlight w:val="none"/>
              </w:rPr>
            </w:pPr>
          </w:p>
        </w:tc>
        <w:tc>
          <w:tcPr>
            <w:tcW w:w="234" w:type="dxa"/>
            <w:vAlign w:val="top"/>
          </w:tcPr>
          <w:p w14:paraId="5CD27351">
            <w:pPr>
              <w:spacing w:line="240" w:lineRule="exact"/>
              <w:rPr>
                <w:rFonts w:hint="eastAsia" w:ascii="宋体" w:hAnsi="宋体" w:eastAsia="宋体" w:cs="宋体"/>
                <w:color w:val="auto"/>
                <w:sz w:val="24"/>
                <w:szCs w:val="24"/>
                <w:highlight w:val="none"/>
              </w:rPr>
            </w:pPr>
          </w:p>
        </w:tc>
        <w:tc>
          <w:tcPr>
            <w:tcW w:w="347" w:type="dxa"/>
            <w:vAlign w:val="top"/>
          </w:tcPr>
          <w:p w14:paraId="4B0DC638">
            <w:pPr>
              <w:spacing w:line="240" w:lineRule="exact"/>
              <w:rPr>
                <w:rFonts w:hint="eastAsia" w:ascii="宋体" w:hAnsi="宋体" w:eastAsia="宋体" w:cs="宋体"/>
                <w:color w:val="auto"/>
                <w:sz w:val="24"/>
                <w:szCs w:val="24"/>
                <w:highlight w:val="none"/>
              </w:rPr>
            </w:pPr>
          </w:p>
        </w:tc>
        <w:tc>
          <w:tcPr>
            <w:tcW w:w="351" w:type="dxa"/>
            <w:vAlign w:val="top"/>
          </w:tcPr>
          <w:p w14:paraId="48AB5802">
            <w:pPr>
              <w:spacing w:line="240" w:lineRule="exact"/>
              <w:rPr>
                <w:rFonts w:hint="eastAsia" w:ascii="宋体" w:hAnsi="宋体" w:eastAsia="宋体" w:cs="宋体"/>
                <w:color w:val="auto"/>
                <w:sz w:val="24"/>
                <w:szCs w:val="24"/>
                <w:highlight w:val="none"/>
              </w:rPr>
            </w:pPr>
          </w:p>
        </w:tc>
        <w:tc>
          <w:tcPr>
            <w:tcW w:w="346" w:type="dxa"/>
            <w:vAlign w:val="top"/>
          </w:tcPr>
          <w:p w14:paraId="7476D99C">
            <w:pPr>
              <w:spacing w:line="240" w:lineRule="exact"/>
              <w:rPr>
                <w:rFonts w:hint="eastAsia" w:ascii="宋体" w:hAnsi="宋体" w:eastAsia="宋体" w:cs="宋体"/>
                <w:color w:val="auto"/>
                <w:sz w:val="24"/>
                <w:szCs w:val="24"/>
                <w:highlight w:val="none"/>
              </w:rPr>
            </w:pPr>
          </w:p>
        </w:tc>
        <w:tc>
          <w:tcPr>
            <w:tcW w:w="234" w:type="dxa"/>
            <w:vAlign w:val="top"/>
          </w:tcPr>
          <w:p w14:paraId="12117E86">
            <w:pPr>
              <w:spacing w:line="240" w:lineRule="exact"/>
              <w:rPr>
                <w:rFonts w:hint="eastAsia" w:ascii="宋体" w:hAnsi="宋体" w:eastAsia="宋体" w:cs="宋体"/>
                <w:color w:val="auto"/>
                <w:sz w:val="24"/>
                <w:szCs w:val="24"/>
                <w:highlight w:val="none"/>
              </w:rPr>
            </w:pPr>
          </w:p>
        </w:tc>
        <w:tc>
          <w:tcPr>
            <w:tcW w:w="234" w:type="dxa"/>
            <w:vAlign w:val="top"/>
          </w:tcPr>
          <w:p w14:paraId="74965CEA">
            <w:pPr>
              <w:spacing w:line="240" w:lineRule="exact"/>
              <w:rPr>
                <w:rFonts w:hint="eastAsia" w:ascii="宋体" w:hAnsi="宋体" w:eastAsia="宋体" w:cs="宋体"/>
                <w:color w:val="auto"/>
                <w:sz w:val="24"/>
                <w:szCs w:val="24"/>
                <w:highlight w:val="none"/>
              </w:rPr>
            </w:pPr>
          </w:p>
        </w:tc>
        <w:tc>
          <w:tcPr>
            <w:tcW w:w="234" w:type="dxa"/>
            <w:vAlign w:val="top"/>
          </w:tcPr>
          <w:p w14:paraId="33FF404C">
            <w:pPr>
              <w:spacing w:line="240" w:lineRule="exact"/>
              <w:rPr>
                <w:rFonts w:hint="eastAsia" w:ascii="宋体" w:hAnsi="宋体" w:eastAsia="宋体" w:cs="宋体"/>
                <w:color w:val="auto"/>
                <w:sz w:val="24"/>
                <w:szCs w:val="24"/>
                <w:highlight w:val="none"/>
              </w:rPr>
            </w:pPr>
          </w:p>
        </w:tc>
        <w:tc>
          <w:tcPr>
            <w:tcW w:w="234" w:type="dxa"/>
            <w:vAlign w:val="top"/>
          </w:tcPr>
          <w:p w14:paraId="6634097F">
            <w:pPr>
              <w:spacing w:line="240" w:lineRule="exact"/>
              <w:rPr>
                <w:rFonts w:hint="eastAsia" w:ascii="宋体" w:hAnsi="宋体" w:eastAsia="宋体" w:cs="宋体"/>
                <w:color w:val="auto"/>
                <w:sz w:val="24"/>
                <w:szCs w:val="24"/>
                <w:highlight w:val="none"/>
              </w:rPr>
            </w:pPr>
          </w:p>
        </w:tc>
        <w:tc>
          <w:tcPr>
            <w:tcW w:w="234" w:type="dxa"/>
            <w:vAlign w:val="top"/>
          </w:tcPr>
          <w:p w14:paraId="0CDFA424">
            <w:pPr>
              <w:spacing w:line="240" w:lineRule="exact"/>
              <w:rPr>
                <w:rFonts w:hint="eastAsia" w:ascii="宋体" w:hAnsi="宋体" w:eastAsia="宋体" w:cs="宋体"/>
                <w:color w:val="auto"/>
                <w:sz w:val="24"/>
                <w:szCs w:val="24"/>
                <w:highlight w:val="none"/>
              </w:rPr>
            </w:pPr>
          </w:p>
        </w:tc>
        <w:tc>
          <w:tcPr>
            <w:tcW w:w="234" w:type="dxa"/>
            <w:vAlign w:val="top"/>
          </w:tcPr>
          <w:p w14:paraId="2D77FA09">
            <w:pPr>
              <w:spacing w:line="240" w:lineRule="exact"/>
              <w:rPr>
                <w:rFonts w:hint="eastAsia" w:ascii="宋体" w:hAnsi="宋体" w:eastAsia="宋体" w:cs="宋体"/>
                <w:color w:val="auto"/>
                <w:sz w:val="24"/>
                <w:szCs w:val="24"/>
                <w:highlight w:val="none"/>
              </w:rPr>
            </w:pPr>
          </w:p>
        </w:tc>
        <w:tc>
          <w:tcPr>
            <w:tcW w:w="234" w:type="dxa"/>
            <w:vAlign w:val="top"/>
          </w:tcPr>
          <w:p w14:paraId="713B15D1">
            <w:pPr>
              <w:spacing w:line="240" w:lineRule="exact"/>
              <w:rPr>
                <w:rFonts w:hint="eastAsia" w:ascii="宋体" w:hAnsi="宋体" w:eastAsia="宋体" w:cs="宋体"/>
                <w:color w:val="auto"/>
                <w:sz w:val="24"/>
                <w:szCs w:val="24"/>
                <w:highlight w:val="none"/>
              </w:rPr>
            </w:pPr>
          </w:p>
        </w:tc>
        <w:tc>
          <w:tcPr>
            <w:tcW w:w="234" w:type="dxa"/>
            <w:vAlign w:val="top"/>
          </w:tcPr>
          <w:p w14:paraId="6F3E73F9">
            <w:pPr>
              <w:spacing w:line="240" w:lineRule="exact"/>
              <w:rPr>
                <w:rFonts w:hint="eastAsia" w:ascii="宋体" w:hAnsi="宋体" w:eastAsia="宋体" w:cs="宋体"/>
                <w:color w:val="auto"/>
                <w:sz w:val="24"/>
                <w:szCs w:val="24"/>
                <w:highlight w:val="none"/>
              </w:rPr>
            </w:pPr>
          </w:p>
        </w:tc>
        <w:tc>
          <w:tcPr>
            <w:tcW w:w="234" w:type="dxa"/>
            <w:vAlign w:val="top"/>
          </w:tcPr>
          <w:p w14:paraId="25F3F59F">
            <w:pPr>
              <w:spacing w:line="240" w:lineRule="exact"/>
              <w:rPr>
                <w:rFonts w:hint="eastAsia" w:ascii="宋体" w:hAnsi="宋体" w:eastAsia="宋体" w:cs="宋体"/>
                <w:color w:val="auto"/>
                <w:sz w:val="24"/>
                <w:szCs w:val="24"/>
                <w:highlight w:val="none"/>
              </w:rPr>
            </w:pPr>
          </w:p>
        </w:tc>
        <w:tc>
          <w:tcPr>
            <w:tcW w:w="346" w:type="dxa"/>
            <w:vAlign w:val="top"/>
          </w:tcPr>
          <w:p w14:paraId="1575257C">
            <w:pPr>
              <w:spacing w:line="240" w:lineRule="exact"/>
              <w:rPr>
                <w:rFonts w:hint="eastAsia" w:ascii="宋体" w:hAnsi="宋体" w:eastAsia="宋体" w:cs="宋体"/>
                <w:color w:val="auto"/>
                <w:sz w:val="24"/>
                <w:szCs w:val="24"/>
                <w:highlight w:val="none"/>
              </w:rPr>
            </w:pPr>
          </w:p>
        </w:tc>
        <w:tc>
          <w:tcPr>
            <w:tcW w:w="337" w:type="dxa"/>
            <w:vAlign w:val="top"/>
          </w:tcPr>
          <w:p w14:paraId="5390F864">
            <w:pPr>
              <w:spacing w:line="240" w:lineRule="exact"/>
              <w:rPr>
                <w:rFonts w:hint="eastAsia" w:ascii="宋体" w:hAnsi="宋体" w:eastAsia="宋体" w:cs="宋体"/>
                <w:color w:val="auto"/>
                <w:sz w:val="24"/>
                <w:szCs w:val="24"/>
                <w:highlight w:val="none"/>
              </w:rPr>
            </w:pPr>
          </w:p>
        </w:tc>
      </w:tr>
      <w:tr w14:paraId="01E422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8" w:hRule="atLeast"/>
        </w:trPr>
        <w:tc>
          <w:tcPr>
            <w:tcW w:w="2770" w:type="dxa"/>
            <w:vMerge w:val="continue"/>
            <w:tcBorders>
              <w:top w:val="nil"/>
              <w:bottom w:val="nil"/>
            </w:tcBorders>
            <w:vAlign w:val="top"/>
          </w:tcPr>
          <w:p w14:paraId="07EA4751">
            <w:pPr>
              <w:rPr>
                <w:rFonts w:hint="eastAsia" w:ascii="宋体" w:hAnsi="宋体" w:eastAsia="宋体" w:cs="宋体"/>
                <w:color w:val="auto"/>
                <w:sz w:val="24"/>
                <w:szCs w:val="24"/>
                <w:highlight w:val="none"/>
              </w:rPr>
            </w:pPr>
          </w:p>
        </w:tc>
        <w:tc>
          <w:tcPr>
            <w:tcW w:w="235" w:type="dxa"/>
            <w:vAlign w:val="top"/>
          </w:tcPr>
          <w:p w14:paraId="15C32E57">
            <w:pPr>
              <w:spacing w:line="237" w:lineRule="exact"/>
              <w:rPr>
                <w:rFonts w:hint="eastAsia" w:ascii="宋体" w:hAnsi="宋体" w:eastAsia="宋体" w:cs="宋体"/>
                <w:color w:val="auto"/>
                <w:sz w:val="24"/>
                <w:szCs w:val="24"/>
                <w:highlight w:val="none"/>
              </w:rPr>
            </w:pPr>
          </w:p>
        </w:tc>
        <w:tc>
          <w:tcPr>
            <w:tcW w:w="235" w:type="dxa"/>
            <w:vAlign w:val="top"/>
          </w:tcPr>
          <w:p w14:paraId="32DD0CB3">
            <w:pPr>
              <w:spacing w:line="237" w:lineRule="exact"/>
              <w:rPr>
                <w:rFonts w:hint="eastAsia" w:ascii="宋体" w:hAnsi="宋体" w:eastAsia="宋体" w:cs="宋体"/>
                <w:color w:val="auto"/>
                <w:sz w:val="24"/>
                <w:szCs w:val="24"/>
                <w:highlight w:val="none"/>
              </w:rPr>
            </w:pPr>
          </w:p>
        </w:tc>
        <w:tc>
          <w:tcPr>
            <w:tcW w:w="234" w:type="dxa"/>
            <w:vAlign w:val="top"/>
          </w:tcPr>
          <w:p w14:paraId="411A9500">
            <w:pPr>
              <w:spacing w:line="237" w:lineRule="exact"/>
              <w:rPr>
                <w:rFonts w:hint="eastAsia" w:ascii="宋体" w:hAnsi="宋体" w:eastAsia="宋体" w:cs="宋体"/>
                <w:color w:val="auto"/>
                <w:sz w:val="24"/>
                <w:szCs w:val="24"/>
                <w:highlight w:val="none"/>
              </w:rPr>
            </w:pPr>
          </w:p>
        </w:tc>
        <w:tc>
          <w:tcPr>
            <w:tcW w:w="234" w:type="dxa"/>
            <w:vAlign w:val="top"/>
          </w:tcPr>
          <w:p w14:paraId="61FB6390">
            <w:pPr>
              <w:spacing w:line="237" w:lineRule="exact"/>
              <w:rPr>
                <w:rFonts w:hint="eastAsia" w:ascii="宋体" w:hAnsi="宋体" w:eastAsia="宋体" w:cs="宋体"/>
                <w:color w:val="auto"/>
                <w:sz w:val="24"/>
                <w:szCs w:val="24"/>
                <w:highlight w:val="none"/>
              </w:rPr>
            </w:pPr>
          </w:p>
        </w:tc>
        <w:tc>
          <w:tcPr>
            <w:tcW w:w="234" w:type="dxa"/>
            <w:vAlign w:val="top"/>
          </w:tcPr>
          <w:p w14:paraId="32E11ABC">
            <w:pPr>
              <w:spacing w:line="237" w:lineRule="exact"/>
              <w:rPr>
                <w:rFonts w:hint="eastAsia" w:ascii="宋体" w:hAnsi="宋体" w:eastAsia="宋体" w:cs="宋体"/>
                <w:color w:val="auto"/>
                <w:sz w:val="24"/>
                <w:szCs w:val="24"/>
                <w:highlight w:val="none"/>
              </w:rPr>
            </w:pPr>
          </w:p>
        </w:tc>
        <w:tc>
          <w:tcPr>
            <w:tcW w:w="234" w:type="dxa"/>
            <w:vAlign w:val="top"/>
          </w:tcPr>
          <w:p w14:paraId="7F5335C9">
            <w:pPr>
              <w:spacing w:line="237" w:lineRule="exact"/>
              <w:rPr>
                <w:rFonts w:hint="eastAsia" w:ascii="宋体" w:hAnsi="宋体" w:eastAsia="宋体" w:cs="宋体"/>
                <w:color w:val="auto"/>
                <w:sz w:val="24"/>
                <w:szCs w:val="24"/>
                <w:highlight w:val="none"/>
              </w:rPr>
            </w:pPr>
          </w:p>
        </w:tc>
        <w:tc>
          <w:tcPr>
            <w:tcW w:w="234" w:type="dxa"/>
            <w:vAlign w:val="top"/>
          </w:tcPr>
          <w:p w14:paraId="668915EF">
            <w:pPr>
              <w:spacing w:line="237" w:lineRule="exact"/>
              <w:rPr>
                <w:rFonts w:hint="eastAsia" w:ascii="宋体" w:hAnsi="宋体" w:eastAsia="宋体" w:cs="宋体"/>
                <w:color w:val="auto"/>
                <w:sz w:val="24"/>
                <w:szCs w:val="24"/>
                <w:highlight w:val="none"/>
              </w:rPr>
            </w:pPr>
          </w:p>
        </w:tc>
        <w:tc>
          <w:tcPr>
            <w:tcW w:w="234" w:type="dxa"/>
            <w:vAlign w:val="top"/>
          </w:tcPr>
          <w:p w14:paraId="62DF7CF9">
            <w:pPr>
              <w:spacing w:line="237" w:lineRule="exact"/>
              <w:rPr>
                <w:rFonts w:hint="eastAsia" w:ascii="宋体" w:hAnsi="宋体" w:eastAsia="宋体" w:cs="宋体"/>
                <w:color w:val="auto"/>
                <w:sz w:val="24"/>
                <w:szCs w:val="24"/>
                <w:highlight w:val="none"/>
              </w:rPr>
            </w:pPr>
          </w:p>
        </w:tc>
        <w:tc>
          <w:tcPr>
            <w:tcW w:w="234" w:type="dxa"/>
            <w:vAlign w:val="top"/>
          </w:tcPr>
          <w:p w14:paraId="0268D399">
            <w:pPr>
              <w:spacing w:line="237" w:lineRule="exact"/>
              <w:rPr>
                <w:rFonts w:hint="eastAsia" w:ascii="宋体" w:hAnsi="宋体" w:eastAsia="宋体" w:cs="宋体"/>
                <w:color w:val="auto"/>
                <w:sz w:val="24"/>
                <w:szCs w:val="24"/>
                <w:highlight w:val="none"/>
              </w:rPr>
            </w:pPr>
          </w:p>
        </w:tc>
        <w:tc>
          <w:tcPr>
            <w:tcW w:w="347" w:type="dxa"/>
            <w:vAlign w:val="top"/>
          </w:tcPr>
          <w:p w14:paraId="1E4070BC">
            <w:pPr>
              <w:spacing w:line="237" w:lineRule="exact"/>
              <w:rPr>
                <w:rFonts w:hint="eastAsia" w:ascii="宋体" w:hAnsi="宋体" w:eastAsia="宋体" w:cs="宋体"/>
                <w:color w:val="auto"/>
                <w:sz w:val="24"/>
                <w:szCs w:val="24"/>
                <w:highlight w:val="none"/>
              </w:rPr>
            </w:pPr>
          </w:p>
        </w:tc>
        <w:tc>
          <w:tcPr>
            <w:tcW w:w="351" w:type="dxa"/>
            <w:vAlign w:val="top"/>
          </w:tcPr>
          <w:p w14:paraId="49666F18">
            <w:pPr>
              <w:spacing w:line="237" w:lineRule="exact"/>
              <w:rPr>
                <w:rFonts w:hint="eastAsia" w:ascii="宋体" w:hAnsi="宋体" w:eastAsia="宋体" w:cs="宋体"/>
                <w:color w:val="auto"/>
                <w:sz w:val="24"/>
                <w:szCs w:val="24"/>
                <w:highlight w:val="none"/>
              </w:rPr>
            </w:pPr>
          </w:p>
        </w:tc>
        <w:tc>
          <w:tcPr>
            <w:tcW w:w="346" w:type="dxa"/>
            <w:vAlign w:val="top"/>
          </w:tcPr>
          <w:p w14:paraId="069F27E4">
            <w:pPr>
              <w:spacing w:line="237" w:lineRule="exact"/>
              <w:rPr>
                <w:rFonts w:hint="eastAsia" w:ascii="宋体" w:hAnsi="宋体" w:eastAsia="宋体" w:cs="宋体"/>
                <w:color w:val="auto"/>
                <w:sz w:val="24"/>
                <w:szCs w:val="24"/>
                <w:highlight w:val="none"/>
              </w:rPr>
            </w:pPr>
          </w:p>
        </w:tc>
        <w:tc>
          <w:tcPr>
            <w:tcW w:w="234" w:type="dxa"/>
            <w:vAlign w:val="top"/>
          </w:tcPr>
          <w:p w14:paraId="21BD09DC">
            <w:pPr>
              <w:spacing w:line="237" w:lineRule="exact"/>
              <w:rPr>
                <w:rFonts w:hint="eastAsia" w:ascii="宋体" w:hAnsi="宋体" w:eastAsia="宋体" w:cs="宋体"/>
                <w:color w:val="auto"/>
                <w:sz w:val="24"/>
                <w:szCs w:val="24"/>
                <w:highlight w:val="none"/>
              </w:rPr>
            </w:pPr>
          </w:p>
        </w:tc>
        <w:tc>
          <w:tcPr>
            <w:tcW w:w="234" w:type="dxa"/>
            <w:vAlign w:val="top"/>
          </w:tcPr>
          <w:p w14:paraId="0AF7AD67">
            <w:pPr>
              <w:spacing w:line="237" w:lineRule="exact"/>
              <w:rPr>
                <w:rFonts w:hint="eastAsia" w:ascii="宋体" w:hAnsi="宋体" w:eastAsia="宋体" w:cs="宋体"/>
                <w:color w:val="auto"/>
                <w:sz w:val="24"/>
                <w:szCs w:val="24"/>
                <w:highlight w:val="none"/>
              </w:rPr>
            </w:pPr>
          </w:p>
        </w:tc>
        <w:tc>
          <w:tcPr>
            <w:tcW w:w="234" w:type="dxa"/>
            <w:vAlign w:val="top"/>
          </w:tcPr>
          <w:p w14:paraId="76B6B18E">
            <w:pPr>
              <w:spacing w:line="237" w:lineRule="exact"/>
              <w:rPr>
                <w:rFonts w:hint="eastAsia" w:ascii="宋体" w:hAnsi="宋体" w:eastAsia="宋体" w:cs="宋体"/>
                <w:color w:val="auto"/>
                <w:sz w:val="24"/>
                <w:szCs w:val="24"/>
                <w:highlight w:val="none"/>
              </w:rPr>
            </w:pPr>
          </w:p>
        </w:tc>
        <w:tc>
          <w:tcPr>
            <w:tcW w:w="234" w:type="dxa"/>
            <w:vAlign w:val="top"/>
          </w:tcPr>
          <w:p w14:paraId="77518077">
            <w:pPr>
              <w:spacing w:line="237" w:lineRule="exact"/>
              <w:rPr>
                <w:rFonts w:hint="eastAsia" w:ascii="宋体" w:hAnsi="宋体" w:eastAsia="宋体" w:cs="宋体"/>
                <w:color w:val="auto"/>
                <w:sz w:val="24"/>
                <w:szCs w:val="24"/>
                <w:highlight w:val="none"/>
              </w:rPr>
            </w:pPr>
          </w:p>
        </w:tc>
        <w:tc>
          <w:tcPr>
            <w:tcW w:w="234" w:type="dxa"/>
            <w:vAlign w:val="top"/>
          </w:tcPr>
          <w:p w14:paraId="3D35D0E6">
            <w:pPr>
              <w:spacing w:line="237" w:lineRule="exact"/>
              <w:rPr>
                <w:rFonts w:hint="eastAsia" w:ascii="宋体" w:hAnsi="宋体" w:eastAsia="宋体" w:cs="宋体"/>
                <w:color w:val="auto"/>
                <w:sz w:val="24"/>
                <w:szCs w:val="24"/>
                <w:highlight w:val="none"/>
              </w:rPr>
            </w:pPr>
          </w:p>
        </w:tc>
        <w:tc>
          <w:tcPr>
            <w:tcW w:w="234" w:type="dxa"/>
            <w:vAlign w:val="top"/>
          </w:tcPr>
          <w:p w14:paraId="3792D74A">
            <w:pPr>
              <w:spacing w:line="237" w:lineRule="exact"/>
              <w:rPr>
                <w:rFonts w:hint="eastAsia" w:ascii="宋体" w:hAnsi="宋体" w:eastAsia="宋体" w:cs="宋体"/>
                <w:color w:val="auto"/>
                <w:sz w:val="24"/>
                <w:szCs w:val="24"/>
                <w:highlight w:val="none"/>
              </w:rPr>
            </w:pPr>
          </w:p>
        </w:tc>
        <w:tc>
          <w:tcPr>
            <w:tcW w:w="234" w:type="dxa"/>
            <w:vAlign w:val="top"/>
          </w:tcPr>
          <w:p w14:paraId="67745F57">
            <w:pPr>
              <w:spacing w:line="237" w:lineRule="exact"/>
              <w:rPr>
                <w:rFonts w:hint="eastAsia" w:ascii="宋体" w:hAnsi="宋体" w:eastAsia="宋体" w:cs="宋体"/>
                <w:color w:val="auto"/>
                <w:sz w:val="24"/>
                <w:szCs w:val="24"/>
                <w:highlight w:val="none"/>
              </w:rPr>
            </w:pPr>
          </w:p>
        </w:tc>
        <w:tc>
          <w:tcPr>
            <w:tcW w:w="234" w:type="dxa"/>
            <w:vAlign w:val="top"/>
          </w:tcPr>
          <w:p w14:paraId="1F71BDAF">
            <w:pPr>
              <w:spacing w:line="237" w:lineRule="exact"/>
              <w:rPr>
                <w:rFonts w:hint="eastAsia" w:ascii="宋体" w:hAnsi="宋体" w:eastAsia="宋体" w:cs="宋体"/>
                <w:color w:val="auto"/>
                <w:sz w:val="24"/>
                <w:szCs w:val="24"/>
                <w:highlight w:val="none"/>
              </w:rPr>
            </w:pPr>
          </w:p>
        </w:tc>
        <w:tc>
          <w:tcPr>
            <w:tcW w:w="234" w:type="dxa"/>
            <w:vAlign w:val="top"/>
          </w:tcPr>
          <w:p w14:paraId="2556E959">
            <w:pPr>
              <w:spacing w:line="237" w:lineRule="exact"/>
              <w:rPr>
                <w:rFonts w:hint="eastAsia" w:ascii="宋体" w:hAnsi="宋体" w:eastAsia="宋体" w:cs="宋体"/>
                <w:color w:val="auto"/>
                <w:sz w:val="24"/>
                <w:szCs w:val="24"/>
                <w:highlight w:val="none"/>
              </w:rPr>
            </w:pPr>
          </w:p>
        </w:tc>
        <w:tc>
          <w:tcPr>
            <w:tcW w:w="346" w:type="dxa"/>
            <w:vAlign w:val="top"/>
          </w:tcPr>
          <w:p w14:paraId="77923A79">
            <w:pPr>
              <w:spacing w:line="237" w:lineRule="exact"/>
              <w:rPr>
                <w:rFonts w:hint="eastAsia" w:ascii="宋体" w:hAnsi="宋体" w:eastAsia="宋体" w:cs="宋体"/>
                <w:color w:val="auto"/>
                <w:sz w:val="24"/>
                <w:szCs w:val="24"/>
                <w:highlight w:val="none"/>
              </w:rPr>
            </w:pPr>
          </w:p>
        </w:tc>
        <w:tc>
          <w:tcPr>
            <w:tcW w:w="337" w:type="dxa"/>
            <w:vAlign w:val="top"/>
          </w:tcPr>
          <w:p w14:paraId="613A124A">
            <w:pPr>
              <w:spacing w:line="237" w:lineRule="exact"/>
              <w:rPr>
                <w:rFonts w:hint="eastAsia" w:ascii="宋体" w:hAnsi="宋体" w:eastAsia="宋体" w:cs="宋体"/>
                <w:color w:val="auto"/>
                <w:sz w:val="24"/>
                <w:szCs w:val="24"/>
                <w:highlight w:val="none"/>
              </w:rPr>
            </w:pPr>
          </w:p>
        </w:tc>
      </w:tr>
      <w:tr w14:paraId="403BC0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2770" w:type="dxa"/>
            <w:vMerge w:val="continue"/>
            <w:tcBorders>
              <w:top w:val="nil"/>
              <w:bottom w:val="nil"/>
            </w:tcBorders>
            <w:vAlign w:val="top"/>
          </w:tcPr>
          <w:p w14:paraId="7CE0620E">
            <w:pPr>
              <w:rPr>
                <w:rFonts w:hint="eastAsia" w:ascii="宋体" w:hAnsi="宋体" w:eastAsia="宋体" w:cs="宋体"/>
                <w:color w:val="auto"/>
                <w:sz w:val="24"/>
                <w:szCs w:val="24"/>
                <w:highlight w:val="none"/>
              </w:rPr>
            </w:pPr>
          </w:p>
        </w:tc>
        <w:tc>
          <w:tcPr>
            <w:tcW w:w="235" w:type="dxa"/>
            <w:vAlign w:val="top"/>
          </w:tcPr>
          <w:p w14:paraId="145C3540">
            <w:pPr>
              <w:rPr>
                <w:rFonts w:hint="eastAsia" w:ascii="宋体" w:hAnsi="宋体" w:eastAsia="宋体" w:cs="宋体"/>
                <w:color w:val="auto"/>
                <w:sz w:val="24"/>
                <w:szCs w:val="24"/>
                <w:highlight w:val="none"/>
              </w:rPr>
            </w:pPr>
          </w:p>
        </w:tc>
        <w:tc>
          <w:tcPr>
            <w:tcW w:w="235" w:type="dxa"/>
            <w:vAlign w:val="top"/>
          </w:tcPr>
          <w:p w14:paraId="6F5503E4">
            <w:pPr>
              <w:rPr>
                <w:rFonts w:hint="eastAsia" w:ascii="宋体" w:hAnsi="宋体" w:eastAsia="宋体" w:cs="宋体"/>
                <w:color w:val="auto"/>
                <w:sz w:val="24"/>
                <w:szCs w:val="24"/>
                <w:highlight w:val="none"/>
              </w:rPr>
            </w:pPr>
          </w:p>
        </w:tc>
        <w:tc>
          <w:tcPr>
            <w:tcW w:w="234" w:type="dxa"/>
            <w:vAlign w:val="top"/>
          </w:tcPr>
          <w:p w14:paraId="4DC4E57B">
            <w:pPr>
              <w:rPr>
                <w:rFonts w:hint="eastAsia" w:ascii="宋体" w:hAnsi="宋体" w:eastAsia="宋体" w:cs="宋体"/>
                <w:color w:val="auto"/>
                <w:sz w:val="24"/>
                <w:szCs w:val="24"/>
                <w:highlight w:val="none"/>
              </w:rPr>
            </w:pPr>
          </w:p>
        </w:tc>
        <w:tc>
          <w:tcPr>
            <w:tcW w:w="234" w:type="dxa"/>
            <w:vAlign w:val="top"/>
          </w:tcPr>
          <w:p w14:paraId="2CA27C21">
            <w:pPr>
              <w:rPr>
                <w:rFonts w:hint="eastAsia" w:ascii="宋体" w:hAnsi="宋体" w:eastAsia="宋体" w:cs="宋体"/>
                <w:color w:val="auto"/>
                <w:sz w:val="24"/>
                <w:szCs w:val="24"/>
                <w:highlight w:val="none"/>
              </w:rPr>
            </w:pPr>
          </w:p>
        </w:tc>
        <w:tc>
          <w:tcPr>
            <w:tcW w:w="234" w:type="dxa"/>
            <w:vAlign w:val="top"/>
          </w:tcPr>
          <w:p w14:paraId="4F229521">
            <w:pPr>
              <w:rPr>
                <w:rFonts w:hint="eastAsia" w:ascii="宋体" w:hAnsi="宋体" w:eastAsia="宋体" w:cs="宋体"/>
                <w:color w:val="auto"/>
                <w:sz w:val="24"/>
                <w:szCs w:val="24"/>
                <w:highlight w:val="none"/>
              </w:rPr>
            </w:pPr>
          </w:p>
        </w:tc>
        <w:tc>
          <w:tcPr>
            <w:tcW w:w="234" w:type="dxa"/>
            <w:vAlign w:val="top"/>
          </w:tcPr>
          <w:p w14:paraId="35373E32">
            <w:pPr>
              <w:rPr>
                <w:rFonts w:hint="eastAsia" w:ascii="宋体" w:hAnsi="宋体" w:eastAsia="宋体" w:cs="宋体"/>
                <w:color w:val="auto"/>
                <w:sz w:val="24"/>
                <w:szCs w:val="24"/>
                <w:highlight w:val="none"/>
              </w:rPr>
            </w:pPr>
          </w:p>
        </w:tc>
        <w:tc>
          <w:tcPr>
            <w:tcW w:w="234" w:type="dxa"/>
            <w:vAlign w:val="top"/>
          </w:tcPr>
          <w:p w14:paraId="2E9C2C0A">
            <w:pPr>
              <w:rPr>
                <w:rFonts w:hint="eastAsia" w:ascii="宋体" w:hAnsi="宋体" w:eastAsia="宋体" w:cs="宋体"/>
                <w:color w:val="auto"/>
                <w:sz w:val="24"/>
                <w:szCs w:val="24"/>
                <w:highlight w:val="none"/>
              </w:rPr>
            </w:pPr>
          </w:p>
        </w:tc>
        <w:tc>
          <w:tcPr>
            <w:tcW w:w="234" w:type="dxa"/>
            <w:vAlign w:val="top"/>
          </w:tcPr>
          <w:p w14:paraId="0BBEF5CA">
            <w:pPr>
              <w:rPr>
                <w:rFonts w:hint="eastAsia" w:ascii="宋体" w:hAnsi="宋体" w:eastAsia="宋体" w:cs="宋体"/>
                <w:color w:val="auto"/>
                <w:sz w:val="24"/>
                <w:szCs w:val="24"/>
                <w:highlight w:val="none"/>
              </w:rPr>
            </w:pPr>
          </w:p>
        </w:tc>
        <w:tc>
          <w:tcPr>
            <w:tcW w:w="234" w:type="dxa"/>
            <w:vAlign w:val="top"/>
          </w:tcPr>
          <w:p w14:paraId="57618737">
            <w:pPr>
              <w:rPr>
                <w:rFonts w:hint="eastAsia" w:ascii="宋体" w:hAnsi="宋体" w:eastAsia="宋体" w:cs="宋体"/>
                <w:color w:val="auto"/>
                <w:sz w:val="24"/>
                <w:szCs w:val="24"/>
                <w:highlight w:val="none"/>
              </w:rPr>
            </w:pPr>
          </w:p>
        </w:tc>
        <w:tc>
          <w:tcPr>
            <w:tcW w:w="347" w:type="dxa"/>
            <w:vAlign w:val="top"/>
          </w:tcPr>
          <w:p w14:paraId="47A3D05A">
            <w:pPr>
              <w:rPr>
                <w:rFonts w:hint="eastAsia" w:ascii="宋体" w:hAnsi="宋体" w:eastAsia="宋体" w:cs="宋体"/>
                <w:color w:val="auto"/>
                <w:sz w:val="24"/>
                <w:szCs w:val="24"/>
                <w:highlight w:val="none"/>
              </w:rPr>
            </w:pPr>
          </w:p>
        </w:tc>
        <w:tc>
          <w:tcPr>
            <w:tcW w:w="351" w:type="dxa"/>
            <w:vAlign w:val="top"/>
          </w:tcPr>
          <w:p w14:paraId="2D9A94A0">
            <w:pPr>
              <w:rPr>
                <w:rFonts w:hint="eastAsia" w:ascii="宋体" w:hAnsi="宋体" w:eastAsia="宋体" w:cs="宋体"/>
                <w:color w:val="auto"/>
                <w:sz w:val="24"/>
                <w:szCs w:val="24"/>
                <w:highlight w:val="none"/>
              </w:rPr>
            </w:pPr>
          </w:p>
        </w:tc>
        <w:tc>
          <w:tcPr>
            <w:tcW w:w="346" w:type="dxa"/>
            <w:vAlign w:val="top"/>
          </w:tcPr>
          <w:p w14:paraId="42DA405D">
            <w:pPr>
              <w:rPr>
                <w:rFonts w:hint="eastAsia" w:ascii="宋体" w:hAnsi="宋体" w:eastAsia="宋体" w:cs="宋体"/>
                <w:color w:val="auto"/>
                <w:sz w:val="24"/>
                <w:szCs w:val="24"/>
                <w:highlight w:val="none"/>
              </w:rPr>
            </w:pPr>
          </w:p>
        </w:tc>
        <w:tc>
          <w:tcPr>
            <w:tcW w:w="234" w:type="dxa"/>
            <w:vAlign w:val="top"/>
          </w:tcPr>
          <w:p w14:paraId="29F54569">
            <w:pPr>
              <w:rPr>
                <w:rFonts w:hint="eastAsia" w:ascii="宋体" w:hAnsi="宋体" w:eastAsia="宋体" w:cs="宋体"/>
                <w:color w:val="auto"/>
                <w:sz w:val="24"/>
                <w:szCs w:val="24"/>
                <w:highlight w:val="none"/>
              </w:rPr>
            </w:pPr>
          </w:p>
        </w:tc>
        <w:tc>
          <w:tcPr>
            <w:tcW w:w="234" w:type="dxa"/>
            <w:vAlign w:val="top"/>
          </w:tcPr>
          <w:p w14:paraId="3A21D5A1">
            <w:pPr>
              <w:rPr>
                <w:rFonts w:hint="eastAsia" w:ascii="宋体" w:hAnsi="宋体" w:eastAsia="宋体" w:cs="宋体"/>
                <w:color w:val="auto"/>
                <w:sz w:val="24"/>
                <w:szCs w:val="24"/>
                <w:highlight w:val="none"/>
              </w:rPr>
            </w:pPr>
          </w:p>
        </w:tc>
        <w:tc>
          <w:tcPr>
            <w:tcW w:w="234" w:type="dxa"/>
            <w:vAlign w:val="top"/>
          </w:tcPr>
          <w:p w14:paraId="3F14C36A">
            <w:pPr>
              <w:rPr>
                <w:rFonts w:hint="eastAsia" w:ascii="宋体" w:hAnsi="宋体" w:eastAsia="宋体" w:cs="宋体"/>
                <w:color w:val="auto"/>
                <w:sz w:val="24"/>
                <w:szCs w:val="24"/>
                <w:highlight w:val="none"/>
              </w:rPr>
            </w:pPr>
          </w:p>
        </w:tc>
        <w:tc>
          <w:tcPr>
            <w:tcW w:w="234" w:type="dxa"/>
            <w:vAlign w:val="top"/>
          </w:tcPr>
          <w:p w14:paraId="03547C9C">
            <w:pPr>
              <w:rPr>
                <w:rFonts w:hint="eastAsia" w:ascii="宋体" w:hAnsi="宋体" w:eastAsia="宋体" w:cs="宋体"/>
                <w:color w:val="auto"/>
                <w:sz w:val="24"/>
                <w:szCs w:val="24"/>
                <w:highlight w:val="none"/>
              </w:rPr>
            </w:pPr>
          </w:p>
        </w:tc>
        <w:tc>
          <w:tcPr>
            <w:tcW w:w="234" w:type="dxa"/>
            <w:vAlign w:val="top"/>
          </w:tcPr>
          <w:p w14:paraId="5804D487">
            <w:pPr>
              <w:rPr>
                <w:rFonts w:hint="eastAsia" w:ascii="宋体" w:hAnsi="宋体" w:eastAsia="宋体" w:cs="宋体"/>
                <w:color w:val="auto"/>
                <w:sz w:val="24"/>
                <w:szCs w:val="24"/>
                <w:highlight w:val="none"/>
              </w:rPr>
            </w:pPr>
          </w:p>
        </w:tc>
        <w:tc>
          <w:tcPr>
            <w:tcW w:w="234" w:type="dxa"/>
            <w:vAlign w:val="top"/>
          </w:tcPr>
          <w:p w14:paraId="0AE2343B">
            <w:pPr>
              <w:rPr>
                <w:rFonts w:hint="eastAsia" w:ascii="宋体" w:hAnsi="宋体" w:eastAsia="宋体" w:cs="宋体"/>
                <w:color w:val="auto"/>
                <w:sz w:val="24"/>
                <w:szCs w:val="24"/>
                <w:highlight w:val="none"/>
              </w:rPr>
            </w:pPr>
          </w:p>
        </w:tc>
        <w:tc>
          <w:tcPr>
            <w:tcW w:w="234" w:type="dxa"/>
            <w:vAlign w:val="top"/>
          </w:tcPr>
          <w:p w14:paraId="18581583">
            <w:pPr>
              <w:rPr>
                <w:rFonts w:hint="eastAsia" w:ascii="宋体" w:hAnsi="宋体" w:eastAsia="宋体" w:cs="宋体"/>
                <w:color w:val="auto"/>
                <w:sz w:val="24"/>
                <w:szCs w:val="24"/>
                <w:highlight w:val="none"/>
              </w:rPr>
            </w:pPr>
          </w:p>
        </w:tc>
        <w:tc>
          <w:tcPr>
            <w:tcW w:w="234" w:type="dxa"/>
            <w:vAlign w:val="top"/>
          </w:tcPr>
          <w:p w14:paraId="64AFEF07">
            <w:pPr>
              <w:rPr>
                <w:rFonts w:hint="eastAsia" w:ascii="宋体" w:hAnsi="宋体" w:eastAsia="宋体" w:cs="宋体"/>
                <w:color w:val="auto"/>
                <w:sz w:val="24"/>
                <w:szCs w:val="24"/>
                <w:highlight w:val="none"/>
              </w:rPr>
            </w:pPr>
          </w:p>
        </w:tc>
        <w:tc>
          <w:tcPr>
            <w:tcW w:w="234" w:type="dxa"/>
            <w:vAlign w:val="top"/>
          </w:tcPr>
          <w:p w14:paraId="6371BAF2">
            <w:pPr>
              <w:rPr>
                <w:rFonts w:hint="eastAsia" w:ascii="宋体" w:hAnsi="宋体" w:eastAsia="宋体" w:cs="宋体"/>
                <w:color w:val="auto"/>
                <w:sz w:val="24"/>
                <w:szCs w:val="24"/>
                <w:highlight w:val="none"/>
              </w:rPr>
            </w:pPr>
          </w:p>
        </w:tc>
        <w:tc>
          <w:tcPr>
            <w:tcW w:w="346" w:type="dxa"/>
            <w:vAlign w:val="top"/>
          </w:tcPr>
          <w:p w14:paraId="0EC8597F">
            <w:pPr>
              <w:rPr>
                <w:rFonts w:hint="eastAsia" w:ascii="宋体" w:hAnsi="宋体" w:eastAsia="宋体" w:cs="宋体"/>
                <w:color w:val="auto"/>
                <w:sz w:val="24"/>
                <w:szCs w:val="24"/>
                <w:highlight w:val="none"/>
              </w:rPr>
            </w:pPr>
          </w:p>
        </w:tc>
        <w:tc>
          <w:tcPr>
            <w:tcW w:w="337" w:type="dxa"/>
            <w:vAlign w:val="top"/>
          </w:tcPr>
          <w:p w14:paraId="0BFF6118">
            <w:pPr>
              <w:rPr>
                <w:rFonts w:hint="eastAsia" w:ascii="宋体" w:hAnsi="宋体" w:eastAsia="宋体" w:cs="宋体"/>
                <w:color w:val="auto"/>
                <w:sz w:val="24"/>
                <w:szCs w:val="24"/>
                <w:highlight w:val="none"/>
              </w:rPr>
            </w:pPr>
          </w:p>
        </w:tc>
      </w:tr>
      <w:tr w14:paraId="6EA2F5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2770" w:type="dxa"/>
            <w:vMerge w:val="continue"/>
            <w:tcBorders>
              <w:top w:val="nil"/>
              <w:bottom w:val="nil"/>
            </w:tcBorders>
            <w:vAlign w:val="top"/>
          </w:tcPr>
          <w:p w14:paraId="1E38F17E">
            <w:pPr>
              <w:rPr>
                <w:rFonts w:hint="eastAsia" w:ascii="宋体" w:hAnsi="宋体" w:eastAsia="宋体" w:cs="宋体"/>
                <w:color w:val="auto"/>
                <w:sz w:val="24"/>
                <w:szCs w:val="24"/>
                <w:highlight w:val="none"/>
              </w:rPr>
            </w:pPr>
          </w:p>
        </w:tc>
        <w:tc>
          <w:tcPr>
            <w:tcW w:w="235" w:type="dxa"/>
            <w:vAlign w:val="top"/>
          </w:tcPr>
          <w:p w14:paraId="2CE92115">
            <w:pPr>
              <w:rPr>
                <w:rFonts w:hint="eastAsia" w:ascii="宋体" w:hAnsi="宋体" w:eastAsia="宋体" w:cs="宋体"/>
                <w:color w:val="auto"/>
                <w:sz w:val="24"/>
                <w:szCs w:val="24"/>
                <w:highlight w:val="none"/>
              </w:rPr>
            </w:pPr>
          </w:p>
        </w:tc>
        <w:tc>
          <w:tcPr>
            <w:tcW w:w="235" w:type="dxa"/>
            <w:vAlign w:val="top"/>
          </w:tcPr>
          <w:p w14:paraId="23F93847">
            <w:pPr>
              <w:rPr>
                <w:rFonts w:hint="eastAsia" w:ascii="宋体" w:hAnsi="宋体" w:eastAsia="宋体" w:cs="宋体"/>
                <w:color w:val="auto"/>
                <w:sz w:val="24"/>
                <w:szCs w:val="24"/>
                <w:highlight w:val="none"/>
              </w:rPr>
            </w:pPr>
          </w:p>
        </w:tc>
        <w:tc>
          <w:tcPr>
            <w:tcW w:w="234" w:type="dxa"/>
            <w:vAlign w:val="top"/>
          </w:tcPr>
          <w:p w14:paraId="7D4030B2">
            <w:pPr>
              <w:rPr>
                <w:rFonts w:hint="eastAsia" w:ascii="宋体" w:hAnsi="宋体" w:eastAsia="宋体" w:cs="宋体"/>
                <w:color w:val="auto"/>
                <w:sz w:val="24"/>
                <w:szCs w:val="24"/>
                <w:highlight w:val="none"/>
              </w:rPr>
            </w:pPr>
          </w:p>
        </w:tc>
        <w:tc>
          <w:tcPr>
            <w:tcW w:w="234" w:type="dxa"/>
            <w:vAlign w:val="top"/>
          </w:tcPr>
          <w:p w14:paraId="4146DC7A">
            <w:pPr>
              <w:rPr>
                <w:rFonts w:hint="eastAsia" w:ascii="宋体" w:hAnsi="宋体" w:eastAsia="宋体" w:cs="宋体"/>
                <w:color w:val="auto"/>
                <w:sz w:val="24"/>
                <w:szCs w:val="24"/>
                <w:highlight w:val="none"/>
              </w:rPr>
            </w:pPr>
          </w:p>
        </w:tc>
        <w:tc>
          <w:tcPr>
            <w:tcW w:w="234" w:type="dxa"/>
            <w:vAlign w:val="top"/>
          </w:tcPr>
          <w:p w14:paraId="23DDFFA5">
            <w:pPr>
              <w:rPr>
                <w:rFonts w:hint="eastAsia" w:ascii="宋体" w:hAnsi="宋体" w:eastAsia="宋体" w:cs="宋体"/>
                <w:color w:val="auto"/>
                <w:sz w:val="24"/>
                <w:szCs w:val="24"/>
                <w:highlight w:val="none"/>
              </w:rPr>
            </w:pPr>
          </w:p>
        </w:tc>
        <w:tc>
          <w:tcPr>
            <w:tcW w:w="234" w:type="dxa"/>
            <w:vAlign w:val="top"/>
          </w:tcPr>
          <w:p w14:paraId="553343B8">
            <w:pPr>
              <w:rPr>
                <w:rFonts w:hint="eastAsia" w:ascii="宋体" w:hAnsi="宋体" w:eastAsia="宋体" w:cs="宋体"/>
                <w:color w:val="auto"/>
                <w:sz w:val="24"/>
                <w:szCs w:val="24"/>
                <w:highlight w:val="none"/>
              </w:rPr>
            </w:pPr>
          </w:p>
        </w:tc>
        <w:tc>
          <w:tcPr>
            <w:tcW w:w="234" w:type="dxa"/>
            <w:vAlign w:val="top"/>
          </w:tcPr>
          <w:p w14:paraId="6EFA5A3E">
            <w:pPr>
              <w:rPr>
                <w:rFonts w:hint="eastAsia" w:ascii="宋体" w:hAnsi="宋体" w:eastAsia="宋体" w:cs="宋体"/>
                <w:color w:val="auto"/>
                <w:sz w:val="24"/>
                <w:szCs w:val="24"/>
                <w:highlight w:val="none"/>
              </w:rPr>
            </w:pPr>
          </w:p>
        </w:tc>
        <w:tc>
          <w:tcPr>
            <w:tcW w:w="234" w:type="dxa"/>
            <w:vAlign w:val="top"/>
          </w:tcPr>
          <w:p w14:paraId="5761D1D6">
            <w:pPr>
              <w:rPr>
                <w:rFonts w:hint="eastAsia" w:ascii="宋体" w:hAnsi="宋体" w:eastAsia="宋体" w:cs="宋体"/>
                <w:color w:val="auto"/>
                <w:sz w:val="24"/>
                <w:szCs w:val="24"/>
                <w:highlight w:val="none"/>
              </w:rPr>
            </w:pPr>
          </w:p>
        </w:tc>
        <w:tc>
          <w:tcPr>
            <w:tcW w:w="234" w:type="dxa"/>
            <w:vAlign w:val="top"/>
          </w:tcPr>
          <w:p w14:paraId="028D0B19">
            <w:pPr>
              <w:rPr>
                <w:rFonts w:hint="eastAsia" w:ascii="宋体" w:hAnsi="宋体" w:eastAsia="宋体" w:cs="宋体"/>
                <w:color w:val="auto"/>
                <w:sz w:val="24"/>
                <w:szCs w:val="24"/>
                <w:highlight w:val="none"/>
              </w:rPr>
            </w:pPr>
          </w:p>
        </w:tc>
        <w:tc>
          <w:tcPr>
            <w:tcW w:w="347" w:type="dxa"/>
            <w:vAlign w:val="top"/>
          </w:tcPr>
          <w:p w14:paraId="30C4FE24">
            <w:pPr>
              <w:rPr>
                <w:rFonts w:hint="eastAsia" w:ascii="宋体" w:hAnsi="宋体" w:eastAsia="宋体" w:cs="宋体"/>
                <w:color w:val="auto"/>
                <w:sz w:val="24"/>
                <w:szCs w:val="24"/>
                <w:highlight w:val="none"/>
              </w:rPr>
            </w:pPr>
          </w:p>
        </w:tc>
        <w:tc>
          <w:tcPr>
            <w:tcW w:w="351" w:type="dxa"/>
            <w:vAlign w:val="top"/>
          </w:tcPr>
          <w:p w14:paraId="13C4296F">
            <w:pPr>
              <w:rPr>
                <w:rFonts w:hint="eastAsia" w:ascii="宋体" w:hAnsi="宋体" w:eastAsia="宋体" w:cs="宋体"/>
                <w:color w:val="auto"/>
                <w:sz w:val="24"/>
                <w:szCs w:val="24"/>
                <w:highlight w:val="none"/>
              </w:rPr>
            </w:pPr>
          </w:p>
        </w:tc>
        <w:tc>
          <w:tcPr>
            <w:tcW w:w="346" w:type="dxa"/>
            <w:vAlign w:val="top"/>
          </w:tcPr>
          <w:p w14:paraId="1DE4E439">
            <w:pPr>
              <w:rPr>
                <w:rFonts w:hint="eastAsia" w:ascii="宋体" w:hAnsi="宋体" w:eastAsia="宋体" w:cs="宋体"/>
                <w:color w:val="auto"/>
                <w:sz w:val="24"/>
                <w:szCs w:val="24"/>
                <w:highlight w:val="none"/>
              </w:rPr>
            </w:pPr>
          </w:p>
        </w:tc>
        <w:tc>
          <w:tcPr>
            <w:tcW w:w="234" w:type="dxa"/>
            <w:vAlign w:val="top"/>
          </w:tcPr>
          <w:p w14:paraId="11FF7D77">
            <w:pPr>
              <w:rPr>
                <w:rFonts w:hint="eastAsia" w:ascii="宋体" w:hAnsi="宋体" w:eastAsia="宋体" w:cs="宋体"/>
                <w:color w:val="auto"/>
                <w:sz w:val="24"/>
                <w:szCs w:val="24"/>
                <w:highlight w:val="none"/>
              </w:rPr>
            </w:pPr>
          </w:p>
        </w:tc>
        <w:tc>
          <w:tcPr>
            <w:tcW w:w="234" w:type="dxa"/>
            <w:vAlign w:val="top"/>
          </w:tcPr>
          <w:p w14:paraId="61E5D376">
            <w:pPr>
              <w:rPr>
                <w:rFonts w:hint="eastAsia" w:ascii="宋体" w:hAnsi="宋体" w:eastAsia="宋体" w:cs="宋体"/>
                <w:color w:val="auto"/>
                <w:sz w:val="24"/>
                <w:szCs w:val="24"/>
                <w:highlight w:val="none"/>
              </w:rPr>
            </w:pPr>
          </w:p>
        </w:tc>
        <w:tc>
          <w:tcPr>
            <w:tcW w:w="234" w:type="dxa"/>
            <w:vAlign w:val="top"/>
          </w:tcPr>
          <w:p w14:paraId="0AB83646">
            <w:pPr>
              <w:rPr>
                <w:rFonts w:hint="eastAsia" w:ascii="宋体" w:hAnsi="宋体" w:eastAsia="宋体" w:cs="宋体"/>
                <w:color w:val="auto"/>
                <w:sz w:val="24"/>
                <w:szCs w:val="24"/>
                <w:highlight w:val="none"/>
              </w:rPr>
            </w:pPr>
          </w:p>
        </w:tc>
        <w:tc>
          <w:tcPr>
            <w:tcW w:w="234" w:type="dxa"/>
            <w:vAlign w:val="top"/>
          </w:tcPr>
          <w:p w14:paraId="3516B681">
            <w:pPr>
              <w:rPr>
                <w:rFonts w:hint="eastAsia" w:ascii="宋体" w:hAnsi="宋体" w:eastAsia="宋体" w:cs="宋体"/>
                <w:color w:val="auto"/>
                <w:sz w:val="24"/>
                <w:szCs w:val="24"/>
                <w:highlight w:val="none"/>
              </w:rPr>
            </w:pPr>
          </w:p>
        </w:tc>
        <w:tc>
          <w:tcPr>
            <w:tcW w:w="234" w:type="dxa"/>
            <w:vAlign w:val="top"/>
          </w:tcPr>
          <w:p w14:paraId="791FA1FA">
            <w:pPr>
              <w:rPr>
                <w:rFonts w:hint="eastAsia" w:ascii="宋体" w:hAnsi="宋体" w:eastAsia="宋体" w:cs="宋体"/>
                <w:color w:val="auto"/>
                <w:sz w:val="24"/>
                <w:szCs w:val="24"/>
                <w:highlight w:val="none"/>
              </w:rPr>
            </w:pPr>
          </w:p>
        </w:tc>
        <w:tc>
          <w:tcPr>
            <w:tcW w:w="234" w:type="dxa"/>
            <w:vAlign w:val="top"/>
          </w:tcPr>
          <w:p w14:paraId="29B8BABF">
            <w:pPr>
              <w:rPr>
                <w:rFonts w:hint="eastAsia" w:ascii="宋体" w:hAnsi="宋体" w:eastAsia="宋体" w:cs="宋体"/>
                <w:color w:val="auto"/>
                <w:sz w:val="24"/>
                <w:szCs w:val="24"/>
                <w:highlight w:val="none"/>
              </w:rPr>
            </w:pPr>
          </w:p>
        </w:tc>
        <w:tc>
          <w:tcPr>
            <w:tcW w:w="234" w:type="dxa"/>
            <w:vAlign w:val="top"/>
          </w:tcPr>
          <w:p w14:paraId="72342DB5">
            <w:pPr>
              <w:rPr>
                <w:rFonts w:hint="eastAsia" w:ascii="宋体" w:hAnsi="宋体" w:eastAsia="宋体" w:cs="宋体"/>
                <w:color w:val="auto"/>
                <w:sz w:val="24"/>
                <w:szCs w:val="24"/>
                <w:highlight w:val="none"/>
              </w:rPr>
            </w:pPr>
          </w:p>
        </w:tc>
        <w:tc>
          <w:tcPr>
            <w:tcW w:w="234" w:type="dxa"/>
            <w:vAlign w:val="top"/>
          </w:tcPr>
          <w:p w14:paraId="215EF584">
            <w:pPr>
              <w:rPr>
                <w:rFonts w:hint="eastAsia" w:ascii="宋体" w:hAnsi="宋体" w:eastAsia="宋体" w:cs="宋体"/>
                <w:color w:val="auto"/>
                <w:sz w:val="24"/>
                <w:szCs w:val="24"/>
                <w:highlight w:val="none"/>
              </w:rPr>
            </w:pPr>
          </w:p>
        </w:tc>
        <w:tc>
          <w:tcPr>
            <w:tcW w:w="234" w:type="dxa"/>
            <w:vAlign w:val="top"/>
          </w:tcPr>
          <w:p w14:paraId="2504981C">
            <w:pPr>
              <w:rPr>
                <w:rFonts w:hint="eastAsia" w:ascii="宋体" w:hAnsi="宋体" w:eastAsia="宋体" w:cs="宋体"/>
                <w:color w:val="auto"/>
                <w:sz w:val="24"/>
                <w:szCs w:val="24"/>
                <w:highlight w:val="none"/>
              </w:rPr>
            </w:pPr>
          </w:p>
        </w:tc>
        <w:tc>
          <w:tcPr>
            <w:tcW w:w="346" w:type="dxa"/>
            <w:vAlign w:val="top"/>
          </w:tcPr>
          <w:p w14:paraId="31C0405E">
            <w:pPr>
              <w:rPr>
                <w:rFonts w:hint="eastAsia" w:ascii="宋体" w:hAnsi="宋体" w:eastAsia="宋体" w:cs="宋体"/>
                <w:color w:val="auto"/>
                <w:sz w:val="24"/>
                <w:szCs w:val="24"/>
                <w:highlight w:val="none"/>
              </w:rPr>
            </w:pPr>
          </w:p>
        </w:tc>
        <w:tc>
          <w:tcPr>
            <w:tcW w:w="337" w:type="dxa"/>
            <w:vAlign w:val="top"/>
          </w:tcPr>
          <w:p w14:paraId="7A23864E">
            <w:pPr>
              <w:rPr>
                <w:rFonts w:hint="eastAsia" w:ascii="宋体" w:hAnsi="宋体" w:eastAsia="宋体" w:cs="宋体"/>
                <w:color w:val="auto"/>
                <w:sz w:val="24"/>
                <w:szCs w:val="24"/>
                <w:highlight w:val="none"/>
              </w:rPr>
            </w:pPr>
          </w:p>
        </w:tc>
      </w:tr>
      <w:tr w14:paraId="70427F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2770" w:type="dxa"/>
            <w:vMerge w:val="restart"/>
            <w:tcBorders>
              <w:top w:val="nil"/>
              <w:bottom w:val="nil"/>
            </w:tcBorders>
            <w:vAlign w:val="top"/>
          </w:tcPr>
          <w:p w14:paraId="09E2D108">
            <w:pPr>
              <w:pStyle w:val="25"/>
              <w:spacing w:before="9" w:line="217" w:lineRule="auto"/>
              <w:ind w:left="1131"/>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隧10</w:t>
            </w:r>
          </w:p>
          <w:p w14:paraId="3D5784B4">
            <w:pPr>
              <w:pStyle w:val="25"/>
              <w:spacing w:line="234" w:lineRule="auto"/>
              <w:ind w:left="112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道</w:t>
            </w:r>
          </w:p>
        </w:tc>
        <w:tc>
          <w:tcPr>
            <w:tcW w:w="235" w:type="dxa"/>
            <w:vAlign w:val="top"/>
          </w:tcPr>
          <w:p w14:paraId="27C9DD85">
            <w:pPr>
              <w:rPr>
                <w:rFonts w:hint="eastAsia" w:ascii="宋体" w:hAnsi="宋体" w:eastAsia="宋体" w:cs="宋体"/>
                <w:color w:val="auto"/>
                <w:sz w:val="24"/>
                <w:szCs w:val="24"/>
                <w:highlight w:val="none"/>
              </w:rPr>
            </w:pPr>
          </w:p>
        </w:tc>
        <w:tc>
          <w:tcPr>
            <w:tcW w:w="235" w:type="dxa"/>
            <w:vAlign w:val="top"/>
          </w:tcPr>
          <w:p w14:paraId="68E5C28E">
            <w:pPr>
              <w:rPr>
                <w:rFonts w:hint="eastAsia" w:ascii="宋体" w:hAnsi="宋体" w:eastAsia="宋体" w:cs="宋体"/>
                <w:color w:val="auto"/>
                <w:sz w:val="24"/>
                <w:szCs w:val="24"/>
                <w:highlight w:val="none"/>
              </w:rPr>
            </w:pPr>
          </w:p>
        </w:tc>
        <w:tc>
          <w:tcPr>
            <w:tcW w:w="234" w:type="dxa"/>
            <w:vAlign w:val="top"/>
          </w:tcPr>
          <w:p w14:paraId="523AD0C2">
            <w:pPr>
              <w:rPr>
                <w:rFonts w:hint="eastAsia" w:ascii="宋体" w:hAnsi="宋体" w:eastAsia="宋体" w:cs="宋体"/>
                <w:color w:val="auto"/>
                <w:sz w:val="24"/>
                <w:szCs w:val="24"/>
                <w:highlight w:val="none"/>
              </w:rPr>
            </w:pPr>
          </w:p>
        </w:tc>
        <w:tc>
          <w:tcPr>
            <w:tcW w:w="234" w:type="dxa"/>
            <w:vAlign w:val="top"/>
          </w:tcPr>
          <w:p w14:paraId="62964F9C">
            <w:pPr>
              <w:rPr>
                <w:rFonts w:hint="eastAsia" w:ascii="宋体" w:hAnsi="宋体" w:eastAsia="宋体" w:cs="宋体"/>
                <w:color w:val="auto"/>
                <w:sz w:val="24"/>
                <w:szCs w:val="24"/>
                <w:highlight w:val="none"/>
              </w:rPr>
            </w:pPr>
          </w:p>
        </w:tc>
        <w:tc>
          <w:tcPr>
            <w:tcW w:w="234" w:type="dxa"/>
            <w:vAlign w:val="top"/>
          </w:tcPr>
          <w:p w14:paraId="6F1D4FAE">
            <w:pPr>
              <w:rPr>
                <w:rFonts w:hint="eastAsia" w:ascii="宋体" w:hAnsi="宋体" w:eastAsia="宋体" w:cs="宋体"/>
                <w:color w:val="auto"/>
                <w:sz w:val="24"/>
                <w:szCs w:val="24"/>
                <w:highlight w:val="none"/>
              </w:rPr>
            </w:pPr>
          </w:p>
        </w:tc>
        <w:tc>
          <w:tcPr>
            <w:tcW w:w="234" w:type="dxa"/>
            <w:vAlign w:val="top"/>
          </w:tcPr>
          <w:p w14:paraId="19CA4F81">
            <w:pPr>
              <w:rPr>
                <w:rFonts w:hint="eastAsia" w:ascii="宋体" w:hAnsi="宋体" w:eastAsia="宋体" w:cs="宋体"/>
                <w:color w:val="auto"/>
                <w:sz w:val="24"/>
                <w:szCs w:val="24"/>
                <w:highlight w:val="none"/>
              </w:rPr>
            </w:pPr>
          </w:p>
        </w:tc>
        <w:tc>
          <w:tcPr>
            <w:tcW w:w="234" w:type="dxa"/>
            <w:vAlign w:val="top"/>
          </w:tcPr>
          <w:p w14:paraId="20F8E994">
            <w:pPr>
              <w:rPr>
                <w:rFonts w:hint="eastAsia" w:ascii="宋体" w:hAnsi="宋体" w:eastAsia="宋体" w:cs="宋体"/>
                <w:color w:val="auto"/>
                <w:sz w:val="24"/>
                <w:szCs w:val="24"/>
                <w:highlight w:val="none"/>
              </w:rPr>
            </w:pPr>
          </w:p>
        </w:tc>
        <w:tc>
          <w:tcPr>
            <w:tcW w:w="234" w:type="dxa"/>
            <w:vAlign w:val="top"/>
          </w:tcPr>
          <w:p w14:paraId="6AF78244">
            <w:pPr>
              <w:rPr>
                <w:rFonts w:hint="eastAsia" w:ascii="宋体" w:hAnsi="宋体" w:eastAsia="宋体" w:cs="宋体"/>
                <w:color w:val="auto"/>
                <w:sz w:val="24"/>
                <w:szCs w:val="24"/>
                <w:highlight w:val="none"/>
              </w:rPr>
            </w:pPr>
          </w:p>
        </w:tc>
        <w:tc>
          <w:tcPr>
            <w:tcW w:w="234" w:type="dxa"/>
            <w:vAlign w:val="top"/>
          </w:tcPr>
          <w:p w14:paraId="1753605F">
            <w:pPr>
              <w:rPr>
                <w:rFonts w:hint="eastAsia" w:ascii="宋体" w:hAnsi="宋体" w:eastAsia="宋体" w:cs="宋体"/>
                <w:color w:val="auto"/>
                <w:sz w:val="24"/>
                <w:szCs w:val="24"/>
                <w:highlight w:val="none"/>
              </w:rPr>
            </w:pPr>
          </w:p>
        </w:tc>
        <w:tc>
          <w:tcPr>
            <w:tcW w:w="347" w:type="dxa"/>
            <w:vAlign w:val="top"/>
          </w:tcPr>
          <w:p w14:paraId="5A8BC05E">
            <w:pPr>
              <w:rPr>
                <w:rFonts w:hint="eastAsia" w:ascii="宋体" w:hAnsi="宋体" w:eastAsia="宋体" w:cs="宋体"/>
                <w:color w:val="auto"/>
                <w:sz w:val="24"/>
                <w:szCs w:val="24"/>
                <w:highlight w:val="none"/>
              </w:rPr>
            </w:pPr>
          </w:p>
        </w:tc>
        <w:tc>
          <w:tcPr>
            <w:tcW w:w="351" w:type="dxa"/>
            <w:vAlign w:val="top"/>
          </w:tcPr>
          <w:p w14:paraId="0B0AD473">
            <w:pPr>
              <w:rPr>
                <w:rFonts w:hint="eastAsia" w:ascii="宋体" w:hAnsi="宋体" w:eastAsia="宋体" w:cs="宋体"/>
                <w:color w:val="auto"/>
                <w:sz w:val="24"/>
                <w:szCs w:val="24"/>
                <w:highlight w:val="none"/>
              </w:rPr>
            </w:pPr>
          </w:p>
        </w:tc>
        <w:tc>
          <w:tcPr>
            <w:tcW w:w="346" w:type="dxa"/>
            <w:vAlign w:val="top"/>
          </w:tcPr>
          <w:p w14:paraId="04ABCBD3">
            <w:pPr>
              <w:rPr>
                <w:rFonts w:hint="eastAsia" w:ascii="宋体" w:hAnsi="宋体" w:eastAsia="宋体" w:cs="宋体"/>
                <w:color w:val="auto"/>
                <w:sz w:val="24"/>
                <w:szCs w:val="24"/>
                <w:highlight w:val="none"/>
              </w:rPr>
            </w:pPr>
          </w:p>
        </w:tc>
        <w:tc>
          <w:tcPr>
            <w:tcW w:w="234" w:type="dxa"/>
            <w:vAlign w:val="top"/>
          </w:tcPr>
          <w:p w14:paraId="70B89A22">
            <w:pPr>
              <w:rPr>
                <w:rFonts w:hint="eastAsia" w:ascii="宋体" w:hAnsi="宋体" w:eastAsia="宋体" w:cs="宋体"/>
                <w:color w:val="auto"/>
                <w:sz w:val="24"/>
                <w:szCs w:val="24"/>
                <w:highlight w:val="none"/>
              </w:rPr>
            </w:pPr>
          </w:p>
        </w:tc>
        <w:tc>
          <w:tcPr>
            <w:tcW w:w="234" w:type="dxa"/>
            <w:vAlign w:val="top"/>
          </w:tcPr>
          <w:p w14:paraId="75D4E052">
            <w:pPr>
              <w:rPr>
                <w:rFonts w:hint="eastAsia" w:ascii="宋体" w:hAnsi="宋体" w:eastAsia="宋体" w:cs="宋体"/>
                <w:color w:val="auto"/>
                <w:sz w:val="24"/>
                <w:szCs w:val="24"/>
                <w:highlight w:val="none"/>
              </w:rPr>
            </w:pPr>
          </w:p>
        </w:tc>
        <w:tc>
          <w:tcPr>
            <w:tcW w:w="234" w:type="dxa"/>
            <w:vAlign w:val="top"/>
          </w:tcPr>
          <w:p w14:paraId="6C035F62">
            <w:pPr>
              <w:rPr>
                <w:rFonts w:hint="eastAsia" w:ascii="宋体" w:hAnsi="宋体" w:eastAsia="宋体" w:cs="宋体"/>
                <w:color w:val="auto"/>
                <w:sz w:val="24"/>
                <w:szCs w:val="24"/>
                <w:highlight w:val="none"/>
              </w:rPr>
            </w:pPr>
          </w:p>
        </w:tc>
        <w:tc>
          <w:tcPr>
            <w:tcW w:w="234" w:type="dxa"/>
            <w:vAlign w:val="top"/>
          </w:tcPr>
          <w:p w14:paraId="639E796E">
            <w:pPr>
              <w:rPr>
                <w:rFonts w:hint="eastAsia" w:ascii="宋体" w:hAnsi="宋体" w:eastAsia="宋体" w:cs="宋体"/>
                <w:color w:val="auto"/>
                <w:sz w:val="24"/>
                <w:szCs w:val="24"/>
                <w:highlight w:val="none"/>
              </w:rPr>
            </w:pPr>
          </w:p>
        </w:tc>
        <w:tc>
          <w:tcPr>
            <w:tcW w:w="234" w:type="dxa"/>
            <w:vAlign w:val="top"/>
          </w:tcPr>
          <w:p w14:paraId="52CC93A0">
            <w:pPr>
              <w:rPr>
                <w:rFonts w:hint="eastAsia" w:ascii="宋体" w:hAnsi="宋体" w:eastAsia="宋体" w:cs="宋体"/>
                <w:color w:val="auto"/>
                <w:sz w:val="24"/>
                <w:szCs w:val="24"/>
                <w:highlight w:val="none"/>
              </w:rPr>
            </w:pPr>
          </w:p>
        </w:tc>
        <w:tc>
          <w:tcPr>
            <w:tcW w:w="234" w:type="dxa"/>
            <w:vAlign w:val="top"/>
          </w:tcPr>
          <w:p w14:paraId="6D5CA7B7">
            <w:pPr>
              <w:rPr>
                <w:rFonts w:hint="eastAsia" w:ascii="宋体" w:hAnsi="宋体" w:eastAsia="宋体" w:cs="宋体"/>
                <w:color w:val="auto"/>
                <w:sz w:val="24"/>
                <w:szCs w:val="24"/>
                <w:highlight w:val="none"/>
              </w:rPr>
            </w:pPr>
          </w:p>
        </w:tc>
        <w:tc>
          <w:tcPr>
            <w:tcW w:w="234" w:type="dxa"/>
            <w:vAlign w:val="top"/>
          </w:tcPr>
          <w:p w14:paraId="47CE437C">
            <w:pPr>
              <w:rPr>
                <w:rFonts w:hint="eastAsia" w:ascii="宋体" w:hAnsi="宋体" w:eastAsia="宋体" w:cs="宋体"/>
                <w:color w:val="auto"/>
                <w:sz w:val="24"/>
                <w:szCs w:val="24"/>
                <w:highlight w:val="none"/>
              </w:rPr>
            </w:pPr>
          </w:p>
        </w:tc>
        <w:tc>
          <w:tcPr>
            <w:tcW w:w="234" w:type="dxa"/>
            <w:vAlign w:val="top"/>
          </w:tcPr>
          <w:p w14:paraId="1FBB228B">
            <w:pPr>
              <w:rPr>
                <w:rFonts w:hint="eastAsia" w:ascii="宋体" w:hAnsi="宋体" w:eastAsia="宋体" w:cs="宋体"/>
                <w:color w:val="auto"/>
                <w:sz w:val="24"/>
                <w:szCs w:val="24"/>
                <w:highlight w:val="none"/>
              </w:rPr>
            </w:pPr>
          </w:p>
        </w:tc>
        <w:tc>
          <w:tcPr>
            <w:tcW w:w="234" w:type="dxa"/>
            <w:vAlign w:val="top"/>
          </w:tcPr>
          <w:p w14:paraId="0E32642A">
            <w:pPr>
              <w:rPr>
                <w:rFonts w:hint="eastAsia" w:ascii="宋体" w:hAnsi="宋体" w:eastAsia="宋体" w:cs="宋体"/>
                <w:color w:val="auto"/>
                <w:sz w:val="24"/>
                <w:szCs w:val="24"/>
                <w:highlight w:val="none"/>
              </w:rPr>
            </w:pPr>
          </w:p>
        </w:tc>
        <w:tc>
          <w:tcPr>
            <w:tcW w:w="346" w:type="dxa"/>
            <w:vAlign w:val="top"/>
          </w:tcPr>
          <w:p w14:paraId="47E2F09D">
            <w:pPr>
              <w:rPr>
                <w:rFonts w:hint="eastAsia" w:ascii="宋体" w:hAnsi="宋体" w:eastAsia="宋体" w:cs="宋体"/>
                <w:color w:val="auto"/>
                <w:sz w:val="24"/>
                <w:szCs w:val="24"/>
                <w:highlight w:val="none"/>
              </w:rPr>
            </w:pPr>
          </w:p>
        </w:tc>
        <w:tc>
          <w:tcPr>
            <w:tcW w:w="337" w:type="dxa"/>
            <w:vAlign w:val="top"/>
          </w:tcPr>
          <w:p w14:paraId="482F7A3A">
            <w:pPr>
              <w:rPr>
                <w:rFonts w:hint="eastAsia" w:ascii="宋体" w:hAnsi="宋体" w:eastAsia="宋体" w:cs="宋体"/>
                <w:color w:val="auto"/>
                <w:sz w:val="24"/>
                <w:szCs w:val="24"/>
                <w:highlight w:val="none"/>
              </w:rPr>
            </w:pPr>
          </w:p>
        </w:tc>
      </w:tr>
      <w:tr w14:paraId="155C79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2770" w:type="dxa"/>
            <w:vMerge w:val="continue"/>
            <w:tcBorders>
              <w:top w:val="nil"/>
            </w:tcBorders>
            <w:vAlign w:val="top"/>
          </w:tcPr>
          <w:p w14:paraId="2C774492">
            <w:pPr>
              <w:rPr>
                <w:rFonts w:hint="eastAsia" w:ascii="宋体" w:hAnsi="宋体" w:eastAsia="宋体" w:cs="宋体"/>
                <w:color w:val="auto"/>
                <w:sz w:val="24"/>
                <w:szCs w:val="24"/>
                <w:highlight w:val="none"/>
              </w:rPr>
            </w:pPr>
          </w:p>
        </w:tc>
        <w:tc>
          <w:tcPr>
            <w:tcW w:w="235" w:type="dxa"/>
            <w:vAlign w:val="top"/>
          </w:tcPr>
          <w:p w14:paraId="75F2693F">
            <w:pPr>
              <w:rPr>
                <w:rFonts w:hint="eastAsia" w:ascii="宋体" w:hAnsi="宋体" w:eastAsia="宋体" w:cs="宋体"/>
                <w:color w:val="auto"/>
                <w:sz w:val="24"/>
                <w:szCs w:val="24"/>
                <w:highlight w:val="none"/>
              </w:rPr>
            </w:pPr>
          </w:p>
        </w:tc>
        <w:tc>
          <w:tcPr>
            <w:tcW w:w="235" w:type="dxa"/>
            <w:vAlign w:val="top"/>
          </w:tcPr>
          <w:p w14:paraId="73101A9A">
            <w:pPr>
              <w:rPr>
                <w:rFonts w:hint="eastAsia" w:ascii="宋体" w:hAnsi="宋体" w:eastAsia="宋体" w:cs="宋体"/>
                <w:color w:val="auto"/>
                <w:sz w:val="24"/>
                <w:szCs w:val="24"/>
                <w:highlight w:val="none"/>
              </w:rPr>
            </w:pPr>
          </w:p>
        </w:tc>
        <w:tc>
          <w:tcPr>
            <w:tcW w:w="234" w:type="dxa"/>
            <w:vAlign w:val="top"/>
          </w:tcPr>
          <w:p w14:paraId="1E9165B0">
            <w:pPr>
              <w:rPr>
                <w:rFonts w:hint="eastAsia" w:ascii="宋体" w:hAnsi="宋体" w:eastAsia="宋体" w:cs="宋体"/>
                <w:color w:val="auto"/>
                <w:sz w:val="24"/>
                <w:szCs w:val="24"/>
                <w:highlight w:val="none"/>
              </w:rPr>
            </w:pPr>
          </w:p>
        </w:tc>
        <w:tc>
          <w:tcPr>
            <w:tcW w:w="234" w:type="dxa"/>
            <w:vAlign w:val="top"/>
          </w:tcPr>
          <w:p w14:paraId="5E4F11F7">
            <w:pPr>
              <w:rPr>
                <w:rFonts w:hint="eastAsia" w:ascii="宋体" w:hAnsi="宋体" w:eastAsia="宋体" w:cs="宋体"/>
                <w:color w:val="auto"/>
                <w:sz w:val="24"/>
                <w:szCs w:val="24"/>
                <w:highlight w:val="none"/>
              </w:rPr>
            </w:pPr>
          </w:p>
        </w:tc>
        <w:tc>
          <w:tcPr>
            <w:tcW w:w="234" w:type="dxa"/>
            <w:vAlign w:val="top"/>
          </w:tcPr>
          <w:p w14:paraId="3C73E0F2">
            <w:pPr>
              <w:rPr>
                <w:rFonts w:hint="eastAsia" w:ascii="宋体" w:hAnsi="宋体" w:eastAsia="宋体" w:cs="宋体"/>
                <w:color w:val="auto"/>
                <w:sz w:val="24"/>
                <w:szCs w:val="24"/>
                <w:highlight w:val="none"/>
              </w:rPr>
            </w:pPr>
          </w:p>
        </w:tc>
        <w:tc>
          <w:tcPr>
            <w:tcW w:w="234" w:type="dxa"/>
            <w:vAlign w:val="top"/>
          </w:tcPr>
          <w:p w14:paraId="141BAB58">
            <w:pPr>
              <w:rPr>
                <w:rFonts w:hint="eastAsia" w:ascii="宋体" w:hAnsi="宋体" w:eastAsia="宋体" w:cs="宋体"/>
                <w:color w:val="auto"/>
                <w:sz w:val="24"/>
                <w:szCs w:val="24"/>
                <w:highlight w:val="none"/>
              </w:rPr>
            </w:pPr>
          </w:p>
        </w:tc>
        <w:tc>
          <w:tcPr>
            <w:tcW w:w="234" w:type="dxa"/>
            <w:vAlign w:val="top"/>
          </w:tcPr>
          <w:p w14:paraId="52346DA6">
            <w:pPr>
              <w:rPr>
                <w:rFonts w:hint="eastAsia" w:ascii="宋体" w:hAnsi="宋体" w:eastAsia="宋体" w:cs="宋体"/>
                <w:color w:val="auto"/>
                <w:sz w:val="24"/>
                <w:szCs w:val="24"/>
                <w:highlight w:val="none"/>
              </w:rPr>
            </w:pPr>
          </w:p>
        </w:tc>
        <w:tc>
          <w:tcPr>
            <w:tcW w:w="234" w:type="dxa"/>
            <w:vAlign w:val="top"/>
          </w:tcPr>
          <w:p w14:paraId="40532CCF">
            <w:pPr>
              <w:rPr>
                <w:rFonts w:hint="eastAsia" w:ascii="宋体" w:hAnsi="宋体" w:eastAsia="宋体" w:cs="宋体"/>
                <w:color w:val="auto"/>
                <w:sz w:val="24"/>
                <w:szCs w:val="24"/>
                <w:highlight w:val="none"/>
              </w:rPr>
            </w:pPr>
          </w:p>
        </w:tc>
        <w:tc>
          <w:tcPr>
            <w:tcW w:w="234" w:type="dxa"/>
            <w:vAlign w:val="top"/>
          </w:tcPr>
          <w:p w14:paraId="52A85DAA">
            <w:pPr>
              <w:rPr>
                <w:rFonts w:hint="eastAsia" w:ascii="宋体" w:hAnsi="宋体" w:eastAsia="宋体" w:cs="宋体"/>
                <w:color w:val="auto"/>
                <w:sz w:val="24"/>
                <w:szCs w:val="24"/>
                <w:highlight w:val="none"/>
              </w:rPr>
            </w:pPr>
          </w:p>
        </w:tc>
        <w:tc>
          <w:tcPr>
            <w:tcW w:w="347" w:type="dxa"/>
            <w:vAlign w:val="top"/>
          </w:tcPr>
          <w:p w14:paraId="61C2599D">
            <w:pPr>
              <w:rPr>
                <w:rFonts w:hint="eastAsia" w:ascii="宋体" w:hAnsi="宋体" w:eastAsia="宋体" w:cs="宋体"/>
                <w:color w:val="auto"/>
                <w:sz w:val="24"/>
                <w:szCs w:val="24"/>
                <w:highlight w:val="none"/>
              </w:rPr>
            </w:pPr>
          </w:p>
        </w:tc>
        <w:tc>
          <w:tcPr>
            <w:tcW w:w="351" w:type="dxa"/>
            <w:vAlign w:val="top"/>
          </w:tcPr>
          <w:p w14:paraId="1847C25F">
            <w:pPr>
              <w:rPr>
                <w:rFonts w:hint="eastAsia" w:ascii="宋体" w:hAnsi="宋体" w:eastAsia="宋体" w:cs="宋体"/>
                <w:color w:val="auto"/>
                <w:sz w:val="24"/>
                <w:szCs w:val="24"/>
                <w:highlight w:val="none"/>
              </w:rPr>
            </w:pPr>
          </w:p>
        </w:tc>
        <w:tc>
          <w:tcPr>
            <w:tcW w:w="346" w:type="dxa"/>
            <w:vAlign w:val="top"/>
          </w:tcPr>
          <w:p w14:paraId="742466ED">
            <w:pPr>
              <w:rPr>
                <w:rFonts w:hint="eastAsia" w:ascii="宋体" w:hAnsi="宋体" w:eastAsia="宋体" w:cs="宋体"/>
                <w:color w:val="auto"/>
                <w:sz w:val="24"/>
                <w:szCs w:val="24"/>
                <w:highlight w:val="none"/>
              </w:rPr>
            </w:pPr>
          </w:p>
        </w:tc>
        <w:tc>
          <w:tcPr>
            <w:tcW w:w="234" w:type="dxa"/>
            <w:vAlign w:val="top"/>
          </w:tcPr>
          <w:p w14:paraId="4D648F18">
            <w:pPr>
              <w:rPr>
                <w:rFonts w:hint="eastAsia" w:ascii="宋体" w:hAnsi="宋体" w:eastAsia="宋体" w:cs="宋体"/>
                <w:color w:val="auto"/>
                <w:sz w:val="24"/>
                <w:szCs w:val="24"/>
                <w:highlight w:val="none"/>
              </w:rPr>
            </w:pPr>
          </w:p>
        </w:tc>
        <w:tc>
          <w:tcPr>
            <w:tcW w:w="234" w:type="dxa"/>
            <w:vAlign w:val="top"/>
          </w:tcPr>
          <w:p w14:paraId="2616E760">
            <w:pPr>
              <w:rPr>
                <w:rFonts w:hint="eastAsia" w:ascii="宋体" w:hAnsi="宋体" w:eastAsia="宋体" w:cs="宋体"/>
                <w:color w:val="auto"/>
                <w:sz w:val="24"/>
                <w:szCs w:val="24"/>
                <w:highlight w:val="none"/>
              </w:rPr>
            </w:pPr>
          </w:p>
        </w:tc>
        <w:tc>
          <w:tcPr>
            <w:tcW w:w="234" w:type="dxa"/>
            <w:vAlign w:val="top"/>
          </w:tcPr>
          <w:p w14:paraId="1422E68C">
            <w:pPr>
              <w:rPr>
                <w:rFonts w:hint="eastAsia" w:ascii="宋体" w:hAnsi="宋体" w:eastAsia="宋体" w:cs="宋体"/>
                <w:color w:val="auto"/>
                <w:sz w:val="24"/>
                <w:szCs w:val="24"/>
                <w:highlight w:val="none"/>
              </w:rPr>
            </w:pPr>
          </w:p>
        </w:tc>
        <w:tc>
          <w:tcPr>
            <w:tcW w:w="234" w:type="dxa"/>
            <w:vAlign w:val="top"/>
          </w:tcPr>
          <w:p w14:paraId="653AE61D">
            <w:pPr>
              <w:rPr>
                <w:rFonts w:hint="eastAsia" w:ascii="宋体" w:hAnsi="宋体" w:eastAsia="宋体" w:cs="宋体"/>
                <w:color w:val="auto"/>
                <w:sz w:val="24"/>
                <w:szCs w:val="24"/>
                <w:highlight w:val="none"/>
              </w:rPr>
            </w:pPr>
          </w:p>
        </w:tc>
        <w:tc>
          <w:tcPr>
            <w:tcW w:w="234" w:type="dxa"/>
            <w:vAlign w:val="top"/>
          </w:tcPr>
          <w:p w14:paraId="2D43130A">
            <w:pPr>
              <w:rPr>
                <w:rFonts w:hint="eastAsia" w:ascii="宋体" w:hAnsi="宋体" w:eastAsia="宋体" w:cs="宋体"/>
                <w:color w:val="auto"/>
                <w:sz w:val="24"/>
                <w:szCs w:val="24"/>
                <w:highlight w:val="none"/>
              </w:rPr>
            </w:pPr>
          </w:p>
        </w:tc>
        <w:tc>
          <w:tcPr>
            <w:tcW w:w="234" w:type="dxa"/>
            <w:vAlign w:val="top"/>
          </w:tcPr>
          <w:p w14:paraId="01E21770">
            <w:pPr>
              <w:rPr>
                <w:rFonts w:hint="eastAsia" w:ascii="宋体" w:hAnsi="宋体" w:eastAsia="宋体" w:cs="宋体"/>
                <w:color w:val="auto"/>
                <w:sz w:val="24"/>
                <w:szCs w:val="24"/>
                <w:highlight w:val="none"/>
              </w:rPr>
            </w:pPr>
          </w:p>
        </w:tc>
        <w:tc>
          <w:tcPr>
            <w:tcW w:w="234" w:type="dxa"/>
            <w:vAlign w:val="top"/>
          </w:tcPr>
          <w:p w14:paraId="360016F5">
            <w:pPr>
              <w:rPr>
                <w:rFonts w:hint="eastAsia" w:ascii="宋体" w:hAnsi="宋体" w:eastAsia="宋体" w:cs="宋体"/>
                <w:color w:val="auto"/>
                <w:sz w:val="24"/>
                <w:szCs w:val="24"/>
                <w:highlight w:val="none"/>
              </w:rPr>
            </w:pPr>
          </w:p>
        </w:tc>
        <w:tc>
          <w:tcPr>
            <w:tcW w:w="234" w:type="dxa"/>
            <w:vAlign w:val="top"/>
          </w:tcPr>
          <w:p w14:paraId="7CEFF4DA">
            <w:pPr>
              <w:rPr>
                <w:rFonts w:hint="eastAsia" w:ascii="宋体" w:hAnsi="宋体" w:eastAsia="宋体" w:cs="宋体"/>
                <w:color w:val="auto"/>
                <w:sz w:val="24"/>
                <w:szCs w:val="24"/>
                <w:highlight w:val="none"/>
              </w:rPr>
            </w:pPr>
          </w:p>
        </w:tc>
        <w:tc>
          <w:tcPr>
            <w:tcW w:w="234" w:type="dxa"/>
            <w:vAlign w:val="top"/>
          </w:tcPr>
          <w:p w14:paraId="206BFAC3">
            <w:pPr>
              <w:rPr>
                <w:rFonts w:hint="eastAsia" w:ascii="宋体" w:hAnsi="宋体" w:eastAsia="宋体" w:cs="宋体"/>
                <w:color w:val="auto"/>
                <w:sz w:val="24"/>
                <w:szCs w:val="24"/>
                <w:highlight w:val="none"/>
              </w:rPr>
            </w:pPr>
          </w:p>
        </w:tc>
        <w:tc>
          <w:tcPr>
            <w:tcW w:w="346" w:type="dxa"/>
            <w:vAlign w:val="top"/>
          </w:tcPr>
          <w:p w14:paraId="7D43525A">
            <w:pPr>
              <w:rPr>
                <w:rFonts w:hint="eastAsia" w:ascii="宋体" w:hAnsi="宋体" w:eastAsia="宋体" w:cs="宋体"/>
                <w:color w:val="auto"/>
                <w:sz w:val="24"/>
                <w:szCs w:val="24"/>
                <w:highlight w:val="none"/>
              </w:rPr>
            </w:pPr>
          </w:p>
        </w:tc>
        <w:tc>
          <w:tcPr>
            <w:tcW w:w="337" w:type="dxa"/>
            <w:vAlign w:val="top"/>
          </w:tcPr>
          <w:p w14:paraId="4BF2FA8C">
            <w:pPr>
              <w:rPr>
                <w:rFonts w:hint="eastAsia" w:ascii="宋体" w:hAnsi="宋体" w:eastAsia="宋体" w:cs="宋体"/>
                <w:color w:val="auto"/>
                <w:sz w:val="24"/>
                <w:szCs w:val="24"/>
                <w:highlight w:val="none"/>
              </w:rPr>
            </w:pPr>
          </w:p>
        </w:tc>
      </w:tr>
    </w:tbl>
    <w:p w14:paraId="2DB7FCBB">
      <w:pPr>
        <w:spacing w:before="184" w:line="228" w:lineRule="auto"/>
        <w:ind w:left="832"/>
        <w:rPr>
          <w:rFonts w:hint="eastAsia" w:ascii="宋体" w:hAnsi="宋体" w:eastAsia="宋体" w:cs="宋体"/>
          <w:color w:val="auto"/>
          <w:sz w:val="19"/>
          <w:szCs w:val="19"/>
          <w:highlight w:val="none"/>
        </w:rPr>
      </w:pPr>
      <w:r>
        <w:rPr>
          <w:rFonts w:hint="eastAsia" w:ascii="宋体" w:hAnsi="宋体" w:eastAsia="宋体" w:cs="宋体"/>
          <w:color w:val="auto"/>
          <w:spacing w:val="8"/>
          <w:sz w:val="19"/>
          <w:szCs w:val="19"/>
          <w:highlight w:val="none"/>
        </w:rPr>
        <w:t>注：1.应按各标段实际工程内容填写。</w:t>
      </w:r>
    </w:p>
    <w:p w14:paraId="5E39A8FF">
      <w:pPr>
        <w:spacing w:before="209" w:line="228" w:lineRule="auto"/>
        <w:ind w:left="1227"/>
        <w:rPr>
          <w:rFonts w:hint="eastAsia" w:ascii="宋体" w:hAnsi="宋体" w:eastAsia="宋体" w:cs="宋体"/>
          <w:color w:val="auto"/>
          <w:sz w:val="19"/>
          <w:szCs w:val="19"/>
          <w:highlight w:val="none"/>
        </w:rPr>
      </w:pPr>
      <w:r>
        <w:rPr>
          <w:rFonts w:hint="eastAsia" w:ascii="宋体" w:hAnsi="宋体" w:eastAsia="宋体" w:cs="宋体"/>
          <w:color w:val="auto"/>
          <w:spacing w:val="8"/>
          <w:sz w:val="19"/>
          <w:szCs w:val="19"/>
          <w:highlight w:val="none"/>
        </w:rPr>
        <w:t>2.各个项目的进程可用线条的长短来表示。</w:t>
      </w:r>
    </w:p>
    <w:p w14:paraId="231030F8">
      <w:pPr>
        <w:spacing w:line="228" w:lineRule="auto"/>
        <w:rPr>
          <w:rFonts w:hint="eastAsia" w:ascii="宋体" w:hAnsi="宋体" w:eastAsia="宋体" w:cs="宋体"/>
          <w:color w:val="auto"/>
          <w:sz w:val="19"/>
          <w:szCs w:val="19"/>
          <w:highlight w:val="none"/>
        </w:rPr>
        <w:sectPr>
          <w:headerReference r:id="rId249" w:type="default"/>
          <w:footerReference r:id="rId250" w:type="default"/>
          <w:pgSz w:w="11907" w:h="16840"/>
          <w:pgMar w:top="1182" w:right="1280" w:bottom="1014" w:left="1786" w:header="849" w:footer="852" w:gutter="0"/>
          <w:pgNumType w:fmt="decimal"/>
          <w:cols w:space="720" w:num="1"/>
        </w:sectPr>
      </w:pPr>
    </w:p>
    <w:p w14:paraId="3604B2E5">
      <w:pPr>
        <w:spacing w:before="298" w:line="220" w:lineRule="auto"/>
        <w:ind w:left="359"/>
        <w:outlineLvl w:val="2"/>
        <w:rPr>
          <w:rFonts w:hint="eastAsia" w:ascii="宋体" w:hAnsi="宋体" w:eastAsia="宋体" w:cs="宋体"/>
          <w:color w:val="auto"/>
          <w:sz w:val="28"/>
          <w:szCs w:val="28"/>
          <w:highlight w:val="none"/>
        </w:rPr>
      </w:pPr>
      <w:bookmarkStart w:id="895" w:name="_Toc1463"/>
      <w:bookmarkStart w:id="896" w:name="_Toc2305"/>
      <w:bookmarkStart w:id="897" w:name="_Toc32721"/>
      <w:bookmarkStart w:id="898" w:name="_Toc10434"/>
      <w:bookmarkStart w:id="899" w:name="_Toc7147"/>
      <w:r>
        <w:rPr>
          <w:rFonts w:hint="eastAsia" w:ascii="宋体" w:hAnsi="宋体" w:eastAsia="宋体" w:cs="宋体"/>
          <w:color w:val="auto"/>
          <w:spacing w:val="-3"/>
          <w:sz w:val="28"/>
          <w:szCs w:val="28"/>
          <w:highlight w:val="none"/>
        </w:rPr>
        <w:t>附表三工程管理曲线</w:t>
      </w:r>
      <w:bookmarkEnd w:id="895"/>
      <w:bookmarkEnd w:id="896"/>
      <w:bookmarkEnd w:id="897"/>
      <w:bookmarkEnd w:id="898"/>
      <w:bookmarkEnd w:id="899"/>
    </w:p>
    <w:p w14:paraId="4D4543F8">
      <w:pPr>
        <w:spacing w:line="227" w:lineRule="exact"/>
        <w:rPr>
          <w:rFonts w:hint="eastAsia" w:ascii="宋体" w:hAnsi="宋体" w:eastAsia="宋体" w:cs="宋体"/>
          <w:color w:val="auto"/>
          <w:highlight w:val="none"/>
        </w:rPr>
      </w:pPr>
    </w:p>
    <w:tbl>
      <w:tblPr>
        <w:tblStyle w:val="24"/>
        <w:tblW w:w="9371" w:type="dxa"/>
        <w:tblInd w:w="11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48"/>
        <w:gridCol w:w="399"/>
        <w:gridCol w:w="406"/>
        <w:gridCol w:w="406"/>
        <w:gridCol w:w="406"/>
        <w:gridCol w:w="406"/>
        <w:gridCol w:w="404"/>
        <w:gridCol w:w="406"/>
        <w:gridCol w:w="406"/>
        <w:gridCol w:w="406"/>
        <w:gridCol w:w="406"/>
        <w:gridCol w:w="406"/>
        <w:gridCol w:w="406"/>
        <w:gridCol w:w="406"/>
        <w:gridCol w:w="406"/>
        <w:gridCol w:w="406"/>
        <w:gridCol w:w="406"/>
        <w:gridCol w:w="408"/>
        <w:gridCol w:w="407"/>
        <w:gridCol w:w="408"/>
        <w:gridCol w:w="413"/>
      </w:tblGrid>
      <w:tr w14:paraId="56FA3B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248" w:type="dxa"/>
            <w:vMerge w:val="restart"/>
            <w:tcBorders>
              <w:bottom w:val="nil"/>
            </w:tcBorders>
            <w:vAlign w:val="top"/>
          </w:tcPr>
          <w:p w14:paraId="479D793E">
            <w:pPr>
              <w:pStyle w:val="25"/>
              <w:spacing w:before="46" w:line="220" w:lineRule="auto"/>
              <w:ind w:left="453"/>
              <w:rPr>
                <w:rFonts w:hint="eastAsia" w:ascii="宋体" w:hAnsi="宋体" w:eastAsia="宋体" w:cs="宋体"/>
                <w:color w:val="auto"/>
                <w:sz w:val="22"/>
                <w:szCs w:val="22"/>
                <w:highlight w:val="none"/>
              </w:rPr>
            </w:pPr>
            <w:r>
              <w:rPr>
                <w:rFonts w:hint="eastAsia" w:ascii="宋体" w:hAnsi="宋体" w:eastAsia="宋体" w:cs="宋体"/>
                <w:color w:val="auto"/>
                <w:highlight w:val="none"/>
              </w:rPr>
              <w:drawing>
                <wp:anchor distT="0" distB="0" distL="0" distR="0" simplePos="0" relativeHeight="251734016" behindDoc="1" locked="0" layoutInCell="1" allowOverlap="1">
                  <wp:simplePos x="0" y="0"/>
                  <wp:positionH relativeFrom="column">
                    <wp:posOffset>105410</wp:posOffset>
                  </wp:positionH>
                  <wp:positionV relativeFrom="paragraph">
                    <wp:posOffset>-2540</wp:posOffset>
                  </wp:positionV>
                  <wp:extent cx="589915" cy="803910"/>
                  <wp:effectExtent l="0" t="0" r="0" b="0"/>
                  <wp:wrapNone/>
                  <wp:docPr id="36" name="IM 36"/>
                  <wp:cNvGraphicFramePr/>
                  <a:graphic xmlns:a="http://schemas.openxmlformats.org/drawingml/2006/main">
                    <a:graphicData uri="http://schemas.openxmlformats.org/drawingml/2006/picture">
                      <pic:pic xmlns:pic="http://schemas.openxmlformats.org/drawingml/2006/picture">
                        <pic:nvPicPr>
                          <pic:cNvPr id="36" name="IM 36"/>
                          <pic:cNvPicPr/>
                        </pic:nvPicPr>
                        <pic:blipFill>
                          <a:blip r:embed="rId319"/>
                          <a:stretch>
                            <a:fillRect/>
                          </a:stretch>
                        </pic:blipFill>
                        <pic:spPr>
                          <a:xfrm>
                            <a:off x="0" y="0"/>
                            <a:ext cx="589724" cy="803960"/>
                          </a:xfrm>
                          <a:prstGeom prst="rect">
                            <a:avLst/>
                          </a:prstGeom>
                        </pic:spPr>
                      </pic:pic>
                    </a:graphicData>
                  </a:graphic>
                </wp:anchor>
              </w:drawing>
            </w:r>
            <w:r>
              <w:rPr>
                <w:rFonts w:hint="eastAsia" w:ascii="宋体" w:hAnsi="宋体" w:eastAsia="宋体" w:cs="宋体"/>
                <w:color w:val="auto"/>
                <w:highlight w:val="none"/>
              </w:rPr>
              <w:pict>
                <v:shape id="_x0000_s1044" o:spid="_x0000_s1044" o:spt="202" type="#_x0000_t202" style="position:absolute;left:0pt;margin-left:38.35pt;margin-top:20.25pt;height:27.35pt;width:14.85pt;mso-position-horizontal-relative:page;mso-position-vertical-relative:page;z-index:251736064;mso-width-relative:page;mso-height-relative:page;" filled="f" stroked="f" coordsize="21600,21600">
                  <v:path/>
                  <v:fill on="f" focussize="0,0"/>
                  <v:stroke on="f"/>
                  <v:imagedata o:title=""/>
                  <o:lock v:ext="edit" aspectratio="f"/>
                  <v:textbox inset="0mm,0mm,0mm,0mm" style="layout-flow:vertical-ideographic;">
                    <w:txbxContent>
                      <w:p w14:paraId="4043E322">
                        <w:pPr>
                          <w:pStyle w:val="25"/>
                          <w:spacing w:before="20" w:line="209" w:lineRule="auto"/>
                          <w:ind w:left="20"/>
                          <w:rPr>
                            <w:sz w:val="22"/>
                            <w:szCs w:val="22"/>
                          </w:rPr>
                        </w:pPr>
                        <w:r>
                          <w:rPr>
                            <w:spacing w:val="33"/>
                            <w:sz w:val="22"/>
                            <w:szCs w:val="22"/>
                          </w:rPr>
                          <w:t>季度</w:t>
                        </w:r>
                      </w:p>
                    </w:txbxContent>
                  </v:textbox>
                </v:shape>
              </w:pict>
            </w:r>
            <w:r>
              <w:rPr>
                <w:rFonts w:hint="eastAsia" w:ascii="宋体" w:hAnsi="宋体" w:eastAsia="宋体" w:cs="宋体"/>
                <w:color w:val="auto"/>
                <w:spacing w:val="-4"/>
                <w:sz w:val="22"/>
                <w:szCs w:val="22"/>
                <w:highlight w:val="none"/>
              </w:rPr>
              <w:t>年度</w:t>
            </w:r>
          </w:p>
          <w:p w14:paraId="5C4B5BEA">
            <w:pPr>
              <w:spacing w:line="306" w:lineRule="auto"/>
              <w:rPr>
                <w:rFonts w:hint="eastAsia" w:ascii="宋体" w:hAnsi="宋体" w:eastAsia="宋体" w:cs="宋体"/>
                <w:color w:val="auto"/>
                <w:sz w:val="21"/>
                <w:highlight w:val="none"/>
              </w:rPr>
            </w:pPr>
          </w:p>
          <w:p w14:paraId="0FF94EEC">
            <w:pPr>
              <w:spacing w:line="307" w:lineRule="auto"/>
              <w:rPr>
                <w:rFonts w:hint="eastAsia" w:ascii="宋体" w:hAnsi="宋体" w:eastAsia="宋体" w:cs="宋体"/>
                <w:color w:val="auto"/>
                <w:sz w:val="21"/>
                <w:highlight w:val="none"/>
              </w:rPr>
            </w:pPr>
          </w:p>
          <w:p w14:paraId="1ABA311B">
            <w:pPr>
              <w:pStyle w:val="25"/>
              <w:spacing w:before="71" w:line="197" w:lineRule="auto"/>
              <w:ind w:left="14"/>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进度</w:t>
            </w:r>
          </w:p>
        </w:tc>
        <w:tc>
          <w:tcPr>
            <w:tcW w:w="4863" w:type="dxa"/>
            <w:gridSpan w:val="12"/>
            <w:vAlign w:val="top"/>
          </w:tcPr>
          <w:p w14:paraId="08E052B3">
            <w:pPr>
              <w:pStyle w:val="25"/>
              <w:spacing w:before="125" w:line="176" w:lineRule="auto"/>
              <w:ind w:left="2748"/>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年</w:t>
            </w:r>
          </w:p>
        </w:tc>
        <w:tc>
          <w:tcPr>
            <w:tcW w:w="3260" w:type="dxa"/>
            <w:gridSpan w:val="8"/>
            <w:vAlign w:val="top"/>
          </w:tcPr>
          <w:p w14:paraId="5855AF54">
            <w:pPr>
              <w:pStyle w:val="25"/>
              <w:spacing w:before="125" w:line="176" w:lineRule="auto"/>
              <w:ind w:left="2051"/>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年</w:t>
            </w:r>
          </w:p>
        </w:tc>
      </w:tr>
      <w:tr w14:paraId="2998DF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1248" w:type="dxa"/>
            <w:vMerge w:val="continue"/>
            <w:tcBorders>
              <w:top w:val="nil"/>
              <w:bottom w:val="nil"/>
            </w:tcBorders>
            <w:vAlign w:val="top"/>
          </w:tcPr>
          <w:p w14:paraId="4F6C7860">
            <w:pPr>
              <w:rPr>
                <w:rFonts w:hint="eastAsia" w:ascii="宋体" w:hAnsi="宋体" w:eastAsia="宋体" w:cs="宋体"/>
                <w:color w:val="auto"/>
                <w:sz w:val="21"/>
                <w:highlight w:val="none"/>
              </w:rPr>
            </w:pPr>
          </w:p>
        </w:tc>
        <w:tc>
          <w:tcPr>
            <w:tcW w:w="1211" w:type="dxa"/>
            <w:gridSpan w:val="3"/>
            <w:tcBorders>
              <w:bottom w:val="single" w:color="000000" w:sz="4" w:space="0"/>
            </w:tcBorders>
            <w:vAlign w:val="top"/>
          </w:tcPr>
          <w:p w14:paraId="66135F97">
            <w:pPr>
              <w:pStyle w:val="25"/>
              <w:spacing w:before="153" w:line="171" w:lineRule="exact"/>
              <w:ind w:left="502"/>
              <w:rPr>
                <w:rFonts w:hint="eastAsia" w:ascii="宋体" w:hAnsi="宋体" w:eastAsia="宋体" w:cs="宋体"/>
                <w:color w:val="auto"/>
                <w:sz w:val="22"/>
                <w:szCs w:val="22"/>
                <w:highlight w:val="none"/>
              </w:rPr>
            </w:pPr>
            <w:r>
              <w:rPr>
                <w:rFonts w:hint="eastAsia" w:ascii="宋体" w:hAnsi="宋体" w:eastAsia="宋体" w:cs="宋体"/>
                <w:color w:val="auto"/>
                <w:position w:val="-4"/>
                <w:sz w:val="22"/>
                <w:szCs w:val="22"/>
                <w:highlight w:val="none"/>
              </w:rPr>
              <w:t>一</w:t>
            </w:r>
          </w:p>
        </w:tc>
        <w:tc>
          <w:tcPr>
            <w:tcW w:w="1216" w:type="dxa"/>
            <w:gridSpan w:val="3"/>
            <w:tcBorders>
              <w:bottom w:val="single" w:color="000000" w:sz="4" w:space="0"/>
            </w:tcBorders>
            <w:vAlign w:val="top"/>
          </w:tcPr>
          <w:p w14:paraId="3DB1D28B">
            <w:pPr>
              <w:pStyle w:val="25"/>
              <w:spacing w:before="111" w:line="179" w:lineRule="auto"/>
              <w:ind w:left="50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二</w:t>
            </w:r>
          </w:p>
        </w:tc>
        <w:tc>
          <w:tcPr>
            <w:tcW w:w="1218" w:type="dxa"/>
            <w:gridSpan w:val="3"/>
            <w:tcBorders>
              <w:bottom w:val="single" w:color="000000" w:sz="4" w:space="0"/>
            </w:tcBorders>
            <w:vAlign w:val="top"/>
          </w:tcPr>
          <w:p w14:paraId="336C954D">
            <w:pPr>
              <w:pStyle w:val="25"/>
              <w:spacing w:before="71" w:line="237" w:lineRule="auto"/>
              <w:ind w:left="505"/>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三</w:t>
            </w:r>
          </w:p>
        </w:tc>
        <w:tc>
          <w:tcPr>
            <w:tcW w:w="1218" w:type="dxa"/>
            <w:gridSpan w:val="3"/>
            <w:tcBorders>
              <w:bottom w:val="single" w:color="000000" w:sz="4" w:space="0"/>
            </w:tcBorders>
            <w:vAlign w:val="top"/>
          </w:tcPr>
          <w:p w14:paraId="47C7E638">
            <w:pPr>
              <w:pStyle w:val="25"/>
              <w:spacing w:before="70" w:line="223" w:lineRule="auto"/>
              <w:ind w:left="524"/>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四</w:t>
            </w:r>
          </w:p>
        </w:tc>
        <w:tc>
          <w:tcPr>
            <w:tcW w:w="1218" w:type="dxa"/>
            <w:gridSpan w:val="3"/>
            <w:tcBorders>
              <w:bottom w:val="single" w:color="000000" w:sz="4" w:space="0"/>
            </w:tcBorders>
            <w:vAlign w:val="top"/>
          </w:tcPr>
          <w:p w14:paraId="1AAF6647">
            <w:pPr>
              <w:pStyle w:val="25"/>
              <w:spacing w:before="153" w:line="171" w:lineRule="exact"/>
              <w:ind w:left="506"/>
              <w:rPr>
                <w:rFonts w:hint="eastAsia" w:ascii="宋体" w:hAnsi="宋体" w:eastAsia="宋体" w:cs="宋体"/>
                <w:color w:val="auto"/>
                <w:sz w:val="22"/>
                <w:szCs w:val="22"/>
                <w:highlight w:val="none"/>
              </w:rPr>
            </w:pPr>
            <w:r>
              <w:rPr>
                <w:rFonts w:hint="eastAsia" w:ascii="宋体" w:hAnsi="宋体" w:eastAsia="宋体" w:cs="宋体"/>
                <w:color w:val="auto"/>
                <w:position w:val="-4"/>
                <w:sz w:val="22"/>
                <w:szCs w:val="22"/>
                <w:highlight w:val="none"/>
              </w:rPr>
              <w:t>一</w:t>
            </w:r>
          </w:p>
        </w:tc>
        <w:tc>
          <w:tcPr>
            <w:tcW w:w="1221" w:type="dxa"/>
            <w:gridSpan w:val="3"/>
            <w:tcBorders>
              <w:bottom w:val="single" w:color="000000" w:sz="4" w:space="0"/>
            </w:tcBorders>
            <w:vAlign w:val="top"/>
          </w:tcPr>
          <w:p w14:paraId="31883995">
            <w:pPr>
              <w:pStyle w:val="25"/>
              <w:spacing w:before="111" w:line="179" w:lineRule="auto"/>
              <w:ind w:left="505"/>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二</w:t>
            </w:r>
          </w:p>
        </w:tc>
        <w:tc>
          <w:tcPr>
            <w:tcW w:w="821" w:type="dxa"/>
            <w:gridSpan w:val="2"/>
            <w:tcBorders>
              <w:bottom w:val="single" w:color="000000" w:sz="4" w:space="0"/>
            </w:tcBorders>
            <w:vAlign w:val="top"/>
          </w:tcPr>
          <w:p w14:paraId="5065C623">
            <w:pPr>
              <w:spacing w:before="205" w:line="69" w:lineRule="exact"/>
              <w:ind w:left="213"/>
              <w:rPr>
                <w:rFonts w:hint="eastAsia" w:ascii="宋体" w:hAnsi="宋体" w:eastAsia="宋体" w:cs="宋体"/>
                <w:color w:val="auto"/>
                <w:sz w:val="22"/>
                <w:szCs w:val="22"/>
                <w:highlight w:val="none"/>
              </w:rPr>
            </w:pPr>
            <w:r>
              <w:rPr>
                <w:rFonts w:hint="eastAsia" w:ascii="宋体" w:hAnsi="宋体" w:eastAsia="宋体" w:cs="宋体"/>
                <w:color w:val="auto"/>
                <w:position w:val="1"/>
                <w:sz w:val="22"/>
                <w:szCs w:val="22"/>
                <w:highlight w:val="none"/>
              </w:rPr>
              <w:t>……</w:t>
            </w:r>
          </w:p>
        </w:tc>
      </w:tr>
      <w:tr w14:paraId="5A66ED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1248" w:type="dxa"/>
            <w:vMerge w:val="continue"/>
            <w:tcBorders>
              <w:top w:val="nil"/>
            </w:tcBorders>
            <w:vAlign w:val="top"/>
          </w:tcPr>
          <w:p w14:paraId="711C8485">
            <w:pPr>
              <w:rPr>
                <w:rFonts w:hint="eastAsia" w:ascii="宋体" w:hAnsi="宋体" w:eastAsia="宋体" w:cs="宋体"/>
                <w:color w:val="auto"/>
                <w:sz w:val="21"/>
                <w:highlight w:val="none"/>
              </w:rPr>
            </w:pPr>
          </w:p>
        </w:tc>
        <w:tc>
          <w:tcPr>
            <w:tcW w:w="1211" w:type="dxa"/>
            <w:gridSpan w:val="3"/>
            <w:tcBorders>
              <w:top w:val="single" w:color="000000" w:sz="4" w:space="0"/>
            </w:tcBorders>
            <w:vAlign w:val="top"/>
          </w:tcPr>
          <w:p w14:paraId="01D64425">
            <w:pPr>
              <w:spacing w:before="162" w:line="189" w:lineRule="auto"/>
              <w:ind w:left="167"/>
              <w:rPr>
                <w:rFonts w:hint="eastAsia" w:ascii="宋体" w:hAnsi="宋体" w:eastAsia="宋体" w:cs="宋体"/>
                <w:color w:val="auto"/>
                <w:sz w:val="22"/>
                <w:szCs w:val="22"/>
                <w:highlight w:val="none"/>
              </w:rPr>
            </w:pPr>
            <w:r>
              <w:rPr>
                <w:rFonts w:hint="eastAsia" w:ascii="宋体" w:hAnsi="宋体" w:eastAsia="宋体" w:cs="宋体"/>
                <w:color w:val="auto"/>
                <w:spacing w:val="-10"/>
                <w:sz w:val="22"/>
                <w:szCs w:val="22"/>
                <w:highlight w:val="none"/>
              </w:rPr>
              <w:t>123</w:t>
            </w:r>
          </w:p>
        </w:tc>
        <w:tc>
          <w:tcPr>
            <w:tcW w:w="1216" w:type="dxa"/>
            <w:gridSpan w:val="3"/>
            <w:tcBorders>
              <w:top w:val="single" w:color="000000" w:sz="4" w:space="0"/>
            </w:tcBorders>
            <w:vAlign w:val="top"/>
          </w:tcPr>
          <w:p w14:paraId="0FFFA953">
            <w:pPr>
              <w:spacing w:before="162" w:line="189" w:lineRule="auto"/>
              <w:ind w:left="151"/>
              <w:rPr>
                <w:rFonts w:hint="eastAsia" w:ascii="宋体" w:hAnsi="宋体" w:eastAsia="宋体" w:cs="宋体"/>
                <w:color w:val="auto"/>
                <w:sz w:val="22"/>
                <w:szCs w:val="22"/>
                <w:highlight w:val="none"/>
              </w:rPr>
            </w:pPr>
            <w:r>
              <w:rPr>
                <w:rFonts w:hint="eastAsia" w:ascii="宋体" w:hAnsi="宋体" w:eastAsia="宋体" w:cs="宋体"/>
                <w:color w:val="auto"/>
                <w:spacing w:val="-5"/>
                <w:sz w:val="22"/>
                <w:szCs w:val="22"/>
                <w:highlight w:val="none"/>
              </w:rPr>
              <w:t>456</w:t>
            </w:r>
          </w:p>
        </w:tc>
        <w:tc>
          <w:tcPr>
            <w:tcW w:w="1218" w:type="dxa"/>
            <w:gridSpan w:val="3"/>
            <w:tcBorders>
              <w:top w:val="single" w:color="000000" w:sz="4" w:space="0"/>
            </w:tcBorders>
            <w:vAlign w:val="top"/>
          </w:tcPr>
          <w:p w14:paraId="1761DFE9">
            <w:pPr>
              <w:spacing w:before="162" w:line="189" w:lineRule="auto"/>
              <w:ind w:left="151"/>
              <w:rPr>
                <w:rFonts w:hint="eastAsia" w:ascii="宋体" w:hAnsi="宋体" w:eastAsia="宋体" w:cs="宋体"/>
                <w:color w:val="auto"/>
                <w:sz w:val="22"/>
                <w:szCs w:val="22"/>
                <w:highlight w:val="none"/>
              </w:rPr>
            </w:pPr>
            <w:r>
              <w:rPr>
                <w:rFonts w:hint="eastAsia" w:ascii="宋体" w:hAnsi="宋体" w:eastAsia="宋体" w:cs="宋体"/>
                <w:color w:val="auto"/>
                <w:spacing w:val="-5"/>
                <w:sz w:val="22"/>
                <w:szCs w:val="22"/>
                <w:highlight w:val="none"/>
              </w:rPr>
              <w:t>789</w:t>
            </w:r>
          </w:p>
        </w:tc>
        <w:tc>
          <w:tcPr>
            <w:tcW w:w="1218" w:type="dxa"/>
            <w:gridSpan w:val="3"/>
            <w:tcBorders>
              <w:top w:val="single" w:color="000000" w:sz="4" w:space="0"/>
            </w:tcBorders>
            <w:vAlign w:val="top"/>
          </w:tcPr>
          <w:p w14:paraId="3898B5A8">
            <w:pPr>
              <w:spacing w:before="162" w:line="189" w:lineRule="auto"/>
              <w:ind w:left="118"/>
              <w:rPr>
                <w:rFonts w:hint="eastAsia" w:ascii="宋体" w:hAnsi="宋体" w:eastAsia="宋体" w:cs="宋体"/>
                <w:color w:val="auto"/>
                <w:sz w:val="22"/>
                <w:szCs w:val="22"/>
                <w:highlight w:val="none"/>
              </w:rPr>
            </w:pPr>
            <w:r>
              <w:rPr>
                <w:rFonts w:hint="eastAsia" w:ascii="宋体" w:hAnsi="宋体" w:eastAsia="宋体" w:cs="宋体"/>
                <w:color w:val="auto"/>
                <w:spacing w:val="-13"/>
                <w:sz w:val="22"/>
                <w:szCs w:val="22"/>
                <w:highlight w:val="none"/>
              </w:rPr>
              <w:t>101112</w:t>
            </w:r>
          </w:p>
        </w:tc>
        <w:tc>
          <w:tcPr>
            <w:tcW w:w="1218" w:type="dxa"/>
            <w:gridSpan w:val="3"/>
            <w:tcBorders>
              <w:top w:val="single" w:color="000000" w:sz="4" w:space="0"/>
            </w:tcBorders>
            <w:vAlign w:val="top"/>
          </w:tcPr>
          <w:p w14:paraId="588F7F55">
            <w:pPr>
              <w:spacing w:before="162" w:line="189" w:lineRule="auto"/>
              <w:ind w:left="169"/>
              <w:rPr>
                <w:rFonts w:hint="eastAsia" w:ascii="宋体" w:hAnsi="宋体" w:eastAsia="宋体" w:cs="宋体"/>
                <w:color w:val="auto"/>
                <w:sz w:val="22"/>
                <w:szCs w:val="22"/>
                <w:highlight w:val="none"/>
              </w:rPr>
            </w:pPr>
            <w:r>
              <w:rPr>
                <w:rFonts w:hint="eastAsia" w:ascii="宋体" w:hAnsi="宋体" w:eastAsia="宋体" w:cs="宋体"/>
                <w:color w:val="auto"/>
                <w:spacing w:val="-7"/>
                <w:sz w:val="22"/>
                <w:szCs w:val="22"/>
                <w:highlight w:val="none"/>
              </w:rPr>
              <w:t>123</w:t>
            </w:r>
          </w:p>
        </w:tc>
        <w:tc>
          <w:tcPr>
            <w:tcW w:w="1221" w:type="dxa"/>
            <w:gridSpan w:val="3"/>
            <w:tcBorders>
              <w:top w:val="single" w:color="000000" w:sz="4" w:space="0"/>
            </w:tcBorders>
            <w:vAlign w:val="top"/>
          </w:tcPr>
          <w:p w14:paraId="2B9F2293">
            <w:pPr>
              <w:spacing w:before="162" w:line="189" w:lineRule="auto"/>
              <w:ind w:left="146"/>
              <w:rPr>
                <w:rFonts w:hint="eastAsia" w:ascii="宋体" w:hAnsi="宋体" w:eastAsia="宋体" w:cs="宋体"/>
                <w:color w:val="auto"/>
                <w:sz w:val="22"/>
                <w:szCs w:val="22"/>
                <w:highlight w:val="none"/>
              </w:rPr>
            </w:pPr>
            <w:r>
              <w:rPr>
                <w:rFonts w:hint="eastAsia" w:ascii="宋体" w:hAnsi="宋体" w:eastAsia="宋体" w:cs="宋体"/>
                <w:color w:val="auto"/>
                <w:spacing w:val="-5"/>
                <w:sz w:val="22"/>
                <w:szCs w:val="22"/>
                <w:highlight w:val="none"/>
              </w:rPr>
              <w:t>456</w:t>
            </w:r>
          </w:p>
        </w:tc>
        <w:tc>
          <w:tcPr>
            <w:tcW w:w="821" w:type="dxa"/>
            <w:gridSpan w:val="2"/>
            <w:tcBorders>
              <w:top w:val="single" w:color="000000" w:sz="4" w:space="0"/>
            </w:tcBorders>
            <w:vAlign w:val="top"/>
          </w:tcPr>
          <w:p w14:paraId="6E62D22B">
            <w:pPr>
              <w:rPr>
                <w:rFonts w:hint="eastAsia" w:ascii="宋体" w:hAnsi="宋体" w:eastAsia="宋体" w:cs="宋体"/>
                <w:color w:val="auto"/>
                <w:sz w:val="21"/>
                <w:highlight w:val="none"/>
              </w:rPr>
            </w:pPr>
          </w:p>
        </w:tc>
      </w:tr>
      <w:tr w14:paraId="1E4FCB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1248" w:type="dxa"/>
            <w:vMerge w:val="restart"/>
            <w:tcBorders>
              <w:bottom w:val="nil"/>
            </w:tcBorders>
            <w:vAlign w:val="top"/>
          </w:tcPr>
          <w:p w14:paraId="2B3557B5">
            <w:pPr>
              <w:spacing w:before="37" w:line="189" w:lineRule="auto"/>
              <w:jc w:val="righ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1</w:t>
            </w:r>
            <w:r>
              <w:rPr>
                <w:rFonts w:hint="eastAsia" w:ascii="宋体" w:hAnsi="宋体" w:eastAsia="宋体" w:cs="宋体"/>
                <w:color w:val="auto"/>
                <w:spacing w:val="-15"/>
                <w:sz w:val="22"/>
                <w:szCs w:val="22"/>
                <w:highlight w:val="none"/>
              </w:rPr>
              <w:t>0</w:t>
            </w:r>
            <w:r>
              <w:rPr>
                <w:rFonts w:hint="eastAsia" w:ascii="宋体" w:hAnsi="宋体" w:eastAsia="宋体" w:cs="宋体"/>
                <w:color w:val="auto"/>
                <w:spacing w:val="-8"/>
                <w:sz w:val="22"/>
                <w:szCs w:val="22"/>
                <w:highlight w:val="none"/>
              </w:rPr>
              <w:t>0</w:t>
            </w:r>
          </w:p>
          <w:p w14:paraId="6D234943">
            <w:pPr>
              <w:spacing w:before="302" w:line="189" w:lineRule="auto"/>
              <w:jc w:val="right"/>
              <w:rPr>
                <w:rFonts w:hint="eastAsia" w:ascii="宋体" w:hAnsi="宋体" w:eastAsia="宋体" w:cs="宋体"/>
                <w:color w:val="auto"/>
                <w:sz w:val="22"/>
                <w:szCs w:val="22"/>
                <w:highlight w:val="none"/>
              </w:rPr>
            </w:pPr>
            <w:r>
              <w:rPr>
                <w:rFonts w:hint="eastAsia" w:ascii="宋体" w:hAnsi="宋体" w:eastAsia="宋体" w:cs="宋体"/>
                <w:color w:val="auto"/>
                <w:spacing w:val="-14"/>
                <w:sz w:val="22"/>
                <w:szCs w:val="22"/>
                <w:highlight w:val="none"/>
              </w:rPr>
              <w:t>9</w:t>
            </w:r>
            <w:r>
              <w:rPr>
                <w:rFonts w:hint="eastAsia" w:ascii="宋体" w:hAnsi="宋体" w:eastAsia="宋体" w:cs="宋体"/>
                <w:color w:val="auto"/>
                <w:spacing w:val="-8"/>
                <w:sz w:val="22"/>
                <w:szCs w:val="22"/>
                <w:highlight w:val="none"/>
              </w:rPr>
              <w:t>0</w:t>
            </w:r>
          </w:p>
        </w:tc>
        <w:tc>
          <w:tcPr>
            <w:tcW w:w="399" w:type="dxa"/>
            <w:vAlign w:val="top"/>
          </w:tcPr>
          <w:p w14:paraId="16EAE873">
            <w:pPr>
              <w:spacing w:line="236" w:lineRule="exact"/>
              <w:rPr>
                <w:rFonts w:hint="eastAsia" w:ascii="宋体" w:hAnsi="宋体" w:eastAsia="宋体" w:cs="宋体"/>
                <w:color w:val="auto"/>
                <w:sz w:val="20"/>
                <w:highlight w:val="none"/>
              </w:rPr>
            </w:pPr>
          </w:p>
        </w:tc>
        <w:tc>
          <w:tcPr>
            <w:tcW w:w="406" w:type="dxa"/>
            <w:vAlign w:val="top"/>
          </w:tcPr>
          <w:p w14:paraId="6A4FC379">
            <w:pPr>
              <w:spacing w:line="236" w:lineRule="exact"/>
              <w:rPr>
                <w:rFonts w:hint="eastAsia" w:ascii="宋体" w:hAnsi="宋体" w:eastAsia="宋体" w:cs="宋体"/>
                <w:color w:val="auto"/>
                <w:sz w:val="20"/>
                <w:highlight w:val="none"/>
              </w:rPr>
            </w:pPr>
          </w:p>
        </w:tc>
        <w:tc>
          <w:tcPr>
            <w:tcW w:w="406" w:type="dxa"/>
            <w:vAlign w:val="top"/>
          </w:tcPr>
          <w:p w14:paraId="1743145F">
            <w:pPr>
              <w:spacing w:line="236" w:lineRule="exact"/>
              <w:rPr>
                <w:rFonts w:hint="eastAsia" w:ascii="宋体" w:hAnsi="宋体" w:eastAsia="宋体" w:cs="宋体"/>
                <w:color w:val="auto"/>
                <w:sz w:val="20"/>
                <w:highlight w:val="none"/>
              </w:rPr>
            </w:pPr>
          </w:p>
        </w:tc>
        <w:tc>
          <w:tcPr>
            <w:tcW w:w="406" w:type="dxa"/>
            <w:vAlign w:val="top"/>
          </w:tcPr>
          <w:p w14:paraId="7E1C50F7">
            <w:pPr>
              <w:spacing w:line="236" w:lineRule="exact"/>
              <w:rPr>
                <w:rFonts w:hint="eastAsia" w:ascii="宋体" w:hAnsi="宋体" w:eastAsia="宋体" w:cs="宋体"/>
                <w:color w:val="auto"/>
                <w:sz w:val="20"/>
                <w:highlight w:val="none"/>
              </w:rPr>
            </w:pPr>
          </w:p>
        </w:tc>
        <w:tc>
          <w:tcPr>
            <w:tcW w:w="406" w:type="dxa"/>
            <w:vAlign w:val="top"/>
          </w:tcPr>
          <w:p w14:paraId="3EC8E5ED">
            <w:pPr>
              <w:spacing w:line="236" w:lineRule="exact"/>
              <w:rPr>
                <w:rFonts w:hint="eastAsia" w:ascii="宋体" w:hAnsi="宋体" w:eastAsia="宋体" w:cs="宋体"/>
                <w:color w:val="auto"/>
                <w:sz w:val="20"/>
                <w:highlight w:val="none"/>
              </w:rPr>
            </w:pPr>
          </w:p>
        </w:tc>
        <w:tc>
          <w:tcPr>
            <w:tcW w:w="404" w:type="dxa"/>
            <w:vAlign w:val="top"/>
          </w:tcPr>
          <w:p w14:paraId="76302E73">
            <w:pPr>
              <w:spacing w:line="236" w:lineRule="exact"/>
              <w:rPr>
                <w:rFonts w:hint="eastAsia" w:ascii="宋体" w:hAnsi="宋体" w:eastAsia="宋体" w:cs="宋体"/>
                <w:color w:val="auto"/>
                <w:sz w:val="20"/>
                <w:highlight w:val="none"/>
              </w:rPr>
            </w:pPr>
          </w:p>
        </w:tc>
        <w:tc>
          <w:tcPr>
            <w:tcW w:w="406" w:type="dxa"/>
            <w:vAlign w:val="top"/>
          </w:tcPr>
          <w:p w14:paraId="72ADCA7C">
            <w:pPr>
              <w:spacing w:line="236" w:lineRule="exact"/>
              <w:rPr>
                <w:rFonts w:hint="eastAsia" w:ascii="宋体" w:hAnsi="宋体" w:eastAsia="宋体" w:cs="宋体"/>
                <w:color w:val="auto"/>
                <w:sz w:val="20"/>
                <w:highlight w:val="none"/>
              </w:rPr>
            </w:pPr>
          </w:p>
        </w:tc>
        <w:tc>
          <w:tcPr>
            <w:tcW w:w="406" w:type="dxa"/>
            <w:vAlign w:val="top"/>
          </w:tcPr>
          <w:p w14:paraId="651589B3">
            <w:pPr>
              <w:spacing w:line="236" w:lineRule="exact"/>
              <w:rPr>
                <w:rFonts w:hint="eastAsia" w:ascii="宋体" w:hAnsi="宋体" w:eastAsia="宋体" w:cs="宋体"/>
                <w:color w:val="auto"/>
                <w:sz w:val="20"/>
                <w:highlight w:val="none"/>
              </w:rPr>
            </w:pPr>
          </w:p>
        </w:tc>
        <w:tc>
          <w:tcPr>
            <w:tcW w:w="406" w:type="dxa"/>
            <w:vAlign w:val="top"/>
          </w:tcPr>
          <w:p w14:paraId="0766198C">
            <w:pPr>
              <w:spacing w:line="236" w:lineRule="exact"/>
              <w:rPr>
                <w:rFonts w:hint="eastAsia" w:ascii="宋体" w:hAnsi="宋体" w:eastAsia="宋体" w:cs="宋体"/>
                <w:color w:val="auto"/>
                <w:sz w:val="20"/>
                <w:highlight w:val="none"/>
              </w:rPr>
            </w:pPr>
          </w:p>
        </w:tc>
        <w:tc>
          <w:tcPr>
            <w:tcW w:w="406" w:type="dxa"/>
            <w:vAlign w:val="top"/>
          </w:tcPr>
          <w:p w14:paraId="08E840DB">
            <w:pPr>
              <w:spacing w:line="236" w:lineRule="exact"/>
              <w:rPr>
                <w:rFonts w:hint="eastAsia" w:ascii="宋体" w:hAnsi="宋体" w:eastAsia="宋体" w:cs="宋体"/>
                <w:color w:val="auto"/>
                <w:sz w:val="20"/>
                <w:highlight w:val="none"/>
              </w:rPr>
            </w:pPr>
          </w:p>
        </w:tc>
        <w:tc>
          <w:tcPr>
            <w:tcW w:w="406" w:type="dxa"/>
            <w:vAlign w:val="top"/>
          </w:tcPr>
          <w:p w14:paraId="26FF6555">
            <w:pPr>
              <w:spacing w:line="236" w:lineRule="exact"/>
              <w:rPr>
                <w:rFonts w:hint="eastAsia" w:ascii="宋体" w:hAnsi="宋体" w:eastAsia="宋体" w:cs="宋体"/>
                <w:color w:val="auto"/>
                <w:sz w:val="20"/>
                <w:highlight w:val="none"/>
              </w:rPr>
            </w:pPr>
          </w:p>
        </w:tc>
        <w:tc>
          <w:tcPr>
            <w:tcW w:w="406" w:type="dxa"/>
            <w:vAlign w:val="top"/>
          </w:tcPr>
          <w:p w14:paraId="27EF5042">
            <w:pPr>
              <w:spacing w:line="236" w:lineRule="exact"/>
              <w:rPr>
                <w:rFonts w:hint="eastAsia" w:ascii="宋体" w:hAnsi="宋体" w:eastAsia="宋体" w:cs="宋体"/>
                <w:color w:val="auto"/>
                <w:sz w:val="20"/>
                <w:highlight w:val="none"/>
              </w:rPr>
            </w:pPr>
          </w:p>
        </w:tc>
        <w:tc>
          <w:tcPr>
            <w:tcW w:w="406" w:type="dxa"/>
            <w:vAlign w:val="top"/>
          </w:tcPr>
          <w:p w14:paraId="15BC3513">
            <w:pPr>
              <w:spacing w:line="236" w:lineRule="exact"/>
              <w:rPr>
                <w:rFonts w:hint="eastAsia" w:ascii="宋体" w:hAnsi="宋体" w:eastAsia="宋体" w:cs="宋体"/>
                <w:color w:val="auto"/>
                <w:sz w:val="20"/>
                <w:highlight w:val="none"/>
              </w:rPr>
            </w:pPr>
          </w:p>
        </w:tc>
        <w:tc>
          <w:tcPr>
            <w:tcW w:w="406" w:type="dxa"/>
            <w:vAlign w:val="top"/>
          </w:tcPr>
          <w:p w14:paraId="02C7ED29">
            <w:pPr>
              <w:spacing w:line="236" w:lineRule="exact"/>
              <w:rPr>
                <w:rFonts w:hint="eastAsia" w:ascii="宋体" w:hAnsi="宋体" w:eastAsia="宋体" w:cs="宋体"/>
                <w:color w:val="auto"/>
                <w:sz w:val="20"/>
                <w:highlight w:val="none"/>
              </w:rPr>
            </w:pPr>
          </w:p>
        </w:tc>
        <w:tc>
          <w:tcPr>
            <w:tcW w:w="406" w:type="dxa"/>
            <w:vAlign w:val="top"/>
          </w:tcPr>
          <w:p w14:paraId="6C8C3D8A">
            <w:pPr>
              <w:spacing w:line="236" w:lineRule="exact"/>
              <w:rPr>
                <w:rFonts w:hint="eastAsia" w:ascii="宋体" w:hAnsi="宋体" w:eastAsia="宋体" w:cs="宋体"/>
                <w:color w:val="auto"/>
                <w:sz w:val="20"/>
                <w:highlight w:val="none"/>
              </w:rPr>
            </w:pPr>
          </w:p>
        </w:tc>
        <w:tc>
          <w:tcPr>
            <w:tcW w:w="406" w:type="dxa"/>
            <w:vAlign w:val="top"/>
          </w:tcPr>
          <w:p w14:paraId="149DFE5A">
            <w:pPr>
              <w:spacing w:line="236" w:lineRule="exact"/>
              <w:rPr>
                <w:rFonts w:hint="eastAsia" w:ascii="宋体" w:hAnsi="宋体" w:eastAsia="宋体" w:cs="宋体"/>
                <w:color w:val="auto"/>
                <w:sz w:val="20"/>
                <w:highlight w:val="none"/>
              </w:rPr>
            </w:pPr>
          </w:p>
        </w:tc>
        <w:tc>
          <w:tcPr>
            <w:tcW w:w="408" w:type="dxa"/>
            <w:vAlign w:val="top"/>
          </w:tcPr>
          <w:p w14:paraId="076C5A2A">
            <w:pPr>
              <w:spacing w:line="236" w:lineRule="exact"/>
              <w:rPr>
                <w:rFonts w:hint="eastAsia" w:ascii="宋体" w:hAnsi="宋体" w:eastAsia="宋体" w:cs="宋体"/>
                <w:color w:val="auto"/>
                <w:sz w:val="20"/>
                <w:highlight w:val="none"/>
              </w:rPr>
            </w:pPr>
          </w:p>
        </w:tc>
        <w:tc>
          <w:tcPr>
            <w:tcW w:w="407" w:type="dxa"/>
            <w:vAlign w:val="top"/>
          </w:tcPr>
          <w:p w14:paraId="4E90B6D0">
            <w:pPr>
              <w:spacing w:line="236" w:lineRule="exact"/>
              <w:rPr>
                <w:rFonts w:hint="eastAsia" w:ascii="宋体" w:hAnsi="宋体" w:eastAsia="宋体" w:cs="宋体"/>
                <w:color w:val="auto"/>
                <w:sz w:val="20"/>
                <w:highlight w:val="none"/>
              </w:rPr>
            </w:pPr>
          </w:p>
        </w:tc>
        <w:tc>
          <w:tcPr>
            <w:tcW w:w="408" w:type="dxa"/>
            <w:vAlign w:val="top"/>
          </w:tcPr>
          <w:p w14:paraId="1C9C0DBC">
            <w:pPr>
              <w:spacing w:line="236" w:lineRule="exact"/>
              <w:rPr>
                <w:rFonts w:hint="eastAsia" w:ascii="宋体" w:hAnsi="宋体" w:eastAsia="宋体" w:cs="宋体"/>
                <w:color w:val="auto"/>
                <w:sz w:val="20"/>
                <w:highlight w:val="none"/>
              </w:rPr>
            </w:pPr>
          </w:p>
        </w:tc>
        <w:tc>
          <w:tcPr>
            <w:tcW w:w="413" w:type="dxa"/>
            <w:vAlign w:val="top"/>
          </w:tcPr>
          <w:p w14:paraId="0603EC12">
            <w:pPr>
              <w:spacing w:line="236" w:lineRule="exact"/>
              <w:rPr>
                <w:rFonts w:hint="eastAsia" w:ascii="宋体" w:hAnsi="宋体" w:eastAsia="宋体" w:cs="宋体"/>
                <w:color w:val="auto"/>
                <w:sz w:val="20"/>
                <w:highlight w:val="none"/>
              </w:rPr>
            </w:pPr>
          </w:p>
        </w:tc>
      </w:tr>
      <w:tr w14:paraId="115FD5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1248" w:type="dxa"/>
            <w:vMerge w:val="continue"/>
            <w:tcBorders>
              <w:top w:val="nil"/>
              <w:bottom w:val="nil"/>
            </w:tcBorders>
            <w:vAlign w:val="top"/>
          </w:tcPr>
          <w:p w14:paraId="23B67ED6">
            <w:pPr>
              <w:rPr>
                <w:rFonts w:hint="eastAsia" w:ascii="宋体" w:hAnsi="宋体" w:eastAsia="宋体" w:cs="宋体"/>
                <w:color w:val="auto"/>
                <w:sz w:val="21"/>
                <w:highlight w:val="none"/>
              </w:rPr>
            </w:pPr>
          </w:p>
        </w:tc>
        <w:tc>
          <w:tcPr>
            <w:tcW w:w="399" w:type="dxa"/>
            <w:vAlign w:val="top"/>
          </w:tcPr>
          <w:p w14:paraId="70216D8E">
            <w:pPr>
              <w:spacing w:line="234" w:lineRule="exact"/>
              <w:rPr>
                <w:rFonts w:hint="eastAsia" w:ascii="宋体" w:hAnsi="宋体" w:eastAsia="宋体" w:cs="宋体"/>
                <w:color w:val="auto"/>
                <w:sz w:val="20"/>
                <w:highlight w:val="none"/>
              </w:rPr>
            </w:pPr>
          </w:p>
        </w:tc>
        <w:tc>
          <w:tcPr>
            <w:tcW w:w="406" w:type="dxa"/>
            <w:vAlign w:val="top"/>
          </w:tcPr>
          <w:p w14:paraId="5A364B5F">
            <w:pPr>
              <w:spacing w:line="234" w:lineRule="exact"/>
              <w:rPr>
                <w:rFonts w:hint="eastAsia" w:ascii="宋体" w:hAnsi="宋体" w:eastAsia="宋体" w:cs="宋体"/>
                <w:color w:val="auto"/>
                <w:sz w:val="20"/>
                <w:highlight w:val="none"/>
              </w:rPr>
            </w:pPr>
          </w:p>
        </w:tc>
        <w:tc>
          <w:tcPr>
            <w:tcW w:w="406" w:type="dxa"/>
            <w:vAlign w:val="top"/>
          </w:tcPr>
          <w:p w14:paraId="2F80C61C">
            <w:pPr>
              <w:spacing w:line="234" w:lineRule="exact"/>
              <w:rPr>
                <w:rFonts w:hint="eastAsia" w:ascii="宋体" w:hAnsi="宋体" w:eastAsia="宋体" w:cs="宋体"/>
                <w:color w:val="auto"/>
                <w:sz w:val="20"/>
                <w:highlight w:val="none"/>
              </w:rPr>
            </w:pPr>
          </w:p>
        </w:tc>
        <w:tc>
          <w:tcPr>
            <w:tcW w:w="406" w:type="dxa"/>
            <w:vAlign w:val="top"/>
          </w:tcPr>
          <w:p w14:paraId="2EBCF814">
            <w:pPr>
              <w:spacing w:line="234" w:lineRule="exact"/>
              <w:rPr>
                <w:rFonts w:hint="eastAsia" w:ascii="宋体" w:hAnsi="宋体" w:eastAsia="宋体" w:cs="宋体"/>
                <w:color w:val="auto"/>
                <w:sz w:val="20"/>
                <w:highlight w:val="none"/>
              </w:rPr>
            </w:pPr>
          </w:p>
        </w:tc>
        <w:tc>
          <w:tcPr>
            <w:tcW w:w="406" w:type="dxa"/>
            <w:vAlign w:val="top"/>
          </w:tcPr>
          <w:p w14:paraId="0462B1CD">
            <w:pPr>
              <w:spacing w:line="234" w:lineRule="exact"/>
              <w:rPr>
                <w:rFonts w:hint="eastAsia" w:ascii="宋体" w:hAnsi="宋体" w:eastAsia="宋体" w:cs="宋体"/>
                <w:color w:val="auto"/>
                <w:sz w:val="20"/>
                <w:highlight w:val="none"/>
              </w:rPr>
            </w:pPr>
          </w:p>
        </w:tc>
        <w:tc>
          <w:tcPr>
            <w:tcW w:w="404" w:type="dxa"/>
            <w:vAlign w:val="top"/>
          </w:tcPr>
          <w:p w14:paraId="5991C103">
            <w:pPr>
              <w:spacing w:line="234" w:lineRule="exact"/>
              <w:rPr>
                <w:rFonts w:hint="eastAsia" w:ascii="宋体" w:hAnsi="宋体" w:eastAsia="宋体" w:cs="宋体"/>
                <w:color w:val="auto"/>
                <w:sz w:val="20"/>
                <w:highlight w:val="none"/>
              </w:rPr>
            </w:pPr>
          </w:p>
        </w:tc>
        <w:tc>
          <w:tcPr>
            <w:tcW w:w="406" w:type="dxa"/>
            <w:vAlign w:val="top"/>
          </w:tcPr>
          <w:p w14:paraId="1DD78EE5">
            <w:pPr>
              <w:spacing w:line="234" w:lineRule="exact"/>
              <w:rPr>
                <w:rFonts w:hint="eastAsia" w:ascii="宋体" w:hAnsi="宋体" w:eastAsia="宋体" w:cs="宋体"/>
                <w:color w:val="auto"/>
                <w:sz w:val="20"/>
                <w:highlight w:val="none"/>
              </w:rPr>
            </w:pPr>
          </w:p>
        </w:tc>
        <w:tc>
          <w:tcPr>
            <w:tcW w:w="406" w:type="dxa"/>
            <w:vAlign w:val="top"/>
          </w:tcPr>
          <w:p w14:paraId="1ECC0E36">
            <w:pPr>
              <w:spacing w:line="234" w:lineRule="exact"/>
              <w:rPr>
                <w:rFonts w:hint="eastAsia" w:ascii="宋体" w:hAnsi="宋体" w:eastAsia="宋体" w:cs="宋体"/>
                <w:color w:val="auto"/>
                <w:sz w:val="20"/>
                <w:highlight w:val="none"/>
              </w:rPr>
            </w:pPr>
          </w:p>
        </w:tc>
        <w:tc>
          <w:tcPr>
            <w:tcW w:w="406" w:type="dxa"/>
            <w:vAlign w:val="top"/>
          </w:tcPr>
          <w:p w14:paraId="023119DB">
            <w:pPr>
              <w:spacing w:line="234" w:lineRule="exact"/>
              <w:rPr>
                <w:rFonts w:hint="eastAsia" w:ascii="宋体" w:hAnsi="宋体" w:eastAsia="宋体" w:cs="宋体"/>
                <w:color w:val="auto"/>
                <w:sz w:val="20"/>
                <w:highlight w:val="none"/>
              </w:rPr>
            </w:pPr>
          </w:p>
        </w:tc>
        <w:tc>
          <w:tcPr>
            <w:tcW w:w="406" w:type="dxa"/>
            <w:vAlign w:val="top"/>
          </w:tcPr>
          <w:p w14:paraId="6A4F46A7">
            <w:pPr>
              <w:spacing w:line="234" w:lineRule="exact"/>
              <w:rPr>
                <w:rFonts w:hint="eastAsia" w:ascii="宋体" w:hAnsi="宋体" w:eastAsia="宋体" w:cs="宋体"/>
                <w:color w:val="auto"/>
                <w:sz w:val="20"/>
                <w:highlight w:val="none"/>
              </w:rPr>
            </w:pPr>
          </w:p>
        </w:tc>
        <w:tc>
          <w:tcPr>
            <w:tcW w:w="406" w:type="dxa"/>
            <w:vAlign w:val="top"/>
          </w:tcPr>
          <w:p w14:paraId="3A6A7D39">
            <w:pPr>
              <w:spacing w:line="234" w:lineRule="exact"/>
              <w:rPr>
                <w:rFonts w:hint="eastAsia" w:ascii="宋体" w:hAnsi="宋体" w:eastAsia="宋体" w:cs="宋体"/>
                <w:color w:val="auto"/>
                <w:sz w:val="20"/>
                <w:highlight w:val="none"/>
              </w:rPr>
            </w:pPr>
          </w:p>
        </w:tc>
        <w:tc>
          <w:tcPr>
            <w:tcW w:w="406" w:type="dxa"/>
            <w:vAlign w:val="top"/>
          </w:tcPr>
          <w:p w14:paraId="74BA67EE">
            <w:pPr>
              <w:spacing w:line="234" w:lineRule="exact"/>
              <w:rPr>
                <w:rFonts w:hint="eastAsia" w:ascii="宋体" w:hAnsi="宋体" w:eastAsia="宋体" w:cs="宋体"/>
                <w:color w:val="auto"/>
                <w:sz w:val="20"/>
                <w:highlight w:val="none"/>
              </w:rPr>
            </w:pPr>
          </w:p>
        </w:tc>
        <w:tc>
          <w:tcPr>
            <w:tcW w:w="406" w:type="dxa"/>
            <w:vAlign w:val="top"/>
          </w:tcPr>
          <w:p w14:paraId="4984B06C">
            <w:pPr>
              <w:spacing w:line="234" w:lineRule="exact"/>
              <w:rPr>
                <w:rFonts w:hint="eastAsia" w:ascii="宋体" w:hAnsi="宋体" w:eastAsia="宋体" w:cs="宋体"/>
                <w:color w:val="auto"/>
                <w:sz w:val="20"/>
                <w:highlight w:val="none"/>
              </w:rPr>
            </w:pPr>
          </w:p>
        </w:tc>
        <w:tc>
          <w:tcPr>
            <w:tcW w:w="406" w:type="dxa"/>
            <w:vAlign w:val="top"/>
          </w:tcPr>
          <w:p w14:paraId="47EC8884">
            <w:pPr>
              <w:spacing w:line="234" w:lineRule="exact"/>
              <w:rPr>
                <w:rFonts w:hint="eastAsia" w:ascii="宋体" w:hAnsi="宋体" w:eastAsia="宋体" w:cs="宋体"/>
                <w:color w:val="auto"/>
                <w:sz w:val="20"/>
                <w:highlight w:val="none"/>
              </w:rPr>
            </w:pPr>
          </w:p>
        </w:tc>
        <w:tc>
          <w:tcPr>
            <w:tcW w:w="406" w:type="dxa"/>
            <w:vAlign w:val="top"/>
          </w:tcPr>
          <w:p w14:paraId="2FC5F316">
            <w:pPr>
              <w:spacing w:line="234" w:lineRule="exact"/>
              <w:rPr>
                <w:rFonts w:hint="eastAsia" w:ascii="宋体" w:hAnsi="宋体" w:eastAsia="宋体" w:cs="宋体"/>
                <w:color w:val="auto"/>
                <w:sz w:val="20"/>
                <w:highlight w:val="none"/>
              </w:rPr>
            </w:pPr>
          </w:p>
        </w:tc>
        <w:tc>
          <w:tcPr>
            <w:tcW w:w="406" w:type="dxa"/>
            <w:vAlign w:val="top"/>
          </w:tcPr>
          <w:p w14:paraId="5819037C">
            <w:pPr>
              <w:spacing w:line="234" w:lineRule="exact"/>
              <w:rPr>
                <w:rFonts w:hint="eastAsia" w:ascii="宋体" w:hAnsi="宋体" w:eastAsia="宋体" w:cs="宋体"/>
                <w:color w:val="auto"/>
                <w:sz w:val="20"/>
                <w:highlight w:val="none"/>
              </w:rPr>
            </w:pPr>
          </w:p>
        </w:tc>
        <w:tc>
          <w:tcPr>
            <w:tcW w:w="408" w:type="dxa"/>
            <w:vAlign w:val="top"/>
          </w:tcPr>
          <w:p w14:paraId="2ABA67B4">
            <w:pPr>
              <w:spacing w:line="234" w:lineRule="exact"/>
              <w:rPr>
                <w:rFonts w:hint="eastAsia" w:ascii="宋体" w:hAnsi="宋体" w:eastAsia="宋体" w:cs="宋体"/>
                <w:color w:val="auto"/>
                <w:sz w:val="20"/>
                <w:highlight w:val="none"/>
              </w:rPr>
            </w:pPr>
          </w:p>
        </w:tc>
        <w:tc>
          <w:tcPr>
            <w:tcW w:w="407" w:type="dxa"/>
            <w:vAlign w:val="top"/>
          </w:tcPr>
          <w:p w14:paraId="7751E4B2">
            <w:pPr>
              <w:spacing w:line="234" w:lineRule="exact"/>
              <w:rPr>
                <w:rFonts w:hint="eastAsia" w:ascii="宋体" w:hAnsi="宋体" w:eastAsia="宋体" w:cs="宋体"/>
                <w:color w:val="auto"/>
                <w:sz w:val="20"/>
                <w:highlight w:val="none"/>
              </w:rPr>
            </w:pPr>
          </w:p>
        </w:tc>
        <w:tc>
          <w:tcPr>
            <w:tcW w:w="408" w:type="dxa"/>
            <w:vAlign w:val="top"/>
          </w:tcPr>
          <w:p w14:paraId="2775EF49">
            <w:pPr>
              <w:spacing w:line="234" w:lineRule="exact"/>
              <w:rPr>
                <w:rFonts w:hint="eastAsia" w:ascii="宋体" w:hAnsi="宋体" w:eastAsia="宋体" w:cs="宋体"/>
                <w:color w:val="auto"/>
                <w:sz w:val="20"/>
                <w:highlight w:val="none"/>
              </w:rPr>
            </w:pPr>
          </w:p>
        </w:tc>
        <w:tc>
          <w:tcPr>
            <w:tcW w:w="413" w:type="dxa"/>
            <w:vAlign w:val="top"/>
          </w:tcPr>
          <w:p w14:paraId="6AD057A6">
            <w:pPr>
              <w:spacing w:line="234" w:lineRule="exact"/>
              <w:rPr>
                <w:rFonts w:hint="eastAsia" w:ascii="宋体" w:hAnsi="宋体" w:eastAsia="宋体" w:cs="宋体"/>
                <w:color w:val="auto"/>
                <w:sz w:val="20"/>
                <w:highlight w:val="none"/>
              </w:rPr>
            </w:pPr>
          </w:p>
        </w:tc>
      </w:tr>
      <w:tr w14:paraId="501B0F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8" w:hRule="atLeast"/>
        </w:trPr>
        <w:tc>
          <w:tcPr>
            <w:tcW w:w="1248" w:type="dxa"/>
            <w:vMerge w:val="continue"/>
            <w:tcBorders>
              <w:top w:val="nil"/>
              <w:bottom w:val="nil"/>
            </w:tcBorders>
            <w:vAlign w:val="top"/>
          </w:tcPr>
          <w:p w14:paraId="254E3099">
            <w:pPr>
              <w:rPr>
                <w:rFonts w:hint="eastAsia" w:ascii="宋体" w:hAnsi="宋体" w:eastAsia="宋体" w:cs="宋体"/>
                <w:color w:val="auto"/>
                <w:sz w:val="21"/>
                <w:highlight w:val="none"/>
              </w:rPr>
            </w:pPr>
          </w:p>
        </w:tc>
        <w:tc>
          <w:tcPr>
            <w:tcW w:w="399" w:type="dxa"/>
            <w:vAlign w:val="top"/>
          </w:tcPr>
          <w:p w14:paraId="0F2DBAC8">
            <w:pPr>
              <w:spacing w:line="238" w:lineRule="exact"/>
              <w:rPr>
                <w:rFonts w:hint="eastAsia" w:ascii="宋体" w:hAnsi="宋体" w:eastAsia="宋体" w:cs="宋体"/>
                <w:color w:val="auto"/>
                <w:sz w:val="20"/>
                <w:highlight w:val="none"/>
              </w:rPr>
            </w:pPr>
          </w:p>
        </w:tc>
        <w:tc>
          <w:tcPr>
            <w:tcW w:w="406" w:type="dxa"/>
            <w:vAlign w:val="top"/>
          </w:tcPr>
          <w:p w14:paraId="3ABC2557">
            <w:pPr>
              <w:spacing w:line="238" w:lineRule="exact"/>
              <w:rPr>
                <w:rFonts w:hint="eastAsia" w:ascii="宋体" w:hAnsi="宋体" w:eastAsia="宋体" w:cs="宋体"/>
                <w:color w:val="auto"/>
                <w:sz w:val="20"/>
                <w:highlight w:val="none"/>
              </w:rPr>
            </w:pPr>
          </w:p>
        </w:tc>
        <w:tc>
          <w:tcPr>
            <w:tcW w:w="406" w:type="dxa"/>
            <w:vAlign w:val="top"/>
          </w:tcPr>
          <w:p w14:paraId="0BDA6CCF">
            <w:pPr>
              <w:spacing w:line="238" w:lineRule="exact"/>
              <w:rPr>
                <w:rFonts w:hint="eastAsia" w:ascii="宋体" w:hAnsi="宋体" w:eastAsia="宋体" w:cs="宋体"/>
                <w:color w:val="auto"/>
                <w:sz w:val="20"/>
                <w:highlight w:val="none"/>
              </w:rPr>
            </w:pPr>
          </w:p>
        </w:tc>
        <w:tc>
          <w:tcPr>
            <w:tcW w:w="406" w:type="dxa"/>
            <w:vAlign w:val="top"/>
          </w:tcPr>
          <w:p w14:paraId="57AD2742">
            <w:pPr>
              <w:spacing w:line="238" w:lineRule="exact"/>
              <w:rPr>
                <w:rFonts w:hint="eastAsia" w:ascii="宋体" w:hAnsi="宋体" w:eastAsia="宋体" w:cs="宋体"/>
                <w:color w:val="auto"/>
                <w:sz w:val="20"/>
                <w:highlight w:val="none"/>
              </w:rPr>
            </w:pPr>
          </w:p>
        </w:tc>
        <w:tc>
          <w:tcPr>
            <w:tcW w:w="406" w:type="dxa"/>
            <w:vAlign w:val="top"/>
          </w:tcPr>
          <w:p w14:paraId="798C1C77">
            <w:pPr>
              <w:spacing w:line="238" w:lineRule="exact"/>
              <w:rPr>
                <w:rFonts w:hint="eastAsia" w:ascii="宋体" w:hAnsi="宋体" w:eastAsia="宋体" w:cs="宋体"/>
                <w:color w:val="auto"/>
                <w:sz w:val="20"/>
                <w:highlight w:val="none"/>
              </w:rPr>
            </w:pPr>
          </w:p>
        </w:tc>
        <w:tc>
          <w:tcPr>
            <w:tcW w:w="404" w:type="dxa"/>
            <w:vAlign w:val="top"/>
          </w:tcPr>
          <w:p w14:paraId="17892329">
            <w:pPr>
              <w:spacing w:line="238" w:lineRule="exact"/>
              <w:rPr>
                <w:rFonts w:hint="eastAsia" w:ascii="宋体" w:hAnsi="宋体" w:eastAsia="宋体" w:cs="宋体"/>
                <w:color w:val="auto"/>
                <w:sz w:val="20"/>
                <w:highlight w:val="none"/>
              </w:rPr>
            </w:pPr>
          </w:p>
        </w:tc>
        <w:tc>
          <w:tcPr>
            <w:tcW w:w="406" w:type="dxa"/>
            <w:vAlign w:val="top"/>
          </w:tcPr>
          <w:p w14:paraId="71A8C70A">
            <w:pPr>
              <w:spacing w:line="238" w:lineRule="exact"/>
              <w:rPr>
                <w:rFonts w:hint="eastAsia" w:ascii="宋体" w:hAnsi="宋体" w:eastAsia="宋体" w:cs="宋体"/>
                <w:color w:val="auto"/>
                <w:sz w:val="20"/>
                <w:highlight w:val="none"/>
              </w:rPr>
            </w:pPr>
          </w:p>
        </w:tc>
        <w:tc>
          <w:tcPr>
            <w:tcW w:w="406" w:type="dxa"/>
            <w:vAlign w:val="top"/>
          </w:tcPr>
          <w:p w14:paraId="27D049C0">
            <w:pPr>
              <w:spacing w:line="238" w:lineRule="exact"/>
              <w:rPr>
                <w:rFonts w:hint="eastAsia" w:ascii="宋体" w:hAnsi="宋体" w:eastAsia="宋体" w:cs="宋体"/>
                <w:color w:val="auto"/>
                <w:sz w:val="20"/>
                <w:highlight w:val="none"/>
              </w:rPr>
            </w:pPr>
          </w:p>
        </w:tc>
        <w:tc>
          <w:tcPr>
            <w:tcW w:w="406" w:type="dxa"/>
            <w:vAlign w:val="top"/>
          </w:tcPr>
          <w:p w14:paraId="61D11CB1">
            <w:pPr>
              <w:spacing w:line="238" w:lineRule="exact"/>
              <w:rPr>
                <w:rFonts w:hint="eastAsia" w:ascii="宋体" w:hAnsi="宋体" w:eastAsia="宋体" w:cs="宋体"/>
                <w:color w:val="auto"/>
                <w:sz w:val="20"/>
                <w:highlight w:val="none"/>
              </w:rPr>
            </w:pPr>
          </w:p>
        </w:tc>
        <w:tc>
          <w:tcPr>
            <w:tcW w:w="406" w:type="dxa"/>
            <w:vAlign w:val="top"/>
          </w:tcPr>
          <w:p w14:paraId="3FB82E15">
            <w:pPr>
              <w:spacing w:line="238" w:lineRule="exact"/>
              <w:rPr>
                <w:rFonts w:hint="eastAsia" w:ascii="宋体" w:hAnsi="宋体" w:eastAsia="宋体" w:cs="宋体"/>
                <w:color w:val="auto"/>
                <w:sz w:val="20"/>
                <w:highlight w:val="none"/>
              </w:rPr>
            </w:pPr>
          </w:p>
        </w:tc>
        <w:tc>
          <w:tcPr>
            <w:tcW w:w="406" w:type="dxa"/>
            <w:vAlign w:val="top"/>
          </w:tcPr>
          <w:p w14:paraId="175ADD83">
            <w:pPr>
              <w:spacing w:line="238" w:lineRule="exact"/>
              <w:rPr>
                <w:rFonts w:hint="eastAsia" w:ascii="宋体" w:hAnsi="宋体" w:eastAsia="宋体" w:cs="宋体"/>
                <w:color w:val="auto"/>
                <w:sz w:val="20"/>
                <w:highlight w:val="none"/>
              </w:rPr>
            </w:pPr>
          </w:p>
        </w:tc>
        <w:tc>
          <w:tcPr>
            <w:tcW w:w="406" w:type="dxa"/>
            <w:vAlign w:val="top"/>
          </w:tcPr>
          <w:p w14:paraId="39FF13D9">
            <w:pPr>
              <w:spacing w:line="238" w:lineRule="exact"/>
              <w:rPr>
                <w:rFonts w:hint="eastAsia" w:ascii="宋体" w:hAnsi="宋体" w:eastAsia="宋体" w:cs="宋体"/>
                <w:color w:val="auto"/>
                <w:sz w:val="20"/>
                <w:highlight w:val="none"/>
              </w:rPr>
            </w:pPr>
          </w:p>
        </w:tc>
        <w:tc>
          <w:tcPr>
            <w:tcW w:w="406" w:type="dxa"/>
            <w:vAlign w:val="top"/>
          </w:tcPr>
          <w:p w14:paraId="0958D47A">
            <w:pPr>
              <w:spacing w:line="238" w:lineRule="exact"/>
              <w:rPr>
                <w:rFonts w:hint="eastAsia" w:ascii="宋体" w:hAnsi="宋体" w:eastAsia="宋体" w:cs="宋体"/>
                <w:color w:val="auto"/>
                <w:sz w:val="20"/>
                <w:highlight w:val="none"/>
              </w:rPr>
            </w:pPr>
          </w:p>
        </w:tc>
        <w:tc>
          <w:tcPr>
            <w:tcW w:w="406" w:type="dxa"/>
            <w:vAlign w:val="top"/>
          </w:tcPr>
          <w:p w14:paraId="06A92AC3">
            <w:pPr>
              <w:spacing w:line="238" w:lineRule="exact"/>
              <w:rPr>
                <w:rFonts w:hint="eastAsia" w:ascii="宋体" w:hAnsi="宋体" w:eastAsia="宋体" w:cs="宋体"/>
                <w:color w:val="auto"/>
                <w:sz w:val="20"/>
                <w:highlight w:val="none"/>
              </w:rPr>
            </w:pPr>
          </w:p>
        </w:tc>
        <w:tc>
          <w:tcPr>
            <w:tcW w:w="406" w:type="dxa"/>
            <w:vAlign w:val="top"/>
          </w:tcPr>
          <w:p w14:paraId="22A9B754">
            <w:pPr>
              <w:spacing w:line="238" w:lineRule="exact"/>
              <w:rPr>
                <w:rFonts w:hint="eastAsia" w:ascii="宋体" w:hAnsi="宋体" w:eastAsia="宋体" w:cs="宋体"/>
                <w:color w:val="auto"/>
                <w:sz w:val="20"/>
                <w:highlight w:val="none"/>
              </w:rPr>
            </w:pPr>
          </w:p>
        </w:tc>
        <w:tc>
          <w:tcPr>
            <w:tcW w:w="406" w:type="dxa"/>
            <w:vAlign w:val="top"/>
          </w:tcPr>
          <w:p w14:paraId="01CD5C19">
            <w:pPr>
              <w:spacing w:line="238" w:lineRule="exact"/>
              <w:rPr>
                <w:rFonts w:hint="eastAsia" w:ascii="宋体" w:hAnsi="宋体" w:eastAsia="宋体" w:cs="宋体"/>
                <w:color w:val="auto"/>
                <w:sz w:val="20"/>
                <w:highlight w:val="none"/>
              </w:rPr>
            </w:pPr>
          </w:p>
        </w:tc>
        <w:tc>
          <w:tcPr>
            <w:tcW w:w="408" w:type="dxa"/>
            <w:vAlign w:val="top"/>
          </w:tcPr>
          <w:p w14:paraId="3CFD14B4">
            <w:pPr>
              <w:spacing w:line="238" w:lineRule="exact"/>
              <w:rPr>
                <w:rFonts w:hint="eastAsia" w:ascii="宋体" w:hAnsi="宋体" w:eastAsia="宋体" w:cs="宋体"/>
                <w:color w:val="auto"/>
                <w:sz w:val="20"/>
                <w:highlight w:val="none"/>
              </w:rPr>
            </w:pPr>
          </w:p>
        </w:tc>
        <w:tc>
          <w:tcPr>
            <w:tcW w:w="407" w:type="dxa"/>
            <w:vAlign w:val="top"/>
          </w:tcPr>
          <w:p w14:paraId="404AAB92">
            <w:pPr>
              <w:spacing w:line="238" w:lineRule="exact"/>
              <w:rPr>
                <w:rFonts w:hint="eastAsia" w:ascii="宋体" w:hAnsi="宋体" w:eastAsia="宋体" w:cs="宋体"/>
                <w:color w:val="auto"/>
                <w:sz w:val="20"/>
                <w:highlight w:val="none"/>
              </w:rPr>
            </w:pPr>
          </w:p>
        </w:tc>
        <w:tc>
          <w:tcPr>
            <w:tcW w:w="408" w:type="dxa"/>
            <w:vAlign w:val="top"/>
          </w:tcPr>
          <w:p w14:paraId="7FBA9382">
            <w:pPr>
              <w:spacing w:line="238" w:lineRule="exact"/>
              <w:rPr>
                <w:rFonts w:hint="eastAsia" w:ascii="宋体" w:hAnsi="宋体" w:eastAsia="宋体" w:cs="宋体"/>
                <w:color w:val="auto"/>
                <w:sz w:val="20"/>
                <w:highlight w:val="none"/>
              </w:rPr>
            </w:pPr>
          </w:p>
        </w:tc>
        <w:tc>
          <w:tcPr>
            <w:tcW w:w="413" w:type="dxa"/>
            <w:vAlign w:val="top"/>
          </w:tcPr>
          <w:p w14:paraId="4001DBD5">
            <w:pPr>
              <w:spacing w:line="238" w:lineRule="exact"/>
              <w:rPr>
                <w:rFonts w:hint="eastAsia" w:ascii="宋体" w:hAnsi="宋体" w:eastAsia="宋体" w:cs="宋体"/>
                <w:color w:val="auto"/>
                <w:sz w:val="20"/>
                <w:highlight w:val="none"/>
              </w:rPr>
            </w:pPr>
          </w:p>
        </w:tc>
      </w:tr>
      <w:tr w14:paraId="4B917D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6" w:hRule="atLeast"/>
        </w:trPr>
        <w:tc>
          <w:tcPr>
            <w:tcW w:w="1248" w:type="dxa"/>
            <w:vMerge w:val="continue"/>
            <w:tcBorders>
              <w:top w:val="nil"/>
              <w:bottom w:val="nil"/>
            </w:tcBorders>
            <w:vAlign w:val="top"/>
          </w:tcPr>
          <w:p w14:paraId="0D3C7A0E">
            <w:pPr>
              <w:rPr>
                <w:rFonts w:hint="eastAsia" w:ascii="宋体" w:hAnsi="宋体" w:eastAsia="宋体" w:cs="宋体"/>
                <w:color w:val="auto"/>
                <w:sz w:val="21"/>
                <w:highlight w:val="none"/>
              </w:rPr>
            </w:pPr>
          </w:p>
        </w:tc>
        <w:tc>
          <w:tcPr>
            <w:tcW w:w="399" w:type="dxa"/>
            <w:vAlign w:val="top"/>
          </w:tcPr>
          <w:p w14:paraId="53AE0052">
            <w:pPr>
              <w:spacing w:line="235" w:lineRule="exact"/>
              <w:rPr>
                <w:rFonts w:hint="eastAsia" w:ascii="宋体" w:hAnsi="宋体" w:eastAsia="宋体" w:cs="宋体"/>
                <w:color w:val="auto"/>
                <w:sz w:val="20"/>
                <w:highlight w:val="none"/>
              </w:rPr>
            </w:pPr>
          </w:p>
        </w:tc>
        <w:tc>
          <w:tcPr>
            <w:tcW w:w="406" w:type="dxa"/>
            <w:vAlign w:val="top"/>
          </w:tcPr>
          <w:p w14:paraId="28FB8C5E">
            <w:pPr>
              <w:spacing w:line="235" w:lineRule="exact"/>
              <w:rPr>
                <w:rFonts w:hint="eastAsia" w:ascii="宋体" w:hAnsi="宋体" w:eastAsia="宋体" w:cs="宋体"/>
                <w:color w:val="auto"/>
                <w:sz w:val="20"/>
                <w:highlight w:val="none"/>
              </w:rPr>
            </w:pPr>
          </w:p>
        </w:tc>
        <w:tc>
          <w:tcPr>
            <w:tcW w:w="406" w:type="dxa"/>
            <w:vAlign w:val="top"/>
          </w:tcPr>
          <w:p w14:paraId="668B8F1F">
            <w:pPr>
              <w:spacing w:line="235" w:lineRule="exact"/>
              <w:rPr>
                <w:rFonts w:hint="eastAsia" w:ascii="宋体" w:hAnsi="宋体" w:eastAsia="宋体" w:cs="宋体"/>
                <w:color w:val="auto"/>
                <w:sz w:val="20"/>
                <w:highlight w:val="none"/>
              </w:rPr>
            </w:pPr>
          </w:p>
        </w:tc>
        <w:tc>
          <w:tcPr>
            <w:tcW w:w="406" w:type="dxa"/>
            <w:vAlign w:val="top"/>
          </w:tcPr>
          <w:p w14:paraId="449BF582">
            <w:pPr>
              <w:spacing w:line="235" w:lineRule="exact"/>
              <w:rPr>
                <w:rFonts w:hint="eastAsia" w:ascii="宋体" w:hAnsi="宋体" w:eastAsia="宋体" w:cs="宋体"/>
                <w:color w:val="auto"/>
                <w:sz w:val="20"/>
                <w:highlight w:val="none"/>
              </w:rPr>
            </w:pPr>
          </w:p>
        </w:tc>
        <w:tc>
          <w:tcPr>
            <w:tcW w:w="406" w:type="dxa"/>
            <w:vAlign w:val="top"/>
          </w:tcPr>
          <w:p w14:paraId="44683549">
            <w:pPr>
              <w:spacing w:line="235" w:lineRule="exact"/>
              <w:rPr>
                <w:rFonts w:hint="eastAsia" w:ascii="宋体" w:hAnsi="宋体" w:eastAsia="宋体" w:cs="宋体"/>
                <w:color w:val="auto"/>
                <w:sz w:val="20"/>
                <w:highlight w:val="none"/>
              </w:rPr>
            </w:pPr>
          </w:p>
        </w:tc>
        <w:tc>
          <w:tcPr>
            <w:tcW w:w="404" w:type="dxa"/>
            <w:vAlign w:val="top"/>
          </w:tcPr>
          <w:p w14:paraId="4746CA32">
            <w:pPr>
              <w:spacing w:line="235" w:lineRule="exact"/>
              <w:rPr>
                <w:rFonts w:hint="eastAsia" w:ascii="宋体" w:hAnsi="宋体" w:eastAsia="宋体" w:cs="宋体"/>
                <w:color w:val="auto"/>
                <w:sz w:val="20"/>
                <w:highlight w:val="none"/>
              </w:rPr>
            </w:pPr>
          </w:p>
        </w:tc>
        <w:tc>
          <w:tcPr>
            <w:tcW w:w="406" w:type="dxa"/>
            <w:vAlign w:val="top"/>
          </w:tcPr>
          <w:p w14:paraId="01D6DE30">
            <w:pPr>
              <w:spacing w:line="235" w:lineRule="exact"/>
              <w:rPr>
                <w:rFonts w:hint="eastAsia" w:ascii="宋体" w:hAnsi="宋体" w:eastAsia="宋体" w:cs="宋体"/>
                <w:color w:val="auto"/>
                <w:sz w:val="20"/>
                <w:highlight w:val="none"/>
              </w:rPr>
            </w:pPr>
          </w:p>
        </w:tc>
        <w:tc>
          <w:tcPr>
            <w:tcW w:w="406" w:type="dxa"/>
            <w:vAlign w:val="top"/>
          </w:tcPr>
          <w:p w14:paraId="795779BE">
            <w:pPr>
              <w:spacing w:line="235" w:lineRule="exact"/>
              <w:rPr>
                <w:rFonts w:hint="eastAsia" w:ascii="宋体" w:hAnsi="宋体" w:eastAsia="宋体" w:cs="宋体"/>
                <w:color w:val="auto"/>
                <w:sz w:val="20"/>
                <w:highlight w:val="none"/>
              </w:rPr>
            </w:pPr>
          </w:p>
        </w:tc>
        <w:tc>
          <w:tcPr>
            <w:tcW w:w="406" w:type="dxa"/>
            <w:vAlign w:val="top"/>
          </w:tcPr>
          <w:p w14:paraId="0D4A10A2">
            <w:pPr>
              <w:spacing w:line="235" w:lineRule="exact"/>
              <w:rPr>
                <w:rFonts w:hint="eastAsia" w:ascii="宋体" w:hAnsi="宋体" w:eastAsia="宋体" w:cs="宋体"/>
                <w:color w:val="auto"/>
                <w:sz w:val="20"/>
                <w:highlight w:val="none"/>
              </w:rPr>
            </w:pPr>
          </w:p>
        </w:tc>
        <w:tc>
          <w:tcPr>
            <w:tcW w:w="406" w:type="dxa"/>
            <w:vAlign w:val="top"/>
          </w:tcPr>
          <w:p w14:paraId="79FDA5DD">
            <w:pPr>
              <w:spacing w:line="235" w:lineRule="exact"/>
              <w:rPr>
                <w:rFonts w:hint="eastAsia" w:ascii="宋体" w:hAnsi="宋体" w:eastAsia="宋体" w:cs="宋体"/>
                <w:color w:val="auto"/>
                <w:sz w:val="20"/>
                <w:highlight w:val="none"/>
              </w:rPr>
            </w:pPr>
          </w:p>
        </w:tc>
        <w:tc>
          <w:tcPr>
            <w:tcW w:w="406" w:type="dxa"/>
            <w:vAlign w:val="top"/>
          </w:tcPr>
          <w:p w14:paraId="2412A282">
            <w:pPr>
              <w:spacing w:line="235" w:lineRule="exact"/>
              <w:rPr>
                <w:rFonts w:hint="eastAsia" w:ascii="宋体" w:hAnsi="宋体" w:eastAsia="宋体" w:cs="宋体"/>
                <w:color w:val="auto"/>
                <w:sz w:val="20"/>
                <w:highlight w:val="none"/>
              </w:rPr>
            </w:pPr>
          </w:p>
        </w:tc>
        <w:tc>
          <w:tcPr>
            <w:tcW w:w="406" w:type="dxa"/>
            <w:vAlign w:val="top"/>
          </w:tcPr>
          <w:p w14:paraId="3E9FE526">
            <w:pPr>
              <w:spacing w:line="235" w:lineRule="exact"/>
              <w:rPr>
                <w:rFonts w:hint="eastAsia" w:ascii="宋体" w:hAnsi="宋体" w:eastAsia="宋体" w:cs="宋体"/>
                <w:color w:val="auto"/>
                <w:sz w:val="20"/>
                <w:highlight w:val="none"/>
              </w:rPr>
            </w:pPr>
          </w:p>
        </w:tc>
        <w:tc>
          <w:tcPr>
            <w:tcW w:w="406" w:type="dxa"/>
            <w:vAlign w:val="top"/>
          </w:tcPr>
          <w:p w14:paraId="46E9F582">
            <w:pPr>
              <w:spacing w:line="235" w:lineRule="exact"/>
              <w:rPr>
                <w:rFonts w:hint="eastAsia" w:ascii="宋体" w:hAnsi="宋体" w:eastAsia="宋体" w:cs="宋体"/>
                <w:color w:val="auto"/>
                <w:sz w:val="20"/>
                <w:highlight w:val="none"/>
              </w:rPr>
            </w:pPr>
          </w:p>
        </w:tc>
        <w:tc>
          <w:tcPr>
            <w:tcW w:w="406" w:type="dxa"/>
            <w:vAlign w:val="top"/>
          </w:tcPr>
          <w:p w14:paraId="50B0BF3C">
            <w:pPr>
              <w:spacing w:line="235" w:lineRule="exact"/>
              <w:rPr>
                <w:rFonts w:hint="eastAsia" w:ascii="宋体" w:hAnsi="宋体" w:eastAsia="宋体" w:cs="宋体"/>
                <w:color w:val="auto"/>
                <w:sz w:val="20"/>
                <w:highlight w:val="none"/>
              </w:rPr>
            </w:pPr>
          </w:p>
        </w:tc>
        <w:tc>
          <w:tcPr>
            <w:tcW w:w="406" w:type="dxa"/>
            <w:vAlign w:val="top"/>
          </w:tcPr>
          <w:p w14:paraId="0263BC30">
            <w:pPr>
              <w:spacing w:line="235" w:lineRule="exact"/>
              <w:rPr>
                <w:rFonts w:hint="eastAsia" w:ascii="宋体" w:hAnsi="宋体" w:eastAsia="宋体" w:cs="宋体"/>
                <w:color w:val="auto"/>
                <w:sz w:val="20"/>
                <w:highlight w:val="none"/>
              </w:rPr>
            </w:pPr>
          </w:p>
        </w:tc>
        <w:tc>
          <w:tcPr>
            <w:tcW w:w="406" w:type="dxa"/>
            <w:vAlign w:val="top"/>
          </w:tcPr>
          <w:p w14:paraId="615F817F">
            <w:pPr>
              <w:spacing w:line="235" w:lineRule="exact"/>
              <w:rPr>
                <w:rFonts w:hint="eastAsia" w:ascii="宋体" w:hAnsi="宋体" w:eastAsia="宋体" w:cs="宋体"/>
                <w:color w:val="auto"/>
                <w:sz w:val="20"/>
                <w:highlight w:val="none"/>
              </w:rPr>
            </w:pPr>
          </w:p>
        </w:tc>
        <w:tc>
          <w:tcPr>
            <w:tcW w:w="408" w:type="dxa"/>
            <w:vAlign w:val="top"/>
          </w:tcPr>
          <w:p w14:paraId="0E2A7CE5">
            <w:pPr>
              <w:spacing w:line="235" w:lineRule="exact"/>
              <w:rPr>
                <w:rFonts w:hint="eastAsia" w:ascii="宋体" w:hAnsi="宋体" w:eastAsia="宋体" w:cs="宋体"/>
                <w:color w:val="auto"/>
                <w:sz w:val="20"/>
                <w:highlight w:val="none"/>
              </w:rPr>
            </w:pPr>
          </w:p>
        </w:tc>
        <w:tc>
          <w:tcPr>
            <w:tcW w:w="407" w:type="dxa"/>
            <w:vAlign w:val="top"/>
          </w:tcPr>
          <w:p w14:paraId="4D648A34">
            <w:pPr>
              <w:spacing w:line="235" w:lineRule="exact"/>
              <w:rPr>
                <w:rFonts w:hint="eastAsia" w:ascii="宋体" w:hAnsi="宋体" w:eastAsia="宋体" w:cs="宋体"/>
                <w:color w:val="auto"/>
                <w:sz w:val="20"/>
                <w:highlight w:val="none"/>
              </w:rPr>
            </w:pPr>
          </w:p>
        </w:tc>
        <w:tc>
          <w:tcPr>
            <w:tcW w:w="408" w:type="dxa"/>
            <w:vAlign w:val="top"/>
          </w:tcPr>
          <w:p w14:paraId="446ADF39">
            <w:pPr>
              <w:spacing w:line="235" w:lineRule="exact"/>
              <w:rPr>
                <w:rFonts w:hint="eastAsia" w:ascii="宋体" w:hAnsi="宋体" w:eastAsia="宋体" w:cs="宋体"/>
                <w:color w:val="auto"/>
                <w:sz w:val="20"/>
                <w:highlight w:val="none"/>
              </w:rPr>
            </w:pPr>
          </w:p>
        </w:tc>
        <w:tc>
          <w:tcPr>
            <w:tcW w:w="413" w:type="dxa"/>
            <w:vAlign w:val="top"/>
          </w:tcPr>
          <w:p w14:paraId="50756BF8">
            <w:pPr>
              <w:spacing w:line="235" w:lineRule="exact"/>
              <w:rPr>
                <w:rFonts w:hint="eastAsia" w:ascii="宋体" w:hAnsi="宋体" w:eastAsia="宋体" w:cs="宋体"/>
                <w:color w:val="auto"/>
                <w:sz w:val="20"/>
                <w:highlight w:val="none"/>
              </w:rPr>
            </w:pPr>
          </w:p>
        </w:tc>
      </w:tr>
      <w:tr w14:paraId="1D6C9C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1248" w:type="dxa"/>
            <w:vMerge w:val="restart"/>
            <w:tcBorders>
              <w:top w:val="nil"/>
              <w:bottom w:val="nil"/>
            </w:tcBorders>
            <w:vAlign w:val="top"/>
          </w:tcPr>
          <w:p w14:paraId="01C35D33">
            <w:pPr>
              <w:spacing w:before="38" w:line="161" w:lineRule="exact"/>
              <w:jc w:val="right"/>
              <w:rPr>
                <w:rFonts w:hint="eastAsia" w:ascii="宋体" w:hAnsi="宋体" w:eastAsia="宋体" w:cs="宋体"/>
                <w:color w:val="auto"/>
                <w:sz w:val="22"/>
                <w:szCs w:val="22"/>
                <w:highlight w:val="none"/>
              </w:rPr>
            </w:pPr>
            <w:r>
              <w:rPr>
                <w:rFonts w:hint="eastAsia" w:ascii="宋体" w:hAnsi="宋体" w:eastAsia="宋体" w:cs="宋体"/>
                <w:color w:val="auto"/>
                <w:spacing w:val="-18"/>
                <w:position w:val="-2"/>
                <w:sz w:val="22"/>
                <w:szCs w:val="22"/>
                <w:highlight w:val="none"/>
              </w:rPr>
              <w:t>8</w:t>
            </w:r>
            <w:r>
              <w:rPr>
                <w:rFonts w:hint="eastAsia" w:ascii="宋体" w:hAnsi="宋体" w:eastAsia="宋体" w:cs="宋体"/>
                <w:color w:val="auto"/>
                <w:spacing w:val="-8"/>
                <w:position w:val="-2"/>
                <w:sz w:val="22"/>
                <w:szCs w:val="22"/>
                <w:highlight w:val="none"/>
              </w:rPr>
              <w:t>0</w:t>
            </w:r>
          </w:p>
          <w:p w14:paraId="102C0E56">
            <w:pPr>
              <w:pStyle w:val="25"/>
              <w:spacing w:line="236" w:lineRule="auto"/>
              <w:ind w:left="318"/>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工</w:t>
            </w:r>
          </w:p>
          <w:p w14:paraId="2ED60E07">
            <w:pPr>
              <w:spacing w:before="59" w:line="189" w:lineRule="auto"/>
              <w:jc w:val="right"/>
              <w:rPr>
                <w:rFonts w:hint="eastAsia" w:ascii="宋体" w:hAnsi="宋体" w:eastAsia="宋体" w:cs="宋体"/>
                <w:color w:val="auto"/>
                <w:sz w:val="22"/>
                <w:szCs w:val="22"/>
                <w:highlight w:val="none"/>
              </w:rPr>
            </w:pPr>
            <w:r>
              <w:rPr>
                <w:rFonts w:hint="eastAsia" w:ascii="宋体" w:hAnsi="宋体" w:eastAsia="宋体" w:cs="宋体"/>
                <w:color w:val="auto"/>
                <w:highlight w:val="none"/>
              </w:rPr>
              <w:pict>
                <v:shape id="_x0000_s1045" o:spid="_x0000_s1045" o:spt="202" type="#_x0000_t202" style="position:absolute;left:0pt;margin-left:5.5pt;margin-top:-0.75pt;height:116.9pt;width:31.75pt;z-index:251735040;mso-width-relative:page;mso-height-relative:page;" filled="f" stroked="f" coordsize="21600,21600">
                  <v:path/>
                  <v:fill on="f" focussize="0,0"/>
                  <v:stroke on="f"/>
                  <v:imagedata o:title=""/>
                  <o:lock v:ext="edit" aspectratio="f"/>
                  <v:textbox inset="0mm,0mm,0mm,0mm">
                    <w:txbxContent>
                      <w:p w14:paraId="64914DC0">
                        <w:pPr>
                          <w:pStyle w:val="25"/>
                          <w:spacing w:before="19" w:line="221" w:lineRule="auto"/>
                          <w:ind w:left="204"/>
                          <w:rPr>
                            <w:sz w:val="22"/>
                            <w:szCs w:val="22"/>
                          </w:rPr>
                        </w:pPr>
                        <w:r>
                          <w:rPr>
                            <w:sz w:val="22"/>
                            <w:szCs w:val="22"/>
                          </w:rPr>
                          <w:t>程</w:t>
                        </w:r>
                      </w:p>
                      <w:p w14:paraId="645B8C99">
                        <w:pPr>
                          <w:pStyle w:val="25"/>
                          <w:spacing w:before="24" w:line="220" w:lineRule="auto"/>
                          <w:ind w:left="207"/>
                          <w:rPr>
                            <w:sz w:val="22"/>
                            <w:szCs w:val="22"/>
                          </w:rPr>
                        </w:pPr>
                        <w:r>
                          <w:rPr>
                            <w:sz w:val="22"/>
                            <w:szCs w:val="22"/>
                          </w:rPr>
                          <w:t>完</w:t>
                        </w:r>
                      </w:p>
                      <w:p w14:paraId="5132DC67">
                        <w:pPr>
                          <w:pStyle w:val="25"/>
                          <w:spacing w:before="25" w:line="222" w:lineRule="auto"/>
                          <w:ind w:left="207"/>
                          <w:rPr>
                            <w:sz w:val="22"/>
                            <w:szCs w:val="22"/>
                          </w:rPr>
                        </w:pPr>
                        <w:r>
                          <w:rPr>
                            <w:sz w:val="22"/>
                            <w:szCs w:val="22"/>
                          </w:rPr>
                          <w:t>成</w:t>
                        </w:r>
                      </w:p>
                      <w:p w14:paraId="2C436147">
                        <w:pPr>
                          <w:pStyle w:val="25"/>
                          <w:spacing w:before="23" w:line="223" w:lineRule="auto"/>
                          <w:ind w:left="223"/>
                          <w:rPr>
                            <w:sz w:val="22"/>
                            <w:szCs w:val="22"/>
                          </w:rPr>
                        </w:pPr>
                        <w:r>
                          <w:rPr>
                            <w:sz w:val="22"/>
                            <w:szCs w:val="22"/>
                          </w:rPr>
                          <w:t>的</w:t>
                        </w:r>
                      </w:p>
                      <w:p w14:paraId="2DB30DB9">
                        <w:pPr>
                          <w:pStyle w:val="25"/>
                          <w:spacing w:before="23" w:line="223" w:lineRule="auto"/>
                          <w:ind w:left="213"/>
                          <w:rPr>
                            <w:sz w:val="22"/>
                            <w:szCs w:val="22"/>
                          </w:rPr>
                        </w:pPr>
                        <w:r>
                          <w:rPr>
                            <w:sz w:val="22"/>
                            <w:szCs w:val="22"/>
                          </w:rPr>
                          <w:t>百</w:t>
                        </w:r>
                      </w:p>
                      <w:p w14:paraId="3D25F402">
                        <w:pPr>
                          <w:pStyle w:val="25"/>
                          <w:spacing w:before="22" w:line="221" w:lineRule="auto"/>
                          <w:ind w:left="208"/>
                          <w:rPr>
                            <w:sz w:val="22"/>
                            <w:szCs w:val="22"/>
                          </w:rPr>
                        </w:pPr>
                        <w:r>
                          <w:rPr>
                            <w:sz w:val="22"/>
                            <w:szCs w:val="22"/>
                          </w:rPr>
                          <w:t>分</w:t>
                        </w:r>
                      </w:p>
                      <w:p w14:paraId="157E5F38">
                        <w:pPr>
                          <w:pStyle w:val="25"/>
                          <w:spacing w:before="24" w:line="232" w:lineRule="auto"/>
                          <w:ind w:left="229"/>
                          <w:rPr>
                            <w:sz w:val="22"/>
                            <w:szCs w:val="22"/>
                          </w:rPr>
                        </w:pPr>
                        <w:r>
                          <w:rPr>
                            <w:sz w:val="22"/>
                            <w:szCs w:val="22"/>
                          </w:rPr>
                          <w:t>比</w:t>
                        </w:r>
                      </w:p>
                      <w:p w14:paraId="5ED93F5C">
                        <w:pPr>
                          <w:pStyle w:val="25"/>
                          <w:spacing w:before="17" w:line="232" w:lineRule="auto"/>
                          <w:ind w:left="20"/>
                          <w:rPr>
                            <w:sz w:val="22"/>
                            <w:szCs w:val="22"/>
                          </w:rPr>
                        </w:pPr>
                        <w:r>
                          <w:rPr>
                            <w:spacing w:val="-5"/>
                            <w:sz w:val="22"/>
                            <w:szCs w:val="22"/>
                          </w:rPr>
                          <w:t>（</w:t>
                        </w:r>
                        <w:r>
                          <w:rPr>
                            <w:rFonts w:ascii="Times New Roman" w:hAnsi="Times New Roman" w:eastAsia="Times New Roman" w:cs="Times New Roman"/>
                            <w:spacing w:val="-5"/>
                            <w:sz w:val="22"/>
                            <w:szCs w:val="22"/>
                          </w:rPr>
                          <w:t>%</w:t>
                        </w:r>
                        <w:r>
                          <w:rPr>
                            <w:spacing w:val="-5"/>
                            <w:sz w:val="22"/>
                            <w:szCs w:val="22"/>
                          </w:rPr>
                          <w:t>）</w:t>
                        </w:r>
                      </w:p>
                    </w:txbxContent>
                  </v:textbox>
                </v:shape>
              </w:pict>
            </w:r>
            <w:r>
              <w:rPr>
                <w:rFonts w:hint="eastAsia" w:ascii="宋体" w:hAnsi="宋体" w:eastAsia="宋体" w:cs="宋体"/>
                <w:color w:val="auto"/>
                <w:spacing w:val="-12"/>
                <w:sz w:val="22"/>
                <w:szCs w:val="22"/>
                <w:highlight w:val="none"/>
              </w:rPr>
              <w:t>7</w:t>
            </w:r>
            <w:r>
              <w:rPr>
                <w:rFonts w:hint="eastAsia" w:ascii="宋体" w:hAnsi="宋体" w:eastAsia="宋体" w:cs="宋体"/>
                <w:color w:val="auto"/>
                <w:spacing w:val="-8"/>
                <w:sz w:val="22"/>
                <w:szCs w:val="22"/>
                <w:highlight w:val="none"/>
              </w:rPr>
              <w:t>0</w:t>
            </w:r>
          </w:p>
          <w:p w14:paraId="53F660F6">
            <w:pPr>
              <w:spacing w:before="302" w:line="189" w:lineRule="auto"/>
              <w:jc w:val="right"/>
              <w:rPr>
                <w:rFonts w:hint="eastAsia" w:ascii="宋体" w:hAnsi="宋体" w:eastAsia="宋体" w:cs="宋体"/>
                <w:color w:val="auto"/>
                <w:sz w:val="22"/>
                <w:szCs w:val="22"/>
                <w:highlight w:val="none"/>
              </w:rPr>
            </w:pPr>
            <w:r>
              <w:rPr>
                <w:rFonts w:hint="eastAsia" w:ascii="宋体" w:hAnsi="宋体" w:eastAsia="宋体" w:cs="宋体"/>
                <w:color w:val="auto"/>
                <w:spacing w:val="-14"/>
                <w:sz w:val="22"/>
                <w:szCs w:val="22"/>
                <w:highlight w:val="none"/>
              </w:rPr>
              <w:t>6</w:t>
            </w:r>
            <w:r>
              <w:rPr>
                <w:rFonts w:hint="eastAsia" w:ascii="宋体" w:hAnsi="宋体" w:eastAsia="宋体" w:cs="宋体"/>
                <w:color w:val="auto"/>
                <w:spacing w:val="-8"/>
                <w:sz w:val="22"/>
                <w:szCs w:val="22"/>
                <w:highlight w:val="none"/>
              </w:rPr>
              <w:t>0</w:t>
            </w:r>
          </w:p>
          <w:p w14:paraId="14245E6B">
            <w:pPr>
              <w:spacing w:before="302" w:line="189" w:lineRule="auto"/>
              <w:jc w:val="righ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5</w:t>
            </w:r>
            <w:r>
              <w:rPr>
                <w:rFonts w:hint="eastAsia" w:ascii="宋体" w:hAnsi="宋体" w:eastAsia="宋体" w:cs="宋体"/>
                <w:color w:val="auto"/>
                <w:spacing w:val="-8"/>
                <w:sz w:val="22"/>
                <w:szCs w:val="22"/>
                <w:highlight w:val="none"/>
              </w:rPr>
              <w:t>0</w:t>
            </w:r>
          </w:p>
          <w:p w14:paraId="2D15F823">
            <w:pPr>
              <w:rPr>
                <w:rFonts w:hint="eastAsia" w:ascii="宋体" w:hAnsi="宋体" w:eastAsia="宋体" w:cs="宋体"/>
                <w:color w:val="auto"/>
                <w:sz w:val="21"/>
                <w:highlight w:val="none"/>
              </w:rPr>
            </w:pPr>
          </w:p>
          <w:p w14:paraId="5336F0C6">
            <w:pPr>
              <w:spacing w:before="63" w:line="189" w:lineRule="auto"/>
              <w:jc w:val="right"/>
              <w:rPr>
                <w:rFonts w:hint="eastAsia" w:ascii="宋体" w:hAnsi="宋体" w:eastAsia="宋体" w:cs="宋体"/>
                <w:color w:val="auto"/>
                <w:sz w:val="22"/>
                <w:szCs w:val="22"/>
                <w:highlight w:val="none"/>
              </w:rPr>
            </w:pPr>
            <w:r>
              <w:rPr>
                <w:rFonts w:hint="eastAsia" w:ascii="宋体" w:hAnsi="宋体" w:eastAsia="宋体" w:cs="宋体"/>
                <w:color w:val="auto"/>
                <w:spacing w:val="-8"/>
                <w:sz w:val="22"/>
                <w:szCs w:val="22"/>
                <w:highlight w:val="none"/>
              </w:rPr>
              <w:t>40</w:t>
            </w:r>
          </w:p>
          <w:p w14:paraId="62487302">
            <w:pPr>
              <w:spacing w:before="302" w:line="189" w:lineRule="auto"/>
              <w:jc w:val="right"/>
              <w:rPr>
                <w:rFonts w:hint="eastAsia" w:ascii="宋体" w:hAnsi="宋体" w:eastAsia="宋体" w:cs="宋体"/>
                <w:color w:val="auto"/>
                <w:sz w:val="22"/>
                <w:szCs w:val="22"/>
                <w:highlight w:val="none"/>
              </w:rPr>
            </w:pPr>
            <w:r>
              <w:rPr>
                <w:rFonts w:hint="eastAsia" w:ascii="宋体" w:hAnsi="宋体" w:eastAsia="宋体" w:cs="宋体"/>
                <w:color w:val="auto"/>
                <w:spacing w:val="-14"/>
                <w:sz w:val="22"/>
                <w:szCs w:val="22"/>
                <w:highlight w:val="none"/>
              </w:rPr>
              <w:t>3</w:t>
            </w:r>
            <w:r>
              <w:rPr>
                <w:rFonts w:hint="eastAsia" w:ascii="宋体" w:hAnsi="宋体" w:eastAsia="宋体" w:cs="宋体"/>
                <w:color w:val="auto"/>
                <w:spacing w:val="-8"/>
                <w:sz w:val="22"/>
                <w:szCs w:val="22"/>
                <w:highlight w:val="none"/>
              </w:rPr>
              <w:t>0</w:t>
            </w:r>
          </w:p>
          <w:p w14:paraId="70613A77">
            <w:pPr>
              <w:spacing w:before="299" w:line="189" w:lineRule="auto"/>
              <w:jc w:val="right"/>
              <w:rPr>
                <w:rFonts w:hint="eastAsia" w:ascii="宋体" w:hAnsi="宋体" w:eastAsia="宋体" w:cs="宋体"/>
                <w:color w:val="auto"/>
                <w:sz w:val="22"/>
                <w:szCs w:val="22"/>
                <w:highlight w:val="none"/>
              </w:rPr>
            </w:pPr>
            <w:r>
              <w:rPr>
                <w:rFonts w:hint="eastAsia" w:ascii="宋体" w:hAnsi="宋体" w:eastAsia="宋体" w:cs="宋体"/>
                <w:color w:val="auto"/>
                <w:spacing w:val="-10"/>
                <w:sz w:val="22"/>
                <w:szCs w:val="22"/>
                <w:highlight w:val="none"/>
              </w:rPr>
              <w:t>2</w:t>
            </w:r>
            <w:r>
              <w:rPr>
                <w:rFonts w:hint="eastAsia" w:ascii="宋体" w:hAnsi="宋体" w:eastAsia="宋体" w:cs="宋体"/>
                <w:color w:val="auto"/>
                <w:spacing w:val="-8"/>
                <w:sz w:val="22"/>
                <w:szCs w:val="22"/>
                <w:highlight w:val="none"/>
              </w:rPr>
              <w:t>0</w:t>
            </w:r>
          </w:p>
          <w:p w14:paraId="62469F07">
            <w:pPr>
              <w:rPr>
                <w:rFonts w:hint="eastAsia" w:ascii="宋体" w:hAnsi="宋体" w:eastAsia="宋体" w:cs="宋体"/>
                <w:color w:val="auto"/>
                <w:sz w:val="21"/>
                <w:highlight w:val="none"/>
              </w:rPr>
            </w:pPr>
          </w:p>
          <w:p w14:paraId="4DED4888">
            <w:pPr>
              <w:spacing w:before="64" w:line="189" w:lineRule="auto"/>
              <w:jc w:val="right"/>
              <w:rPr>
                <w:rFonts w:hint="eastAsia" w:ascii="宋体" w:hAnsi="宋体" w:eastAsia="宋体" w:cs="宋体"/>
                <w:color w:val="auto"/>
                <w:sz w:val="22"/>
                <w:szCs w:val="22"/>
                <w:highlight w:val="none"/>
              </w:rPr>
            </w:pPr>
            <w:r>
              <w:rPr>
                <w:rFonts w:hint="eastAsia" w:ascii="宋体" w:hAnsi="宋体" w:eastAsia="宋体" w:cs="宋体"/>
                <w:color w:val="auto"/>
                <w:spacing w:val="-30"/>
                <w:sz w:val="22"/>
                <w:szCs w:val="22"/>
                <w:highlight w:val="none"/>
              </w:rPr>
              <w:t>1</w:t>
            </w:r>
            <w:r>
              <w:rPr>
                <w:rFonts w:hint="eastAsia" w:ascii="宋体" w:hAnsi="宋体" w:eastAsia="宋体" w:cs="宋体"/>
                <w:color w:val="auto"/>
                <w:spacing w:val="-8"/>
                <w:sz w:val="22"/>
                <w:szCs w:val="22"/>
                <w:highlight w:val="none"/>
              </w:rPr>
              <w:t>0</w:t>
            </w:r>
          </w:p>
        </w:tc>
        <w:tc>
          <w:tcPr>
            <w:tcW w:w="399" w:type="dxa"/>
            <w:vAlign w:val="top"/>
          </w:tcPr>
          <w:p w14:paraId="2A42CBEC">
            <w:pPr>
              <w:spacing w:line="236" w:lineRule="exact"/>
              <w:rPr>
                <w:rFonts w:hint="eastAsia" w:ascii="宋体" w:hAnsi="宋体" w:eastAsia="宋体" w:cs="宋体"/>
                <w:color w:val="auto"/>
                <w:sz w:val="20"/>
                <w:highlight w:val="none"/>
              </w:rPr>
            </w:pPr>
          </w:p>
        </w:tc>
        <w:tc>
          <w:tcPr>
            <w:tcW w:w="406" w:type="dxa"/>
            <w:vAlign w:val="top"/>
          </w:tcPr>
          <w:p w14:paraId="0CDCAE8A">
            <w:pPr>
              <w:spacing w:line="236" w:lineRule="exact"/>
              <w:rPr>
                <w:rFonts w:hint="eastAsia" w:ascii="宋体" w:hAnsi="宋体" w:eastAsia="宋体" w:cs="宋体"/>
                <w:color w:val="auto"/>
                <w:sz w:val="20"/>
                <w:highlight w:val="none"/>
              </w:rPr>
            </w:pPr>
          </w:p>
        </w:tc>
        <w:tc>
          <w:tcPr>
            <w:tcW w:w="406" w:type="dxa"/>
            <w:vAlign w:val="top"/>
          </w:tcPr>
          <w:p w14:paraId="72BE0FF2">
            <w:pPr>
              <w:spacing w:line="236" w:lineRule="exact"/>
              <w:rPr>
                <w:rFonts w:hint="eastAsia" w:ascii="宋体" w:hAnsi="宋体" w:eastAsia="宋体" w:cs="宋体"/>
                <w:color w:val="auto"/>
                <w:sz w:val="20"/>
                <w:highlight w:val="none"/>
              </w:rPr>
            </w:pPr>
          </w:p>
        </w:tc>
        <w:tc>
          <w:tcPr>
            <w:tcW w:w="406" w:type="dxa"/>
            <w:vAlign w:val="top"/>
          </w:tcPr>
          <w:p w14:paraId="2118F876">
            <w:pPr>
              <w:spacing w:line="236" w:lineRule="exact"/>
              <w:rPr>
                <w:rFonts w:hint="eastAsia" w:ascii="宋体" w:hAnsi="宋体" w:eastAsia="宋体" w:cs="宋体"/>
                <w:color w:val="auto"/>
                <w:sz w:val="20"/>
                <w:highlight w:val="none"/>
              </w:rPr>
            </w:pPr>
          </w:p>
        </w:tc>
        <w:tc>
          <w:tcPr>
            <w:tcW w:w="406" w:type="dxa"/>
            <w:vAlign w:val="top"/>
          </w:tcPr>
          <w:p w14:paraId="50C0E1C0">
            <w:pPr>
              <w:spacing w:line="236" w:lineRule="exact"/>
              <w:rPr>
                <w:rFonts w:hint="eastAsia" w:ascii="宋体" w:hAnsi="宋体" w:eastAsia="宋体" w:cs="宋体"/>
                <w:color w:val="auto"/>
                <w:sz w:val="20"/>
                <w:highlight w:val="none"/>
              </w:rPr>
            </w:pPr>
          </w:p>
        </w:tc>
        <w:tc>
          <w:tcPr>
            <w:tcW w:w="404" w:type="dxa"/>
            <w:vAlign w:val="top"/>
          </w:tcPr>
          <w:p w14:paraId="7BB66AB6">
            <w:pPr>
              <w:spacing w:line="236" w:lineRule="exact"/>
              <w:rPr>
                <w:rFonts w:hint="eastAsia" w:ascii="宋体" w:hAnsi="宋体" w:eastAsia="宋体" w:cs="宋体"/>
                <w:color w:val="auto"/>
                <w:sz w:val="20"/>
                <w:highlight w:val="none"/>
              </w:rPr>
            </w:pPr>
          </w:p>
        </w:tc>
        <w:tc>
          <w:tcPr>
            <w:tcW w:w="406" w:type="dxa"/>
            <w:vAlign w:val="top"/>
          </w:tcPr>
          <w:p w14:paraId="12CF5F6C">
            <w:pPr>
              <w:spacing w:line="236" w:lineRule="exact"/>
              <w:rPr>
                <w:rFonts w:hint="eastAsia" w:ascii="宋体" w:hAnsi="宋体" w:eastAsia="宋体" w:cs="宋体"/>
                <w:color w:val="auto"/>
                <w:sz w:val="20"/>
                <w:highlight w:val="none"/>
              </w:rPr>
            </w:pPr>
          </w:p>
        </w:tc>
        <w:tc>
          <w:tcPr>
            <w:tcW w:w="406" w:type="dxa"/>
            <w:vAlign w:val="top"/>
          </w:tcPr>
          <w:p w14:paraId="13698D02">
            <w:pPr>
              <w:spacing w:line="236" w:lineRule="exact"/>
              <w:rPr>
                <w:rFonts w:hint="eastAsia" w:ascii="宋体" w:hAnsi="宋体" w:eastAsia="宋体" w:cs="宋体"/>
                <w:color w:val="auto"/>
                <w:sz w:val="20"/>
                <w:highlight w:val="none"/>
              </w:rPr>
            </w:pPr>
          </w:p>
        </w:tc>
        <w:tc>
          <w:tcPr>
            <w:tcW w:w="406" w:type="dxa"/>
            <w:vAlign w:val="top"/>
          </w:tcPr>
          <w:p w14:paraId="2796BF10">
            <w:pPr>
              <w:spacing w:line="236" w:lineRule="exact"/>
              <w:rPr>
                <w:rFonts w:hint="eastAsia" w:ascii="宋体" w:hAnsi="宋体" w:eastAsia="宋体" w:cs="宋体"/>
                <w:color w:val="auto"/>
                <w:sz w:val="20"/>
                <w:highlight w:val="none"/>
              </w:rPr>
            </w:pPr>
          </w:p>
        </w:tc>
        <w:tc>
          <w:tcPr>
            <w:tcW w:w="406" w:type="dxa"/>
            <w:vAlign w:val="top"/>
          </w:tcPr>
          <w:p w14:paraId="2459235C">
            <w:pPr>
              <w:spacing w:line="236" w:lineRule="exact"/>
              <w:rPr>
                <w:rFonts w:hint="eastAsia" w:ascii="宋体" w:hAnsi="宋体" w:eastAsia="宋体" w:cs="宋体"/>
                <w:color w:val="auto"/>
                <w:sz w:val="20"/>
                <w:highlight w:val="none"/>
              </w:rPr>
            </w:pPr>
          </w:p>
        </w:tc>
        <w:tc>
          <w:tcPr>
            <w:tcW w:w="406" w:type="dxa"/>
            <w:vAlign w:val="top"/>
          </w:tcPr>
          <w:p w14:paraId="2141487F">
            <w:pPr>
              <w:spacing w:line="236" w:lineRule="exact"/>
              <w:rPr>
                <w:rFonts w:hint="eastAsia" w:ascii="宋体" w:hAnsi="宋体" w:eastAsia="宋体" w:cs="宋体"/>
                <w:color w:val="auto"/>
                <w:sz w:val="20"/>
                <w:highlight w:val="none"/>
              </w:rPr>
            </w:pPr>
          </w:p>
        </w:tc>
        <w:tc>
          <w:tcPr>
            <w:tcW w:w="406" w:type="dxa"/>
            <w:vAlign w:val="top"/>
          </w:tcPr>
          <w:p w14:paraId="4B7BC2B2">
            <w:pPr>
              <w:spacing w:line="236" w:lineRule="exact"/>
              <w:rPr>
                <w:rFonts w:hint="eastAsia" w:ascii="宋体" w:hAnsi="宋体" w:eastAsia="宋体" w:cs="宋体"/>
                <w:color w:val="auto"/>
                <w:sz w:val="20"/>
                <w:highlight w:val="none"/>
              </w:rPr>
            </w:pPr>
          </w:p>
        </w:tc>
        <w:tc>
          <w:tcPr>
            <w:tcW w:w="406" w:type="dxa"/>
            <w:vAlign w:val="top"/>
          </w:tcPr>
          <w:p w14:paraId="16B19C85">
            <w:pPr>
              <w:spacing w:line="236" w:lineRule="exact"/>
              <w:rPr>
                <w:rFonts w:hint="eastAsia" w:ascii="宋体" w:hAnsi="宋体" w:eastAsia="宋体" w:cs="宋体"/>
                <w:color w:val="auto"/>
                <w:sz w:val="20"/>
                <w:highlight w:val="none"/>
              </w:rPr>
            </w:pPr>
          </w:p>
        </w:tc>
        <w:tc>
          <w:tcPr>
            <w:tcW w:w="406" w:type="dxa"/>
            <w:vAlign w:val="top"/>
          </w:tcPr>
          <w:p w14:paraId="73FB1AB4">
            <w:pPr>
              <w:spacing w:line="236" w:lineRule="exact"/>
              <w:rPr>
                <w:rFonts w:hint="eastAsia" w:ascii="宋体" w:hAnsi="宋体" w:eastAsia="宋体" w:cs="宋体"/>
                <w:color w:val="auto"/>
                <w:sz w:val="20"/>
                <w:highlight w:val="none"/>
              </w:rPr>
            </w:pPr>
          </w:p>
        </w:tc>
        <w:tc>
          <w:tcPr>
            <w:tcW w:w="406" w:type="dxa"/>
            <w:vAlign w:val="top"/>
          </w:tcPr>
          <w:p w14:paraId="59341369">
            <w:pPr>
              <w:spacing w:line="236" w:lineRule="exact"/>
              <w:rPr>
                <w:rFonts w:hint="eastAsia" w:ascii="宋体" w:hAnsi="宋体" w:eastAsia="宋体" w:cs="宋体"/>
                <w:color w:val="auto"/>
                <w:sz w:val="20"/>
                <w:highlight w:val="none"/>
              </w:rPr>
            </w:pPr>
          </w:p>
        </w:tc>
        <w:tc>
          <w:tcPr>
            <w:tcW w:w="406" w:type="dxa"/>
            <w:vAlign w:val="top"/>
          </w:tcPr>
          <w:p w14:paraId="194057BD">
            <w:pPr>
              <w:spacing w:line="236" w:lineRule="exact"/>
              <w:rPr>
                <w:rFonts w:hint="eastAsia" w:ascii="宋体" w:hAnsi="宋体" w:eastAsia="宋体" w:cs="宋体"/>
                <w:color w:val="auto"/>
                <w:sz w:val="20"/>
                <w:highlight w:val="none"/>
              </w:rPr>
            </w:pPr>
          </w:p>
        </w:tc>
        <w:tc>
          <w:tcPr>
            <w:tcW w:w="408" w:type="dxa"/>
            <w:vAlign w:val="top"/>
          </w:tcPr>
          <w:p w14:paraId="26998D8A">
            <w:pPr>
              <w:spacing w:line="236" w:lineRule="exact"/>
              <w:rPr>
                <w:rFonts w:hint="eastAsia" w:ascii="宋体" w:hAnsi="宋体" w:eastAsia="宋体" w:cs="宋体"/>
                <w:color w:val="auto"/>
                <w:sz w:val="20"/>
                <w:highlight w:val="none"/>
              </w:rPr>
            </w:pPr>
          </w:p>
        </w:tc>
        <w:tc>
          <w:tcPr>
            <w:tcW w:w="407" w:type="dxa"/>
            <w:vAlign w:val="top"/>
          </w:tcPr>
          <w:p w14:paraId="625A85DB">
            <w:pPr>
              <w:spacing w:line="236" w:lineRule="exact"/>
              <w:rPr>
                <w:rFonts w:hint="eastAsia" w:ascii="宋体" w:hAnsi="宋体" w:eastAsia="宋体" w:cs="宋体"/>
                <w:color w:val="auto"/>
                <w:sz w:val="20"/>
                <w:highlight w:val="none"/>
              </w:rPr>
            </w:pPr>
          </w:p>
        </w:tc>
        <w:tc>
          <w:tcPr>
            <w:tcW w:w="408" w:type="dxa"/>
            <w:vAlign w:val="top"/>
          </w:tcPr>
          <w:p w14:paraId="1F8BA317">
            <w:pPr>
              <w:spacing w:line="236" w:lineRule="exact"/>
              <w:rPr>
                <w:rFonts w:hint="eastAsia" w:ascii="宋体" w:hAnsi="宋体" w:eastAsia="宋体" w:cs="宋体"/>
                <w:color w:val="auto"/>
                <w:sz w:val="20"/>
                <w:highlight w:val="none"/>
              </w:rPr>
            </w:pPr>
          </w:p>
        </w:tc>
        <w:tc>
          <w:tcPr>
            <w:tcW w:w="413" w:type="dxa"/>
            <w:vAlign w:val="top"/>
          </w:tcPr>
          <w:p w14:paraId="280757F8">
            <w:pPr>
              <w:spacing w:line="236" w:lineRule="exact"/>
              <w:rPr>
                <w:rFonts w:hint="eastAsia" w:ascii="宋体" w:hAnsi="宋体" w:eastAsia="宋体" w:cs="宋体"/>
                <w:color w:val="auto"/>
                <w:sz w:val="20"/>
                <w:highlight w:val="none"/>
              </w:rPr>
            </w:pPr>
          </w:p>
        </w:tc>
      </w:tr>
      <w:tr w14:paraId="07303C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8" w:hRule="atLeast"/>
        </w:trPr>
        <w:tc>
          <w:tcPr>
            <w:tcW w:w="1248" w:type="dxa"/>
            <w:vMerge w:val="continue"/>
            <w:tcBorders>
              <w:top w:val="nil"/>
              <w:bottom w:val="nil"/>
            </w:tcBorders>
            <w:vAlign w:val="top"/>
          </w:tcPr>
          <w:p w14:paraId="42B359AA">
            <w:pPr>
              <w:rPr>
                <w:rFonts w:hint="eastAsia" w:ascii="宋体" w:hAnsi="宋体" w:eastAsia="宋体" w:cs="宋体"/>
                <w:color w:val="auto"/>
                <w:sz w:val="21"/>
                <w:highlight w:val="none"/>
              </w:rPr>
            </w:pPr>
          </w:p>
        </w:tc>
        <w:tc>
          <w:tcPr>
            <w:tcW w:w="399" w:type="dxa"/>
            <w:vAlign w:val="top"/>
          </w:tcPr>
          <w:p w14:paraId="6F634B52">
            <w:pPr>
              <w:spacing w:line="238" w:lineRule="exact"/>
              <w:rPr>
                <w:rFonts w:hint="eastAsia" w:ascii="宋体" w:hAnsi="宋体" w:eastAsia="宋体" w:cs="宋体"/>
                <w:color w:val="auto"/>
                <w:sz w:val="20"/>
                <w:highlight w:val="none"/>
              </w:rPr>
            </w:pPr>
          </w:p>
        </w:tc>
        <w:tc>
          <w:tcPr>
            <w:tcW w:w="406" w:type="dxa"/>
            <w:vAlign w:val="top"/>
          </w:tcPr>
          <w:p w14:paraId="0A8613D3">
            <w:pPr>
              <w:spacing w:line="238" w:lineRule="exact"/>
              <w:rPr>
                <w:rFonts w:hint="eastAsia" w:ascii="宋体" w:hAnsi="宋体" w:eastAsia="宋体" w:cs="宋体"/>
                <w:color w:val="auto"/>
                <w:sz w:val="20"/>
                <w:highlight w:val="none"/>
              </w:rPr>
            </w:pPr>
          </w:p>
        </w:tc>
        <w:tc>
          <w:tcPr>
            <w:tcW w:w="406" w:type="dxa"/>
            <w:vAlign w:val="top"/>
          </w:tcPr>
          <w:p w14:paraId="3F05F84E">
            <w:pPr>
              <w:spacing w:line="238" w:lineRule="exact"/>
              <w:rPr>
                <w:rFonts w:hint="eastAsia" w:ascii="宋体" w:hAnsi="宋体" w:eastAsia="宋体" w:cs="宋体"/>
                <w:color w:val="auto"/>
                <w:sz w:val="20"/>
                <w:highlight w:val="none"/>
              </w:rPr>
            </w:pPr>
          </w:p>
        </w:tc>
        <w:tc>
          <w:tcPr>
            <w:tcW w:w="406" w:type="dxa"/>
            <w:vAlign w:val="top"/>
          </w:tcPr>
          <w:p w14:paraId="3390DEED">
            <w:pPr>
              <w:spacing w:line="238" w:lineRule="exact"/>
              <w:rPr>
                <w:rFonts w:hint="eastAsia" w:ascii="宋体" w:hAnsi="宋体" w:eastAsia="宋体" w:cs="宋体"/>
                <w:color w:val="auto"/>
                <w:sz w:val="20"/>
                <w:highlight w:val="none"/>
              </w:rPr>
            </w:pPr>
          </w:p>
        </w:tc>
        <w:tc>
          <w:tcPr>
            <w:tcW w:w="406" w:type="dxa"/>
            <w:vAlign w:val="top"/>
          </w:tcPr>
          <w:p w14:paraId="799D2DA7">
            <w:pPr>
              <w:spacing w:line="238" w:lineRule="exact"/>
              <w:rPr>
                <w:rFonts w:hint="eastAsia" w:ascii="宋体" w:hAnsi="宋体" w:eastAsia="宋体" w:cs="宋体"/>
                <w:color w:val="auto"/>
                <w:sz w:val="20"/>
                <w:highlight w:val="none"/>
              </w:rPr>
            </w:pPr>
          </w:p>
        </w:tc>
        <w:tc>
          <w:tcPr>
            <w:tcW w:w="404" w:type="dxa"/>
            <w:vAlign w:val="top"/>
          </w:tcPr>
          <w:p w14:paraId="314F58AF">
            <w:pPr>
              <w:spacing w:line="238" w:lineRule="exact"/>
              <w:rPr>
                <w:rFonts w:hint="eastAsia" w:ascii="宋体" w:hAnsi="宋体" w:eastAsia="宋体" w:cs="宋体"/>
                <w:color w:val="auto"/>
                <w:sz w:val="20"/>
                <w:highlight w:val="none"/>
              </w:rPr>
            </w:pPr>
          </w:p>
        </w:tc>
        <w:tc>
          <w:tcPr>
            <w:tcW w:w="406" w:type="dxa"/>
            <w:vAlign w:val="top"/>
          </w:tcPr>
          <w:p w14:paraId="459A276A">
            <w:pPr>
              <w:spacing w:line="238" w:lineRule="exact"/>
              <w:rPr>
                <w:rFonts w:hint="eastAsia" w:ascii="宋体" w:hAnsi="宋体" w:eastAsia="宋体" w:cs="宋体"/>
                <w:color w:val="auto"/>
                <w:sz w:val="20"/>
                <w:highlight w:val="none"/>
              </w:rPr>
            </w:pPr>
          </w:p>
        </w:tc>
        <w:tc>
          <w:tcPr>
            <w:tcW w:w="406" w:type="dxa"/>
            <w:vAlign w:val="top"/>
          </w:tcPr>
          <w:p w14:paraId="159DF1A9">
            <w:pPr>
              <w:spacing w:line="238" w:lineRule="exact"/>
              <w:rPr>
                <w:rFonts w:hint="eastAsia" w:ascii="宋体" w:hAnsi="宋体" w:eastAsia="宋体" w:cs="宋体"/>
                <w:color w:val="auto"/>
                <w:sz w:val="20"/>
                <w:highlight w:val="none"/>
              </w:rPr>
            </w:pPr>
          </w:p>
        </w:tc>
        <w:tc>
          <w:tcPr>
            <w:tcW w:w="406" w:type="dxa"/>
            <w:vAlign w:val="top"/>
          </w:tcPr>
          <w:p w14:paraId="212B0220">
            <w:pPr>
              <w:spacing w:line="238" w:lineRule="exact"/>
              <w:rPr>
                <w:rFonts w:hint="eastAsia" w:ascii="宋体" w:hAnsi="宋体" w:eastAsia="宋体" w:cs="宋体"/>
                <w:color w:val="auto"/>
                <w:sz w:val="20"/>
                <w:highlight w:val="none"/>
              </w:rPr>
            </w:pPr>
          </w:p>
        </w:tc>
        <w:tc>
          <w:tcPr>
            <w:tcW w:w="406" w:type="dxa"/>
            <w:vAlign w:val="top"/>
          </w:tcPr>
          <w:p w14:paraId="65810C40">
            <w:pPr>
              <w:spacing w:line="238" w:lineRule="exact"/>
              <w:rPr>
                <w:rFonts w:hint="eastAsia" w:ascii="宋体" w:hAnsi="宋体" w:eastAsia="宋体" w:cs="宋体"/>
                <w:color w:val="auto"/>
                <w:sz w:val="20"/>
                <w:highlight w:val="none"/>
              </w:rPr>
            </w:pPr>
          </w:p>
        </w:tc>
        <w:tc>
          <w:tcPr>
            <w:tcW w:w="406" w:type="dxa"/>
            <w:vAlign w:val="top"/>
          </w:tcPr>
          <w:p w14:paraId="5C868E6E">
            <w:pPr>
              <w:spacing w:line="238" w:lineRule="exact"/>
              <w:rPr>
                <w:rFonts w:hint="eastAsia" w:ascii="宋体" w:hAnsi="宋体" w:eastAsia="宋体" w:cs="宋体"/>
                <w:color w:val="auto"/>
                <w:sz w:val="20"/>
                <w:highlight w:val="none"/>
              </w:rPr>
            </w:pPr>
          </w:p>
        </w:tc>
        <w:tc>
          <w:tcPr>
            <w:tcW w:w="406" w:type="dxa"/>
            <w:vAlign w:val="top"/>
          </w:tcPr>
          <w:p w14:paraId="6D371ECA">
            <w:pPr>
              <w:spacing w:line="238" w:lineRule="exact"/>
              <w:rPr>
                <w:rFonts w:hint="eastAsia" w:ascii="宋体" w:hAnsi="宋体" w:eastAsia="宋体" w:cs="宋体"/>
                <w:color w:val="auto"/>
                <w:sz w:val="20"/>
                <w:highlight w:val="none"/>
              </w:rPr>
            </w:pPr>
          </w:p>
        </w:tc>
        <w:tc>
          <w:tcPr>
            <w:tcW w:w="406" w:type="dxa"/>
            <w:vAlign w:val="top"/>
          </w:tcPr>
          <w:p w14:paraId="3F47E75B">
            <w:pPr>
              <w:spacing w:line="238" w:lineRule="exact"/>
              <w:rPr>
                <w:rFonts w:hint="eastAsia" w:ascii="宋体" w:hAnsi="宋体" w:eastAsia="宋体" w:cs="宋体"/>
                <w:color w:val="auto"/>
                <w:sz w:val="20"/>
                <w:highlight w:val="none"/>
              </w:rPr>
            </w:pPr>
          </w:p>
        </w:tc>
        <w:tc>
          <w:tcPr>
            <w:tcW w:w="406" w:type="dxa"/>
            <w:vAlign w:val="top"/>
          </w:tcPr>
          <w:p w14:paraId="6578BEB3">
            <w:pPr>
              <w:spacing w:line="238" w:lineRule="exact"/>
              <w:rPr>
                <w:rFonts w:hint="eastAsia" w:ascii="宋体" w:hAnsi="宋体" w:eastAsia="宋体" w:cs="宋体"/>
                <w:color w:val="auto"/>
                <w:sz w:val="20"/>
                <w:highlight w:val="none"/>
              </w:rPr>
            </w:pPr>
          </w:p>
        </w:tc>
        <w:tc>
          <w:tcPr>
            <w:tcW w:w="406" w:type="dxa"/>
            <w:vAlign w:val="top"/>
          </w:tcPr>
          <w:p w14:paraId="3CB7783E">
            <w:pPr>
              <w:spacing w:line="238" w:lineRule="exact"/>
              <w:rPr>
                <w:rFonts w:hint="eastAsia" w:ascii="宋体" w:hAnsi="宋体" w:eastAsia="宋体" w:cs="宋体"/>
                <w:color w:val="auto"/>
                <w:sz w:val="20"/>
                <w:highlight w:val="none"/>
              </w:rPr>
            </w:pPr>
          </w:p>
        </w:tc>
        <w:tc>
          <w:tcPr>
            <w:tcW w:w="406" w:type="dxa"/>
            <w:vAlign w:val="top"/>
          </w:tcPr>
          <w:p w14:paraId="030B5BFA">
            <w:pPr>
              <w:spacing w:line="238" w:lineRule="exact"/>
              <w:rPr>
                <w:rFonts w:hint="eastAsia" w:ascii="宋体" w:hAnsi="宋体" w:eastAsia="宋体" w:cs="宋体"/>
                <w:color w:val="auto"/>
                <w:sz w:val="20"/>
                <w:highlight w:val="none"/>
              </w:rPr>
            </w:pPr>
          </w:p>
        </w:tc>
        <w:tc>
          <w:tcPr>
            <w:tcW w:w="408" w:type="dxa"/>
            <w:vAlign w:val="top"/>
          </w:tcPr>
          <w:p w14:paraId="52CE3124">
            <w:pPr>
              <w:spacing w:line="238" w:lineRule="exact"/>
              <w:rPr>
                <w:rFonts w:hint="eastAsia" w:ascii="宋体" w:hAnsi="宋体" w:eastAsia="宋体" w:cs="宋体"/>
                <w:color w:val="auto"/>
                <w:sz w:val="20"/>
                <w:highlight w:val="none"/>
              </w:rPr>
            </w:pPr>
          </w:p>
        </w:tc>
        <w:tc>
          <w:tcPr>
            <w:tcW w:w="407" w:type="dxa"/>
            <w:vAlign w:val="top"/>
          </w:tcPr>
          <w:p w14:paraId="407F47BF">
            <w:pPr>
              <w:spacing w:line="238" w:lineRule="exact"/>
              <w:rPr>
                <w:rFonts w:hint="eastAsia" w:ascii="宋体" w:hAnsi="宋体" w:eastAsia="宋体" w:cs="宋体"/>
                <w:color w:val="auto"/>
                <w:sz w:val="20"/>
                <w:highlight w:val="none"/>
              </w:rPr>
            </w:pPr>
          </w:p>
        </w:tc>
        <w:tc>
          <w:tcPr>
            <w:tcW w:w="408" w:type="dxa"/>
            <w:vAlign w:val="top"/>
          </w:tcPr>
          <w:p w14:paraId="78A9C66F">
            <w:pPr>
              <w:spacing w:line="238" w:lineRule="exact"/>
              <w:rPr>
                <w:rFonts w:hint="eastAsia" w:ascii="宋体" w:hAnsi="宋体" w:eastAsia="宋体" w:cs="宋体"/>
                <w:color w:val="auto"/>
                <w:sz w:val="20"/>
                <w:highlight w:val="none"/>
              </w:rPr>
            </w:pPr>
          </w:p>
        </w:tc>
        <w:tc>
          <w:tcPr>
            <w:tcW w:w="413" w:type="dxa"/>
            <w:vAlign w:val="top"/>
          </w:tcPr>
          <w:p w14:paraId="3D2887CF">
            <w:pPr>
              <w:spacing w:line="238" w:lineRule="exact"/>
              <w:rPr>
                <w:rFonts w:hint="eastAsia" w:ascii="宋体" w:hAnsi="宋体" w:eastAsia="宋体" w:cs="宋体"/>
                <w:color w:val="auto"/>
                <w:sz w:val="20"/>
                <w:highlight w:val="none"/>
              </w:rPr>
            </w:pPr>
          </w:p>
        </w:tc>
      </w:tr>
      <w:tr w14:paraId="7E4B56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1248" w:type="dxa"/>
            <w:vMerge w:val="continue"/>
            <w:tcBorders>
              <w:top w:val="nil"/>
              <w:bottom w:val="nil"/>
            </w:tcBorders>
            <w:vAlign w:val="top"/>
          </w:tcPr>
          <w:p w14:paraId="469D6FFE">
            <w:pPr>
              <w:rPr>
                <w:rFonts w:hint="eastAsia" w:ascii="宋体" w:hAnsi="宋体" w:eastAsia="宋体" w:cs="宋体"/>
                <w:color w:val="auto"/>
                <w:sz w:val="21"/>
                <w:highlight w:val="none"/>
              </w:rPr>
            </w:pPr>
          </w:p>
        </w:tc>
        <w:tc>
          <w:tcPr>
            <w:tcW w:w="399" w:type="dxa"/>
            <w:vAlign w:val="top"/>
          </w:tcPr>
          <w:p w14:paraId="58D8555D">
            <w:pPr>
              <w:spacing w:line="234" w:lineRule="exact"/>
              <w:rPr>
                <w:rFonts w:hint="eastAsia" w:ascii="宋体" w:hAnsi="宋体" w:eastAsia="宋体" w:cs="宋体"/>
                <w:color w:val="auto"/>
                <w:sz w:val="20"/>
                <w:highlight w:val="none"/>
              </w:rPr>
            </w:pPr>
          </w:p>
        </w:tc>
        <w:tc>
          <w:tcPr>
            <w:tcW w:w="406" w:type="dxa"/>
            <w:vAlign w:val="top"/>
          </w:tcPr>
          <w:p w14:paraId="3B45FF6D">
            <w:pPr>
              <w:spacing w:line="234" w:lineRule="exact"/>
              <w:rPr>
                <w:rFonts w:hint="eastAsia" w:ascii="宋体" w:hAnsi="宋体" w:eastAsia="宋体" w:cs="宋体"/>
                <w:color w:val="auto"/>
                <w:sz w:val="20"/>
                <w:highlight w:val="none"/>
              </w:rPr>
            </w:pPr>
          </w:p>
        </w:tc>
        <w:tc>
          <w:tcPr>
            <w:tcW w:w="406" w:type="dxa"/>
            <w:vAlign w:val="top"/>
          </w:tcPr>
          <w:p w14:paraId="3168C5AF">
            <w:pPr>
              <w:spacing w:line="234" w:lineRule="exact"/>
              <w:rPr>
                <w:rFonts w:hint="eastAsia" w:ascii="宋体" w:hAnsi="宋体" w:eastAsia="宋体" w:cs="宋体"/>
                <w:color w:val="auto"/>
                <w:sz w:val="20"/>
                <w:highlight w:val="none"/>
              </w:rPr>
            </w:pPr>
          </w:p>
        </w:tc>
        <w:tc>
          <w:tcPr>
            <w:tcW w:w="406" w:type="dxa"/>
            <w:vAlign w:val="top"/>
          </w:tcPr>
          <w:p w14:paraId="64825DAB">
            <w:pPr>
              <w:spacing w:line="234" w:lineRule="exact"/>
              <w:rPr>
                <w:rFonts w:hint="eastAsia" w:ascii="宋体" w:hAnsi="宋体" w:eastAsia="宋体" w:cs="宋体"/>
                <w:color w:val="auto"/>
                <w:sz w:val="20"/>
                <w:highlight w:val="none"/>
              </w:rPr>
            </w:pPr>
          </w:p>
        </w:tc>
        <w:tc>
          <w:tcPr>
            <w:tcW w:w="406" w:type="dxa"/>
            <w:vAlign w:val="top"/>
          </w:tcPr>
          <w:p w14:paraId="3FC5B43A">
            <w:pPr>
              <w:spacing w:line="234" w:lineRule="exact"/>
              <w:rPr>
                <w:rFonts w:hint="eastAsia" w:ascii="宋体" w:hAnsi="宋体" w:eastAsia="宋体" w:cs="宋体"/>
                <w:color w:val="auto"/>
                <w:sz w:val="20"/>
                <w:highlight w:val="none"/>
              </w:rPr>
            </w:pPr>
          </w:p>
        </w:tc>
        <w:tc>
          <w:tcPr>
            <w:tcW w:w="404" w:type="dxa"/>
            <w:vAlign w:val="top"/>
          </w:tcPr>
          <w:p w14:paraId="274CF902">
            <w:pPr>
              <w:spacing w:line="234" w:lineRule="exact"/>
              <w:rPr>
                <w:rFonts w:hint="eastAsia" w:ascii="宋体" w:hAnsi="宋体" w:eastAsia="宋体" w:cs="宋体"/>
                <w:color w:val="auto"/>
                <w:sz w:val="20"/>
                <w:highlight w:val="none"/>
              </w:rPr>
            </w:pPr>
          </w:p>
        </w:tc>
        <w:tc>
          <w:tcPr>
            <w:tcW w:w="406" w:type="dxa"/>
            <w:vAlign w:val="top"/>
          </w:tcPr>
          <w:p w14:paraId="31BACBAF">
            <w:pPr>
              <w:spacing w:line="234" w:lineRule="exact"/>
              <w:rPr>
                <w:rFonts w:hint="eastAsia" w:ascii="宋体" w:hAnsi="宋体" w:eastAsia="宋体" w:cs="宋体"/>
                <w:color w:val="auto"/>
                <w:sz w:val="20"/>
                <w:highlight w:val="none"/>
              </w:rPr>
            </w:pPr>
          </w:p>
        </w:tc>
        <w:tc>
          <w:tcPr>
            <w:tcW w:w="406" w:type="dxa"/>
            <w:vAlign w:val="top"/>
          </w:tcPr>
          <w:p w14:paraId="6AA9A5AE">
            <w:pPr>
              <w:spacing w:line="234" w:lineRule="exact"/>
              <w:rPr>
                <w:rFonts w:hint="eastAsia" w:ascii="宋体" w:hAnsi="宋体" w:eastAsia="宋体" w:cs="宋体"/>
                <w:color w:val="auto"/>
                <w:sz w:val="20"/>
                <w:highlight w:val="none"/>
              </w:rPr>
            </w:pPr>
          </w:p>
        </w:tc>
        <w:tc>
          <w:tcPr>
            <w:tcW w:w="406" w:type="dxa"/>
            <w:vAlign w:val="top"/>
          </w:tcPr>
          <w:p w14:paraId="0F8A3446">
            <w:pPr>
              <w:spacing w:line="234" w:lineRule="exact"/>
              <w:rPr>
                <w:rFonts w:hint="eastAsia" w:ascii="宋体" w:hAnsi="宋体" w:eastAsia="宋体" w:cs="宋体"/>
                <w:color w:val="auto"/>
                <w:sz w:val="20"/>
                <w:highlight w:val="none"/>
              </w:rPr>
            </w:pPr>
          </w:p>
        </w:tc>
        <w:tc>
          <w:tcPr>
            <w:tcW w:w="406" w:type="dxa"/>
            <w:vAlign w:val="top"/>
          </w:tcPr>
          <w:p w14:paraId="13A0AF2F">
            <w:pPr>
              <w:spacing w:line="234" w:lineRule="exact"/>
              <w:rPr>
                <w:rFonts w:hint="eastAsia" w:ascii="宋体" w:hAnsi="宋体" w:eastAsia="宋体" w:cs="宋体"/>
                <w:color w:val="auto"/>
                <w:sz w:val="20"/>
                <w:highlight w:val="none"/>
              </w:rPr>
            </w:pPr>
          </w:p>
        </w:tc>
        <w:tc>
          <w:tcPr>
            <w:tcW w:w="406" w:type="dxa"/>
            <w:vAlign w:val="top"/>
          </w:tcPr>
          <w:p w14:paraId="7E9EBC4E">
            <w:pPr>
              <w:spacing w:line="234" w:lineRule="exact"/>
              <w:rPr>
                <w:rFonts w:hint="eastAsia" w:ascii="宋体" w:hAnsi="宋体" w:eastAsia="宋体" w:cs="宋体"/>
                <w:color w:val="auto"/>
                <w:sz w:val="20"/>
                <w:highlight w:val="none"/>
              </w:rPr>
            </w:pPr>
          </w:p>
        </w:tc>
        <w:tc>
          <w:tcPr>
            <w:tcW w:w="406" w:type="dxa"/>
            <w:vAlign w:val="top"/>
          </w:tcPr>
          <w:p w14:paraId="64F3CAEE">
            <w:pPr>
              <w:spacing w:line="234" w:lineRule="exact"/>
              <w:rPr>
                <w:rFonts w:hint="eastAsia" w:ascii="宋体" w:hAnsi="宋体" w:eastAsia="宋体" w:cs="宋体"/>
                <w:color w:val="auto"/>
                <w:sz w:val="20"/>
                <w:highlight w:val="none"/>
              </w:rPr>
            </w:pPr>
          </w:p>
        </w:tc>
        <w:tc>
          <w:tcPr>
            <w:tcW w:w="406" w:type="dxa"/>
            <w:vAlign w:val="top"/>
          </w:tcPr>
          <w:p w14:paraId="28616EFF">
            <w:pPr>
              <w:spacing w:line="234" w:lineRule="exact"/>
              <w:rPr>
                <w:rFonts w:hint="eastAsia" w:ascii="宋体" w:hAnsi="宋体" w:eastAsia="宋体" w:cs="宋体"/>
                <w:color w:val="auto"/>
                <w:sz w:val="20"/>
                <w:highlight w:val="none"/>
              </w:rPr>
            </w:pPr>
          </w:p>
        </w:tc>
        <w:tc>
          <w:tcPr>
            <w:tcW w:w="406" w:type="dxa"/>
            <w:vAlign w:val="top"/>
          </w:tcPr>
          <w:p w14:paraId="1A1A9283">
            <w:pPr>
              <w:spacing w:line="234" w:lineRule="exact"/>
              <w:rPr>
                <w:rFonts w:hint="eastAsia" w:ascii="宋体" w:hAnsi="宋体" w:eastAsia="宋体" w:cs="宋体"/>
                <w:color w:val="auto"/>
                <w:sz w:val="20"/>
                <w:highlight w:val="none"/>
              </w:rPr>
            </w:pPr>
          </w:p>
        </w:tc>
        <w:tc>
          <w:tcPr>
            <w:tcW w:w="406" w:type="dxa"/>
            <w:vAlign w:val="top"/>
          </w:tcPr>
          <w:p w14:paraId="4A4E77D2">
            <w:pPr>
              <w:spacing w:line="234" w:lineRule="exact"/>
              <w:rPr>
                <w:rFonts w:hint="eastAsia" w:ascii="宋体" w:hAnsi="宋体" w:eastAsia="宋体" w:cs="宋体"/>
                <w:color w:val="auto"/>
                <w:sz w:val="20"/>
                <w:highlight w:val="none"/>
              </w:rPr>
            </w:pPr>
          </w:p>
        </w:tc>
        <w:tc>
          <w:tcPr>
            <w:tcW w:w="406" w:type="dxa"/>
            <w:vAlign w:val="top"/>
          </w:tcPr>
          <w:p w14:paraId="307A210C">
            <w:pPr>
              <w:spacing w:line="234" w:lineRule="exact"/>
              <w:rPr>
                <w:rFonts w:hint="eastAsia" w:ascii="宋体" w:hAnsi="宋体" w:eastAsia="宋体" w:cs="宋体"/>
                <w:color w:val="auto"/>
                <w:sz w:val="20"/>
                <w:highlight w:val="none"/>
              </w:rPr>
            </w:pPr>
          </w:p>
        </w:tc>
        <w:tc>
          <w:tcPr>
            <w:tcW w:w="408" w:type="dxa"/>
            <w:vAlign w:val="top"/>
          </w:tcPr>
          <w:p w14:paraId="2E1622B5">
            <w:pPr>
              <w:spacing w:line="234" w:lineRule="exact"/>
              <w:rPr>
                <w:rFonts w:hint="eastAsia" w:ascii="宋体" w:hAnsi="宋体" w:eastAsia="宋体" w:cs="宋体"/>
                <w:color w:val="auto"/>
                <w:sz w:val="20"/>
                <w:highlight w:val="none"/>
              </w:rPr>
            </w:pPr>
          </w:p>
        </w:tc>
        <w:tc>
          <w:tcPr>
            <w:tcW w:w="407" w:type="dxa"/>
            <w:vAlign w:val="top"/>
          </w:tcPr>
          <w:p w14:paraId="05DA6EEF">
            <w:pPr>
              <w:spacing w:line="234" w:lineRule="exact"/>
              <w:rPr>
                <w:rFonts w:hint="eastAsia" w:ascii="宋体" w:hAnsi="宋体" w:eastAsia="宋体" w:cs="宋体"/>
                <w:color w:val="auto"/>
                <w:sz w:val="20"/>
                <w:highlight w:val="none"/>
              </w:rPr>
            </w:pPr>
          </w:p>
        </w:tc>
        <w:tc>
          <w:tcPr>
            <w:tcW w:w="408" w:type="dxa"/>
            <w:vAlign w:val="top"/>
          </w:tcPr>
          <w:p w14:paraId="27E49678">
            <w:pPr>
              <w:spacing w:line="234" w:lineRule="exact"/>
              <w:rPr>
                <w:rFonts w:hint="eastAsia" w:ascii="宋体" w:hAnsi="宋体" w:eastAsia="宋体" w:cs="宋体"/>
                <w:color w:val="auto"/>
                <w:sz w:val="20"/>
                <w:highlight w:val="none"/>
              </w:rPr>
            </w:pPr>
          </w:p>
        </w:tc>
        <w:tc>
          <w:tcPr>
            <w:tcW w:w="413" w:type="dxa"/>
            <w:vAlign w:val="top"/>
          </w:tcPr>
          <w:p w14:paraId="5FC85131">
            <w:pPr>
              <w:spacing w:line="234" w:lineRule="exact"/>
              <w:rPr>
                <w:rFonts w:hint="eastAsia" w:ascii="宋体" w:hAnsi="宋体" w:eastAsia="宋体" w:cs="宋体"/>
                <w:color w:val="auto"/>
                <w:sz w:val="20"/>
                <w:highlight w:val="none"/>
              </w:rPr>
            </w:pPr>
          </w:p>
        </w:tc>
      </w:tr>
      <w:tr w14:paraId="5CEB1B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8" w:hRule="atLeast"/>
        </w:trPr>
        <w:tc>
          <w:tcPr>
            <w:tcW w:w="1248" w:type="dxa"/>
            <w:vMerge w:val="continue"/>
            <w:tcBorders>
              <w:top w:val="nil"/>
              <w:bottom w:val="nil"/>
            </w:tcBorders>
            <w:vAlign w:val="top"/>
          </w:tcPr>
          <w:p w14:paraId="01EF4154">
            <w:pPr>
              <w:rPr>
                <w:rFonts w:hint="eastAsia" w:ascii="宋体" w:hAnsi="宋体" w:eastAsia="宋体" w:cs="宋体"/>
                <w:color w:val="auto"/>
                <w:sz w:val="21"/>
                <w:highlight w:val="none"/>
              </w:rPr>
            </w:pPr>
          </w:p>
        </w:tc>
        <w:tc>
          <w:tcPr>
            <w:tcW w:w="399" w:type="dxa"/>
            <w:vAlign w:val="top"/>
          </w:tcPr>
          <w:p w14:paraId="2F53A37B">
            <w:pPr>
              <w:spacing w:line="238" w:lineRule="exact"/>
              <w:rPr>
                <w:rFonts w:hint="eastAsia" w:ascii="宋体" w:hAnsi="宋体" w:eastAsia="宋体" w:cs="宋体"/>
                <w:color w:val="auto"/>
                <w:sz w:val="20"/>
                <w:highlight w:val="none"/>
              </w:rPr>
            </w:pPr>
          </w:p>
        </w:tc>
        <w:tc>
          <w:tcPr>
            <w:tcW w:w="406" w:type="dxa"/>
            <w:vAlign w:val="top"/>
          </w:tcPr>
          <w:p w14:paraId="6A06559E">
            <w:pPr>
              <w:spacing w:line="238" w:lineRule="exact"/>
              <w:rPr>
                <w:rFonts w:hint="eastAsia" w:ascii="宋体" w:hAnsi="宋体" w:eastAsia="宋体" w:cs="宋体"/>
                <w:color w:val="auto"/>
                <w:sz w:val="20"/>
                <w:highlight w:val="none"/>
              </w:rPr>
            </w:pPr>
          </w:p>
        </w:tc>
        <w:tc>
          <w:tcPr>
            <w:tcW w:w="406" w:type="dxa"/>
            <w:vAlign w:val="top"/>
          </w:tcPr>
          <w:p w14:paraId="1A5B70E7">
            <w:pPr>
              <w:spacing w:line="238" w:lineRule="exact"/>
              <w:rPr>
                <w:rFonts w:hint="eastAsia" w:ascii="宋体" w:hAnsi="宋体" w:eastAsia="宋体" w:cs="宋体"/>
                <w:color w:val="auto"/>
                <w:sz w:val="20"/>
                <w:highlight w:val="none"/>
              </w:rPr>
            </w:pPr>
          </w:p>
        </w:tc>
        <w:tc>
          <w:tcPr>
            <w:tcW w:w="406" w:type="dxa"/>
            <w:vAlign w:val="top"/>
          </w:tcPr>
          <w:p w14:paraId="6EAF53F4">
            <w:pPr>
              <w:spacing w:line="238" w:lineRule="exact"/>
              <w:rPr>
                <w:rFonts w:hint="eastAsia" w:ascii="宋体" w:hAnsi="宋体" w:eastAsia="宋体" w:cs="宋体"/>
                <w:color w:val="auto"/>
                <w:sz w:val="20"/>
                <w:highlight w:val="none"/>
              </w:rPr>
            </w:pPr>
          </w:p>
        </w:tc>
        <w:tc>
          <w:tcPr>
            <w:tcW w:w="406" w:type="dxa"/>
            <w:vAlign w:val="top"/>
          </w:tcPr>
          <w:p w14:paraId="00488A2C">
            <w:pPr>
              <w:spacing w:line="238" w:lineRule="exact"/>
              <w:rPr>
                <w:rFonts w:hint="eastAsia" w:ascii="宋体" w:hAnsi="宋体" w:eastAsia="宋体" w:cs="宋体"/>
                <w:color w:val="auto"/>
                <w:sz w:val="20"/>
                <w:highlight w:val="none"/>
              </w:rPr>
            </w:pPr>
          </w:p>
        </w:tc>
        <w:tc>
          <w:tcPr>
            <w:tcW w:w="404" w:type="dxa"/>
            <w:vAlign w:val="top"/>
          </w:tcPr>
          <w:p w14:paraId="76CCB2FB">
            <w:pPr>
              <w:spacing w:line="238" w:lineRule="exact"/>
              <w:rPr>
                <w:rFonts w:hint="eastAsia" w:ascii="宋体" w:hAnsi="宋体" w:eastAsia="宋体" w:cs="宋体"/>
                <w:color w:val="auto"/>
                <w:sz w:val="20"/>
                <w:highlight w:val="none"/>
              </w:rPr>
            </w:pPr>
          </w:p>
        </w:tc>
        <w:tc>
          <w:tcPr>
            <w:tcW w:w="406" w:type="dxa"/>
            <w:vAlign w:val="top"/>
          </w:tcPr>
          <w:p w14:paraId="4F10137C">
            <w:pPr>
              <w:spacing w:line="238" w:lineRule="exact"/>
              <w:rPr>
                <w:rFonts w:hint="eastAsia" w:ascii="宋体" w:hAnsi="宋体" w:eastAsia="宋体" w:cs="宋体"/>
                <w:color w:val="auto"/>
                <w:sz w:val="20"/>
                <w:highlight w:val="none"/>
              </w:rPr>
            </w:pPr>
          </w:p>
        </w:tc>
        <w:tc>
          <w:tcPr>
            <w:tcW w:w="406" w:type="dxa"/>
            <w:vAlign w:val="top"/>
          </w:tcPr>
          <w:p w14:paraId="6D4500B8">
            <w:pPr>
              <w:spacing w:line="238" w:lineRule="exact"/>
              <w:rPr>
                <w:rFonts w:hint="eastAsia" w:ascii="宋体" w:hAnsi="宋体" w:eastAsia="宋体" w:cs="宋体"/>
                <w:color w:val="auto"/>
                <w:sz w:val="20"/>
                <w:highlight w:val="none"/>
              </w:rPr>
            </w:pPr>
          </w:p>
        </w:tc>
        <w:tc>
          <w:tcPr>
            <w:tcW w:w="406" w:type="dxa"/>
            <w:vAlign w:val="top"/>
          </w:tcPr>
          <w:p w14:paraId="195060BC">
            <w:pPr>
              <w:spacing w:line="238" w:lineRule="exact"/>
              <w:rPr>
                <w:rFonts w:hint="eastAsia" w:ascii="宋体" w:hAnsi="宋体" w:eastAsia="宋体" w:cs="宋体"/>
                <w:color w:val="auto"/>
                <w:sz w:val="20"/>
                <w:highlight w:val="none"/>
              </w:rPr>
            </w:pPr>
          </w:p>
        </w:tc>
        <w:tc>
          <w:tcPr>
            <w:tcW w:w="406" w:type="dxa"/>
            <w:vAlign w:val="top"/>
          </w:tcPr>
          <w:p w14:paraId="270DE8F9">
            <w:pPr>
              <w:spacing w:line="238" w:lineRule="exact"/>
              <w:rPr>
                <w:rFonts w:hint="eastAsia" w:ascii="宋体" w:hAnsi="宋体" w:eastAsia="宋体" w:cs="宋体"/>
                <w:color w:val="auto"/>
                <w:sz w:val="20"/>
                <w:highlight w:val="none"/>
              </w:rPr>
            </w:pPr>
          </w:p>
        </w:tc>
        <w:tc>
          <w:tcPr>
            <w:tcW w:w="406" w:type="dxa"/>
            <w:vAlign w:val="top"/>
          </w:tcPr>
          <w:p w14:paraId="77624F5E">
            <w:pPr>
              <w:spacing w:line="238" w:lineRule="exact"/>
              <w:rPr>
                <w:rFonts w:hint="eastAsia" w:ascii="宋体" w:hAnsi="宋体" w:eastAsia="宋体" w:cs="宋体"/>
                <w:color w:val="auto"/>
                <w:sz w:val="20"/>
                <w:highlight w:val="none"/>
              </w:rPr>
            </w:pPr>
          </w:p>
        </w:tc>
        <w:tc>
          <w:tcPr>
            <w:tcW w:w="406" w:type="dxa"/>
            <w:vAlign w:val="top"/>
          </w:tcPr>
          <w:p w14:paraId="7F21C15C">
            <w:pPr>
              <w:spacing w:line="238" w:lineRule="exact"/>
              <w:rPr>
                <w:rFonts w:hint="eastAsia" w:ascii="宋体" w:hAnsi="宋体" w:eastAsia="宋体" w:cs="宋体"/>
                <w:color w:val="auto"/>
                <w:sz w:val="20"/>
                <w:highlight w:val="none"/>
              </w:rPr>
            </w:pPr>
          </w:p>
        </w:tc>
        <w:tc>
          <w:tcPr>
            <w:tcW w:w="406" w:type="dxa"/>
            <w:vAlign w:val="top"/>
          </w:tcPr>
          <w:p w14:paraId="3A081184">
            <w:pPr>
              <w:spacing w:line="238" w:lineRule="exact"/>
              <w:rPr>
                <w:rFonts w:hint="eastAsia" w:ascii="宋体" w:hAnsi="宋体" w:eastAsia="宋体" w:cs="宋体"/>
                <w:color w:val="auto"/>
                <w:sz w:val="20"/>
                <w:highlight w:val="none"/>
              </w:rPr>
            </w:pPr>
          </w:p>
        </w:tc>
        <w:tc>
          <w:tcPr>
            <w:tcW w:w="406" w:type="dxa"/>
            <w:vAlign w:val="top"/>
          </w:tcPr>
          <w:p w14:paraId="5996ADE5">
            <w:pPr>
              <w:spacing w:line="238" w:lineRule="exact"/>
              <w:rPr>
                <w:rFonts w:hint="eastAsia" w:ascii="宋体" w:hAnsi="宋体" w:eastAsia="宋体" w:cs="宋体"/>
                <w:color w:val="auto"/>
                <w:sz w:val="20"/>
                <w:highlight w:val="none"/>
              </w:rPr>
            </w:pPr>
          </w:p>
        </w:tc>
        <w:tc>
          <w:tcPr>
            <w:tcW w:w="406" w:type="dxa"/>
            <w:vAlign w:val="top"/>
          </w:tcPr>
          <w:p w14:paraId="37C942F7">
            <w:pPr>
              <w:spacing w:line="238" w:lineRule="exact"/>
              <w:rPr>
                <w:rFonts w:hint="eastAsia" w:ascii="宋体" w:hAnsi="宋体" w:eastAsia="宋体" w:cs="宋体"/>
                <w:color w:val="auto"/>
                <w:sz w:val="20"/>
                <w:highlight w:val="none"/>
              </w:rPr>
            </w:pPr>
          </w:p>
        </w:tc>
        <w:tc>
          <w:tcPr>
            <w:tcW w:w="406" w:type="dxa"/>
            <w:vAlign w:val="top"/>
          </w:tcPr>
          <w:p w14:paraId="1489CA43">
            <w:pPr>
              <w:spacing w:line="238" w:lineRule="exact"/>
              <w:rPr>
                <w:rFonts w:hint="eastAsia" w:ascii="宋体" w:hAnsi="宋体" w:eastAsia="宋体" w:cs="宋体"/>
                <w:color w:val="auto"/>
                <w:sz w:val="20"/>
                <w:highlight w:val="none"/>
              </w:rPr>
            </w:pPr>
          </w:p>
        </w:tc>
        <w:tc>
          <w:tcPr>
            <w:tcW w:w="408" w:type="dxa"/>
            <w:vAlign w:val="top"/>
          </w:tcPr>
          <w:p w14:paraId="14CD8381">
            <w:pPr>
              <w:spacing w:line="238" w:lineRule="exact"/>
              <w:rPr>
                <w:rFonts w:hint="eastAsia" w:ascii="宋体" w:hAnsi="宋体" w:eastAsia="宋体" w:cs="宋体"/>
                <w:color w:val="auto"/>
                <w:sz w:val="20"/>
                <w:highlight w:val="none"/>
              </w:rPr>
            </w:pPr>
          </w:p>
        </w:tc>
        <w:tc>
          <w:tcPr>
            <w:tcW w:w="407" w:type="dxa"/>
            <w:vAlign w:val="top"/>
          </w:tcPr>
          <w:p w14:paraId="32FDBD2D">
            <w:pPr>
              <w:spacing w:line="238" w:lineRule="exact"/>
              <w:rPr>
                <w:rFonts w:hint="eastAsia" w:ascii="宋体" w:hAnsi="宋体" w:eastAsia="宋体" w:cs="宋体"/>
                <w:color w:val="auto"/>
                <w:sz w:val="20"/>
                <w:highlight w:val="none"/>
              </w:rPr>
            </w:pPr>
          </w:p>
        </w:tc>
        <w:tc>
          <w:tcPr>
            <w:tcW w:w="408" w:type="dxa"/>
            <w:vAlign w:val="top"/>
          </w:tcPr>
          <w:p w14:paraId="11397409">
            <w:pPr>
              <w:spacing w:line="238" w:lineRule="exact"/>
              <w:rPr>
                <w:rFonts w:hint="eastAsia" w:ascii="宋体" w:hAnsi="宋体" w:eastAsia="宋体" w:cs="宋体"/>
                <w:color w:val="auto"/>
                <w:sz w:val="20"/>
                <w:highlight w:val="none"/>
              </w:rPr>
            </w:pPr>
          </w:p>
        </w:tc>
        <w:tc>
          <w:tcPr>
            <w:tcW w:w="413" w:type="dxa"/>
            <w:vAlign w:val="top"/>
          </w:tcPr>
          <w:p w14:paraId="2C23D69F">
            <w:pPr>
              <w:spacing w:line="238" w:lineRule="exact"/>
              <w:rPr>
                <w:rFonts w:hint="eastAsia" w:ascii="宋体" w:hAnsi="宋体" w:eastAsia="宋体" w:cs="宋体"/>
                <w:color w:val="auto"/>
                <w:sz w:val="20"/>
                <w:highlight w:val="none"/>
              </w:rPr>
            </w:pPr>
          </w:p>
        </w:tc>
      </w:tr>
      <w:tr w14:paraId="35B644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8" w:hRule="atLeast"/>
        </w:trPr>
        <w:tc>
          <w:tcPr>
            <w:tcW w:w="1248" w:type="dxa"/>
            <w:vMerge w:val="continue"/>
            <w:tcBorders>
              <w:top w:val="nil"/>
              <w:bottom w:val="nil"/>
            </w:tcBorders>
            <w:vAlign w:val="top"/>
          </w:tcPr>
          <w:p w14:paraId="090BE7BF">
            <w:pPr>
              <w:rPr>
                <w:rFonts w:hint="eastAsia" w:ascii="宋体" w:hAnsi="宋体" w:eastAsia="宋体" w:cs="宋体"/>
                <w:color w:val="auto"/>
                <w:sz w:val="21"/>
                <w:highlight w:val="none"/>
              </w:rPr>
            </w:pPr>
          </w:p>
        </w:tc>
        <w:tc>
          <w:tcPr>
            <w:tcW w:w="399" w:type="dxa"/>
            <w:vAlign w:val="top"/>
          </w:tcPr>
          <w:p w14:paraId="197901BC">
            <w:pPr>
              <w:spacing w:line="238" w:lineRule="exact"/>
              <w:rPr>
                <w:rFonts w:hint="eastAsia" w:ascii="宋体" w:hAnsi="宋体" w:eastAsia="宋体" w:cs="宋体"/>
                <w:color w:val="auto"/>
                <w:sz w:val="20"/>
                <w:highlight w:val="none"/>
              </w:rPr>
            </w:pPr>
          </w:p>
        </w:tc>
        <w:tc>
          <w:tcPr>
            <w:tcW w:w="406" w:type="dxa"/>
            <w:vAlign w:val="top"/>
          </w:tcPr>
          <w:p w14:paraId="57979357">
            <w:pPr>
              <w:spacing w:line="238" w:lineRule="exact"/>
              <w:rPr>
                <w:rFonts w:hint="eastAsia" w:ascii="宋体" w:hAnsi="宋体" w:eastAsia="宋体" w:cs="宋体"/>
                <w:color w:val="auto"/>
                <w:sz w:val="20"/>
                <w:highlight w:val="none"/>
              </w:rPr>
            </w:pPr>
          </w:p>
        </w:tc>
        <w:tc>
          <w:tcPr>
            <w:tcW w:w="406" w:type="dxa"/>
            <w:vAlign w:val="top"/>
          </w:tcPr>
          <w:p w14:paraId="49686133">
            <w:pPr>
              <w:spacing w:line="238" w:lineRule="exact"/>
              <w:rPr>
                <w:rFonts w:hint="eastAsia" w:ascii="宋体" w:hAnsi="宋体" w:eastAsia="宋体" w:cs="宋体"/>
                <w:color w:val="auto"/>
                <w:sz w:val="20"/>
                <w:highlight w:val="none"/>
              </w:rPr>
            </w:pPr>
          </w:p>
        </w:tc>
        <w:tc>
          <w:tcPr>
            <w:tcW w:w="406" w:type="dxa"/>
            <w:vAlign w:val="top"/>
          </w:tcPr>
          <w:p w14:paraId="6132D428">
            <w:pPr>
              <w:spacing w:line="238" w:lineRule="exact"/>
              <w:rPr>
                <w:rFonts w:hint="eastAsia" w:ascii="宋体" w:hAnsi="宋体" w:eastAsia="宋体" w:cs="宋体"/>
                <w:color w:val="auto"/>
                <w:sz w:val="20"/>
                <w:highlight w:val="none"/>
              </w:rPr>
            </w:pPr>
          </w:p>
        </w:tc>
        <w:tc>
          <w:tcPr>
            <w:tcW w:w="406" w:type="dxa"/>
            <w:vAlign w:val="top"/>
          </w:tcPr>
          <w:p w14:paraId="784B6181">
            <w:pPr>
              <w:spacing w:line="238" w:lineRule="exact"/>
              <w:rPr>
                <w:rFonts w:hint="eastAsia" w:ascii="宋体" w:hAnsi="宋体" w:eastAsia="宋体" w:cs="宋体"/>
                <w:color w:val="auto"/>
                <w:sz w:val="20"/>
                <w:highlight w:val="none"/>
              </w:rPr>
            </w:pPr>
          </w:p>
        </w:tc>
        <w:tc>
          <w:tcPr>
            <w:tcW w:w="404" w:type="dxa"/>
            <w:vAlign w:val="top"/>
          </w:tcPr>
          <w:p w14:paraId="6E1F6907">
            <w:pPr>
              <w:spacing w:line="238" w:lineRule="exact"/>
              <w:rPr>
                <w:rFonts w:hint="eastAsia" w:ascii="宋体" w:hAnsi="宋体" w:eastAsia="宋体" w:cs="宋体"/>
                <w:color w:val="auto"/>
                <w:sz w:val="20"/>
                <w:highlight w:val="none"/>
              </w:rPr>
            </w:pPr>
          </w:p>
        </w:tc>
        <w:tc>
          <w:tcPr>
            <w:tcW w:w="406" w:type="dxa"/>
            <w:vAlign w:val="top"/>
          </w:tcPr>
          <w:p w14:paraId="051EAD42">
            <w:pPr>
              <w:spacing w:line="238" w:lineRule="exact"/>
              <w:rPr>
                <w:rFonts w:hint="eastAsia" w:ascii="宋体" w:hAnsi="宋体" w:eastAsia="宋体" w:cs="宋体"/>
                <w:color w:val="auto"/>
                <w:sz w:val="20"/>
                <w:highlight w:val="none"/>
              </w:rPr>
            </w:pPr>
          </w:p>
        </w:tc>
        <w:tc>
          <w:tcPr>
            <w:tcW w:w="406" w:type="dxa"/>
            <w:vAlign w:val="top"/>
          </w:tcPr>
          <w:p w14:paraId="5CC5A79A">
            <w:pPr>
              <w:spacing w:line="238" w:lineRule="exact"/>
              <w:rPr>
                <w:rFonts w:hint="eastAsia" w:ascii="宋体" w:hAnsi="宋体" w:eastAsia="宋体" w:cs="宋体"/>
                <w:color w:val="auto"/>
                <w:sz w:val="20"/>
                <w:highlight w:val="none"/>
              </w:rPr>
            </w:pPr>
          </w:p>
        </w:tc>
        <w:tc>
          <w:tcPr>
            <w:tcW w:w="406" w:type="dxa"/>
            <w:vAlign w:val="top"/>
          </w:tcPr>
          <w:p w14:paraId="02534BD5">
            <w:pPr>
              <w:spacing w:line="238" w:lineRule="exact"/>
              <w:rPr>
                <w:rFonts w:hint="eastAsia" w:ascii="宋体" w:hAnsi="宋体" w:eastAsia="宋体" w:cs="宋体"/>
                <w:color w:val="auto"/>
                <w:sz w:val="20"/>
                <w:highlight w:val="none"/>
              </w:rPr>
            </w:pPr>
          </w:p>
        </w:tc>
        <w:tc>
          <w:tcPr>
            <w:tcW w:w="406" w:type="dxa"/>
            <w:vAlign w:val="top"/>
          </w:tcPr>
          <w:p w14:paraId="1E12DF0E">
            <w:pPr>
              <w:spacing w:line="238" w:lineRule="exact"/>
              <w:rPr>
                <w:rFonts w:hint="eastAsia" w:ascii="宋体" w:hAnsi="宋体" w:eastAsia="宋体" w:cs="宋体"/>
                <w:color w:val="auto"/>
                <w:sz w:val="20"/>
                <w:highlight w:val="none"/>
              </w:rPr>
            </w:pPr>
          </w:p>
        </w:tc>
        <w:tc>
          <w:tcPr>
            <w:tcW w:w="406" w:type="dxa"/>
            <w:vAlign w:val="top"/>
          </w:tcPr>
          <w:p w14:paraId="2B5AD278">
            <w:pPr>
              <w:spacing w:line="238" w:lineRule="exact"/>
              <w:rPr>
                <w:rFonts w:hint="eastAsia" w:ascii="宋体" w:hAnsi="宋体" w:eastAsia="宋体" w:cs="宋体"/>
                <w:color w:val="auto"/>
                <w:sz w:val="20"/>
                <w:highlight w:val="none"/>
              </w:rPr>
            </w:pPr>
          </w:p>
        </w:tc>
        <w:tc>
          <w:tcPr>
            <w:tcW w:w="406" w:type="dxa"/>
            <w:vAlign w:val="top"/>
          </w:tcPr>
          <w:p w14:paraId="022EB9A5">
            <w:pPr>
              <w:spacing w:line="238" w:lineRule="exact"/>
              <w:rPr>
                <w:rFonts w:hint="eastAsia" w:ascii="宋体" w:hAnsi="宋体" w:eastAsia="宋体" w:cs="宋体"/>
                <w:color w:val="auto"/>
                <w:sz w:val="20"/>
                <w:highlight w:val="none"/>
              </w:rPr>
            </w:pPr>
          </w:p>
        </w:tc>
        <w:tc>
          <w:tcPr>
            <w:tcW w:w="406" w:type="dxa"/>
            <w:vAlign w:val="top"/>
          </w:tcPr>
          <w:p w14:paraId="17FFB37D">
            <w:pPr>
              <w:spacing w:line="238" w:lineRule="exact"/>
              <w:rPr>
                <w:rFonts w:hint="eastAsia" w:ascii="宋体" w:hAnsi="宋体" w:eastAsia="宋体" w:cs="宋体"/>
                <w:color w:val="auto"/>
                <w:sz w:val="20"/>
                <w:highlight w:val="none"/>
              </w:rPr>
            </w:pPr>
          </w:p>
        </w:tc>
        <w:tc>
          <w:tcPr>
            <w:tcW w:w="406" w:type="dxa"/>
            <w:vAlign w:val="top"/>
          </w:tcPr>
          <w:p w14:paraId="7A6BEF68">
            <w:pPr>
              <w:spacing w:line="238" w:lineRule="exact"/>
              <w:rPr>
                <w:rFonts w:hint="eastAsia" w:ascii="宋体" w:hAnsi="宋体" w:eastAsia="宋体" w:cs="宋体"/>
                <w:color w:val="auto"/>
                <w:sz w:val="20"/>
                <w:highlight w:val="none"/>
              </w:rPr>
            </w:pPr>
          </w:p>
        </w:tc>
        <w:tc>
          <w:tcPr>
            <w:tcW w:w="406" w:type="dxa"/>
            <w:vAlign w:val="top"/>
          </w:tcPr>
          <w:p w14:paraId="41538786">
            <w:pPr>
              <w:spacing w:line="238" w:lineRule="exact"/>
              <w:rPr>
                <w:rFonts w:hint="eastAsia" w:ascii="宋体" w:hAnsi="宋体" w:eastAsia="宋体" w:cs="宋体"/>
                <w:color w:val="auto"/>
                <w:sz w:val="20"/>
                <w:highlight w:val="none"/>
              </w:rPr>
            </w:pPr>
          </w:p>
        </w:tc>
        <w:tc>
          <w:tcPr>
            <w:tcW w:w="406" w:type="dxa"/>
            <w:vAlign w:val="top"/>
          </w:tcPr>
          <w:p w14:paraId="3B0805FC">
            <w:pPr>
              <w:spacing w:line="238" w:lineRule="exact"/>
              <w:rPr>
                <w:rFonts w:hint="eastAsia" w:ascii="宋体" w:hAnsi="宋体" w:eastAsia="宋体" w:cs="宋体"/>
                <w:color w:val="auto"/>
                <w:sz w:val="20"/>
                <w:highlight w:val="none"/>
              </w:rPr>
            </w:pPr>
          </w:p>
        </w:tc>
        <w:tc>
          <w:tcPr>
            <w:tcW w:w="408" w:type="dxa"/>
            <w:vAlign w:val="top"/>
          </w:tcPr>
          <w:p w14:paraId="1756DCF1">
            <w:pPr>
              <w:spacing w:line="238" w:lineRule="exact"/>
              <w:rPr>
                <w:rFonts w:hint="eastAsia" w:ascii="宋体" w:hAnsi="宋体" w:eastAsia="宋体" w:cs="宋体"/>
                <w:color w:val="auto"/>
                <w:sz w:val="20"/>
                <w:highlight w:val="none"/>
              </w:rPr>
            </w:pPr>
          </w:p>
        </w:tc>
        <w:tc>
          <w:tcPr>
            <w:tcW w:w="407" w:type="dxa"/>
            <w:vAlign w:val="top"/>
          </w:tcPr>
          <w:p w14:paraId="79269EDD">
            <w:pPr>
              <w:spacing w:line="238" w:lineRule="exact"/>
              <w:rPr>
                <w:rFonts w:hint="eastAsia" w:ascii="宋体" w:hAnsi="宋体" w:eastAsia="宋体" w:cs="宋体"/>
                <w:color w:val="auto"/>
                <w:sz w:val="20"/>
                <w:highlight w:val="none"/>
              </w:rPr>
            </w:pPr>
          </w:p>
        </w:tc>
        <w:tc>
          <w:tcPr>
            <w:tcW w:w="408" w:type="dxa"/>
            <w:vAlign w:val="top"/>
          </w:tcPr>
          <w:p w14:paraId="55154065">
            <w:pPr>
              <w:spacing w:line="238" w:lineRule="exact"/>
              <w:rPr>
                <w:rFonts w:hint="eastAsia" w:ascii="宋体" w:hAnsi="宋体" w:eastAsia="宋体" w:cs="宋体"/>
                <w:color w:val="auto"/>
                <w:sz w:val="20"/>
                <w:highlight w:val="none"/>
              </w:rPr>
            </w:pPr>
          </w:p>
        </w:tc>
        <w:tc>
          <w:tcPr>
            <w:tcW w:w="413" w:type="dxa"/>
            <w:vAlign w:val="top"/>
          </w:tcPr>
          <w:p w14:paraId="293ECB0A">
            <w:pPr>
              <w:spacing w:line="238" w:lineRule="exact"/>
              <w:rPr>
                <w:rFonts w:hint="eastAsia" w:ascii="宋体" w:hAnsi="宋体" w:eastAsia="宋体" w:cs="宋体"/>
                <w:color w:val="auto"/>
                <w:sz w:val="20"/>
                <w:highlight w:val="none"/>
              </w:rPr>
            </w:pPr>
          </w:p>
        </w:tc>
      </w:tr>
      <w:tr w14:paraId="55DD9A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6" w:hRule="atLeast"/>
        </w:trPr>
        <w:tc>
          <w:tcPr>
            <w:tcW w:w="1248" w:type="dxa"/>
            <w:vMerge w:val="continue"/>
            <w:tcBorders>
              <w:top w:val="nil"/>
              <w:bottom w:val="nil"/>
            </w:tcBorders>
            <w:vAlign w:val="top"/>
          </w:tcPr>
          <w:p w14:paraId="6E409AEF">
            <w:pPr>
              <w:rPr>
                <w:rFonts w:hint="eastAsia" w:ascii="宋体" w:hAnsi="宋体" w:eastAsia="宋体" w:cs="宋体"/>
                <w:color w:val="auto"/>
                <w:sz w:val="21"/>
                <w:highlight w:val="none"/>
              </w:rPr>
            </w:pPr>
          </w:p>
        </w:tc>
        <w:tc>
          <w:tcPr>
            <w:tcW w:w="399" w:type="dxa"/>
            <w:vAlign w:val="top"/>
          </w:tcPr>
          <w:p w14:paraId="0BBC75BF">
            <w:pPr>
              <w:spacing w:line="235" w:lineRule="exact"/>
              <w:rPr>
                <w:rFonts w:hint="eastAsia" w:ascii="宋体" w:hAnsi="宋体" w:eastAsia="宋体" w:cs="宋体"/>
                <w:color w:val="auto"/>
                <w:sz w:val="20"/>
                <w:highlight w:val="none"/>
              </w:rPr>
            </w:pPr>
          </w:p>
        </w:tc>
        <w:tc>
          <w:tcPr>
            <w:tcW w:w="406" w:type="dxa"/>
            <w:vAlign w:val="top"/>
          </w:tcPr>
          <w:p w14:paraId="3B70DBEB">
            <w:pPr>
              <w:spacing w:line="235" w:lineRule="exact"/>
              <w:rPr>
                <w:rFonts w:hint="eastAsia" w:ascii="宋体" w:hAnsi="宋体" w:eastAsia="宋体" w:cs="宋体"/>
                <w:color w:val="auto"/>
                <w:sz w:val="20"/>
                <w:highlight w:val="none"/>
              </w:rPr>
            </w:pPr>
          </w:p>
        </w:tc>
        <w:tc>
          <w:tcPr>
            <w:tcW w:w="406" w:type="dxa"/>
            <w:vAlign w:val="top"/>
          </w:tcPr>
          <w:p w14:paraId="141042AC">
            <w:pPr>
              <w:spacing w:line="235" w:lineRule="exact"/>
              <w:rPr>
                <w:rFonts w:hint="eastAsia" w:ascii="宋体" w:hAnsi="宋体" w:eastAsia="宋体" w:cs="宋体"/>
                <w:color w:val="auto"/>
                <w:sz w:val="20"/>
                <w:highlight w:val="none"/>
              </w:rPr>
            </w:pPr>
          </w:p>
        </w:tc>
        <w:tc>
          <w:tcPr>
            <w:tcW w:w="406" w:type="dxa"/>
            <w:vAlign w:val="top"/>
          </w:tcPr>
          <w:p w14:paraId="49B7542D">
            <w:pPr>
              <w:spacing w:line="235" w:lineRule="exact"/>
              <w:rPr>
                <w:rFonts w:hint="eastAsia" w:ascii="宋体" w:hAnsi="宋体" w:eastAsia="宋体" w:cs="宋体"/>
                <w:color w:val="auto"/>
                <w:sz w:val="20"/>
                <w:highlight w:val="none"/>
              </w:rPr>
            </w:pPr>
          </w:p>
        </w:tc>
        <w:tc>
          <w:tcPr>
            <w:tcW w:w="406" w:type="dxa"/>
            <w:vAlign w:val="top"/>
          </w:tcPr>
          <w:p w14:paraId="58EF7D98">
            <w:pPr>
              <w:spacing w:line="235" w:lineRule="exact"/>
              <w:rPr>
                <w:rFonts w:hint="eastAsia" w:ascii="宋体" w:hAnsi="宋体" w:eastAsia="宋体" w:cs="宋体"/>
                <w:color w:val="auto"/>
                <w:sz w:val="20"/>
                <w:highlight w:val="none"/>
              </w:rPr>
            </w:pPr>
          </w:p>
        </w:tc>
        <w:tc>
          <w:tcPr>
            <w:tcW w:w="404" w:type="dxa"/>
            <w:vAlign w:val="top"/>
          </w:tcPr>
          <w:p w14:paraId="6705D8A5">
            <w:pPr>
              <w:spacing w:line="235" w:lineRule="exact"/>
              <w:rPr>
                <w:rFonts w:hint="eastAsia" w:ascii="宋体" w:hAnsi="宋体" w:eastAsia="宋体" w:cs="宋体"/>
                <w:color w:val="auto"/>
                <w:sz w:val="20"/>
                <w:highlight w:val="none"/>
              </w:rPr>
            </w:pPr>
          </w:p>
        </w:tc>
        <w:tc>
          <w:tcPr>
            <w:tcW w:w="406" w:type="dxa"/>
            <w:vAlign w:val="top"/>
          </w:tcPr>
          <w:p w14:paraId="62D98CED">
            <w:pPr>
              <w:spacing w:line="235" w:lineRule="exact"/>
              <w:rPr>
                <w:rFonts w:hint="eastAsia" w:ascii="宋体" w:hAnsi="宋体" w:eastAsia="宋体" w:cs="宋体"/>
                <w:color w:val="auto"/>
                <w:sz w:val="20"/>
                <w:highlight w:val="none"/>
              </w:rPr>
            </w:pPr>
          </w:p>
        </w:tc>
        <w:tc>
          <w:tcPr>
            <w:tcW w:w="406" w:type="dxa"/>
            <w:vAlign w:val="top"/>
          </w:tcPr>
          <w:p w14:paraId="2429F494">
            <w:pPr>
              <w:spacing w:line="235" w:lineRule="exact"/>
              <w:rPr>
                <w:rFonts w:hint="eastAsia" w:ascii="宋体" w:hAnsi="宋体" w:eastAsia="宋体" w:cs="宋体"/>
                <w:color w:val="auto"/>
                <w:sz w:val="20"/>
                <w:highlight w:val="none"/>
              </w:rPr>
            </w:pPr>
          </w:p>
        </w:tc>
        <w:tc>
          <w:tcPr>
            <w:tcW w:w="406" w:type="dxa"/>
            <w:vAlign w:val="top"/>
          </w:tcPr>
          <w:p w14:paraId="22E18A5F">
            <w:pPr>
              <w:spacing w:line="235" w:lineRule="exact"/>
              <w:rPr>
                <w:rFonts w:hint="eastAsia" w:ascii="宋体" w:hAnsi="宋体" w:eastAsia="宋体" w:cs="宋体"/>
                <w:color w:val="auto"/>
                <w:sz w:val="20"/>
                <w:highlight w:val="none"/>
              </w:rPr>
            </w:pPr>
          </w:p>
        </w:tc>
        <w:tc>
          <w:tcPr>
            <w:tcW w:w="406" w:type="dxa"/>
            <w:vAlign w:val="top"/>
          </w:tcPr>
          <w:p w14:paraId="7E8142E1">
            <w:pPr>
              <w:spacing w:line="235" w:lineRule="exact"/>
              <w:rPr>
                <w:rFonts w:hint="eastAsia" w:ascii="宋体" w:hAnsi="宋体" w:eastAsia="宋体" w:cs="宋体"/>
                <w:color w:val="auto"/>
                <w:sz w:val="20"/>
                <w:highlight w:val="none"/>
              </w:rPr>
            </w:pPr>
          </w:p>
        </w:tc>
        <w:tc>
          <w:tcPr>
            <w:tcW w:w="406" w:type="dxa"/>
            <w:vAlign w:val="top"/>
          </w:tcPr>
          <w:p w14:paraId="3762E2BD">
            <w:pPr>
              <w:spacing w:line="235" w:lineRule="exact"/>
              <w:rPr>
                <w:rFonts w:hint="eastAsia" w:ascii="宋体" w:hAnsi="宋体" w:eastAsia="宋体" w:cs="宋体"/>
                <w:color w:val="auto"/>
                <w:sz w:val="20"/>
                <w:highlight w:val="none"/>
              </w:rPr>
            </w:pPr>
          </w:p>
        </w:tc>
        <w:tc>
          <w:tcPr>
            <w:tcW w:w="406" w:type="dxa"/>
            <w:vAlign w:val="top"/>
          </w:tcPr>
          <w:p w14:paraId="394ED856">
            <w:pPr>
              <w:spacing w:line="235" w:lineRule="exact"/>
              <w:rPr>
                <w:rFonts w:hint="eastAsia" w:ascii="宋体" w:hAnsi="宋体" w:eastAsia="宋体" w:cs="宋体"/>
                <w:color w:val="auto"/>
                <w:sz w:val="20"/>
                <w:highlight w:val="none"/>
              </w:rPr>
            </w:pPr>
          </w:p>
        </w:tc>
        <w:tc>
          <w:tcPr>
            <w:tcW w:w="406" w:type="dxa"/>
            <w:vAlign w:val="top"/>
          </w:tcPr>
          <w:p w14:paraId="2EA9AEC4">
            <w:pPr>
              <w:spacing w:line="235" w:lineRule="exact"/>
              <w:rPr>
                <w:rFonts w:hint="eastAsia" w:ascii="宋体" w:hAnsi="宋体" w:eastAsia="宋体" w:cs="宋体"/>
                <w:color w:val="auto"/>
                <w:sz w:val="20"/>
                <w:highlight w:val="none"/>
              </w:rPr>
            </w:pPr>
          </w:p>
        </w:tc>
        <w:tc>
          <w:tcPr>
            <w:tcW w:w="406" w:type="dxa"/>
            <w:vAlign w:val="top"/>
          </w:tcPr>
          <w:p w14:paraId="0CE7D50E">
            <w:pPr>
              <w:spacing w:line="235" w:lineRule="exact"/>
              <w:rPr>
                <w:rFonts w:hint="eastAsia" w:ascii="宋体" w:hAnsi="宋体" w:eastAsia="宋体" w:cs="宋体"/>
                <w:color w:val="auto"/>
                <w:sz w:val="20"/>
                <w:highlight w:val="none"/>
              </w:rPr>
            </w:pPr>
          </w:p>
        </w:tc>
        <w:tc>
          <w:tcPr>
            <w:tcW w:w="406" w:type="dxa"/>
            <w:vAlign w:val="top"/>
          </w:tcPr>
          <w:p w14:paraId="67A725D2">
            <w:pPr>
              <w:spacing w:line="235" w:lineRule="exact"/>
              <w:rPr>
                <w:rFonts w:hint="eastAsia" w:ascii="宋体" w:hAnsi="宋体" w:eastAsia="宋体" w:cs="宋体"/>
                <w:color w:val="auto"/>
                <w:sz w:val="20"/>
                <w:highlight w:val="none"/>
              </w:rPr>
            </w:pPr>
          </w:p>
        </w:tc>
        <w:tc>
          <w:tcPr>
            <w:tcW w:w="406" w:type="dxa"/>
            <w:vAlign w:val="top"/>
          </w:tcPr>
          <w:p w14:paraId="2B0B43F2">
            <w:pPr>
              <w:spacing w:line="235" w:lineRule="exact"/>
              <w:rPr>
                <w:rFonts w:hint="eastAsia" w:ascii="宋体" w:hAnsi="宋体" w:eastAsia="宋体" w:cs="宋体"/>
                <w:color w:val="auto"/>
                <w:sz w:val="20"/>
                <w:highlight w:val="none"/>
              </w:rPr>
            </w:pPr>
          </w:p>
        </w:tc>
        <w:tc>
          <w:tcPr>
            <w:tcW w:w="408" w:type="dxa"/>
            <w:vAlign w:val="top"/>
          </w:tcPr>
          <w:p w14:paraId="403B20FF">
            <w:pPr>
              <w:spacing w:line="235" w:lineRule="exact"/>
              <w:rPr>
                <w:rFonts w:hint="eastAsia" w:ascii="宋体" w:hAnsi="宋体" w:eastAsia="宋体" w:cs="宋体"/>
                <w:color w:val="auto"/>
                <w:sz w:val="20"/>
                <w:highlight w:val="none"/>
              </w:rPr>
            </w:pPr>
          </w:p>
        </w:tc>
        <w:tc>
          <w:tcPr>
            <w:tcW w:w="407" w:type="dxa"/>
            <w:vAlign w:val="top"/>
          </w:tcPr>
          <w:p w14:paraId="4D0F5B0E">
            <w:pPr>
              <w:spacing w:line="235" w:lineRule="exact"/>
              <w:rPr>
                <w:rFonts w:hint="eastAsia" w:ascii="宋体" w:hAnsi="宋体" w:eastAsia="宋体" w:cs="宋体"/>
                <w:color w:val="auto"/>
                <w:sz w:val="20"/>
                <w:highlight w:val="none"/>
              </w:rPr>
            </w:pPr>
          </w:p>
        </w:tc>
        <w:tc>
          <w:tcPr>
            <w:tcW w:w="408" w:type="dxa"/>
            <w:vAlign w:val="top"/>
          </w:tcPr>
          <w:p w14:paraId="5989BAC1">
            <w:pPr>
              <w:spacing w:line="235" w:lineRule="exact"/>
              <w:rPr>
                <w:rFonts w:hint="eastAsia" w:ascii="宋体" w:hAnsi="宋体" w:eastAsia="宋体" w:cs="宋体"/>
                <w:color w:val="auto"/>
                <w:sz w:val="20"/>
                <w:highlight w:val="none"/>
              </w:rPr>
            </w:pPr>
          </w:p>
        </w:tc>
        <w:tc>
          <w:tcPr>
            <w:tcW w:w="413" w:type="dxa"/>
            <w:vAlign w:val="top"/>
          </w:tcPr>
          <w:p w14:paraId="245E0F75">
            <w:pPr>
              <w:spacing w:line="235" w:lineRule="exact"/>
              <w:rPr>
                <w:rFonts w:hint="eastAsia" w:ascii="宋体" w:hAnsi="宋体" w:eastAsia="宋体" w:cs="宋体"/>
                <w:color w:val="auto"/>
                <w:sz w:val="20"/>
                <w:highlight w:val="none"/>
              </w:rPr>
            </w:pPr>
          </w:p>
        </w:tc>
      </w:tr>
      <w:tr w14:paraId="04B46B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1248" w:type="dxa"/>
            <w:vMerge w:val="continue"/>
            <w:tcBorders>
              <w:top w:val="nil"/>
              <w:bottom w:val="nil"/>
            </w:tcBorders>
            <w:vAlign w:val="top"/>
          </w:tcPr>
          <w:p w14:paraId="6C501848">
            <w:pPr>
              <w:rPr>
                <w:rFonts w:hint="eastAsia" w:ascii="宋体" w:hAnsi="宋体" w:eastAsia="宋体" w:cs="宋体"/>
                <w:color w:val="auto"/>
                <w:sz w:val="21"/>
                <w:highlight w:val="none"/>
              </w:rPr>
            </w:pPr>
          </w:p>
        </w:tc>
        <w:tc>
          <w:tcPr>
            <w:tcW w:w="399" w:type="dxa"/>
            <w:vAlign w:val="top"/>
          </w:tcPr>
          <w:p w14:paraId="52D45585">
            <w:pPr>
              <w:spacing w:line="234" w:lineRule="exact"/>
              <w:rPr>
                <w:rFonts w:hint="eastAsia" w:ascii="宋体" w:hAnsi="宋体" w:eastAsia="宋体" w:cs="宋体"/>
                <w:color w:val="auto"/>
                <w:sz w:val="20"/>
                <w:highlight w:val="none"/>
              </w:rPr>
            </w:pPr>
          </w:p>
        </w:tc>
        <w:tc>
          <w:tcPr>
            <w:tcW w:w="406" w:type="dxa"/>
            <w:vAlign w:val="top"/>
          </w:tcPr>
          <w:p w14:paraId="34A5A9D4">
            <w:pPr>
              <w:spacing w:line="234" w:lineRule="exact"/>
              <w:rPr>
                <w:rFonts w:hint="eastAsia" w:ascii="宋体" w:hAnsi="宋体" w:eastAsia="宋体" w:cs="宋体"/>
                <w:color w:val="auto"/>
                <w:sz w:val="20"/>
                <w:highlight w:val="none"/>
              </w:rPr>
            </w:pPr>
          </w:p>
        </w:tc>
        <w:tc>
          <w:tcPr>
            <w:tcW w:w="406" w:type="dxa"/>
            <w:vAlign w:val="top"/>
          </w:tcPr>
          <w:p w14:paraId="1BC0F016">
            <w:pPr>
              <w:spacing w:line="234" w:lineRule="exact"/>
              <w:rPr>
                <w:rFonts w:hint="eastAsia" w:ascii="宋体" w:hAnsi="宋体" w:eastAsia="宋体" w:cs="宋体"/>
                <w:color w:val="auto"/>
                <w:sz w:val="20"/>
                <w:highlight w:val="none"/>
              </w:rPr>
            </w:pPr>
          </w:p>
        </w:tc>
        <w:tc>
          <w:tcPr>
            <w:tcW w:w="406" w:type="dxa"/>
            <w:vAlign w:val="top"/>
          </w:tcPr>
          <w:p w14:paraId="0EE2D1FE">
            <w:pPr>
              <w:spacing w:line="234" w:lineRule="exact"/>
              <w:rPr>
                <w:rFonts w:hint="eastAsia" w:ascii="宋体" w:hAnsi="宋体" w:eastAsia="宋体" w:cs="宋体"/>
                <w:color w:val="auto"/>
                <w:sz w:val="20"/>
                <w:highlight w:val="none"/>
              </w:rPr>
            </w:pPr>
          </w:p>
        </w:tc>
        <w:tc>
          <w:tcPr>
            <w:tcW w:w="406" w:type="dxa"/>
            <w:vAlign w:val="top"/>
          </w:tcPr>
          <w:p w14:paraId="19981361">
            <w:pPr>
              <w:spacing w:line="234" w:lineRule="exact"/>
              <w:rPr>
                <w:rFonts w:hint="eastAsia" w:ascii="宋体" w:hAnsi="宋体" w:eastAsia="宋体" w:cs="宋体"/>
                <w:color w:val="auto"/>
                <w:sz w:val="20"/>
                <w:highlight w:val="none"/>
              </w:rPr>
            </w:pPr>
          </w:p>
        </w:tc>
        <w:tc>
          <w:tcPr>
            <w:tcW w:w="404" w:type="dxa"/>
            <w:vAlign w:val="top"/>
          </w:tcPr>
          <w:p w14:paraId="1E9EE964">
            <w:pPr>
              <w:spacing w:line="234" w:lineRule="exact"/>
              <w:rPr>
                <w:rFonts w:hint="eastAsia" w:ascii="宋体" w:hAnsi="宋体" w:eastAsia="宋体" w:cs="宋体"/>
                <w:color w:val="auto"/>
                <w:sz w:val="20"/>
                <w:highlight w:val="none"/>
              </w:rPr>
            </w:pPr>
          </w:p>
        </w:tc>
        <w:tc>
          <w:tcPr>
            <w:tcW w:w="406" w:type="dxa"/>
            <w:vAlign w:val="top"/>
          </w:tcPr>
          <w:p w14:paraId="05F181A6">
            <w:pPr>
              <w:spacing w:line="234" w:lineRule="exact"/>
              <w:rPr>
                <w:rFonts w:hint="eastAsia" w:ascii="宋体" w:hAnsi="宋体" w:eastAsia="宋体" w:cs="宋体"/>
                <w:color w:val="auto"/>
                <w:sz w:val="20"/>
                <w:highlight w:val="none"/>
              </w:rPr>
            </w:pPr>
          </w:p>
        </w:tc>
        <w:tc>
          <w:tcPr>
            <w:tcW w:w="406" w:type="dxa"/>
            <w:vAlign w:val="top"/>
          </w:tcPr>
          <w:p w14:paraId="3C014C1E">
            <w:pPr>
              <w:spacing w:line="234" w:lineRule="exact"/>
              <w:rPr>
                <w:rFonts w:hint="eastAsia" w:ascii="宋体" w:hAnsi="宋体" w:eastAsia="宋体" w:cs="宋体"/>
                <w:color w:val="auto"/>
                <w:sz w:val="20"/>
                <w:highlight w:val="none"/>
              </w:rPr>
            </w:pPr>
          </w:p>
        </w:tc>
        <w:tc>
          <w:tcPr>
            <w:tcW w:w="406" w:type="dxa"/>
            <w:vAlign w:val="top"/>
          </w:tcPr>
          <w:p w14:paraId="6FEF8348">
            <w:pPr>
              <w:spacing w:line="234" w:lineRule="exact"/>
              <w:rPr>
                <w:rFonts w:hint="eastAsia" w:ascii="宋体" w:hAnsi="宋体" w:eastAsia="宋体" w:cs="宋体"/>
                <w:color w:val="auto"/>
                <w:sz w:val="20"/>
                <w:highlight w:val="none"/>
              </w:rPr>
            </w:pPr>
          </w:p>
        </w:tc>
        <w:tc>
          <w:tcPr>
            <w:tcW w:w="406" w:type="dxa"/>
            <w:vAlign w:val="top"/>
          </w:tcPr>
          <w:p w14:paraId="6C4030AD">
            <w:pPr>
              <w:spacing w:line="234" w:lineRule="exact"/>
              <w:rPr>
                <w:rFonts w:hint="eastAsia" w:ascii="宋体" w:hAnsi="宋体" w:eastAsia="宋体" w:cs="宋体"/>
                <w:color w:val="auto"/>
                <w:sz w:val="20"/>
                <w:highlight w:val="none"/>
              </w:rPr>
            </w:pPr>
          </w:p>
        </w:tc>
        <w:tc>
          <w:tcPr>
            <w:tcW w:w="406" w:type="dxa"/>
            <w:vAlign w:val="top"/>
          </w:tcPr>
          <w:p w14:paraId="2C2B9A8B">
            <w:pPr>
              <w:spacing w:line="234" w:lineRule="exact"/>
              <w:rPr>
                <w:rFonts w:hint="eastAsia" w:ascii="宋体" w:hAnsi="宋体" w:eastAsia="宋体" w:cs="宋体"/>
                <w:color w:val="auto"/>
                <w:sz w:val="20"/>
                <w:highlight w:val="none"/>
              </w:rPr>
            </w:pPr>
          </w:p>
        </w:tc>
        <w:tc>
          <w:tcPr>
            <w:tcW w:w="406" w:type="dxa"/>
            <w:vAlign w:val="top"/>
          </w:tcPr>
          <w:p w14:paraId="08F56E56">
            <w:pPr>
              <w:spacing w:line="234" w:lineRule="exact"/>
              <w:rPr>
                <w:rFonts w:hint="eastAsia" w:ascii="宋体" w:hAnsi="宋体" w:eastAsia="宋体" w:cs="宋体"/>
                <w:color w:val="auto"/>
                <w:sz w:val="20"/>
                <w:highlight w:val="none"/>
              </w:rPr>
            </w:pPr>
          </w:p>
        </w:tc>
        <w:tc>
          <w:tcPr>
            <w:tcW w:w="406" w:type="dxa"/>
            <w:vAlign w:val="top"/>
          </w:tcPr>
          <w:p w14:paraId="345C9DD4">
            <w:pPr>
              <w:spacing w:line="234" w:lineRule="exact"/>
              <w:rPr>
                <w:rFonts w:hint="eastAsia" w:ascii="宋体" w:hAnsi="宋体" w:eastAsia="宋体" w:cs="宋体"/>
                <w:color w:val="auto"/>
                <w:sz w:val="20"/>
                <w:highlight w:val="none"/>
              </w:rPr>
            </w:pPr>
          </w:p>
        </w:tc>
        <w:tc>
          <w:tcPr>
            <w:tcW w:w="406" w:type="dxa"/>
            <w:vAlign w:val="top"/>
          </w:tcPr>
          <w:p w14:paraId="0EB905C2">
            <w:pPr>
              <w:spacing w:line="234" w:lineRule="exact"/>
              <w:rPr>
                <w:rFonts w:hint="eastAsia" w:ascii="宋体" w:hAnsi="宋体" w:eastAsia="宋体" w:cs="宋体"/>
                <w:color w:val="auto"/>
                <w:sz w:val="20"/>
                <w:highlight w:val="none"/>
              </w:rPr>
            </w:pPr>
          </w:p>
        </w:tc>
        <w:tc>
          <w:tcPr>
            <w:tcW w:w="406" w:type="dxa"/>
            <w:vAlign w:val="top"/>
          </w:tcPr>
          <w:p w14:paraId="048C9AD1">
            <w:pPr>
              <w:spacing w:line="234" w:lineRule="exact"/>
              <w:rPr>
                <w:rFonts w:hint="eastAsia" w:ascii="宋体" w:hAnsi="宋体" w:eastAsia="宋体" w:cs="宋体"/>
                <w:color w:val="auto"/>
                <w:sz w:val="20"/>
                <w:highlight w:val="none"/>
              </w:rPr>
            </w:pPr>
          </w:p>
        </w:tc>
        <w:tc>
          <w:tcPr>
            <w:tcW w:w="406" w:type="dxa"/>
            <w:vAlign w:val="top"/>
          </w:tcPr>
          <w:p w14:paraId="2F5A9469">
            <w:pPr>
              <w:spacing w:line="234" w:lineRule="exact"/>
              <w:rPr>
                <w:rFonts w:hint="eastAsia" w:ascii="宋体" w:hAnsi="宋体" w:eastAsia="宋体" w:cs="宋体"/>
                <w:color w:val="auto"/>
                <w:sz w:val="20"/>
                <w:highlight w:val="none"/>
              </w:rPr>
            </w:pPr>
          </w:p>
        </w:tc>
        <w:tc>
          <w:tcPr>
            <w:tcW w:w="408" w:type="dxa"/>
            <w:vAlign w:val="top"/>
          </w:tcPr>
          <w:p w14:paraId="74DA151C">
            <w:pPr>
              <w:spacing w:line="234" w:lineRule="exact"/>
              <w:rPr>
                <w:rFonts w:hint="eastAsia" w:ascii="宋体" w:hAnsi="宋体" w:eastAsia="宋体" w:cs="宋体"/>
                <w:color w:val="auto"/>
                <w:sz w:val="20"/>
                <w:highlight w:val="none"/>
              </w:rPr>
            </w:pPr>
          </w:p>
        </w:tc>
        <w:tc>
          <w:tcPr>
            <w:tcW w:w="407" w:type="dxa"/>
            <w:vAlign w:val="top"/>
          </w:tcPr>
          <w:p w14:paraId="530F8BA7">
            <w:pPr>
              <w:spacing w:line="234" w:lineRule="exact"/>
              <w:rPr>
                <w:rFonts w:hint="eastAsia" w:ascii="宋体" w:hAnsi="宋体" w:eastAsia="宋体" w:cs="宋体"/>
                <w:color w:val="auto"/>
                <w:sz w:val="20"/>
                <w:highlight w:val="none"/>
              </w:rPr>
            </w:pPr>
          </w:p>
        </w:tc>
        <w:tc>
          <w:tcPr>
            <w:tcW w:w="408" w:type="dxa"/>
            <w:vAlign w:val="top"/>
          </w:tcPr>
          <w:p w14:paraId="3CC26F4B">
            <w:pPr>
              <w:spacing w:line="234" w:lineRule="exact"/>
              <w:rPr>
                <w:rFonts w:hint="eastAsia" w:ascii="宋体" w:hAnsi="宋体" w:eastAsia="宋体" w:cs="宋体"/>
                <w:color w:val="auto"/>
                <w:sz w:val="20"/>
                <w:highlight w:val="none"/>
              </w:rPr>
            </w:pPr>
          </w:p>
        </w:tc>
        <w:tc>
          <w:tcPr>
            <w:tcW w:w="413" w:type="dxa"/>
            <w:vAlign w:val="top"/>
          </w:tcPr>
          <w:p w14:paraId="47437827">
            <w:pPr>
              <w:spacing w:line="234" w:lineRule="exact"/>
              <w:rPr>
                <w:rFonts w:hint="eastAsia" w:ascii="宋体" w:hAnsi="宋体" w:eastAsia="宋体" w:cs="宋体"/>
                <w:color w:val="auto"/>
                <w:sz w:val="20"/>
                <w:highlight w:val="none"/>
              </w:rPr>
            </w:pPr>
          </w:p>
        </w:tc>
      </w:tr>
      <w:tr w14:paraId="3EE2A7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8" w:hRule="atLeast"/>
        </w:trPr>
        <w:tc>
          <w:tcPr>
            <w:tcW w:w="1248" w:type="dxa"/>
            <w:vMerge w:val="continue"/>
            <w:tcBorders>
              <w:top w:val="nil"/>
              <w:bottom w:val="nil"/>
            </w:tcBorders>
            <w:vAlign w:val="top"/>
          </w:tcPr>
          <w:p w14:paraId="636E0DE5">
            <w:pPr>
              <w:rPr>
                <w:rFonts w:hint="eastAsia" w:ascii="宋体" w:hAnsi="宋体" w:eastAsia="宋体" w:cs="宋体"/>
                <w:color w:val="auto"/>
                <w:sz w:val="21"/>
                <w:highlight w:val="none"/>
              </w:rPr>
            </w:pPr>
          </w:p>
        </w:tc>
        <w:tc>
          <w:tcPr>
            <w:tcW w:w="399" w:type="dxa"/>
            <w:vAlign w:val="top"/>
          </w:tcPr>
          <w:p w14:paraId="69C10A6C">
            <w:pPr>
              <w:spacing w:line="238" w:lineRule="exact"/>
              <w:rPr>
                <w:rFonts w:hint="eastAsia" w:ascii="宋体" w:hAnsi="宋体" w:eastAsia="宋体" w:cs="宋体"/>
                <w:color w:val="auto"/>
                <w:sz w:val="20"/>
                <w:highlight w:val="none"/>
              </w:rPr>
            </w:pPr>
          </w:p>
        </w:tc>
        <w:tc>
          <w:tcPr>
            <w:tcW w:w="406" w:type="dxa"/>
            <w:vAlign w:val="top"/>
          </w:tcPr>
          <w:p w14:paraId="31D7B1AA">
            <w:pPr>
              <w:spacing w:line="238" w:lineRule="exact"/>
              <w:rPr>
                <w:rFonts w:hint="eastAsia" w:ascii="宋体" w:hAnsi="宋体" w:eastAsia="宋体" w:cs="宋体"/>
                <w:color w:val="auto"/>
                <w:sz w:val="20"/>
                <w:highlight w:val="none"/>
              </w:rPr>
            </w:pPr>
          </w:p>
        </w:tc>
        <w:tc>
          <w:tcPr>
            <w:tcW w:w="406" w:type="dxa"/>
            <w:vAlign w:val="top"/>
          </w:tcPr>
          <w:p w14:paraId="14C11544">
            <w:pPr>
              <w:spacing w:line="238" w:lineRule="exact"/>
              <w:rPr>
                <w:rFonts w:hint="eastAsia" w:ascii="宋体" w:hAnsi="宋体" w:eastAsia="宋体" w:cs="宋体"/>
                <w:color w:val="auto"/>
                <w:sz w:val="20"/>
                <w:highlight w:val="none"/>
              </w:rPr>
            </w:pPr>
          </w:p>
        </w:tc>
        <w:tc>
          <w:tcPr>
            <w:tcW w:w="406" w:type="dxa"/>
            <w:vAlign w:val="top"/>
          </w:tcPr>
          <w:p w14:paraId="1056CB75">
            <w:pPr>
              <w:spacing w:line="238" w:lineRule="exact"/>
              <w:rPr>
                <w:rFonts w:hint="eastAsia" w:ascii="宋体" w:hAnsi="宋体" w:eastAsia="宋体" w:cs="宋体"/>
                <w:color w:val="auto"/>
                <w:sz w:val="20"/>
                <w:highlight w:val="none"/>
              </w:rPr>
            </w:pPr>
          </w:p>
        </w:tc>
        <w:tc>
          <w:tcPr>
            <w:tcW w:w="406" w:type="dxa"/>
            <w:vAlign w:val="top"/>
          </w:tcPr>
          <w:p w14:paraId="3D48A3B7">
            <w:pPr>
              <w:spacing w:line="238" w:lineRule="exact"/>
              <w:rPr>
                <w:rFonts w:hint="eastAsia" w:ascii="宋体" w:hAnsi="宋体" w:eastAsia="宋体" w:cs="宋体"/>
                <w:color w:val="auto"/>
                <w:sz w:val="20"/>
                <w:highlight w:val="none"/>
              </w:rPr>
            </w:pPr>
          </w:p>
        </w:tc>
        <w:tc>
          <w:tcPr>
            <w:tcW w:w="404" w:type="dxa"/>
            <w:vAlign w:val="top"/>
          </w:tcPr>
          <w:p w14:paraId="67749158">
            <w:pPr>
              <w:spacing w:line="238" w:lineRule="exact"/>
              <w:rPr>
                <w:rFonts w:hint="eastAsia" w:ascii="宋体" w:hAnsi="宋体" w:eastAsia="宋体" w:cs="宋体"/>
                <w:color w:val="auto"/>
                <w:sz w:val="20"/>
                <w:highlight w:val="none"/>
              </w:rPr>
            </w:pPr>
          </w:p>
        </w:tc>
        <w:tc>
          <w:tcPr>
            <w:tcW w:w="406" w:type="dxa"/>
            <w:vAlign w:val="top"/>
          </w:tcPr>
          <w:p w14:paraId="71F54630">
            <w:pPr>
              <w:spacing w:line="238" w:lineRule="exact"/>
              <w:rPr>
                <w:rFonts w:hint="eastAsia" w:ascii="宋体" w:hAnsi="宋体" w:eastAsia="宋体" w:cs="宋体"/>
                <w:color w:val="auto"/>
                <w:sz w:val="20"/>
                <w:highlight w:val="none"/>
              </w:rPr>
            </w:pPr>
          </w:p>
        </w:tc>
        <w:tc>
          <w:tcPr>
            <w:tcW w:w="406" w:type="dxa"/>
            <w:vAlign w:val="top"/>
          </w:tcPr>
          <w:p w14:paraId="26F50604">
            <w:pPr>
              <w:spacing w:line="238" w:lineRule="exact"/>
              <w:rPr>
                <w:rFonts w:hint="eastAsia" w:ascii="宋体" w:hAnsi="宋体" w:eastAsia="宋体" w:cs="宋体"/>
                <w:color w:val="auto"/>
                <w:sz w:val="20"/>
                <w:highlight w:val="none"/>
              </w:rPr>
            </w:pPr>
          </w:p>
        </w:tc>
        <w:tc>
          <w:tcPr>
            <w:tcW w:w="406" w:type="dxa"/>
            <w:vAlign w:val="top"/>
          </w:tcPr>
          <w:p w14:paraId="5F889E5E">
            <w:pPr>
              <w:spacing w:line="238" w:lineRule="exact"/>
              <w:rPr>
                <w:rFonts w:hint="eastAsia" w:ascii="宋体" w:hAnsi="宋体" w:eastAsia="宋体" w:cs="宋体"/>
                <w:color w:val="auto"/>
                <w:sz w:val="20"/>
                <w:highlight w:val="none"/>
              </w:rPr>
            </w:pPr>
          </w:p>
        </w:tc>
        <w:tc>
          <w:tcPr>
            <w:tcW w:w="406" w:type="dxa"/>
            <w:vAlign w:val="top"/>
          </w:tcPr>
          <w:p w14:paraId="2BD428F4">
            <w:pPr>
              <w:spacing w:line="238" w:lineRule="exact"/>
              <w:rPr>
                <w:rFonts w:hint="eastAsia" w:ascii="宋体" w:hAnsi="宋体" w:eastAsia="宋体" w:cs="宋体"/>
                <w:color w:val="auto"/>
                <w:sz w:val="20"/>
                <w:highlight w:val="none"/>
              </w:rPr>
            </w:pPr>
          </w:p>
        </w:tc>
        <w:tc>
          <w:tcPr>
            <w:tcW w:w="406" w:type="dxa"/>
            <w:vAlign w:val="top"/>
          </w:tcPr>
          <w:p w14:paraId="3B919F56">
            <w:pPr>
              <w:spacing w:line="238" w:lineRule="exact"/>
              <w:rPr>
                <w:rFonts w:hint="eastAsia" w:ascii="宋体" w:hAnsi="宋体" w:eastAsia="宋体" w:cs="宋体"/>
                <w:color w:val="auto"/>
                <w:sz w:val="20"/>
                <w:highlight w:val="none"/>
              </w:rPr>
            </w:pPr>
          </w:p>
        </w:tc>
        <w:tc>
          <w:tcPr>
            <w:tcW w:w="406" w:type="dxa"/>
            <w:vAlign w:val="top"/>
          </w:tcPr>
          <w:p w14:paraId="3E234C82">
            <w:pPr>
              <w:spacing w:line="238" w:lineRule="exact"/>
              <w:rPr>
                <w:rFonts w:hint="eastAsia" w:ascii="宋体" w:hAnsi="宋体" w:eastAsia="宋体" w:cs="宋体"/>
                <w:color w:val="auto"/>
                <w:sz w:val="20"/>
                <w:highlight w:val="none"/>
              </w:rPr>
            </w:pPr>
          </w:p>
        </w:tc>
        <w:tc>
          <w:tcPr>
            <w:tcW w:w="406" w:type="dxa"/>
            <w:vAlign w:val="top"/>
          </w:tcPr>
          <w:p w14:paraId="351CB638">
            <w:pPr>
              <w:spacing w:line="238" w:lineRule="exact"/>
              <w:rPr>
                <w:rFonts w:hint="eastAsia" w:ascii="宋体" w:hAnsi="宋体" w:eastAsia="宋体" w:cs="宋体"/>
                <w:color w:val="auto"/>
                <w:sz w:val="20"/>
                <w:highlight w:val="none"/>
              </w:rPr>
            </w:pPr>
          </w:p>
        </w:tc>
        <w:tc>
          <w:tcPr>
            <w:tcW w:w="406" w:type="dxa"/>
            <w:vAlign w:val="top"/>
          </w:tcPr>
          <w:p w14:paraId="21C86021">
            <w:pPr>
              <w:spacing w:line="238" w:lineRule="exact"/>
              <w:rPr>
                <w:rFonts w:hint="eastAsia" w:ascii="宋体" w:hAnsi="宋体" w:eastAsia="宋体" w:cs="宋体"/>
                <w:color w:val="auto"/>
                <w:sz w:val="20"/>
                <w:highlight w:val="none"/>
              </w:rPr>
            </w:pPr>
          </w:p>
        </w:tc>
        <w:tc>
          <w:tcPr>
            <w:tcW w:w="406" w:type="dxa"/>
            <w:vAlign w:val="top"/>
          </w:tcPr>
          <w:p w14:paraId="56CE18BF">
            <w:pPr>
              <w:spacing w:line="238" w:lineRule="exact"/>
              <w:rPr>
                <w:rFonts w:hint="eastAsia" w:ascii="宋体" w:hAnsi="宋体" w:eastAsia="宋体" w:cs="宋体"/>
                <w:color w:val="auto"/>
                <w:sz w:val="20"/>
                <w:highlight w:val="none"/>
              </w:rPr>
            </w:pPr>
          </w:p>
        </w:tc>
        <w:tc>
          <w:tcPr>
            <w:tcW w:w="406" w:type="dxa"/>
            <w:vAlign w:val="top"/>
          </w:tcPr>
          <w:p w14:paraId="62065FB7">
            <w:pPr>
              <w:spacing w:line="238" w:lineRule="exact"/>
              <w:rPr>
                <w:rFonts w:hint="eastAsia" w:ascii="宋体" w:hAnsi="宋体" w:eastAsia="宋体" w:cs="宋体"/>
                <w:color w:val="auto"/>
                <w:sz w:val="20"/>
                <w:highlight w:val="none"/>
              </w:rPr>
            </w:pPr>
          </w:p>
        </w:tc>
        <w:tc>
          <w:tcPr>
            <w:tcW w:w="408" w:type="dxa"/>
            <w:vAlign w:val="top"/>
          </w:tcPr>
          <w:p w14:paraId="2F3D51D8">
            <w:pPr>
              <w:spacing w:line="238" w:lineRule="exact"/>
              <w:rPr>
                <w:rFonts w:hint="eastAsia" w:ascii="宋体" w:hAnsi="宋体" w:eastAsia="宋体" w:cs="宋体"/>
                <w:color w:val="auto"/>
                <w:sz w:val="20"/>
                <w:highlight w:val="none"/>
              </w:rPr>
            </w:pPr>
          </w:p>
        </w:tc>
        <w:tc>
          <w:tcPr>
            <w:tcW w:w="407" w:type="dxa"/>
            <w:vAlign w:val="top"/>
          </w:tcPr>
          <w:p w14:paraId="53AC4209">
            <w:pPr>
              <w:spacing w:line="238" w:lineRule="exact"/>
              <w:rPr>
                <w:rFonts w:hint="eastAsia" w:ascii="宋体" w:hAnsi="宋体" w:eastAsia="宋体" w:cs="宋体"/>
                <w:color w:val="auto"/>
                <w:sz w:val="20"/>
                <w:highlight w:val="none"/>
              </w:rPr>
            </w:pPr>
          </w:p>
        </w:tc>
        <w:tc>
          <w:tcPr>
            <w:tcW w:w="408" w:type="dxa"/>
            <w:vAlign w:val="top"/>
          </w:tcPr>
          <w:p w14:paraId="73C49737">
            <w:pPr>
              <w:spacing w:line="238" w:lineRule="exact"/>
              <w:rPr>
                <w:rFonts w:hint="eastAsia" w:ascii="宋体" w:hAnsi="宋体" w:eastAsia="宋体" w:cs="宋体"/>
                <w:color w:val="auto"/>
                <w:sz w:val="20"/>
                <w:highlight w:val="none"/>
              </w:rPr>
            </w:pPr>
          </w:p>
        </w:tc>
        <w:tc>
          <w:tcPr>
            <w:tcW w:w="413" w:type="dxa"/>
            <w:vAlign w:val="top"/>
          </w:tcPr>
          <w:p w14:paraId="15F89589">
            <w:pPr>
              <w:spacing w:line="238" w:lineRule="exact"/>
              <w:rPr>
                <w:rFonts w:hint="eastAsia" w:ascii="宋体" w:hAnsi="宋体" w:eastAsia="宋体" w:cs="宋体"/>
                <w:color w:val="auto"/>
                <w:sz w:val="20"/>
                <w:highlight w:val="none"/>
              </w:rPr>
            </w:pPr>
          </w:p>
        </w:tc>
      </w:tr>
      <w:tr w14:paraId="211329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6" w:hRule="atLeast"/>
        </w:trPr>
        <w:tc>
          <w:tcPr>
            <w:tcW w:w="1248" w:type="dxa"/>
            <w:vMerge w:val="continue"/>
            <w:tcBorders>
              <w:top w:val="nil"/>
              <w:bottom w:val="nil"/>
            </w:tcBorders>
            <w:vAlign w:val="top"/>
          </w:tcPr>
          <w:p w14:paraId="6812DD00">
            <w:pPr>
              <w:rPr>
                <w:rFonts w:hint="eastAsia" w:ascii="宋体" w:hAnsi="宋体" w:eastAsia="宋体" w:cs="宋体"/>
                <w:color w:val="auto"/>
                <w:sz w:val="21"/>
                <w:highlight w:val="none"/>
              </w:rPr>
            </w:pPr>
          </w:p>
        </w:tc>
        <w:tc>
          <w:tcPr>
            <w:tcW w:w="399" w:type="dxa"/>
            <w:vAlign w:val="top"/>
          </w:tcPr>
          <w:p w14:paraId="4E7DD034">
            <w:pPr>
              <w:spacing w:line="235" w:lineRule="exact"/>
              <w:rPr>
                <w:rFonts w:hint="eastAsia" w:ascii="宋体" w:hAnsi="宋体" w:eastAsia="宋体" w:cs="宋体"/>
                <w:color w:val="auto"/>
                <w:sz w:val="20"/>
                <w:highlight w:val="none"/>
              </w:rPr>
            </w:pPr>
          </w:p>
        </w:tc>
        <w:tc>
          <w:tcPr>
            <w:tcW w:w="406" w:type="dxa"/>
            <w:vAlign w:val="top"/>
          </w:tcPr>
          <w:p w14:paraId="2BA6AB81">
            <w:pPr>
              <w:spacing w:line="235" w:lineRule="exact"/>
              <w:rPr>
                <w:rFonts w:hint="eastAsia" w:ascii="宋体" w:hAnsi="宋体" w:eastAsia="宋体" w:cs="宋体"/>
                <w:color w:val="auto"/>
                <w:sz w:val="20"/>
                <w:highlight w:val="none"/>
              </w:rPr>
            </w:pPr>
          </w:p>
        </w:tc>
        <w:tc>
          <w:tcPr>
            <w:tcW w:w="406" w:type="dxa"/>
            <w:vAlign w:val="top"/>
          </w:tcPr>
          <w:p w14:paraId="21CC0962">
            <w:pPr>
              <w:spacing w:line="235" w:lineRule="exact"/>
              <w:rPr>
                <w:rFonts w:hint="eastAsia" w:ascii="宋体" w:hAnsi="宋体" w:eastAsia="宋体" w:cs="宋体"/>
                <w:color w:val="auto"/>
                <w:sz w:val="20"/>
                <w:highlight w:val="none"/>
              </w:rPr>
            </w:pPr>
          </w:p>
        </w:tc>
        <w:tc>
          <w:tcPr>
            <w:tcW w:w="406" w:type="dxa"/>
            <w:vAlign w:val="top"/>
          </w:tcPr>
          <w:p w14:paraId="6A479D32">
            <w:pPr>
              <w:spacing w:line="235" w:lineRule="exact"/>
              <w:rPr>
                <w:rFonts w:hint="eastAsia" w:ascii="宋体" w:hAnsi="宋体" w:eastAsia="宋体" w:cs="宋体"/>
                <w:color w:val="auto"/>
                <w:sz w:val="20"/>
                <w:highlight w:val="none"/>
              </w:rPr>
            </w:pPr>
          </w:p>
        </w:tc>
        <w:tc>
          <w:tcPr>
            <w:tcW w:w="406" w:type="dxa"/>
            <w:vAlign w:val="top"/>
          </w:tcPr>
          <w:p w14:paraId="635BC89C">
            <w:pPr>
              <w:spacing w:line="235" w:lineRule="exact"/>
              <w:rPr>
                <w:rFonts w:hint="eastAsia" w:ascii="宋体" w:hAnsi="宋体" w:eastAsia="宋体" w:cs="宋体"/>
                <w:color w:val="auto"/>
                <w:sz w:val="20"/>
                <w:highlight w:val="none"/>
              </w:rPr>
            </w:pPr>
          </w:p>
        </w:tc>
        <w:tc>
          <w:tcPr>
            <w:tcW w:w="404" w:type="dxa"/>
            <w:vAlign w:val="top"/>
          </w:tcPr>
          <w:p w14:paraId="4730AACE">
            <w:pPr>
              <w:spacing w:line="235" w:lineRule="exact"/>
              <w:rPr>
                <w:rFonts w:hint="eastAsia" w:ascii="宋体" w:hAnsi="宋体" w:eastAsia="宋体" w:cs="宋体"/>
                <w:color w:val="auto"/>
                <w:sz w:val="20"/>
                <w:highlight w:val="none"/>
              </w:rPr>
            </w:pPr>
          </w:p>
        </w:tc>
        <w:tc>
          <w:tcPr>
            <w:tcW w:w="406" w:type="dxa"/>
            <w:vAlign w:val="top"/>
          </w:tcPr>
          <w:p w14:paraId="75840B1E">
            <w:pPr>
              <w:spacing w:line="235" w:lineRule="exact"/>
              <w:rPr>
                <w:rFonts w:hint="eastAsia" w:ascii="宋体" w:hAnsi="宋体" w:eastAsia="宋体" w:cs="宋体"/>
                <w:color w:val="auto"/>
                <w:sz w:val="20"/>
                <w:highlight w:val="none"/>
              </w:rPr>
            </w:pPr>
          </w:p>
        </w:tc>
        <w:tc>
          <w:tcPr>
            <w:tcW w:w="406" w:type="dxa"/>
            <w:vAlign w:val="top"/>
          </w:tcPr>
          <w:p w14:paraId="5AECC886">
            <w:pPr>
              <w:spacing w:line="235" w:lineRule="exact"/>
              <w:rPr>
                <w:rFonts w:hint="eastAsia" w:ascii="宋体" w:hAnsi="宋体" w:eastAsia="宋体" w:cs="宋体"/>
                <w:color w:val="auto"/>
                <w:sz w:val="20"/>
                <w:highlight w:val="none"/>
              </w:rPr>
            </w:pPr>
          </w:p>
        </w:tc>
        <w:tc>
          <w:tcPr>
            <w:tcW w:w="406" w:type="dxa"/>
            <w:vAlign w:val="top"/>
          </w:tcPr>
          <w:p w14:paraId="66A83991">
            <w:pPr>
              <w:spacing w:line="235" w:lineRule="exact"/>
              <w:rPr>
                <w:rFonts w:hint="eastAsia" w:ascii="宋体" w:hAnsi="宋体" w:eastAsia="宋体" w:cs="宋体"/>
                <w:color w:val="auto"/>
                <w:sz w:val="20"/>
                <w:highlight w:val="none"/>
              </w:rPr>
            </w:pPr>
          </w:p>
        </w:tc>
        <w:tc>
          <w:tcPr>
            <w:tcW w:w="406" w:type="dxa"/>
            <w:vAlign w:val="top"/>
          </w:tcPr>
          <w:p w14:paraId="5AAAA51F">
            <w:pPr>
              <w:spacing w:line="235" w:lineRule="exact"/>
              <w:rPr>
                <w:rFonts w:hint="eastAsia" w:ascii="宋体" w:hAnsi="宋体" w:eastAsia="宋体" w:cs="宋体"/>
                <w:color w:val="auto"/>
                <w:sz w:val="20"/>
                <w:highlight w:val="none"/>
              </w:rPr>
            </w:pPr>
          </w:p>
        </w:tc>
        <w:tc>
          <w:tcPr>
            <w:tcW w:w="406" w:type="dxa"/>
            <w:vAlign w:val="top"/>
          </w:tcPr>
          <w:p w14:paraId="5E265E03">
            <w:pPr>
              <w:spacing w:line="235" w:lineRule="exact"/>
              <w:rPr>
                <w:rFonts w:hint="eastAsia" w:ascii="宋体" w:hAnsi="宋体" w:eastAsia="宋体" w:cs="宋体"/>
                <w:color w:val="auto"/>
                <w:sz w:val="20"/>
                <w:highlight w:val="none"/>
              </w:rPr>
            </w:pPr>
          </w:p>
        </w:tc>
        <w:tc>
          <w:tcPr>
            <w:tcW w:w="406" w:type="dxa"/>
            <w:vAlign w:val="top"/>
          </w:tcPr>
          <w:p w14:paraId="2BB6B2B7">
            <w:pPr>
              <w:spacing w:line="235" w:lineRule="exact"/>
              <w:rPr>
                <w:rFonts w:hint="eastAsia" w:ascii="宋体" w:hAnsi="宋体" w:eastAsia="宋体" w:cs="宋体"/>
                <w:color w:val="auto"/>
                <w:sz w:val="20"/>
                <w:highlight w:val="none"/>
              </w:rPr>
            </w:pPr>
          </w:p>
        </w:tc>
        <w:tc>
          <w:tcPr>
            <w:tcW w:w="406" w:type="dxa"/>
            <w:vAlign w:val="top"/>
          </w:tcPr>
          <w:p w14:paraId="19229FE4">
            <w:pPr>
              <w:spacing w:line="235" w:lineRule="exact"/>
              <w:rPr>
                <w:rFonts w:hint="eastAsia" w:ascii="宋体" w:hAnsi="宋体" w:eastAsia="宋体" w:cs="宋体"/>
                <w:color w:val="auto"/>
                <w:sz w:val="20"/>
                <w:highlight w:val="none"/>
              </w:rPr>
            </w:pPr>
          </w:p>
        </w:tc>
        <w:tc>
          <w:tcPr>
            <w:tcW w:w="406" w:type="dxa"/>
            <w:vAlign w:val="top"/>
          </w:tcPr>
          <w:p w14:paraId="32CE6A85">
            <w:pPr>
              <w:spacing w:line="235" w:lineRule="exact"/>
              <w:rPr>
                <w:rFonts w:hint="eastAsia" w:ascii="宋体" w:hAnsi="宋体" w:eastAsia="宋体" w:cs="宋体"/>
                <w:color w:val="auto"/>
                <w:sz w:val="20"/>
                <w:highlight w:val="none"/>
              </w:rPr>
            </w:pPr>
          </w:p>
        </w:tc>
        <w:tc>
          <w:tcPr>
            <w:tcW w:w="406" w:type="dxa"/>
            <w:vAlign w:val="top"/>
          </w:tcPr>
          <w:p w14:paraId="0785992A">
            <w:pPr>
              <w:spacing w:line="235" w:lineRule="exact"/>
              <w:rPr>
                <w:rFonts w:hint="eastAsia" w:ascii="宋体" w:hAnsi="宋体" w:eastAsia="宋体" w:cs="宋体"/>
                <w:color w:val="auto"/>
                <w:sz w:val="20"/>
                <w:highlight w:val="none"/>
              </w:rPr>
            </w:pPr>
          </w:p>
        </w:tc>
        <w:tc>
          <w:tcPr>
            <w:tcW w:w="406" w:type="dxa"/>
            <w:vAlign w:val="top"/>
          </w:tcPr>
          <w:p w14:paraId="60D19D40">
            <w:pPr>
              <w:spacing w:line="235" w:lineRule="exact"/>
              <w:rPr>
                <w:rFonts w:hint="eastAsia" w:ascii="宋体" w:hAnsi="宋体" w:eastAsia="宋体" w:cs="宋体"/>
                <w:color w:val="auto"/>
                <w:sz w:val="20"/>
                <w:highlight w:val="none"/>
              </w:rPr>
            </w:pPr>
          </w:p>
        </w:tc>
        <w:tc>
          <w:tcPr>
            <w:tcW w:w="408" w:type="dxa"/>
            <w:vAlign w:val="top"/>
          </w:tcPr>
          <w:p w14:paraId="7BF9E213">
            <w:pPr>
              <w:spacing w:line="235" w:lineRule="exact"/>
              <w:rPr>
                <w:rFonts w:hint="eastAsia" w:ascii="宋体" w:hAnsi="宋体" w:eastAsia="宋体" w:cs="宋体"/>
                <w:color w:val="auto"/>
                <w:sz w:val="20"/>
                <w:highlight w:val="none"/>
              </w:rPr>
            </w:pPr>
          </w:p>
        </w:tc>
        <w:tc>
          <w:tcPr>
            <w:tcW w:w="407" w:type="dxa"/>
            <w:vAlign w:val="top"/>
          </w:tcPr>
          <w:p w14:paraId="1D3FB517">
            <w:pPr>
              <w:spacing w:line="235" w:lineRule="exact"/>
              <w:rPr>
                <w:rFonts w:hint="eastAsia" w:ascii="宋体" w:hAnsi="宋体" w:eastAsia="宋体" w:cs="宋体"/>
                <w:color w:val="auto"/>
                <w:sz w:val="20"/>
                <w:highlight w:val="none"/>
              </w:rPr>
            </w:pPr>
          </w:p>
        </w:tc>
        <w:tc>
          <w:tcPr>
            <w:tcW w:w="408" w:type="dxa"/>
            <w:vAlign w:val="top"/>
          </w:tcPr>
          <w:p w14:paraId="21662F11">
            <w:pPr>
              <w:spacing w:line="235" w:lineRule="exact"/>
              <w:rPr>
                <w:rFonts w:hint="eastAsia" w:ascii="宋体" w:hAnsi="宋体" w:eastAsia="宋体" w:cs="宋体"/>
                <w:color w:val="auto"/>
                <w:sz w:val="20"/>
                <w:highlight w:val="none"/>
              </w:rPr>
            </w:pPr>
          </w:p>
        </w:tc>
        <w:tc>
          <w:tcPr>
            <w:tcW w:w="413" w:type="dxa"/>
            <w:vAlign w:val="top"/>
          </w:tcPr>
          <w:p w14:paraId="68A43E93">
            <w:pPr>
              <w:spacing w:line="235" w:lineRule="exact"/>
              <w:rPr>
                <w:rFonts w:hint="eastAsia" w:ascii="宋体" w:hAnsi="宋体" w:eastAsia="宋体" w:cs="宋体"/>
                <w:color w:val="auto"/>
                <w:sz w:val="20"/>
                <w:highlight w:val="none"/>
              </w:rPr>
            </w:pPr>
          </w:p>
        </w:tc>
      </w:tr>
      <w:tr w14:paraId="6A016C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6" w:hRule="atLeast"/>
        </w:trPr>
        <w:tc>
          <w:tcPr>
            <w:tcW w:w="1248" w:type="dxa"/>
            <w:vMerge w:val="continue"/>
            <w:tcBorders>
              <w:top w:val="nil"/>
              <w:bottom w:val="nil"/>
            </w:tcBorders>
            <w:vAlign w:val="top"/>
          </w:tcPr>
          <w:p w14:paraId="7799F320">
            <w:pPr>
              <w:rPr>
                <w:rFonts w:hint="eastAsia" w:ascii="宋体" w:hAnsi="宋体" w:eastAsia="宋体" w:cs="宋体"/>
                <w:color w:val="auto"/>
                <w:sz w:val="21"/>
                <w:highlight w:val="none"/>
              </w:rPr>
            </w:pPr>
          </w:p>
        </w:tc>
        <w:tc>
          <w:tcPr>
            <w:tcW w:w="399" w:type="dxa"/>
            <w:vAlign w:val="top"/>
          </w:tcPr>
          <w:p w14:paraId="22C36640">
            <w:pPr>
              <w:spacing w:line="235" w:lineRule="exact"/>
              <w:rPr>
                <w:rFonts w:hint="eastAsia" w:ascii="宋体" w:hAnsi="宋体" w:eastAsia="宋体" w:cs="宋体"/>
                <w:color w:val="auto"/>
                <w:sz w:val="20"/>
                <w:highlight w:val="none"/>
              </w:rPr>
            </w:pPr>
          </w:p>
        </w:tc>
        <w:tc>
          <w:tcPr>
            <w:tcW w:w="406" w:type="dxa"/>
            <w:vAlign w:val="top"/>
          </w:tcPr>
          <w:p w14:paraId="662497BC">
            <w:pPr>
              <w:spacing w:line="235" w:lineRule="exact"/>
              <w:rPr>
                <w:rFonts w:hint="eastAsia" w:ascii="宋体" w:hAnsi="宋体" w:eastAsia="宋体" w:cs="宋体"/>
                <w:color w:val="auto"/>
                <w:sz w:val="20"/>
                <w:highlight w:val="none"/>
              </w:rPr>
            </w:pPr>
          </w:p>
        </w:tc>
        <w:tc>
          <w:tcPr>
            <w:tcW w:w="406" w:type="dxa"/>
            <w:vAlign w:val="top"/>
          </w:tcPr>
          <w:p w14:paraId="09C5B901">
            <w:pPr>
              <w:spacing w:line="235" w:lineRule="exact"/>
              <w:rPr>
                <w:rFonts w:hint="eastAsia" w:ascii="宋体" w:hAnsi="宋体" w:eastAsia="宋体" w:cs="宋体"/>
                <w:color w:val="auto"/>
                <w:sz w:val="20"/>
                <w:highlight w:val="none"/>
              </w:rPr>
            </w:pPr>
          </w:p>
        </w:tc>
        <w:tc>
          <w:tcPr>
            <w:tcW w:w="406" w:type="dxa"/>
            <w:vAlign w:val="top"/>
          </w:tcPr>
          <w:p w14:paraId="2302F63E">
            <w:pPr>
              <w:spacing w:line="235" w:lineRule="exact"/>
              <w:rPr>
                <w:rFonts w:hint="eastAsia" w:ascii="宋体" w:hAnsi="宋体" w:eastAsia="宋体" w:cs="宋体"/>
                <w:color w:val="auto"/>
                <w:sz w:val="20"/>
                <w:highlight w:val="none"/>
              </w:rPr>
            </w:pPr>
          </w:p>
        </w:tc>
        <w:tc>
          <w:tcPr>
            <w:tcW w:w="406" w:type="dxa"/>
            <w:vAlign w:val="top"/>
          </w:tcPr>
          <w:p w14:paraId="19330320">
            <w:pPr>
              <w:spacing w:line="235" w:lineRule="exact"/>
              <w:rPr>
                <w:rFonts w:hint="eastAsia" w:ascii="宋体" w:hAnsi="宋体" w:eastAsia="宋体" w:cs="宋体"/>
                <w:color w:val="auto"/>
                <w:sz w:val="20"/>
                <w:highlight w:val="none"/>
              </w:rPr>
            </w:pPr>
          </w:p>
        </w:tc>
        <w:tc>
          <w:tcPr>
            <w:tcW w:w="404" w:type="dxa"/>
            <w:vAlign w:val="top"/>
          </w:tcPr>
          <w:p w14:paraId="71B47D24">
            <w:pPr>
              <w:spacing w:line="235" w:lineRule="exact"/>
              <w:rPr>
                <w:rFonts w:hint="eastAsia" w:ascii="宋体" w:hAnsi="宋体" w:eastAsia="宋体" w:cs="宋体"/>
                <w:color w:val="auto"/>
                <w:sz w:val="20"/>
                <w:highlight w:val="none"/>
              </w:rPr>
            </w:pPr>
          </w:p>
        </w:tc>
        <w:tc>
          <w:tcPr>
            <w:tcW w:w="406" w:type="dxa"/>
            <w:vAlign w:val="top"/>
          </w:tcPr>
          <w:p w14:paraId="7B216F46">
            <w:pPr>
              <w:spacing w:line="235" w:lineRule="exact"/>
              <w:rPr>
                <w:rFonts w:hint="eastAsia" w:ascii="宋体" w:hAnsi="宋体" w:eastAsia="宋体" w:cs="宋体"/>
                <w:color w:val="auto"/>
                <w:sz w:val="20"/>
                <w:highlight w:val="none"/>
              </w:rPr>
            </w:pPr>
          </w:p>
        </w:tc>
        <w:tc>
          <w:tcPr>
            <w:tcW w:w="406" w:type="dxa"/>
            <w:vAlign w:val="top"/>
          </w:tcPr>
          <w:p w14:paraId="69CFA611">
            <w:pPr>
              <w:spacing w:line="235" w:lineRule="exact"/>
              <w:rPr>
                <w:rFonts w:hint="eastAsia" w:ascii="宋体" w:hAnsi="宋体" w:eastAsia="宋体" w:cs="宋体"/>
                <w:color w:val="auto"/>
                <w:sz w:val="20"/>
                <w:highlight w:val="none"/>
              </w:rPr>
            </w:pPr>
          </w:p>
        </w:tc>
        <w:tc>
          <w:tcPr>
            <w:tcW w:w="406" w:type="dxa"/>
            <w:vAlign w:val="top"/>
          </w:tcPr>
          <w:p w14:paraId="7A93DFE8">
            <w:pPr>
              <w:spacing w:line="235" w:lineRule="exact"/>
              <w:rPr>
                <w:rFonts w:hint="eastAsia" w:ascii="宋体" w:hAnsi="宋体" w:eastAsia="宋体" w:cs="宋体"/>
                <w:color w:val="auto"/>
                <w:sz w:val="20"/>
                <w:highlight w:val="none"/>
              </w:rPr>
            </w:pPr>
          </w:p>
        </w:tc>
        <w:tc>
          <w:tcPr>
            <w:tcW w:w="406" w:type="dxa"/>
            <w:vAlign w:val="top"/>
          </w:tcPr>
          <w:p w14:paraId="6BBF1A6F">
            <w:pPr>
              <w:spacing w:line="235" w:lineRule="exact"/>
              <w:rPr>
                <w:rFonts w:hint="eastAsia" w:ascii="宋体" w:hAnsi="宋体" w:eastAsia="宋体" w:cs="宋体"/>
                <w:color w:val="auto"/>
                <w:sz w:val="20"/>
                <w:highlight w:val="none"/>
              </w:rPr>
            </w:pPr>
          </w:p>
        </w:tc>
        <w:tc>
          <w:tcPr>
            <w:tcW w:w="406" w:type="dxa"/>
            <w:vAlign w:val="top"/>
          </w:tcPr>
          <w:p w14:paraId="01000AC2">
            <w:pPr>
              <w:spacing w:line="235" w:lineRule="exact"/>
              <w:rPr>
                <w:rFonts w:hint="eastAsia" w:ascii="宋体" w:hAnsi="宋体" w:eastAsia="宋体" w:cs="宋体"/>
                <w:color w:val="auto"/>
                <w:sz w:val="20"/>
                <w:highlight w:val="none"/>
              </w:rPr>
            </w:pPr>
          </w:p>
        </w:tc>
        <w:tc>
          <w:tcPr>
            <w:tcW w:w="406" w:type="dxa"/>
            <w:vAlign w:val="top"/>
          </w:tcPr>
          <w:p w14:paraId="2EC17C10">
            <w:pPr>
              <w:spacing w:line="235" w:lineRule="exact"/>
              <w:rPr>
                <w:rFonts w:hint="eastAsia" w:ascii="宋体" w:hAnsi="宋体" w:eastAsia="宋体" w:cs="宋体"/>
                <w:color w:val="auto"/>
                <w:sz w:val="20"/>
                <w:highlight w:val="none"/>
              </w:rPr>
            </w:pPr>
          </w:p>
        </w:tc>
        <w:tc>
          <w:tcPr>
            <w:tcW w:w="406" w:type="dxa"/>
            <w:vAlign w:val="top"/>
          </w:tcPr>
          <w:p w14:paraId="2C252585">
            <w:pPr>
              <w:spacing w:line="235" w:lineRule="exact"/>
              <w:rPr>
                <w:rFonts w:hint="eastAsia" w:ascii="宋体" w:hAnsi="宋体" w:eastAsia="宋体" w:cs="宋体"/>
                <w:color w:val="auto"/>
                <w:sz w:val="20"/>
                <w:highlight w:val="none"/>
              </w:rPr>
            </w:pPr>
          </w:p>
        </w:tc>
        <w:tc>
          <w:tcPr>
            <w:tcW w:w="406" w:type="dxa"/>
            <w:vAlign w:val="top"/>
          </w:tcPr>
          <w:p w14:paraId="3028D31E">
            <w:pPr>
              <w:spacing w:line="235" w:lineRule="exact"/>
              <w:rPr>
                <w:rFonts w:hint="eastAsia" w:ascii="宋体" w:hAnsi="宋体" w:eastAsia="宋体" w:cs="宋体"/>
                <w:color w:val="auto"/>
                <w:sz w:val="20"/>
                <w:highlight w:val="none"/>
              </w:rPr>
            </w:pPr>
          </w:p>
        </w:tc>
        <w:tc>
          <w:tcPr>
            <w:tcW w:w="406" w:type="dxa"/>
            <w:vAlign w:val="top"/>
          </w:tcPr>
          <w:p w14:paraId="1F172700">
            <w:pPr>
              <w:spacing w:line="235" w:lineRule="exact"/>
              <w:rPr>
                <w:rFonts w:hint="eastAsia" w:ascii="宋体" w:hAnsi="宋体" w:eastAsia="宋体" w:cs="宋体"/>
                <w:color w:val="auto"/>
                <w:sz w:val="20"/>
                <w:highlight w:val="none"/>
              </w:rPr>
            </w:pPr>
          </w:p>
        </w:tc>
        <w:tc>
          <w:tcPr>
            <w:tcW w:w="406" w:type="dxa"/>
            <w:vAlign w:val="top"/>
          </w:tcPr>
          <w:p w14:paraId="37C5D96C">
            <w:pPr>
              <w:spacing w:line="235" w:lineRule="exact"/>
              <w:rPr>
                <w:rFonts w:hint="eastAsia" w:ascii="宋体" w:hAnsi="宋体" w:eastAsia="宋体" w:cs="宋体"/>
                <w:color w:val="auto"/>
                <w:sz w:val="20"/>
                <w:highlight w:val="none"/>
              </w:rPr>
            </w:pPr>
          </w:p>
        </w:tc>
        <w:tc>
          <w:tcPr>
            <w:tcW w:w="408" w:type="dxa"/>
            <w:vAlign w:val="top"/>
          </w:tcPr>
          <w:p w14:paraId="098A9A5F">
            <w:pPr>
              <w:spacing w:line="235" w:lineRule="exact"/>
              <w:rPr>
                <w:rFonts w:hint="eastAsia" w:ascii="宋体" w:hAnsi="宋体" w:eastAsia="宋体" w:cs="宋体"/>
                <w:color w:val="auto"/>
                <w:sz w:val="20"/>
                <w:highlight w:val="none"/>
              </w:rPr>
            </w:pPr>
          </w:p>
        </w:tc>
        <w:tc>
          <w:tcPr>
            <w:tcW w:w="407" w:type="dxa"/>
            <w:vAlign w:val="top"/>
          </w:tcPr>
          <w:p w14:paraId="35D90568">
            <w:pPr>
              <w:spacing w:line="235" w:lineRule="exact"/>
              <w:rPr>
                <w:rFonts w:hint="eastAsia" w:ascii="宋体" w:hAnsi="宋体" w:eastAsia="宋体" w:cs="宋体"/>
                <w:color w:val="auto"/>
                <w:sz w:val="20"/>
                <w:highlight w:val="none"/>
              </w:rPr>
            </w:pPr>
          </w:p>
        </w:tc>
        <w:tc>
          <w:tcPr>
            <w:tcW w:w="408" w:type="dxa"/>
            <w:vAlign w:val="top"/>
          </w:tcPr>
          <w:p w14:paraId="0726A038">
            <w:pPr>
              <w:spacing w:line="235" w:lineRule="exact"/>
              <w:rPr>
                <w:rFonts w:hint="eastAsia" w:ascii="宋体" w:hAnsi="宋体" w:eastAsia="宋体" w:cs="宋体"/>
                <w:color w:val="auto"/>
                <w:sz w:val="20"/>
                <w:highlight w:val="none"/>
              </w:rPr>
            </w:pPr>
          </w:p>
        </w:tc>
        <w:tc>
          <w:tcPr>
            <w:tcW w:w="413" w:type="dxa"/>
            <w:vAlign w:val="top"/>
          </w:tcPr>
          <w:p w14:paraId="02801C1B">
            <w:pPr>
              <w:spacing w:line="235" w:lineRule="exact"/>
              <w:rPr>
                <w:rFonts w:hint="eastAsia" w:ascii="宋体" w:hAnsi="宋体" w:eastAsia="宋体" w:cs="宋体"/>
                <w:color w:val="auto"/>
                <w:sz w:val="20"/>
                <w:highlight w:val="none"/>
              </w:rPr>
            </w:pPr>
          </w:p>
        </w:tc>
      </w:tr>
      <w:tr w14:paraId="468CB9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6" w:hRule="atLeast"/>
        </w:trPr>
        <w:tc>
          <w:tcPr>
            <w:tcW w:w="1248" w:type="dxa"/>
            <w:vMerge w:val="continue"/>
            <w:tcBorders>
              <w:top w:val="nil"/>
              <w:bottom w:val="nil"/>
            </w:tcBorders>
            <w:vAlign w:val="top"/>
          </w:tcPr>
          <w:p w14:paraId="2A1299AC">
            <w:pPr>
              <w:rPr>
                <w:rFonts w:hint="eastAsia" w:ascii="宋体" w:hAnsi="宋体" w:eastAsia="宋体" w:cs="宋体"/>
                <w:color w:val="auto"/>
                <w:sz w:val="21"/>
                <w:highlight w:val="none"/>
              </w:rPr>
            </w:pPr>
          </w:p>
        </w:tc>
        <w:tc>
          <w:tcPr>
            <w:tcW w:w="399" w:type="dxa"/>
            <w:vAlign w:val="top"/>
          </w:tcPr>
          <w:p w14:paraId="225FAD81">
            <w:pPr>
              <w:spacing w:line="235" w:lineRule="exact"/>
              <w:rPr>
                <w:rFonts w:hint="eastAsia" w:ascii="宋体" w:hAnsi="宋体" w:eastAsia="宋体" w:cs="宋体"/>
                <w:color w:val="auto"/>
                <w:sz w:val="20"/>
                <w:highlight w:val="none"/>
              </w:rPr>
            </w:pPr>
          </w:p>
        </w:tc>
        <w:tc>
          <w:tcPr>
            <w:tcW w:w="406" w:type="dxa"/>
            <w:vAlign w:val="top"/>
          </w:tcPr>
          <w:p w14:paraId="71AC5385">
            <w:pPr>
              <w:spacing w:line="235" w:lineRule="exact"/>
              <w:rPr>
                <w:rFonts w:hint="eastAsia" w:ascii="宋体" w:hAnsi="宋体" w:eastAsia="宋体" w:cs="宋体"/>
                <w:color w:val="auto"/>
                <w:sz w:val="20"/>
                <w:highlight w:val="none"/>
              </w:rPr>
            </w:pPr>
          </w:p>
        </w:tc>
        <w:tc>
          <w:tcPr>
            <w:tcW w:w="406" w:type="dxa"/>
            <w:vAlign w:val="top"/>
          </w:tcPr>
          <w:p w14:paraId="012FED98">
            <w:pPr>
              <w:spacing w:line="235" w:lineRule="exact"/>
              <w:rPr>
                <w:rFonts w:hint="eastAsia" w:ascii="宋体" w:hAnsi="宋体" w:eastAsia="宋体" w:cs="宋体"/>
                <w:color w:val="auto"/>
                <w:sz w:val="20"/>
                <w:highlight w:val="none"/>
              </w:rPr>
            </w:pPr>
          </w:p>
        </w:tc>
        <w:tc>
          <w:tcPr>
            <w:tcW w:w="406" w:type="dxa"/>
            <w:vAlign w:val="top"/>
          </w:tcPr>
          <w:p w14:paraId="74F9111F">
            <w:pPr>
              <w:spacing w:line="235" w:lineRule="exact"/>
              <w:rPr>
                <w:rFonts w:hint="eastAsia" w:ascii="宋体" w:hAnsi="宋体" w:eastAsia="宋体" w:cs="宋体"/>
                <w:color w:val="auto"/>
                <w:sz w:val="20"/>
                <w:highlight w:val="none"/>
              </w:rPr>
            </w:pPr>
          </w:p>
        </w:tc>
        <w:tc>
          <w:tcPr>
            <w:tcW w:w="406" w:type="dxa"/>
            <w:vAlign w:val="top"/>
          </w:tcPr>
          <w:p w14:paraId="6BE86EE2">
            <w:pPr>
              <w:spacing w:line="235" w:lineRule="exact"/>
              <w:rPr>
                <w:rFonts w:hint="eastAsia" w:ascii="宋体" w:hAnsi="宋体" w:eastAsia="宋体" w:cs="宋体"/>
                <w:color w:val="auto"/>
                <w:sz w:val="20"/>
                <w:highlight w:val="none"/>
              </w:rPr>
            </w:pPr>
          </w:p>
        </w:tc>
        <w:tc>
          <w:tcPr>
            <w:tcW w:w="404" w:type="dxa"/>
            <w:vAlign w:val="top"/>
          </w:tcPr>
          <w:p w14:paraId="110C459D">
            <w:pPr>
              <w:spacing w:line="235" w:lineRule="exact"/>
              <w:rPr>
                <w:rFonts w:hint="eastAsia" w:ascii="宋体" w:hAnsi="宋体" w:eastAsia="宋体" w:cs="宋体"/>
                <w:color w:val="auto"/>
                <w:sz w:val="20"/>
                <w:highlight w:val="none"/>
              </w:rPr>
            </w:pPr>
          </w:p>
        </w:tc>
        <w:tc>
          <w:tcPr>
            <w:tcW w:w="406" w:type="dxa"/>
            <w:vAlign w:val="top"/>
          </w:tcPr>
          <w:p w14:paraId="46A7FBEA">
            <w:pPr>
              <w:spacing w:line="235" w:lineRule="exact"/>
              <w:rPr>
                <w:rFonts w:hint="eastAsia" w:ascii="宋体" w:hAnsi="宋体" w:eastAsia="宋体" w:cs="宋体"/>
                <w:color w:val="auto"/>
                <w:sz w:val="20"/>
                <w:highlight w:val="none"/>
              </w:rPr>
            </w:pPr>
          </w:p>
        </w:tc>
        <w:tc>
          <w:tcPr>
            <w:tcW w:w="406" w:type="dxa"/>
            <w:vAlign w:val="top"/>
          </w:tcPr>
          <w:p w14:paraId="72160762">
            <w:pPr>
              <w:spacing w:line="235" w:lineRule="exact"/>
              <w:rPr>
                <w:rFonts w:hint="eastAsia" w:ascii="宋体" w:hAnsi="宋体" w:eastAsia="宋体" w:cs="宋体"/>
                <w:color w:val="auto"/>
                <w:sz w:val="20"/>
                <w:highlight w:val="none"/>
              </w:rPr>
            </w:pPr>
          </w:p>
        </w:tc>
        <w:tc>
          <w:tcPr>
            <w:tcW w:w="406" w:type="dxa"/>
            <w:vAlign w:val="top"/>
          </w:tcPr>
          <w:p w14:paraId="7A421993">
            <w:pPr>
              <w:spacing w:line="235" w:lineRule="exact"/>
              <w:rPr>
                <w:rFonts w:hint="eastAsia" w:ascii="宋体" w:hAnsi="宋体" w:eastAsia="宋体" w:cs="宋体"/>
                <w:color w:val="auto"/>
                <w:sz w:val="20"/>
                <w:highlight w:val="none"/>
              </w:rPr>
            </w:pPr>
          </w:p>
        </w:tc>
        <w:tc>
          <w:tcPr>
            <w:tcW w:w="406" w:type="dxa"/>
            <w:vAlign w:val="top"/>
          </w:tcPr>
          <w:p w14:paraId="38AF942C">
            <w:pPr>
              <w:spacing w:line="235" w:lineRule="exact"/>
              <w:rPr>
                <w:rFonts w:hint="eastAsia" w:ascii="宋体" w:hAnsi="宋体" w:eastAsia="宋体" w:cs="宋体"/>
                <w:color w:val="auto"/>
                <w:sz w:val="20"/>
                <w:highlight w:val="none"/>
              </w:rPr>
            </w:pPr>
          </w:p>
        </w:tc>
        <w:tc>
          <w:tcPr>
            <w:tcW w:w="406" w:type="dxa"/>
            <w:vAlign w:val="top"/>
          </w:tcPr>
          <w:p w14:paraId="3977ABA2">
            <w:pPr>
              <w:spacing w:line="235" w:lineRule="exact"/>
              <w:rPr>
                <w:rFonts w:hint="eastAsia" w:ascii="宋体" w:hAnsi="宋体" w:eastAsia="宋体" w:cs="宋体"/>
                <w:color w:val="auto"/>
                <w:sz w:val="20"/>
                <w:highlight w:val="none"/>
              </w:rPr>
            </w:pPr>
          </w:p>
        </w:tc>
        <w:tc>
          <w:tcPr>
            <w:tcW w:w="406" w:type="dxa"/>
            <w:vAlign w:val="top"/>
          </w:tcPr>
          <w:p w14:paraId="4C9F46DD">
            <w:pPr>
              <w:spacing w:line="235" w:lineRule="exact"/>
              <w:rPr>
                <w:rFonts w:hint="eastAsia" w:ascii="宋体" w:hAnsi="宋体" w:eastAsia="宋体" w:cs="宋体"/>
                <w:color w:val="auto"/>
                <w:sz w:val="20"/>
                <w:highlight w:val="none"/>
              </w:rPr>
            </w:pPr>
          </w:p>
        </w:tc>
        <w:tc>
          <w:tcPr>
            <w:tcW w:w="406" w:type="dxa"/>
            <w:vAlign w:val="top"/>
          </w:tcPr>
          <w:p w14:paraId="5BEEA0B6">
            <w:pPr>
              <w:spacing w:line="235" w:lineRule="exact"/>
              <w:rPr>
                <w:rFonts w:hint="eastAsia" w:ascii="宋体" w:hAnsi="宋体" w:eastAsia="宋体" w:cs="宋体"/>
                <w:color w:val="auto"/>
                <w:sz w:val="20"/>
                <w:highlight w:val="none"/>
              </w:rPr>
            </w:pPr>
          </w:p>
        </w:tc>
        <w:tc>
          <w:tcPr>
            <w:tcW w:w="406" w:type="dxa"/>
            <w:vAlign w:val="top"/>
          </w:tcPr>
          <w:p w14:paraId="0127436D">
            <w:pPr>
              <w:spacing w:line="235" w:lineRule="exact"/>
              <w:rPr>
                <w:rFonts w:hint="eastAsia" w:ascii="宋体" w:hAnsi="宋体" w:eastAsia="宋体" w:cs="宋体"/>
                <w:color w:val="auto"/>
                <w:sz w:val="20"/>
                <w:highlight w:val="none"/>
              </w:rPr>
            </w:pPr>
          </w:p>
        </w:tc>
        <w:tc>
          <w:tcPr>
            <w:tcW w:w="406" w:type="dxa"/>
            <w:vAlign w:val="top"/>
          </w:tcPr>
          <w:p w14:paraId="155EA5ED">
            <w:pPr>
              <w:spacing w:line="235" w:lineRule="exact"/>
              <w:rPr>
                <w:rFonts w:hint="eastAsia" w:ascii="宋体" w:hAnsi="宋体" w:eastAsia="宋体" w:cs="宋体"/>
                <w:color w:val="auto"/>
                <w:sz w:val="20"/>
                <w:highlight w:val="none"/>
              </w:rPr>
            </w:pPr>
          </w:p>
        </w:tc>
        <w:tc>
          <w:tcPr>
            <w:tcW w:w="406" w:type="dxa"/>
            <w:vAlign w:val="top"/>
          </w:tcPr>
          <w:p w14:paraId="07D11643">
            <w:pPr>
              <w:spacing w:line="235" w:lineRule="exact"/>
              <w:rPr>
                <w:rFonts w:hint="eastAsia" w:ascii="宋体" w:hAnsi="宋体" w:eastAsia="宋体" w:cs="宋体"/>
                <w:color w:val="auto"/>
                <w:sz w:val="20"/>
                <w:highlight w:val="none"/>
              </w:rPr>
            </w:pPr>
          </w:p>
        </w:tc>
        <w:tc>
          <w:tcPr>
            <w:tcW w:w="408" w:type="dxa"/>
            <w:vAlign w:val="top"/>
          </w:tcPr>
          <w:p w14:paraId="5000DACC">
            <w:pPr>
              <w:spacing w:line="235" w:lineRule="exact"/>
              <w:rPr>
                <w:rFonts w:hint="eastAsia" w:ascii="宋体" w:hAnsi="宋体" w:eastAsia="宋体" w:cs="宋体"/>
                <w:color w:val="auto"/>
                <w:sz w:val="20"/>
                <w:highlight w:val="none"/>
              </w:rPr>
            </w:pPr>
          </w:p>
        </w:tc>
        <w:tc>
          <w:tcPr>
            <w:tcW w:w="407" w:type="dxa"/>
            <w:vAlign w:val="top"/>
          </w:tcPr>
          <w:p w14:paraId="34D73401">
            <w:pPr>
              <w:spacing w:line="235" w:lineRule="exact"/>
              <w:rPr>
                <w:rFonts w:hint="eastAsia" w:ascii="宋体" w:hAnsi="宋体" w:eastAsia="宋体" w:cs="宋体"/>
                <w:color w:val="auto"/>
                <w:sz w:val="20"/>
                <w:highlight w:val="none"/>
              </w:rPr>
            </w:pPr>
          </w:p>
        </w:tc>
        <w:tc>
          <w:tcPr>
            <w:tcW w:w="408" w:type="dxa"/>
            <w:vAlign w:val="top"/>
          </w:tcPr>
          <w:p w14:paraId="05EDD5FE">
            <w:pPr>
              <w:spacing w:line="235" w:lineRule="exact"/>
              <w:rPr>
                <w:rFonts w:hint="eastAsia" w:ascii="宋体" w:hAnsi="宋体" w:eastAsia="宋体" w:cs="宋体"/>
                <w:color w:val="auto"/>
                <w:sz w:val="20"/>
                <w:highlight w:val="none"/>
              </w:rPr>
            </w:pPr>
          </w:p>
        </w:tc>
        <w:tc>
          <w:tcPr>
            <w:tcW w:w="413" w:type="dxa"/>
            <w:vAlign w:val="top"/>
          </w:tcPr>
          <w:p w14:paraId="070A2D24">
            <w:pPr>
              <w:spacing w:line="235" w:lineRule="exact"/>
              <w:rPr>
                <w:rFonts w:hint="eastAsia" w:ascii="宋体" w:hAnsi="宋体" w:eastAsia="宋体" w:cs="宋体"/>
                <w:color w:val="auto"/>
                <w:sz w:val="20"/>
                <w:highlight w:val="none"/>
              </w:rPr>
            </w:pPr>
          </w:p>
        </w:tc>
      </w:tr>
      <w:tr w14:paraId="670440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1248" w:type="dxa"/>
            <w:vMerge w:val="continue"/>
            <w:tcBorders>
              <w:top w:val="nil"/>
              <w:bottom w:val="nil"/>
            </w:tcBorders>
            <w:vAlign w:val="top"/>
          </w:tcPr>
          <w:p w14:paraId="1ACB332F">
            <w:pPr>
              <w:rPr>
                <w:rFonts w:hint="eastAsia" w:ascii="宋体" w:hAnsi="宋体" w:eastAsia="宋体" w:cs="宋体"/>
                <w:color w:val="auto"/>
                <w:sz w:val="21"/>
                <w:highlight w:val="none"/>
              </w:rPr>
            </w:pPr>
          </w:p>
        </w:tc>
        <w:tc>
          <w:tcPr>
            <w:tcW w:w="399" w:type="dxa"/>
            <w:vAlign w:val="top"/>
          </w:tcPr>
          <w:p w14:paraId="0ADB1E15">
            <w:pPr>
              <w:spacing w:line="234" w:lineRule="exact"/>
              <w:rPr>
                <w:rFonts w:hint="eastAsia" w:ascii="宋体" w:hAnsi="宋体" w:eastAsia="宋体" w:cs="宋体"/>
                <w:color w:val="auto"/>
                <w:sz w:val="20"/>
                <w:highlight w:val="none"/>
              </w:rPr>
            </w:pPr>
          </w:p>
        </w:tc>
        <w:tc>
          <w:tcPr>
            <w:tcW w:w="406" w:type="dxa"/>
            <w:vAlign w:val="top"/>
          </w:tcPr>
          <w:p w14:paraId="5E9682E3">
            <w:pPr>
              <w:spacing w:line="234" w:lineRule="exact"/>
              <w:rPr>
                <w:rFonts w:hint="eastAsia" w:ascii="宋体" w:hAnsi="宋体" w:eastAsia="宋体" w:cs="宋体"/>
                <w:color w:val="auto"/>
                <w:sz w:val="20"/>
                <w:highlight w:val="none"/>
              </w:rPr>
            </w:pPr>
          </w:p>
        </w:tc>
        <w:tc>
          <w:tcPr>
            <w:tcW w:w="406" w:type="dxa"/>
            <w:vAlign w:val="top"/>
          </w:tcPr>
          <w:p w14:paraId="0C516079">
            <w:pPr>
              <w:spacing w:line="234" w:lineRule="exact"/>
              <w:rPr>
                <w:rFonts w:hint="eastAsia" w:ascii="宋体" w:hAnsi="宋体" w:eastAsia="宋体" w:cs="宋体"/>
                <w:color w:val="auto"/>
                <w:sz w:val="20"/>
                <w:highlight w:val="none"/>
              </w:rPr>
            </w:pPr>
          </w:p>
        </w:tc>
        <w:tc>
          <w:tcPr>
            <w:tcW w:w="406" w:type="dxa"/>
            <w:vAlign w:val="top"/>
          </w:tcPr>
          <w:p w14:paraId="71DE9FA8">
            <w:pPr>
              <w:spacing w:line="234" w:lineRule="exact"/>
              <w:rPr>
                <w:rFonts w:hint="eastAsia" w:ascii="宋体" w:hAnsi="宋体" w:eastAsia="宋体" w:cs="宋体"/>
                <w:color w:val="auto"/>
                <w:sz w:val="20"/>
                <w:highlight w:val="none"/>
              </w:rPr>
            </w:pPr>
          </w:p>
        </w:tc>
        <w:tc>
          <w:tcPr>
            <w:tcW w:w="406" w:type="dxa"/>
            <w:vAlign w:val="top"/>
          </w:tcPr>
          <w:p w14:paraId="4A224A3A">
            <w:pPr>
              <w:spacing w:line="234" w:lineRule="exact"/>
              <w:rPr>
                <w:rFonts w:hint="eastAsia" w:ascii="宋体" w:hAnsi="宋体" w:eastAsia="宋体" w:cs="宋体"/>
                <w:color w:val="auto"/>
                <w:sz w:val="20"/>
                <w:highlight w:val="none"/>
              </w:rPr>
            </w:pPr>
          </w:p>
        </w:tc>
        <w:tc>
          <w:tcPr>
            <w:tcW w:w="404" w:type="dxa"/>
            <w:vAlign w:val="top"/>
          </w:tcPr>
          <w:p w14:paraId="3132CA66">
            <w:pPr>
              <w:spacing w:line="234" w:lineRule="exact"/>
              <w:rPr>
                <w:rFonts w:hint="eastAsia" w:ascii="宋体" w:hAnsi="宋体" w:eastAsia="宋体" w:cs="宋体"/>
                <w:color w:val="auto"/>
                <w:sz w:val="20"/>
                <w:highlight w:val="none"/>
              </w:rPr>
            </w:pPr>
          </w:p>
        </w:tc>
        <w:tc>
          <w:tcPr>
            <w:tcW w:w="406" w:type="dxa"/>
            <w:vAlign w:val="top"/>
          </w:tcPr>
          <w:p w14:paraId="6AC59FDF">
            <w:pPr>
              <w:spacing w:line="234" w:lineRule="exact"/>
              <w:rPr>
                <w:rFonts w:hint="eastAsia" w:ascii="宋体" w:hAnsi="宋体" w:eastAsia="宋体" w:cs="宋体"/>
                <w:color w:val="auto"/>
                <w:sz w:val="20"/>
                <w:highlight w:val="none"/>
              </w:rPr>
            </w:pPr>
          </w:p>
        </w:tc>
        <w:tc>
          <w:tcPr>
            <w:tcW w:w="406" w:type="dxa"/>
            <w:vAlign w:val="top"/>
          </w:tcPr>
          <w:p w14:paraId="4BE7505E">
            <w:pPr>
              <w:spacing w:line="234" w:lineRule="exact"/>
              <w:rPr>
                <w:rFonts w:hint="eastAsia" w:ascii="宋体" w:hAnsi="宋体" w:eastAsia="宋体" w:cs="宋体"/>
                <w:color w:val="auto"/>
                <w:sz w:val="20"/>
                <w:highlight w:val="none"/>
              </w:rPr>
            </w:pPr>
          </w:p>
        </w:tc>
        <w:tc>
          <w:tcPr>
            <w:tcW w:w="406" w:type="dxa"/>
            <w:vAlign w:val="top"/>
          </w:tcPr>
          <w:p w14:paraId="409CAF65">
            <w:pPr>
              <w:spacing w:line="234" w:lineRule="exact"/>
              <w:rPr>
                <w:rFonts w:hint="eastAsia" w:ascii="宋体" w:hAnsi="宋体" w:eastAsia="宋体" w:cs="宋体"/>
                <w:color w:val="auto"/>
                <w:sz w:val="20"/>
                <w:highlight w:val="none"/>
              </w:rPr>
            </w:pPr>
          </w:p>
        </w:tc>
        <w:tc>
          <w:tcPr>
            <w:tcW w:w="406" w:type="dxa"/>
            <w:vAlign w:val="top"/>
          </w:tcPr>
          <w:p w14:paraId="154D6AB4">
            <w:pPr>
              <w:spacing w:line="234" w:lineRule="exact"/>
              <w:rPr>
                <w:rFonts w:hint="eastAsia" w:ascii="宋体" w:hAnsi="宋体" w:eastAsia="宋体" w:cs="宋体"/>
                <w:color w:val="auto"/>
                <w:sz w:val="20"/>
                <w:highlight w:val="none"/>
              </w:rPr>
            </w:pPr>
          </w:p>
        </w:tc>
        <w:tc>
          <w:tcPr>
            <w:tcW w:w="406" w:type="dxa"/>
            <w:vAlign w:val="top"/>
          </w:tcPr>
          <w:p w14:paraId="761C33AB">
            <w:pPr>
              <w:spacing w:line="234" w:lineRule="exact"/>
              <w:rPr>
                <w:rFonts w:hint="eastAsia" w:ascii="宋体" w:hAnsi="宋体" w:eastAsia="宋体" w:cs="宋体"/>
                <w:color w:val="auto"/>
                <w:sz w:val="20"/>
                <w:highlight w:val="none"/>
              </w:rPr>
            </w:pPr>
          </w:p>
        </w:tc>
        <w:tc>
          <w:tcPr>
            <w:tcW w:w="406" w:type="dxa"/>
            <w:vAlign w:val="top"/>
          </w:tcPr>
          <w:p w14:paraId="1BB76958">
            <w:pPr>
              <w:spacing w:line="234" w:lineRule="exact"/>
              <w:rPr>
                <w:rFonts w:hint="eastAsia" w:ascii="宋体" w:hAnsi="宋体" w:eastAsia="宋体" w:cs="宋体"/>
                <w:color w:val="auto"/>
                <w:sz w:val="20"/>
                <w:highlight w:val="none"/>
              </w:rPr>
            </w:pPr>
          </w:p>
        </w:tc>
        <w:tc>
          <w:tcPr>
            <w:tcW w:w="406" w:type="dxa"/>
            <w:vAlign w:val="top"/>
          </w:tcPr>
          <w:p w14:paraId="4D28AC57">
            <w:pPr>
              <w:spacing w:line="234" w:lineRule="exact"/>
              <w:rPr>
                <w:rFonts w:hint="eastAsia" w:ascii="宋体" w:hAnsi="宋体" w:eastAsia="宋体" w:cs="宋体"/>
                <w:color w:val="auto"/>
                <w:sz w:val="20"/>
                <w:highlight w:val="none"/>
              </w:rPr>
            </w:pPr>
          </w:p>
        </w:tc>
        <w:tc>
          <w:tcPr>
            <w:tcW w:w="406" w:type="dxa"/>
            <w:vAlign w:val="top"/>
          </w:tcPr>
          <w:p w14:paraId="63EF2BAF">
            <w:pPr>
              <w:spacing w:line="234" w:lineRule="exact"/>
              <w:rPr>
                <w:rFonts w:hint="eastAsia" w:ascii="宋体" w:hAnsi="宋体" w:eastAsia="宋体" w:cs="宋体"/>
                <w:color w:val="auto"/>
                <w:sz w:val="20"/>
                <w:highlight w:val="none"/>
              </w:rPr>
            </w:pPr>
          </w:p>
        </w:tc>
        <w:tc>
          <w:tcPr>
            <w:tcW w:w="406" w:type="dxa"/>
            <w:vAlign w:val="top"/>
          </w:tcPr>
          <w:p w14:paraId="12E57B45">
            <w:pPr>
              <w:spacing w:line="234" w:lineRule="exact"/>
              <w:rPr>
                <w:rFonts w:hint="eastAsia" w:ascii="宋体" w:hAnsi="宋体" w:eastAsia="宋体" w:cs="宋体"/>
                <w:color w:val="auto"/>
                <w:sz w:val="20"/>
                <w:highlight w:val="none"/>
              </w:rPr>
            </w:pPr>
          </w:p>
        </w:tc>
        <w:tc>
          <w:tcPr>
            <w:tcW w:w="406" w:type="dxa"/>
            <w:vAlign w:val="top"/>
          </w:tcPr>
          <w:p w14:paraId="17775BB8">
            <w:pPr>
              <w:spacing w:line="234" w:lineRule="exact"/>
              <w:rPr>
                <w:rFonts w:hint="eastAsia" w:ascii="宋体" w:hAnsi="宋体" w:eastAsia="宋体" w:cs="宋体"/>
                <w:color w:val="auto"/>
                <w:sz w:val="20"/>
                <w:highlight w:val="none"/>
              </w:rPr>
            </w:pPr>
          </w:p>
        </w:tc>
        <w:tc>
          <w:tcPr>
            <w:tcW w:w="408" w:type="dxa"/>
            <w:vAlign w:val="top"/>
          </w:tcPr>
          <w:p w14:paraId="5A8FED7A">
            <w:pPr>
              <w:spacing w:line="234" w:lineRule="exact"/>
              <w:rPr>
                <w:rFonts w:hint="eastAsia" w:ascii="宋体" w:hAnsi="宋体" w:eastAsia="宋体" w:cs="宋体"/>
                <w:color w:val="auto"/>
                <w:sz w:val="20"/>
                <w:highlight w:val="none"/>
              </w:rPr>
            </w:pPr>
          </w:p>
        </w:tc>
        <w:tc>
          <w:tcPr>
            <w:tcW w:w="407" w:type="dxa"/>
            <w:vAlign w:val="top"/>
          </w:tcPr>
          <w:p w14:paraId="2B39217A">
            <w:pPr>
              <w:spacing w:line="234" w:lineRule="exact"/>
              <w:rPr>
                <w:rFonts w:hint="eastAsia" w:ascii="宋体" w:hAnsi="宋体" w:eastAsia="宋体" w:cs="宋体"/>
                <w:color w:val="auto"/>
                <w:sz w:val="20"/>
                <w:highlight w:val="none"/>
              </w:rPr>
            </w:pPr>
          </w:p>
        </w:tc>
        <w:tc>
          <w:tcPr>
            <w:tcW w:w="408" w:type="dxa"/>
            <w:vAlign w:val="top"/>
          </w:tcPr>
          <w:p w14:paraId="4BAD3E7E">
            <w:pPr>
              <w:spacing w:line="234" w:lineRule="exact"/>
              <w:rPr>
                <w:rFonts w:hint="eastAsia" w:ascii="宋体" w:hAnsi="宋体" w:eastAsia="宋体" w:cs="宋体"/>
                <w:color w:val="auto"/>
                <w:sz w:val="20"/>
                <w:highlight w:val="none"/>
              </w:rPr>
            </w:pPr>
          </w:p>
        </w:tc>
        <w:tc>
          <w:tcPr>
            <w:tcW w:w="413" w:type="dxa"/>
            <w:vAlign w:val="top"/>
          </w:tcPr>
          <w:p w14:paraId="48664E6F">
            <w:pPr>
              <w:spacing w:line="234" w:lineRule="exact"/>
              <w:rPr>
                <w:rFonts w:hint="eastAsia" w:ascii="宋体" w:hAnsi="宋体" w:eastAsia="宋体" w:cs="宋体"/>
                <w:color w:val="auto"/>
                <w:sz w:val="20"/>
                <w:highlight w:val="none"/>
              </w:rPr>
            </w:pPr>
          </w:p>
        </w:tc>
      </w:tr>
      <w:tr w14:paraId="339CDA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8" w:hRule="atLeast"/>
        </w:trPr>
        <w:tc>
          <w:tcPr>
            <w:tcW w:w="1248" w:type="dxa"/>
            <w:vMerge w:val="continue"/>
            <w:tcBorders>
              <w:top w:val="nil"/>
              <w:bottom w:val="nil"/>
            </w:tcBorders>
            <w:vAlign w:val="top"/>
          </w:tcPr>
          <w:p w14:paraId="71538FAA">
            <w:pPr>
              <w:rPr>
                <w:rFonts w:hint="eastAsia" w:ascii="宋体" w:hAnsi="宋体" w:eastAsia="宋体" w:cs="宋体"/>
                <w:color w:val="auto"/>
                <w:sz w:val="21"/>
                <w:highlight w:val="none"/>
              </w:rPr>
            </w:pPr>
          </w:p>
        </w:tc>
        <w:tc>
          <w:tcPr>
            <w:tcW w:w="399" w:type="dxa"/>
            <w:vAlign w:val="top"/>
          </w:tcPr>
          <w:p w14:paraId="3A8F38F4">
            <w:pPr>
              <w:spacing w:line="237" w:lineRule="exact"/>
              <w:rPr>
                <w:rFonts w:hint="eastAsia" w:ascii="宋体" w:hAnsi="宋体" w:eastAsia="宋体" w:cs="宋体"/>
                <w:color w:val="auto"/>
                <w:sz w:val="20"/>
                <w:highlight w:val="none"/>
              </w:rPr>
            </w:pPr>
          </w:p>
        </w:tc>
        <w:tc>
          <w:tcPr>
            <w:tcW w:w="406" w:type="dxa"/>
            <w:vAlign w:val="top"/>
          </w:tcPr>
          <w:p w14:paraId="76ABE203">
            <w:pPr>
              <w:spacing w:line="237" w:lineRule="exact"/>
              <w:rPr>
                <w:rFonts w:hint="eastAsia" w:ascii="宋体" w:hAnsi="宋体" w:eastAsia="宋体" w:cs="宋体"/>
                <w:color w:val="auto"/>
                <w:sz w:val="20"/>
                <w:highlight w:val="none"/>
              </w:rPr>
            </w:pPr>
          </w:p>
        </w:tc>
        <w:tc>
          <w:tcPr>
            <w:tcW w:w="406" w:type="dxa"/>
            <w:vAlign w:val="top"/>
          </w:tcPr>
          <w:p w14:paraId="31ED46B0">
            <w:pPr>
              <w:spacing w:line="237" w:lineRule="exact"/>
              <w:rPr>
                <w:rFonts w:hint="eastAsia" w:ascii="宋体" w:hAnsi="宋体" w:eastAsia="宋体" w:cs="宋体"/>
                <w:color w:val="auto"/>
                <w:sz w:val="20"/>
                <w:highlight w:val="none"/>
              </w:rPr>
            </w:pPr>
          </w:p>
        </w:tc>
        <w:tc>
          <w:tcPr>
            <w:tcW w:w="406" w:type="dxa"/>
            <w:vAlign w:val="top"/>
          </w:tcPr>
          <w:p w14:paraId="18054A08">
            <w:pPr>
              <w:spacing w:line="237" w:lineRule="exact"/>
              <w:rPr>
                <w:rFonts w:hint="eastAsia" w:ascii="宋体" w:hAnsi="宋体" w:eastAsia="宋体" w:cs="宋体"/>
                <w:color w:val="auto"/>
                <w:sz w:val="20"/>
                <w:highlight w:val="none"/>
              </w:rPr>
            </w:pPr>
          </w:p>
        </w:tc>
        <w:tc>
          <w:tcPr>
            <w:tcW w:w="406" w:type="dxa"/>
            <w:vAlign w:val="top"/>
          </w:tcPr>
          <w:p w14:paraId="382B15F6">
            <w:pPr>
              <w:spacing w:line="237" w:lineRule="exact"/>
              <w:rPr>
                <w:rFonts w:hint="eastAsia" w:ascii="宋体" w:hAnsi="宋体" w:eastAsia="宋体" w:cs="宋体"/>
                <w:color w:val="auto"/>
                <w:sz w:val="20"/>
                <w:highlight w:val="none"/>
              </w:rPr>
            </w:pPr>
          </w:p>
        </w:tc>
        <w:tc>
          <w:tcPr>
            <w:tcW w:w="404" w:type="dxa"/>
            <w:vAlign w:val="top"/>
          </w:tcPr>
          <w:p w14:paraId="4BD11D36">
            <w:pPr>
              <w:spacing w:line="237" w:lineRule="exact"/>
              <w:rPr>
                <w:rFonts w:hint="eastAsia" w:ascii="宋体" w:hAnsi="宋体" w:eastAsia="宋体" w:cs="宋体"/>
                <w:color w:val="auto"/>
                <w:sz w:val="20"/>
                <w:highlight w:val="none"/>
              </w:rPr>
            </w:pPr>
          </w:p>
        </w:tc>
        <w:tc>
          <w:tcPr>
            <w:tcW w:w="406" w:type="dxa"/>
            <w:vAlign w:val="top"/>
          </w:tcPr>
          <w:p w14:paraId="04ADDCBF">
            <w:pPr>
              <w:spacing w:line="237" w:lineRule="exact"/>
              <w:rPr>
                <w:rFonts w:hint="eastAsia" w:ascii="宋体" w:hAnsi="宋体" w:eastAsia="宋体" w:cs="宋体"/>
                <w:color w:val="auto"/>
                <w:sz w:val="20"/>
                <w:highlight w:val="none"/>
              </w:rPr>
            </w:pPr>
          </w:p>
        </w:tc>
        <w:tc>
          <w:tcPr>
            <w:tcW w:w="406" w:type="dxa"/>
            <w:vAlign w:val="top"/>
          </w:tcPr>
          <w:p w14:paraId="3F1090C5">
            <w:pPr>
              <w:spacing w:line="237" w:lineRule="exact"/>
              <w:rPr>
                <w:rFonts w:hint="eastAsia" w:ascii="宋体" w:hAnsi="宋体" w:eastAsia="宋体" w:cs="宋体"/>
                <w:color w:val="auto"/>
                <w:sz w:val="20"/>
                <w:highlight w:val="none"/>
              </w:rPr>
            </w:pPr>
          </w:p>
        </w:tc>
        <w:tc>
          <w:tcPr>
            <w:tcW w:w="406" w:type="dxa"/>
            <w:vAlign w:val="top"/>
          </w:tcPr>
          <w:p w14:paraId="5E17C04D">
            <w:pPr>
              <w:spacing w:line="237" w:lineRule="exact"/>
              <w:rPr>
                <w:rFonts w:hint="eastAsia" w:ascii="宋体" w:hAnsi="宋体" w:eastAsia="宋体" w:cs="宋体"/>
                <w:color w:val="auto"/>
                <w:sz w:val="20"/>
                <w:highlight w:val="none"/>
              </w:rPr>
            </w:pPr>
          </w:p>
        </w:tc>
        <w:tc>
          <w:tcPr>
            <w:tcW w:w="406" w:type="dxa"/>
            <w:vAlign w:val="top"/>
          </w:tcPr>
          <w:p w14:paraId="2BD000F3">
            <w:pPr>
              <w:spacing w:line="237" w:lineRule="exact"/>
              <w:rPr>
                <w:rFonts w:hint="eastAsia" w:ascii="宋体" w:hAnsi="宋体" w:eastAsia="宋体" w:cs="宋体"/>
                <w:color w:val="auto"/>
                <w:sz w:val="20"/>
                <w:highlight w:val="none"/>
              </w:rPr>
            </w:pPr>
          </w:p>
        </w:tc>
        <w:tc>
          <w:tcPr>
            <w:tcW w:w="406" w:type="dxa"/>
            <w:vAlign w:val="top"/>
          </w:tcPr>
          <w:p w14:paraId="7E2D58E6">
            <w:pPr>
              <w:spacing w:line="237" w:lineRule="exact"/>
              <w:rPr>
                <w:rFonts w:hint="eastAsia" w:ascii="宋体" w:hAnsi="宋体" w:eastAsia="宋体" w:cs="宋体"/>
                <w:color w:val="auto"/>
                <w:sz w:val="20"/>
                <w:highlight w:val="none"/>
              </w:rPr>
            </w:pPr>
          </w:p>
        </w:tc>
        <w:tc>
          <w:tcPr>
            <w:tcW w:w="406" w:type="dxa"/>
            <w:vAlign w:val="top"/>
          </w:tcPr>
          <w:p w14:paraId="4585B25D">
            <w:pPr>
              <w:spacing w:line="237" w:lineRule="exact"/>
              <w:rPr>
                <w:rFonts w:hint="eastAsia" w:ascii="宋体" w:hAnsi="宋体" w:eastAsia="宋体" w:cs="宋体"/>
                <w:color w:val="auto"/>
                <w:sz w:val="20"/>
                <w:highlight w:val="none"/>
              </w:rPr>
            </w:pPr>
          </w:p>
        </w:tc>
        <w:tc>
          <w:tcPr>
            <w:tcW w:w="406" w:type="dxa"/>
            <w:vAlign w:val="top"/>
          </w:tcPr>
          <w:p w14:paraId="76BCAD87">
            <w:pPr>
              <w:spacing w:line="237" w:lineRule="exact"/>
              <w:rPr>
                <w:rFonts w:hint="eastAsia" w:ascii="宋体" w:hAnsi="宋体" w:eastAsia="宋体" w:cs="宋体"/>
                <w:color w:val="auto"/>
                <w:sz w:val="20"/>
                <w:highlight w:val="none"/>
              </w:rPr>
            </w:pPr>
          </w:p>
        </w:tc>
        <w:tc>
          <w:tcPr>
            <w:tcW w:w="406" w:type="dxa"/>
            <w:vAlign w:val="top"/>
          </w:tcPr>
          <w:p w14:paraId="6672741F">
            <w:pPr>
              <w:spacing w:line="237" w:lineRule="exact"/>
              <w:rPr>
                <w:rFonts w:hint="eastAsia" w:ascii="宋体" w:hAnsi="宋体" w:eastAsia="宋体" w:cs="宋体"/>
                <w:color w:val="auto"/>
                <w:sz w:val="20"/>
                <w:highlight w:val="none"/>
              </w:rPr>
            </w:pPr>
          </w:p>
        </w:tc>
        <w:tc>
          <w:tcPr>
            <w:tcW w:w="406" w:type="dxa"/>
            <w:vAlign w:val="top"/>
          </w:tcPr>
          <w:p w14:paraId="16CD815F">
            <w:pPr>
              <w:spacing w:line="237" w:lineRule="exact"/>
              <w:rPr>
                <w:rFonts w:hint="eastAsia" w:ascii="宋体" w:hAnsi="宋体" w:eastAsia="宋体" w:cs="宋体"/>
                <w:color w:val="auto"/>
                <w:sz w:val="20"/>
                <w:highlight w:val="none"/>
              </w:rPr>
            </w:pPr>
          </w:p>
        </w:tc>
        <w:tc>
          <w:tcPr>
            <w:tcW w:w="406" w:type="dxa"/>
            <w:vAlign w:val="top"/>
          </w:tcPr>
          <w:p w14:paraId="41D844C4">
            <w:pPr>
              <w:spacing w:line="237" w:lineRule="exact"/>
              <w:rPr>
                <w:rFonts w:hint="eastAsia" w:ascii="宋体" w:hAnsi="宋体" w:eastAsia="宋体" w:cs="宋体"/>
                <w:color w:val="auto"/>
                <w:sz w:val="20"/>
                <w:highlight w:val="none"/>
              </w:rPr>
            </w:pPr>
          </w:p>
        </w:tc>
        <w:tc>
          <w:tcPr>
            <w:tcW w:w="408" w:type="dxa"/>
            <w:vAlign w:val="top"/>
          </w:tcPr>
          <w:p w14:paraId="1FFB4218">
            <w:pPr>
              <w:spacing w:line="237" w:lineRule="exact"/>
              <w:rPr>
                <w:rFonts w:hint="eastAsia" w:ascii="宋体" w:hAnsi="宋体" w:eastAsia="宋体" w:cs="宋体"/>
                <w:color w:val="auto"/>
                <w:sz w:val="20"/>
                <w:highlight w:val="none"/>
              </w:rPr>
            </w:pPr>
          </w:p>
        </w:tc>
        <w:tc>
          <w:tcPr>
            <w:tcW w:w="407" w:type="dxa"/>
            <w:vAlign w:val="top"/>
          </w:tcPr>
          <w:p w14:paraId="63C94E1A">
            <w:pPr>
              <w:spacing w:line="237" w:lineRule="exact"/>
              <w:rPr>
                <w:rFonts w:hint="eastAsia" w:ascii="宋体" w:hAnsi="宋体" w:eastAsia="宋体" w:cs="宋体"/>
                <w:color w:val="auto"/>
                <w:sz w:val="20"/>
                <w:highlight w:val="none"/>
              </w:rPr>
            </w:pPr>
          </w:p>
        </w:tc>
        <w:tc>
          <w:tcPr>
            <w:tcW w:w="408" w:type="dxa"/>
            <w:vAlign w:val="top"/>
          </w:tcPr>
          <w:p w14:paraId="701F54B9">
            <w:pPr>
              <w:spacing w:line="237" w:lineRule="exact"/>
              <w:rPr>
                <w:rFonts w:hint="eastAsia" w:ascii="宋体" w:hAnsi="宋体" w:eastAsia="宋体" w:cs="宋体"/>
                <w:color w:val="auto"/>
                <w:sz w:val="20"/>
                <w:highlight w:val="none"/>
              </w:rPr>
            </w:pPr>
          </w:p>
        </w:tc>
        <w:tc>
          <w:tcPr>
            <w:tcW w:w="413" w:type="dxa"/>
            <w:vAlign w:val="top"/>
          </w:tcPr>
          <w:p w14:paraId="46BD9247">
            <w:pPr>
              <w:spacing w:line="237" w:lineRule="exact"/>
              <w:rPr>
                <w:rFonts w:hint="eastAsia" w:ascii="宋体" w:hAnsi="宋体" w:eastAsia="宋体" w:cs="宋体"/>
                <w:color w:val="auto"/>
                <w:sz w:val="20"/>
                <w:highlight w:val="none"/>
              </w:rPr>
            </w:pPr>
          </w:p>
        </w:tc>
      </w:tr>
      <w:tr w14:paraId="40D9FF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8" w:hRule="atLeast"/>
        </w:trPr>
        <w:tc>
          <w:tcPr>
            <w:tcW w:w="1248" w:type="dxa"/>
            <w:vMerge w:val="continue"/>
            <w:tcBorders>
              <w:top w:val="nil"/>
              <w:bottom w:val="nil"/>
            </w:tcBorders>
            <w:vAlign w:val="top"/>
          </w:tcPr>
          <w:p w14:paraId="03833D30">
            <w:pPr>
              <w:rPr>
                <w:rFonts w:hint="eastAsia" w:ascii="宋体" w:hAnsi="宋体" w:eastAsia="宋体" w:cs="宋体"/>
                <w:color w:val="auto"/>
                <w:sz w:val="21"/>
                <w:highlight w:val="none"/>
              </w:rPr>
            </w:pPr>
          </w:p>
        </w:tc>
        <w:tc>
          <w:tcPr>
            <w:tcW w:w="399" w:type="dxa"/>
            <w:vAlign w:val="top"/>
          </w:tcPr>
          <w:p w14:paraId="15E6EEB0">
            <w:pPr>
              <w:spacing w:line="237" w:lineRule="exact"/>
              <w:rPr>
                <w:rFonts w:hint="eastAsia" w:ascii="宋体" w:hAnsi="宋体" w:eastAsia="宋体" w:cs="宋体"/>
                <w:color w:val="auto"/>
                <w:sz w:val="20"/>
                <w:highlight w:val="none"/>
              </w:rPr>
            </w:pPr>
          </w:p>
        </w:tc>
        <w:tc>
          <w:tcPr>
            <w:tcW w:w="406" w:type="dxa"/>
            <w:vAlign w:val="top"/>
          </w:tcPr>
          <w:p w14:paraId="4B73A8AA">
            <w:pPr>
              <w:spacing w:line="237" w:lineRule="exact"/>
              <w:rPr>
                <w:rFonts w:hint="eastAsia" w:ascii="宋体" w:hAnsi="宋体" w:eastAsia="宋体" w:cs="宋体"/>
                <w:color w:val="auto"/>
                <w:sz w:val="20"/>
                <w:highlight w:val="none"/>
              </w:rPr>
            </w:pPr>
          </w:p>
        </w:tc>
        <w:tc>
          <w:tcPr>
            <w:tcW w:w="406" w:type="dxa"/>
            <w:vAlign w:val="top"/>
          </w:tcPr>
          <w:p w14:paraId="4548C9E7">
            <w:pPr>
              <w:spacing w:line="237" w:lineRule="exact"/>
              <w:rPr>
                <w:rFonts w:hint="eastAsia" w:ascii="宋体" w:hAnsi="宋体" w:eastAsia="宋体" w:cs="宋体"/>
                <w:color w:val="auto"/>
                <w:sz w:val="20"/>
                <w:highlight w:val="none"/>
              </w:rPr>
            </w:pPr>
          </w:p>
        </w:tc>
        <w:tc>
          <w:tcPr>
            <w:tcW w:w="406" w:type="dxa"/>
            <w:vAlign w:val="top"/>
          </w:tcPr>
          <w:p w14:paraId="43ADA50F">
            <w:pPr>
              <w:spacing w:line="237" w:lineRule="exact"/>
              <w:rPr>
                <w:rFonts w:hint="eastAsia" w:ascii="宋体" w:hAnsi="宋体" w:eastAsia="宋体" w:cs="宋体"/>
                <w:color w:val="auto"/>
                <w:sz w:val="20"/>
                <w:highlight w:val="none"/>
              </w:rPr>
            </w:pPr>
          </w:p>
        </w:tc>
        <w:tc>
          <w:tcPr>
            <w:tcW w:w="406" w:type="dxa"/>
            <w:vAlign w:val="top"/>
          </w:tcPr>
          <w:p w14:paraId="502AEC16">
            <w:pPr>
              <w:spacing w:line="237" w:lineRule="exact"/>
              <w:rPr>
                <w:rFonts w:hint="eastAsia" w:ascii="宋体" w:hAnsi="宋体" w:eastAsia="宋体" w:cs="宋体"/>
                <w:color w:val="auto"/>
                <w:sz w:val="20"/>
                <w:highlight w:val="none"/>
              </w:rPr>
            </w:pPr>
          </w:p>
        </w:tc>
        <w:tc>
          <w:tcPr>
            <w:tcW w:w="404" w:type="dxa"/>
            <w:vAlign w:val="top"/>
          </w:tcPr>
          <w:p w14:paraId="228BE2DD">
            <w:pPr>
              <w:spacing w:line="237" w:lineRule="exact"/>
              <w:rPr>
                <w:rFonts w:hint="eastAsia" w:ascii="宋体" w:hAnsi="宋体" w:eastAsia="宋体" w:cs="宋体"/>
                <w:color w:val="auto"/>
                <w:sz w:val="20"/>
                <w:highlight w:val="none"/>
              </w:rPr>
            </w:pPr>
          </w:p>
        </w:tc>
        <w:tc>
          <w:tcPr>
            <w:tcW w:w="406" w:type="dxa"/>
            <w:vAlign w:val="top"/>
          </w:tcPr>
          <w:p w14:paraId="1DE3BD25">
            <w:pPr>
              <w:spacing w:line="237" w:lineRule="exact"/>
              <w:rPr>
                <w:rFonts w:hint="eastAsia" w:ascii="宋体" w:hAnsi="宋体" w:eastAsia="宋体" w:cs="宋体"/>
                <w:color w:val="auto"/>
                <w:sz w:val="20"/>
                <w:highlight w:val="none"/>
              </w:rPr>
            </w:pPr>
          </w:p>
        </w:tc>
        <w:tc>
          <w:tcPr>
            <w:tcW w:w="406" w:type="dxa"/>
            <w:vAlign w:val="top"/>
          </w:tcPr>
          <w:p w14:paraId="1ABC4BA6">
            <w:pPr>
              <w:spacing w:line="237" w:lineRule="exact"/>
              <w:rPr>
                <w:rFonts w:hint="eastAsia" w:ascii="宋体" w:hAnsi="宋体" w:eastAsia="宋体" w:cs="宋体"/>
                <w:color w:val="auto"/>
                <w:sz w:val="20"/>
                <w:highlight w:val="none"/>
              </w:rPr>
            </w:pPr>
          </w:p>
        </w:tc>
        <w:tc>
          <w:tcPr>
            <w:tcW w:w="406" w:type="dxa"/>
            <w:vAlign w:val="top"/>
          </w:tcPr>
          <w:p w14:paraId="5BEB00D6">
            <w:pPr>
              <w:spacing w:line="237" w:lineRule="exact"/>
              <w:rPr>
                <w:rFonts w:hint="eastAsia" w:ascii="宋体" w:hAnsi="宋体" w:eastAsia="宋体" w:cs="宋体"/>
                <w:color w:val="auto"/>
                <w:sz w:val="20"/>
                <w:highlight w:val="none"/>
              </w:rPr>
            </w:pPr>
          </w:p>
        </w:tc>
        <w:tc>
          <w:tcPr>
            <w:tcW w:w="406" w:type="dxa"/>
            <w:vAlign w:val="top"/>
          </w:tcPr>
          <w:p w14:paraId="1D7F14FF">
            <w:pPr>
              <w:spacing w:line="237" w:lineRule="exact"/>
              <w:rPr>
                <w:rFonts w:hint="eastAsia" w:ascii="宋体" w:hAnsi="宋体" w:eastAsia="宋体" w:cs="宋体"/>
                <w:color w:val="auto"/>
                <w:sz w:val="20"/>
                <w:highlight w:val="none"/>
              </w:rPr>
            </w:pPr>
          </w:p>
        </w:tc>
        <w:tc>
          <w:tcPr>
            <w:tcW w:w="406" w:type="dxa"/>
            <w:vAlign w:val="top"/>
          </w:tcPr>
          <w:p w14:paraId="69BD8A9B">
            <w:pPr>
              <w:spacing w:line="237" w:lineRule="exact"/>
              <w:rPr>
                <w:rFonts w:hint="eastAsia" w:ascii="宋体" w:hAnsi="宋体" w:eastAsia="宋体" w:cs="宋体"/>
                <w:color w:val="auto"/>
                <w:sz w:val="20"/>
                <w:highlight w:val="none"/>
              </w:rPr>
            </w:pPr>
          </w:p>
        </w:tc>
        <w:tc>
          <w:tcPr>
            <w:tcW w:w="406" w:type="dxa"/>
            <w:vAlign w:val="top"/>
          </w:tcPr>
          <w:p w14:paraId="4308FD29">
            <w:pPr>
              <w:spacing w:line="237" w:lineRule="exact"/>
              <w:rPr>
                <w:rFonts w:hint="eastAsia" w:ascii="宋体" w:hAnsi="宋体" w:eastAsia="宋体" w:cs="宋体"/>
                <w:color w:val="auto"/>
                <w:sz w:val="20"/>
                <w:highlight w:val="none"/>
              </w:rPr>
            </w:pPr>
          </w:p>
        </w:tc>
        <w:tc>
          <w:tcPr>
            <w:tcW w:w="406" w:type="dxa"/>
            <w:vAlign w:val="top"/>
          </w:tcPr>
          <w:p w14:paraId="4E21348E">
            <w:pPr>
              <w:spacing w:line="237" w:lineRule="exact"/>
              <w:rPr>
                <w:rFonts w:hint="eastAsia" w:ascii="宋体" w:hAnsi="宋体" w:eastAsia="宋体" w:cs="宋体"/>
                <w:color w:val="auto"/>
                <w:sz w:val="20"/>
                <w:highlight w:val="none"/>
              </w:rPr>
            </w:pPr>
          </w:p>
        </w:tc>
        <w:tc>
          <w:tcPr>
            <w:tcW w:w="406" w:type="dxa"/>
            <w:vAlign w:val="top"/>
          </w:tcPr>
          <w:p w14:paraId="21724F33">
            <w:pPr>
              <w:spacing w:line="237" w:lineRule="exact"/>
              <w:rPr>
                <w:rFonts w:hint="eastAsia" w:ascii="宋体" w:hAnsi="宋体" w:eastAsia="宋体" w:cs="宋体"/>
                <w:color w:val="auto"/>
                <w:sz w:val="20"/>
                <w:highlight w:val="none"/>
              </w:rPr>
            </w:pPr>
          </w:p>
        </w:tc>
        <w:tc>
          <w:tcPr>
            <w:tcW w:w="406" w:type="dxa"/>
            <w:vAlign w:val="top"/>
          </w:tcPr>
          <w:p w14:paraId="5E7D9A2E">
            <w:pPr>
              <w:spacing w:line="237" w:lineRule="exact"/>
              <w:rPr>
                <w:rFonts w:hint="eastAsia" w:ascii="宋体" w:hAnsi="宋体" w:eastAsia="宋体" w:cs="宋体"/>
                <w:color w:val="auto"/>
                <w:sz w:val="20"/>
                <w:highlight w:val="none"/>
              </w:rPr>
            </w:pPr>
          </w:p>
        </w:tc>
        <w:tc>
          <w:tcPr>
            <w:tcW w:w="406" w:type="dxa"/>
            <w:vAlign w:val="top"/>
          </w:tcPr>
          <w:p w14:paraId="05EB144A">
            <w:pPr>
              <w:spacing w:line="237" w:lineRule="exact"/>
              <w:rPr>
                <w:rFonts w:hint="eastAsia" w:ascii="宋体" w:hAnsi="宋体" w:eastAsia="宋体" w:cs="宋体"/>
                <w:color w:val="auto"/>
                <w:sz w:val="20"/>
                <w:highlight w:val="none"/>
              </w:rPr>
            </w:pPr>
          </w:p>
        </w:tc>
        <w:tc>
          <w:tcPr>
            <w:tcW w:w="408" w:type="dxa"/>
            <w:vAlign w:val="top"/>
          </w:tcPr>
          <w:p w14:paraId="41C47160">
            <w:pPr>
              <w:spacing w:line="237" w:lineRule="exact"/>
              <w:rPr>
                <w:rFonts w:hint="eastAsia" w:ascii="宋体" w:hAnsi="宋体" w:eastAsia="宋体" w:cs="宋体"/>
                <w:color w:val="auto"/>
                <w:sz w:val="20"/>
                <w:highlight w:val="none"/>
              </w:rPr>
            </w:pPr>
          </w:p>
        </w:tc>
        <w:tc>
          <w:tcPr>
            <w:tcW w:w="407" w:type="dxa"/>
            <w:vAlign w:val="top"/>
          </w:tcPr>
          <w:p w14:paraId="4459AD36">
            <w:pPr>
              <w:spacing w:line="237" w:lineRule="exact"/>
              <w:rPr>
                <w:rFonts w:hint="eastAsia" w:ascii="宋体" w:hAnsi="宋体" w:eastAsia="宋体" w:cs="宋体"/>
                <w:color w:val="auto"/>
                <w:sz w:val="20"/>
                <w:highlight w:val="none"/>
              </w:rPr>
            </w:pPr>
          </w:p>
        </w:tc>
        <w:tc>
          <w:tcPr>
            <w:tcW w:w="408" w:type="dxa"/>
            <w:vAlign w:val="top"/>
          </w:tcPr>
          <w:p w14:paraId="5057E798">
            <w:pPr>
              <w:spacing w:line="237" w:lineRule="exact"/>
              <w:rPr>
                <w:rFonts w:hint="eastAsia" w:ascii="宋体" w:hAnsi="宋体" w:eastAsia="宋体" w:cs="宋体"/>
                <w:color w:val="auto"/>
                <w:sz w:val="20"/>
                <w:highlight w:val="none"/>
              </w:rPr>
            </w:pPr>
          </w:p>
        </w:tc>
        <w:tc>
          <w:tcPr>
            <w:tcW w:w="413" w:type="dxa"/>
            <w:vAlign w:val="top"/>
          </w:tcPr>
          <w:p w14:paraId="4AA5465F">
            <w:pPr>
              <w:spacing w:line="237" w:lineRule="exact"/>
              <w:rPr>
                <w:rFonts w:hint="eastAsia" w:ascii="宋体" w:hAnsi="宋体" w:eastAsia="宋体" w:cs="宋体"/>
                <w:color w:val="auto"/>
                <w:sz w:val="20"/>
                <w:highlight w:val="none"/>
              </w:rPr>
            </w:pPr>
          </w:p>
        </w:tc>
      </w:tr>
      <w:tr w14:paraId="6EC163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8" w:hRule="atLeast"/>
        </w:trPr>
        <w:tc>
          <w:tcPr>
            <w:tcW w:w="1248" w:type="dxa"/>
            <w:vMerge w:val="continue"/>
            <w:tcBorders>
              <w:top w:val="nil"/>
              <w:bottom w:val="nil"/>
            </w:tcBorders>
            <w:vAlign w:val="top"/>
          </w:tcPr>
          <w:p w14:paraId="515DCCE0">
            <w:pPr>
              <w:rPr>
                <w:rFonts w:hint="eastAsia" w:ascii="宋体" w:hAnsi="宋体" w:eastAsia="宋体" w:cs="宋体"/>
                <w:color w:val="auto"/>
                <w:sz w:val="21"/>
                <w:highlight w:val="none"/>
              </w:rPr>
            </w:pPr>
          </w:p>
        </w:tc>
        <w:tc>
          <w:tcPr>
            <w:tcW w:w="399" w:type="dxa"/>
            <w:vAlign w:val="top"/>
          </w:tcPr>
          <w:p w14:paraId="31103C65">
            <w:pPr>
              <w:spacing w:line="237" w:lineRule="exact"/>
              <w:rPr>
                <w:rFonts w:hint="eastAsia" w:ascii="宋体" w:hAnsi="宋体" w:eastAsia="宋体" w:cs="宋体"/>
                <w:color w:val="auto"/>
                <w:sz w:val="20"/>
                <w:highlight w:val="none"/>
              </w:rPr>
            </w:pPr>
          </w:p>
        </w:tc>
        <w:tc>
          <w:tcPr>
            <w:tcW w:w="406" w:type="dxa"/>
            <w:vAlign w:val="top"/>
          </w:tcPr>
          <w:p w14:paraId="42AFFB69">
            <w:pPr>
              <w:spacing w:line="237" w:lineRule="exact"/>
              <w:rPr>
                <w:rFonts w:hint="eastAsia" w:ascii="宋体" w:hAnsi="宋体" w:eastAsia="宋体" w:cs="宋体"/>
                <w:color w:val="auto"/>
                <w:sz w:val="20"/>
                <w:highlight w:val="none"/>
              </w:rPr>
            </w:pPr>
          </w:p>
        </w:tc>
        <w:tc>
          <w:tcPr>
            <w:tcW w:w="406" w:type="dxa"/>
            <w:vAlign w:val="top"/>
          </w:tcPr>
          <w:p w14:paraId="04F34807">
            <w:pPr>
              <w:spacing w:line="237" w:lineRule="exact"/>
              <w:rPr>
                <w:rFonts w:hint="eastAsia" w:ascii="宋体" w:hAnsi="宋体" w:eastAsia="宋体" w:cs="宋体"/>
                <w:color w:val="auto"/>
                <w:sz w:val="20"/>
                <w:highlight w:val="none"/>
              </w:rPr>
            </w:pPr>
          </w:p>
        </w:tc>
        <w:tc>
          <w:tcPr>
            <w:tcW w:w="406" w:type="dxa"/>
            <w:vAlign w:val="top"/>
          </w:tcPr>
          <w:p w14:paraId="4CF663FF">
            <w:pPr>
              <w:spacing w:line="237" w:lineRule="exact"/>
              <w:rPr>
                <w:rFonts w:hint="eastAsia" w:ascii="宋体" w:hAnsi="宋体" w:eastAsia="宋体" w:cs="宋体"/>
                <w:color w:val="auto"/>
                <w:sz w:val="20"/>
                <w:highlight w:val="none"/>
              </w:rPr>
            </w:pPr>
          </w:p>
        </w:tc>
        <w:tc>
          <w:tcPr>
            <w:tcW w:w="406" w:type="dxa"/>
            <w:vAlign w:val="top"/>
          </w:tcPr>
          <w:p w14:paraId="49751373">
            <w:pPr>
              <w:spacing w:line="237" w:lineRule="exact"/>
              <w:rPr>
                <w:rFonts w:hint="eastAsia" w:ascii="宋体" w:hAnsi="宋体" w:eastAsia="宋体" w:cs="宋体"/>
                <w:color w:val="auto"/>
                <w:sz w:val="20"/>
                <w:highlight w:val="none"/>
              </w:rPr>
            </w:pPr>
          </w:p>
        </w:tc>
        <w:tc>
          <w:tcPr>
            <w:tcW w:w="404" w:type="dxa"/>
            <w:vAlign w:val="top"/>
          </w:tcPr>
          <w:p w14:paraId="22043E6B">
            <w:pPr>
              <w:spacing w:line="237" w:lineRule="exact"/>
              <w:rPr>
                <w:rFonts w:hint="eastAsia" w:ascii="宋体" w:hAnsi="宋体" w:eastAsia="宋体" w:cs="宋体"/>
                <w:color w:val="auto"/>
                <w:sz w:val="20"/>
                <w:highlight w:val="none"/>
              </w:rPr>
            </w:pPr>
          </w:p>
        </w:tc>
        <w:tc>
          <w:tcPr>
            <w:tcW w:w="406" w:type="dxa"/>
            <w:vAlign w:val="top"/>
          </w:tcPr>
          <w:p w14:paraId="77C41103">
            <w:pPr>
              <w:spacing w:line="237" w:lineRule="exact"/>
              <w:rPr>
                <w:rFonts w:hint="eastAsia" w:ascii="宋体" w:hAnsi="宋体" w:eastAsia="宋体" w:cs="宋体"/>
                <w:color w:val="auto"/>
                <w:sz w:val="20"/>
                <w:highlight w:val="none"/>
              </w:rPr>
            </w:pPr>
          </w:p>
        </w:tc>
        <w:tc>
          <w:tcPr>
            <w:tcW w:w="406" w:type="dxa"/>
            <w:vAlign w:val="top"/>
          </w:tcPr>
          <w:p w14:paraId="05DB6432">
            <w:pPr>
              <w:spacing w:line="237" w:lineRule="exact"/>
              <w:rPr>
                <w:rFonts w:hint="eastAsia" w:ascii="宋体" w:hAnsi="宋体" w:eastAsia="宋体" w:cs="宋体"/>
                <w:color w:val="auto"/>
                <w:sz w:val="20"/>
                <w:highlight w:val="none"/>
              </w:rPr>
            </w:pPr>
          </w:p>
        </w:tc>
        <w:tc>
          <w:tcPr>
            <w:tcW w:w="406" w:type="dxa"/>
            <w:vAlign w:val="top"/>
          </w:tcPr>
          <w:p w14:paraId="2E82D028">
            <w:pPr>
              <w:spacing w:line="237" w:lineRule="exact"/>
              <w:rPr>
                <w:rFonts w:hint="eastAsia" w:ascii="宋体" w:hAnsi="宋体" w:eastAsia="宋体" w:cs="宋体"/>
                <w:color w:val="auto"/>
                <w:sz w:val="20"/>
                <w:highlight w:val="none"/>
              </w:rPr>
            </w:pPr>
          </w:p>
        </w:tc>
        <w:tc>
          <w:tcPr>
            <w:tcW w:w="406" w:type="dxa"/>
            <w:vAlign w:val="top"/>
          </w:tcPr>
          <w:p w14:paraId="5FB4013A">
            <w:pPr>
              <w:spacing w:line="237" w:lineRule="exact"/>
              <w:rPr>
                <w:rFonts w:hint="eastAsia" w:ascii="宋体" w:hAnsi="宋体" w:eastAsia="宋体" w:cs="宋体"/>
                <w:color w:val="auto"/>
                <w:sz w:val="20"/>
                <w:highlight w:val="none"/>
              </w:rPr>
            </w:pPr>
          </w:p>
        </w:tc>
        <w:tc>
          <w:tcPr>
            <w:tcW w:w="406" w:type="dxa"/>
            <w:vAlign w:val="top"/>
          </w:tcPr>
          <w:p w14:paraId="152B3E97">
            <w:pPr>
              <w:spacing w:line="237" w:lineRule="exact"/>
              <w:rPr>
                <w:rFonts w:hint="eastAsia" w:ascii="宋体" w:hAnsi="宋体" w:eastAsia="宋体" w:cs="宋体"/>
                <w:color w:val="auto"/>
                <w:sz w:val="20"/>
                <w:highlight w:val="none"/>
              </w:rPr>
            </w:pPr>
          </w:p>
        </w:tc>
        <w:tc>
          <w:tcPr>
            <w:tcW w:w="406" w:type="dxa"/>
            <w:vAlign w:val="top"/>
          </w:tcPr>
          <w:p w14:paraId="06FE5F50">
            <w:pPr>
              <w:spacing w:line="237" w:lineRule="exact"/>
              <w:rPr>
                <w:rFonts w:hint="eastAsia" w:ascii="宋体" w:hAnsi="宋体" w:eastAsia="宋体" w:cs="宋体"/>
                <w:color w:val="auto"/>
                <w:sz w:val="20"/>
                <w:highlight w:val="none"/>
              </w:rPr>
            </w:pPr>
          </w:p>
        </w:tc>
        <w:tc>
          <w:tcPr>
            <w:tcW w:w="406" w:type="dxa"/>
            <w:vAlign w:val="top"/>
          </w:tcPr>
          <w:p w14:paraId="12DE3452">
            <w:pPr>
              <w:spacing w:line="237" w:lineRule="exact"/>
              <w:rPr>
                <w:rFonts w:hint="eastAsia" w:ascii="宋体" w:hAnsi="宋体" w:eastAsia="宋体" w:cs="宋体"/>
                <w:color w:val="auto"/>
                <w:sz w:val="20"/>
                <w:highlight w:val="none"/>
              </w:rPr>
            </w:pPr>
          </w:p>
        </w:tc>
        <w:tc>
          <w:tcPr>
            <w:tcW w:w="406" w:type="dxa"/>
            <w:vAlign w:val="top"/>
          </w:tcPr>
          <w:p w14:paraId="18FD9233">
            <w:pPr>
              <w:spacing w:line="237" w:lineRule="exact"/>
              <w:rPr>
                <w:rFonts w:hint="eastAsia" w:ascii="宋体" w:hAnsi="宋体" w:eastAsia="宋体" w:cs="宋体"/>
                <w:color w:val="auto"/>
                <w:sz w:val="20"/>
                <w:highlight w:val="none"/>
              </w:rPr>
            </w:pPr>
          </w:p>
        </w:tc>
        <w:tc>
          <w:tcPr>
            <w:tcW w:w="406" w:type="dxa"/>
            <w:vAlign w:val="top"/>
          </w:tcPr>
          <w:p w14:paraId="5141A1D1">
            <w:pPr>
              <w:spacing w:line="237" w:lineRule="exact"/>
              <w:rPr>
                <w:rFonts w:hint="eastAsia" w:ascii="宋体" w:hAnsi="宋体" w:eastAsia="宋体" w:cs="宋体"/>
                <w:color w:val="auto"/>
                <w:sz w:val="20"/>
                <w:highlight w:val="none"/>
              </w:rPr>
            </w:pPr>
          </w:p>
        </w:tc>
        <w:tc>
          <w:tcPr>
            <w:tcW w:w="406" w:type="dxa"/>
            <w:vAlign w:val="top"/>
          </w:tcPr>
          <w:p w14:paraId="3AECEA38">
            <w:pPr>
              <w:spacing w:line="237" w:lineRule="exact"/>
              <w:rPr>
                <w:rFonts w:hint="eastAsia" w:ascii="宋体" w:hAnsi="宋体" w:eastAsia="宋体" w:cs="宋体"/>
                <w:color w:val="auto"/>
                <w:sz w:val="20"/>
                <w:highlight w:val="none"/>
              </w:rPr>
            </w:pPr>
          </w:p>
        </w:tc>
        <w:tc>
          <w:tcPr>
            <w:tcW w:w="408" w:type="dxa"/>
            <w:vAlign w:val="top"/>
          </w:tcPr>
          <w:p w14:paraId="34AB298B">
            <w:pPr>
              <w:spacing w:line="237" w:lineRule="exact"/>
              <w:rPr>
                <w:rFonts w:hint="eastAsia" w:ascii="宋体" w:hAnsi="宋体" w:eastAsia="宋体" w:cs="宋体"/>
                <w:color w:val="auto"/>
                <w:sz w:val="20"/>
                <w:highlight w:val="none"/>
              </w:rPr>
            </w:pPr>
          </w:p>
        </w:tc>
        <w:tc>
          <w:tcPr>
            <w:tcW w:w="407" w:type="dxa"/>
            <w:vAlign w:val="top"/>
          </w:tcPr>
          <w:p w14:paraId="33EDAFB4">
            <w:pPr>
              <w:spacing w:line="237" w:lineRule="exact"/>
              <w:rPr>
                <w:rFonts w:hint="eastAsia" w:ascii="宋体" w:hAnsi="宋体" w:eastAsia="宋体" w:cs="宋体"/>
                <w:color w:val="auto"/>
                <w:sz w:val="20"/>
                <w:highlight w:val="none"/>
              </w:rPr>
            </w:pPr>
          </w:p>
        </w:tc>
        <w:tc>
          <w:tcPr>
            <w:tcW w:w="408" w:type="dxa"/>
            <w:vAlign w:val="top"/>
          </w:tcPr>
          <w:p w14:paraId="435A8295">
            <w:pPr>
              <w:spacing w:line="237" w:lineRule="exact"/>
              <w:rPr>
                <w:rFonts w:hint="eastAsia" w:ascii="宋体" w:hAnsi="宋体" w:eastAsia="宋体" w:cs="宋体"/>
                <w:color w:val="auto"/>
                <w:sz w:val="20"/>
                <w:highlight w:val="none"/>
              </w:rPr>
            </w:pPr>
          </w:p>
        </w:tc>
        <w:tc>
          <w:tcPr>
            <w:tcW w:w="413" w:type="dxa"/>
            <w:vAlign w:val="top"/>
          </w:tcPr>
          <w:p w14:paraId="622B1279">
            <w:pPr>
              <w:spacing w:line="237" w:lineRule="exact"/>
              <w:rPr>
                <w:rFonts w:hint="eastAsia" w:ascii="宋体" w:hAnsi="宋体" w:eastAsia="宋体" w:cs="宋体"/>
                <w:color w:val="auto"/>
                <w:sz w:val="20"/>
                <w:highlight w:val="none"/>
              </w:rPr>
            </w:pPr>
          </w:p>
        </w:tc>
      </w:tr>
      <w:tr w14:paraId="4BF4A8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1248" w:type="dxa"/>
            <w:vMerge w:val="continue"/>
            <w:tcBorders>
              <w:top w:val="nil"/>
            </w:tcBorders>
            <w:vAlign w:val="top"/>
          </w:tcPr>
          <w:p w14:paraId="553CA4F2">
            <w:pPr>
              <w:rPr>
                <w:rFonts w:hint="eastAsia" w:ascii="宋体" w:hAnsi="宋体" w:eastAsia="宋体" w:cs="宋体"/>
                <w:color w:val="auto"/>
                <w:sz w:val="21"/>
                <w:highlight w:val="none"/>
              </w:rPr>
            </w:pPr>
          </w:p>
        </w:tc>
        <w:tc>
          <w:tcPr>
            <w:tcW w:w="399" w:type="dxa"/>
            <w:vAlign w:val="top"/>
          </w:tcPr>
          <w:p w14:paraId="1E0C1C46">
            <w:pPr>
              <w:spacing w:line="239" w:lineRule="exact"/>
              <w:rPr>
                <w:rFonts w:hint="eastAsia" w:ascii="宋体" w:hAnsi="宋体" w:eastAsia="宋体" w:cs="宋体"/>
                <w:color w:val="auto"/>
                <w:sz w:val="20"/>
                <w:highlight w:val="none"/>
              </w:rPr>
            </w:pPr>
          </w:p>
        </w:tc>
        <w:tc>
          <w:tcPr>
            <w:tcW w:w="406" w:type="dxa"/>
            <w:vAlign w:val="top"/>
          </w:tcPr>
          <w:p w14:paraId="6A15C0EE">
            <w:pPr>
              <w:spacing w:line="239" w:lineRule="exact"/>
              <w:rPr>
                <w:rFonts w:hint="eastAsia" w:ascii="宋体" w:hAnsi="宋体" w:eastAsia="宋体" w:cs="宋体"/>
                <w:color w:val="auto"/>
                <w:sz w:val="20"/>
                <w:highlight w:val="none"/>
              </w:rPr>
            </w:pPr>
          </w:p>
        </w:tc>
        <w:tc>
          <w:tcPr>
            <w:tcW w:w="406" w:type="dxa"/>
            <w:vAlign w:val="top"/>
          </w:tcPr>
          <w:p w14:paraId="404B4DBE">
            <w:pPr>
              <w:spacing w:line="239" w:lineRule="exact"/>
              <w:rPr>
                <w:rFonts w:hint="eastAsia" w:ascii="宋体" w:hAnsi="宋体" w:eastAsia="宋体" w:cs="宋体"/>
                <w:color w:val="auto"/>
                <w:sz w:val="20"/>
                <w:highlight w:val="none"/>
              </w:rPr>
            </w:pPr>
          </w:p>
        </w:tc>
        <w:tc>
          <w:tcPr>
            <w:tcW w:w="406" w:type="dxa"/>
            <w:vAlign w:val="top"/>
          </w:tcPr>
          <w:p w14:paraId="0582D001">
            <w:pPr>
              <w:spacing w:line="239" w:lineRule="exact"/>
              <w:rPr>
                <w:rFonts w:hint="eastAsia" w:ascii="宋体" w:hAnsi="宋体" w:eastAsia="宋体" w:cs="宋体"/>
                <w:color w:val="auto"/>
                <w:sz w:val="20"/>
                <w:highlight w:val="none"/>
              </w:rPr>
            </w:pPr>
          </w:p>
        </w:tc>
        <w:tc>
          <w:tcPr>
            <w:tcW w:w="406" w:type="dxa"/>
            <w:vAlign w:val="top"/>
          </w:tcPr>
          <w:p w14:paraId="50BE0DE0">
            <w:pPr>
              <w:spacing w:line="239" w:lineRule="exact"/>
              <w:rPr>
                <w:rFonts w:hint="eastAsia" w:ascii="宋体" w:hAnsi="宋体" w:eastAsia="宋体" w:cs="宋体"/>
                <w:color w:val="auto"/>
                <w:sz w:val="20"/>
                <w:highlight w:val="none"/>
              </w:rPr>
            </w:pPr>
          </w:p>
        </w:tc>
        <w:tc>
          <w:tcPr>
            <w:tcW w:w="404" w:type="dxa"/>
            <w:vAlign w:val="top"/>
          </w:tcPr>
          <w:p w14:paraId="4FF845C8">
            <w:pPr>
              <w:spacing w:line="239" w:lineRule="exact"/>
              <w:rPr>
                <w:rFonts w:hint="eastAsia" w:ascii="宋体" w:hAnsi="宋体" w:eastAsia="宋体" w:cs="宋体"/>
                <w:color w:val="auto"/>
                <w:sz w:val="20"/>
                <w:highlight w:val="none"/>
              </w:rPr>
            </w:pPr>
          </w:p>
        </w:tc>
        <w:tc>
          <w:tcPr>
            <w:tcW w:w="406" w:type="dxa"/>
            <w:vAlign w:val="top"/>
          </w:tcPr>
          <w:p w14:paraId="5FB0B592">
            <w:pPr>
              <w:spacing w:line="239" w:lineRule="exact"/>
              <w:rPr>
                <w:rFonts w:hint="eastAsia" w:ascii="宋体" w:hAnsi="宋体" w:eastAsia="宋体" w:cs="宋体"/>
                <w:color w:val="auto"/>
                <w:sz w:val="20"/>
                <w:highlight w:val="none"/>
              </w:rPr>
            </w:pPr>
          </w:p>
        </w:tc>
        <w:tc>
          <w:tcPr>
            <w:tcW w:w="406" w:type="dxa"/>
            <w:vAlign w:val="top"/>
          </w:tcPr>
          <w:p w14:paraId="75871CB3">
            <w:pPr>
              <w:spacing w:line="239" w:lineRule="exact"/>
              <w:rPr>
                <w:rFonts w:hint="eastAsia" w:ascii="宋体" w:hAnsi="宋体" w:eastAsia="宋体" w:cs="宋体"/>
                <w:color w:val="auto"/>
                <w:sz w:val="20"/>
                <w:highlight w:val="none"/>
              </w:rPr>
            </w:pPr>
          </w:p>
        </w:tc>
        <w:tc>
          <w:tcPr>
            <w:tcW w:w="406" w:type="dxa"/>
            <w:vAlign w:val="top"/>
          </w:tcPr>
          <w:p w14:paraId="68EE6DEB">
            <w:pPr>
              <w:spacing w:line="239" w:lineRule="exact"/>
              <w:rPr>
                <w:rFonts w:hint="eastAsia" w:ascii="宋体" w:hAnsi="宋体" w:eastAsia="宋体" w:cs="宋体"/>
                <w:color w:val="auto"/>
                <w:sz w:val="20"/>
                <w:highlight w:val="none"/>
              </w:rPr>
            </w:pPr>
          </w:p>
        </w:tc>
        <w:tc>
          <w:tcPr>
            <w:tcW w:w="406" w:type="dxa"/>
            <w:vAlign w:val="top"/>
          </w:tcPr>
          <w:p w14:paraId="10E2B5B5">
            <w:pPr>
              <w:spacing w:line="239" w:lineRule="exact"/>
              <w:rPr>
                <w:rFonts w:hint="eastAsia" w:ascii="宋体" w:hAnsi="宋体" w:eastAsia="宋体" w:cs="宋体"/>
                <w:color w:val="auto"/>
                <w:sz w:val="20"/>
                <w:highlight w:val="none"/>
              </w:rPr>
            </w:pPr>
          </w:p>
        </w:tc>
        <w:tc>
          <w:tcPr>
            <w:tcW w:w="406" w:type="dxa"/>
            <w:vAlign w:val="top"/>
          </w:tcPr>
          <w:p w14:paraId="64E51794">
            <w:pPr>
              <w:spacing w:line="239" w:lineRule="exact"/>
              <w:rPr>
                <w:rFonts w:hint="eastAsia" w:ascii="宋体" w:hAnsi="宋体" w:eastAsia="宋体" w:cs="宋体"/>
                <w:color w:val="auto"/>
                <w:sz w:val="20"/>
                <w:highlight w:val="none"/>
              </w:rPr>
            </w:pPr>
          </w:p>
        </w:tc>
        <w:tc>
          <w:tcPr>
            <w:tcW w:w="406" w:type="dxa"/>
            <w:vAlign w:val="top"/>
          </w:tcPr>
          <w:p w14:paraId="11FB4200">
            <w:pPr>
              <w:spacing w:line="239" w:lineRule="exact"/>
              <w:rPr>
                <w:rFonts w:hint="eastAsia" w:ascii="宋体" w:hAnsi="宋体" w:eastAsia="宋体" w:cs="宋体"/>
                <w:color w:val="auto"/>
                <w:sz w:val="20"/>
                <w:highlight w:val="none"/>
              </w:rPr>
            </w:pPr>
          </w:p>
        </w:tc>
        <w:tc>
          <w:tcPr>
            <w:tcW w:w="406" w:type="dxa"/>
            <w:vAlign w:val="top"/>
          </w:tcPr>
          <w:p w14:paraId="154696CD">
            <w:pPr>
              <w:spacing w:line="239" w:lineRule="exact"/>
              <w:rPr>
                <w:rFonts w:hint="eastAsia" w:ascii="宋体" w:hAnsi="宋体" w:eastAsia="宋体" w:cs="宋体"/>
                <w:color w:val="auto"/>
                <w:sz w:val="20"/>
                <w:highlight w:val="none"/>
              </w:rPr>
            </w:pPr>
          </w:p>
        </w:tc>
        <w:tc>
          <w:tcPr>
            <w:tcW w:w="406" w:type="dxa"/>
            <w:vAlign w:val="top"/>
          </w:tcPr>
          <w:p w14:paraId="7FB64D0A">
            <w:pPr>
              <w:spacing w:line="239" w:lineRule="exact"/>
              <w:rPr>
                <w:rFonts w:hint="eastAsia" w:ascii="宋体" w:hAnsi="宋体" w:eastAsia="宋体" w:cs="宋体"/>
                <w:color w:val="auto"/>
                <w:sz w:val="20"/>
                <w:highlight w:val="none"/>
              </w:rPr>
            </w:pPr>
          </w:p>
        </w:tc>
        <w:tc>
          <w:tcPr>
            <w:tcW w:w="406" w:type="dxa"/>
            <w:vAlign w:val="top"/>
          </w:tcPr>
          <w:p w14:paraId="4EF7E390">
            <w:pPr>
              <w:spacing w:line="239" w:lineRule="exact"/>
              <w:rPr>
                <w:rFonts w:hint="eastAsia" w:ascii="宋体" w:hAnsi="宋体" w:eastAsia="宋体" w:cs="宋体"/>
                <w:color w:val="auto"/>
                <w:sz w:val="20"/>
                <w:highlight w:val="none"/>
              </w:rPr>
            </w:pPr>
          </w:p>
        </w:tc>
        <w:tc>
          <w:tcPr>
            <w:tcW w:w="406" w:type="dxa"/>
            <w:vAlign w:val="top"/>
          </w:tcPr>
          <w:p w14:paraId="259742A7">
            <w:pPr>
              <w:spacing w:line="239" w:lineRule="exact"/>
              <w:rPr>
                <w:rFonts w:hint="eastAsia" w:ascii="宋体" w:hAnsi="宋体" w:eastAsia="宋体" w:cs="宋体"/>
                <w:color w:val="auto"/>
                <w:sz w:val="20"/>
                <w:highlight w:val="none"/>
              </w:rPr>
            </w:pPr>
          </w:p>
        </w:tc>
        <w:tc>
          <w:tcPr>
            <w:tcW w:w="408" w:type="dxa"/>
            <w:vAlign w:val="top"/>
          </w:tcPr>
          <w:p w14:paraId="6F77CFE9">
            <w:pPr>
              <w:spacing w:line="239" w:lineRule="exact"/>
              <w:rPr>
                <w:rFonts w:hint="eastAsia" w:ascii="宋体" w:hAnsi="宋体" w:eastAsia="宋体" w:cs="宋体"/>
                <w:color w:val="auto"/>
                <w:sz w:val="20"/>
                <w:highlight w:val="none"/>
              </w:rPr>
            </w:pPr>
          </w:p>
        </w:tc>
        <w:tc>
          <w:tcPr>
            <w:tcW w:w="407" w:type="dxa"/>
            <w:vAlign w:val="top"/>
          </w:tcPr>
          <w:p w14:paraId="0D9B9D9F">
            <w:pPr>
              <w:spacing w:line="239" w:lineRule="exact"/>
              <w:rPr>
                <w:rFonts w:hint="eastAsia" w:ascii="宋体" w:hAnsi="宋体" w:eastAsia="宋体" w:cs="宋体"/>
                <w:color w:val="auto"/>
                <w:sz w:val="20"/>
                <w:highlight w:val="none"/>
              </w:rPr>
            </w:pPr>
          </w:p>
        </w:tc>
        <w:tc>
          <w:tcPr>
            <w:tcW w:w="408" w:type="dxa"/>
            <w:vAlign w:val="top"/>
          </w:tcPr>
          <w:p w14:paraId="1C0F054F">
            <w:pPr>
              <w:spacing w:line="239" w:lineRule="exact"/>
              <w:rPr>
                <w:rFonts w:hint="eastAsia" w:ascii="宋体" w:hAnsi="宋体" w:eastAsia="宋体" w:cs="宋体"/>
                <w:color w:val="auto"/>
                <w:sz w:val="20"/>
                <w:highlight w:val="none"/>
              </w:rPr>
            </w:pPr>
          </w:p>
        </w:tc>
        <w:tc>
          <w:tcPr>
            <w:tcW w:w="413" w:type="dxa"/>
            <w:vAlign w:val="top"/>
          </w:tcPr>
          <w:p w14:paraId="4F49D478">
            <w:pPr>
              <w:spacing w:line="239" w:lineRule="exact"/>
              <w:rPr>
                <w:rFonts w:hint="eastAsia" w:ascii="宋体" w:hAnsi="宋体" w:eastAsia="宋体" w:cs="宋体"/>
                <w:color w:val="auto"/>
                <w:sz w:val="20"/>
                <w:highlight w:val="none"/>
              </w:rPr>
            </w:pPr>
          </w:p>
        </w:tc>
      </w:tr>
    </w:tbl>
    <w:p w14:paraId="10183A2C">
      <w:pPr>
        <w:spacing w:before="53" w:line="261" w:lineRule="auto"/>
        <w:ind w:left="2022" w:right="660" w:hanging="76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0102030405060708090</w:t>
      </w:r>
      <w:r>
        <w:rPr>
          <w:rFonts w:hint="eastAsia" w:ascii="宋体" w:hAnsi="宋体" w:eastAsia="宋体" w:cs="宋体"/>
          <w:color w:val="auto"/>
          <w:spacing w:val="-3"/>
          <w:sz w:val="20"/>
          <w:szCs w:val="20"/>
          <w:highlight w:val="none"/>
        </w:rPr>
        <w:t>100</w:t>
      </w:r>
    </w:p>
    <w:p w14:paraId="1D25E32A">
      <w:pPr>
        <w:spacing w:before="108" w:line="228" w:lineRule="auto"/>
        <w:ind w:left="3564"/>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工期历程的百分比</w:t>
      </w:r>
    </w:p>
    <w:p w14:paraId="029E2A55">
      <w:pPr>
        <w:spacing w:before="24"/>
        <w:ind w:left="4114"/>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w:t>
      </w:r>
    </w:p>
    <w:p w14:paraId="7DA5778B">
      <w:pPr>
        <w:rPr>
          <w:rFonts w:hint="eastAsia" w:ascii="宋体" w:hAnsi="宋体" w:eastAsia="宋体" w:cs="宋体"/>
          <w:color w:val="auto"/>
          <w:sz w:val="20"/>
          <w:szCs w:val="20"/>
          <w:highlight w:val="none"/>
        </w:rPr>
        <w:sectPr>
          <w:headerReference r:id="rId251" w:type="default"/>
          <w:footerReference r:id="rId252" w:type="default"/>
          <w:pgSz w:w="11907" w:h="16840"/>
          <w:pgMar w:top="1182" w:right="630" w:bottom="1014" w:left="1786" w:header="849" w:footer="852" w:gutter="0"/>
          <w:pgNumType w:fmt="decimal"/>
          <w:cols w:space="720" w:num="1"/>
        </w:sectPr>
      </w:pPr>
    </w:p>
    <w:p w14:paraId="640B16F9">
      <w:pPr>
        <w:spacing w:before="298" w:line="222" w:lineRule="auto"/>
        <w:ind w:left="309"/>
        <w:outlineLvl w:val="2"/>
        <w:rPr>
          <w:rFonts w:hint="eastAsia" w:ascii="宋体" w:hAnsi="宋体" w:eastAsia="宋体" w:cs="宋体"/>
          <w:color w:val="auto"/>
          <w:sz w:val="28"/>
          <w:szCs w:val="28"/>
          <w:highlight w:val="none"/>
        </w:rPr>
      </w:pPr>
      <w:bookmarkStart w:id="900" w:name="_Toc23259"/>
      <w:bookmarkStart w:id="901" w:name="_Toc5176"/>
      <w:bookmarkStart w:id="902" w:name="_Toc25497"/>
      <w:bookmarkStart w:id="903" w:name="_Toc28132"/>
      <w:bookmarkStart w:id="904" w:name="_Toc5594"/>
      <w:r>
        <w:rPr>
          <w:rFonts w:hint="eastAsia" w:ascii="宋体" w:hAnsi="宋体" w:eastAsia="宋体" w:cs="宋体"/>
          <w:color w:val="auto"/>
          <w:spacing w:val="-2"/>
          <w:sz w:val="28"/>
          <w:szCs w:val="28"/>
          <w:highlight w:val="none"/>
        </w:rPr>
        <w:t>附表四分项工程生产率和施工周期表</w:t>
      </w:r>
      <w:bookmarkEnd w:id="900"/>
      <w:bookmarkEnd w:id="901"/>
      <w:bookmarkEnd w:id="902"/>
      <w:bookmarkEnd w:id="903"/>
      <w:bookmarkEnd w:id="904"/>
    </w:p>
    <w:p w14:paraId="036C497B">
      <w:pPr>
        <w:spacing w:before="152"/>
        <w:rPr>
          <w:rFonts w:hint="eastAsia" w:ascii="宋体" w:hAnsi="宋体" w:eastAsia="宋体" w:cs="宋体"/>
          <w:color w:val="auto"/>
          <w:highlight w:val="none"/>
        </w:rPr>
      </w:pPr>
    </w:p>
    <w:tbl>
      <w:tblPr>
        <w:tblStyle w:val="24"/>
        <w:tblW w:w="8722" w:type="dxa"/>
        <w:tblInd w:w="1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4"/>
        <w:gridCol w:w="1169"/>
        <w:gridCol w:w="593"/>
        <w:gridCol w:w="506"/>
        <w:gridCol w:w="2361"/>
        <w:gridCol w:w="1184"/>
        <w:gridCol w:w="1408"/>
        <w:gridCol w:w="1077"/>
      </w:tblGrid>
      <w:tr w14:paraId="28E8B2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trPr>
        <w:tc>
          <w:tcPr>
            <w:tcW w:w="424" w:type="dxa"/>
            <w:textDirection w:val="tbRlV"/>
            <w:vAlign w:val="top"/>
          </w:tcPr>
          <w:p w14:paraId="3FBBD24B">
            <w:pPr>
              <w:pStyle w:val="25"/>
              <w:spacing w:before="212" w:line="218" w:lineRule="auto"/>
              <w:ind w:left="381"/>
              <w:rPr>
                <w:rFonts w:hint="eastAsia" w:ascii="宋体" w:hAnsi="宋体" w:eastAsia="宋体" w:cs="宋体"/>
                <w:color w:val="auto"/>
                <w:sz w:val="19"/>
                <w:szCs w:val="19"/>
                <w:highlight w:val="none"/>
              </w:rPr>
            </w:pPr>
            <w:r>
              <w:rPr>
                <w:rFonts w:hint="eastAsia" w:ascii="宋体" w:hAnsi="宋体" w:eastAsia="宋体" w:cs="宋体"/>
                <w:color w:val="auto"/>
                <w:spacing w:val="8"/>
                <w:sz w:val="19"/>
                <w:szCs w:val="19"/>
                <w:highlight w:val="none"/>
              </w:rPr>
              <w:t>序号</w:t>
            </w:r>
          </w:p>
        </w:tc>
        <w:tc>
          <w:tcPr>
            <w:tcW w:w="1169" w:type="dxa"/>
            <w:vAlign w:val="top"/>
          </w:tcPr>
          <w:p w14:paraId="771C3D09">
            <w:pPr>
              <w:spacing w:line="317" w:lineRule="auto"/>
              <w:rPr>
                <w:rFonts w:hint="eastAsia" w:ascii="宋体" w:hAnsi="宋体" w:eastAsia="宋体" w:cs="宋体"/>
                <w:color w:val="auto"/>
                <w:sz w:val="21"/>
                <w:highlight w:val="none"/>
              </w:rPr>
            </w:pPr>
          </w:p>
          <w:p w14:paraId="3C7FEA46">
            <w:pPr>
              <w:pStyle w:val="25"/>
              <w:spacing w:before="61" w:line="229" w:lineRule="auto"/>
              <w:ind w:left="6"/>
              <w:rPr>
                <w:rFonts w:hint="eastAsia" w:ascii="宋体" w:hAnsi="宋体" w:eastAsia="宋体" w:cs="宋体"/>
                <w:color w:val="auto"/>
                <w:sz w:val="19"/>
                <w:szCs w:val="19"/>
                <w:highlight w:val="none"/>
              </w:rPr>
            </w:pPr>
            <w:r>
              <w:rPr>
                <w:rFonts w:hint="eastAsia" w:ascii="宋体" w:hAnsi="宋体" w:eastAsia="宋体" w:cs="宋体"/>
                <w:color w:val="auto"/>
                <w:spacing w:val="7"/>
                <w:sz w:val="19"/>
                <w:szCs w:val="19"/>
                <w:highlight w:val="none"/>
              </w:rPr>
              <w:t>工程项目</w:t>
            </w:r>
          </w:p>
        </w:tc>
        <w:tc>
          <w:tcPr>
            <w:tcW w:w="593" w:type="dxa"/>
            <w:textDirection w:val="tbRlV"/>
            <w:vAlign w:val="top"/>
          </w:tcPr>
          <w:p w14:paraId="31B7F299">
            <w:pPr>
              <w:pStyle w:val="25"/>
              <w:spacing w:before="300" w:line="217" w:lineRule="auto"/>
              <w:ind w:left="381"/>
              <w:rPr>
                <w:rFonts w:hint="eastAsia" w:ascii="宋体" w:hAnsi="宋体" w:eastAsia="宋体" w:cs="宋体"/>
                <w:color w:val="auto"/>
                <w:sz w:val="19"/>
                <w:szCs w:val="19"/>
                <w:highlight w:val="none"/>
              </w:rPr>
            </w:pPr>
            <w:r>
              <w:rPr>
                <w:rFonts w:hint="eastAsia" w:ascii="宋体" w:hAnsi="宋体" w:eastAsia="宋体" w:cs="宋体"/>
                <w:color w:val="auto"/>
                <w:spacing w:val="8"/>
                <w:sz w:val="19"/>
                <w:szCs w:val="19"/>
                <w:highlight w:val="none"/>
              </w:rPr>
              <w:t>单位</w:t>
            </w:r>
          </w:p>
        </w:tc>
        <w:tc>
          <w:tcPr>
            <w:tcW w:w="506" w:type="dxa"/>
            <w:vAlign w:val="top"/>
          </w:tcPr>
          <w:p w14:paraId="63E8E075">
            <w:pPr>
              <w:spacing w:line="317" w:lineRule="auto"/>
              <w:rPr>
                <w:rFonts w:hint="eastAsia" w:ascii="宋体" w:hAnsi="宋体" w:eastAsia="宋体" w:cs="宋体"/>
                <w:color w:val="auto"/>
                <w:sz w:val="21"/>
                <w:highlight w:val="none"/>
              </w:rPr>
            </w:pPr>
          </w:p>
          <w:p w14:paraId="405F171E">
            <w:pPr>
              <w:pStyle w:val="25"/>
              <w:spacing w:before="62" w:line="228" w:lineRule="auto"/>
              <w:ind w:left="7"/>
              <w:rPr>
                <w:rFonts w:hint="eastAsia" w:ascii="宋体" w:hAnsi="宋体" w:eastAsia="宋体" w:cs="宋体"/>
                <w:color w:val="auto"/>
                <w:sz w:val="19"/>
                <w:szCs w:val="19"/>
                <w:highlight w:val="none"/>
              </w:rPr>
            </w:pPr>
            <w:r>
              <w:rPr>
                <w:rFonts w:hint="eastAsia" w:ascii="宋体" w:hAnsi="宋体" w:eastAsia="宋体" w:cs="宋体"/>
                <w:color w:val="auto"/>
                <w:spacing w:val="4"/>
                <w:sz w:val="19"/>
                <w:szCs w:val="19"/>
                <w:highlight w:val="none"/>
              </w:rPr>
              <w:t>数量</w:t>
            </w:r>
          </w:p>
        </w:tc>
        <w:tc>
          <w:tcPr>
            <w:tcW w:w="2361" w:type="dxa"/>
            <w:vAlign w:val="top"/>
          </w:tcPr>
          <w:p w14:paraId="44D39040">
            <w:pPr>
              <w:pStyle w:val="25"/>
              <w:spacing w:before="174" w:line="228" w:lineRule="auto"/>
              <w:ind w:left="164"/>
              <w:rPr>
                <w:rFonts w:hint="eastAsia" w:ascii="宋体" w:hAnsi="宋体" w:eastAsia="宋体" w:cs="宋体"/>
                <w:color w:val="auto"/>
                <w:sz w:val="19"/>
                <w:szCs w:val="19"/>
                <w:highlight w:val="none"/>
              </w:rPr>
            </w:pPr>
            <w:r>
              <w:rPr>
                <w:rFonts w:hint="eastAsia" w:ascii="宋体" w:hAnsi="宋体" w:eastAsia="宋体" w:cs="宋体"/>
                <w:color w:val="auto"/>
                <w:spacing w:val="5"/>
                <w:sz w:val="19"/>
                <w:szCs w:val="19"/>
                <w:highlight w:val="none"/>
              </w:rPr>
              <w:t>平均每生产单位规模</w:t>
            </w:r>
          </w:p>
          <w:p w14:paraId="2002F9A5">
            <w:pPr>
              <w:pStyle w:val="25"/>
              <w:spacing w:before="166" w:line="227" w:lineRule="auto"/>
              <w:jc w:val="right"/>
              <w:rPr>
                <w:rFonts w:hint="eastAsia" w:ascii="宋体" w:hAnsi="宋体" w:eastAsia="宋体" w:cs="宋体"/>
                <w:color w:val="auto"/>
                <w:sz w:val="19"/>
                <w:szCs w:val="19"/>
                <w:highlight w:val="none"/>
              </w:rPr>
            </w:pPr>
            <w:r>
              <w:rPr>
                <w:rFonts w:hint="eastAsia" w:ascii="宋体" w:hAnsi="宋体" w:eastAsia="宋体" w:cs="宋体"/>
                <w:color w:val="auto"/>
                <w:spacing w:val="-4"/>
                <w:sz w:val="19"/>
                <w:szCs w:val="19"/>
                <w:highlight w:val="none"/>
              </w:rPr>
              <w:t>（人，各种机械台）</w:t>
            </w:r>
          </w:p>
        </w:tc>
        <w:tc>
          <w:tcPr>
            <w:tcW w:w="1184" w:type="dxa"/>
            <w:vAlign w:val="top"/>
          </w:tcPr>
          <w:p w14:paraId="76262597">
            <w:pPr>
              <w:pStyle w:val="25"/>
              <w:spacing w:before="177" w:line="228" w:lineRule="auto"/>
              <w:ind w:left="100"/>
              <w:rPr>
                <w:rFonts w:hint="eastAsia" w:ascii="宋体" w:hAnsi="宋体" w:eastAsia="宋体" w:cs="宋体"/>
                <w:color w:val="auto"/>
                <w:sz w:val="19"/>
                <w:szCs w:val="19"/>
                <w:highlight w:val="none"/>
              </w:rPr>
            </w:pPr>
            <w:r>
              <w:rPr>
                <w:rFonts w:hint="eastAsia" w:ascii="宋体" w:hAnsi="宋体" w:eastAsia="宋体" w:cs="宋体"/>
                <w:color w:val="auto"/>
                <w:spacing w:val="8"/>
                <w:sz w:val="19"/>
                <w:szCs w:val="19"/>
                <w:highlight w:val="none"/>
              </w:rPr>
              <w:t>平均每单位</w:t>
            </w:r>
          </w:p>
          <w:p w14:paraId="7645EBA6">
            <w:pPr>
              <w:pStyle w:val="25"/>
              <w:spacing w:before="22" w:line="228" w:lineRule="auto"/>
              <w:ind w:left="102"/>
              <w:rPr>
                <w:rFonts w:hint="eastAsia" w:ascii="宋体" w:hAnsi="宋体" w:eastAsia="宋体" w:cs="宋体"/>
                <w:color w:val="auto"/>
                <w:sz w:val="19"/>
                <w:szCs w:val="19"/>
                <w:highlight w:val="none"/>
              </w:rPr>
            </w:pPr>
            <w:r>
              <w:rPr>
                <w:rFonts w:hint="eastAsia" w:ascii="宋体" w:hAnsi="宋体" w:eastAsia="宋体" w:cs="宋体"/>
                <w:color w:val="auto"/>
                <w:spacing w:val="7"/>
                <w:sz w:val="19"/>
                <w:szCs w:val="19"/>
                <w:highlight w:val="none"/>
              </w:rPr>
              <w:t>生产率（数</w:t>
            </w:r>
          </w:p>
          <w:p w14:paraId="56225A5D">
            <w:pPr>
              <w:pStyle w:val="25"/>
              <w:spacing w:before="24" w:line="220" w:lineRule="auto"/>
              <w:ind w:left="100"/>
              <w:rPr>
                <w:rFonts w:hint="eastAsia" w:ascii="宋体" w:hAnsi="宋体" w:eastAsia="宋体" w:cs="宋体"/>
                <w:color w:val="auto"/>
                <w:sz w:val="19"/>
                <w:szCs w:val="19"/>
                <w:highlight w:val="none"/>
              </w:rPr>
            </w:pPr>
            <w:r>
              <w:rPr>
                <w:rFonts w:hint="eastAsia" w:ascii="宋体" w:hAnsi="宋体" w:eastAsia="宋体" w:cs="宋体"/>
                <w:color w:val="auto"/>
                <w:spacing w:val="6"/>
                <w:sz w:val="19"/>
                <w:szCs w:val="19"/>
                <w:highlight w:val="none"/>
              </w:rPr>
              <w:t>量、每周）</w:t>
            </w:r>
          </w:p>
        </w:tc>
        <w:tc>
          <w:tcPr>
            <w:tcW w:w="1408" w:type="dxa"/>
            <w:vAlign w:val="top"/>
          </w:tcPr>
          <w:p w14:paraId="78D0511D">
            <w:pPr>
              <w:pStyle w:val="25"/>
              <w:spacing w:before="176" w:line="251" w:lineRule="auto"/>
              <w:ind w:left="114" w:right="91"/>
              <w:rPr>
                <w:rFonts w:hint="eastAsia" w:ascii="宋体" w:hAnsi="宋体" w:eastAsia="宋体" w:cs="宋体"/>
                <w:color w:val="auto"/>
                <w:sz w:val="19"/>
                <w:szCs w:val="19"/>
                <w:highlight w:val="none"/>
              </w:rPr>
            </w:pPr>
            <w:r>
              <w:rPr>
                <w:rFonts w:hint="eastAsia" w:ascii="宋体" w:hAnsi="宋体" w:eastAsia="宋体" w:cs="宋体"/>
                <w:color w:val="auto"/>
                <w:spacing w:val="8"/>
                <w:sz w:val="19"/>
                <w:szCs w:val="19"/>
                <w:highlight w:val="none"/>
              </w:rPr>
              <w:t>每生产单位平</w:t>
            </w:r>
            <w:r>
              <w:rPr>
                <w:rFonts w:hint="eastAsia" w:ascii="宋体" w:hAnsi="宋体" w:eastAsia="宋体" w:cs="宋体"/>
                <w:color w:val="auto"/>
                <w:spacing w:val="7"/>
                <w:sz w:val="19"/>
                <w:szCs w:val="19"/>
                <w:highlight w:val="none"/>
              </w:rPr>
              <w:t>均施工时间</w:t>
            </w:r>
          </w:p>
          <w:p w14:paraId="43B9BC7E">
            <w:pPr>
              <w:pStyle w:val="25"/>
              <w:spacing w:line="219" w:lineRule="auto"/>
              <w:ind w:left="124"/>
              <w:rPr>
                <w:rFonts w:hint="eastAsia" w:ascii="宋体" w:hAnsi="宋体" w:eastAsia="宋体" w:cs="宋体"/>
                <w:color w:val="auto"/>
                <w:sz w:val="19"/>
                <w:szCs w:val="19"/>
                <w:highlight w:val="none"/>
              </w:rPr>
            </w:pPr>
            <w:r>
              <w:rPr>
                <w:rFonts w:hint="eastAsia" w:ascii="宋体" w:hAnsi="宋体" w:eastAsia="宋体" w:cs="宋体"/>
                <w:color w:val="auto"/>
                <w:sz w:val="19"/>
                <w:szCs w:val="19"/>
                <w:highlight w:val="none"/>
              </w:rPr>
              <w:t>（周）</w:t>
            </w:r>
          </w:p>
        </w:tc>
        <w:tc>
          <w:tcPr>
            <w:tcW w:w="1077" w:type="dxa"/>
            <w:vAlign w:val="top"/>
          </w:tcPr>
          <w:p w14:paraId="69E49C3E">
            <w:pPr>
              <w:pStyle w:val="25"/>
              <w:spacing w:before="176" w:line="251" w:lineRule="auto"/>
              <w:ind w:left="16" w:right="62"/>
              <w:rPr>
                <w:rFonts w:hint="eastAsia" w:ascii="宋体" w:hAnsi="宋体" w:eastAsia="宋体" w:cs="宋体"/>
                <w:color w:val="auto"/>
                <w:sz w:val="19"/>
                <w:szCs w:val="19"/>
                <w:highlight w:val="none"/>
              </w:rPr>
            </w:pPr>
            <w:r>
              <w:rPr>
                <w:rFonts w:hint="eastAsia" w:ascii="宋体" w:hAnsi="宋体" w:eastAsia="宋体" w:cs="宋体"/>
                <w:color w:val="auto"/>
                <w:spacing w:val="7"/>
                <w:sz w:val="19"/>
                <w:szCs w:val="19"/>
                <w:highlight w:val="none"/>
              </w:rPr>
              <w:t>生产单位总</w:t>
            </w:r>
            <w:r>
              <w:rPr>
                <w:rFonts w:hint="eastAsia" w:ascii="宋体" w:hAnsi="宋体" w:eastAsia="宋体" w:cs="宋体"/>
                <w:color w:val="auto"/>
                <w:spacing w:val="5"/>
                <w:sz w:val="19"/>
                <w:szCs w:val="19"/>
                <w:highlight w:val="none"/>
              </w:rPr>
              <w:t>数（个）</w:t>
            </w:r>
          </w:p>
        </w:tc>
      </w:tr>
      <w:tr w14:paraId="151663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3" w:hRule="atLeast"/>
        </w:trPr>
        <w:tc>
          <w:tcPr>
            <w:tcW w:w="424" w:type="dxa"/>
            <w:vAlign w:val="top"/>
          </w:tcPr>
          <w:p w14:paraId="3EE15BA6">
            <w:pPr>
              <w:spacing w:before="213" w:line="195" w:lineRule="auto"/>
              <w:ind w:left="183"/>
              <w:rPr>
                <w:rFonts w:hint="eastAsia" w:ascii="宋体" w:hAnsi="宋体" w:eastAsia="宋体" w:cs="宋体"/>
                <w:color w:val="auto"/>
                <w:sz w:val="19"/>
                <w:szCs w:val="19"/>
                <w:highlight w:val="none"/>
              </w:rPr>
            </w:pPr>
            <w:r>
              <w:rPr>
                <w:rFonts w:hint="eastAsia" w:ascii="宋体" w:hAnsi="宋体" w:eastAsia="宋体" w:cs="宋体"/>
                <w:color w:val="auto"/>
                <w:sz w:val="19"/>
                <w:szCs w:val="19"/>
                <w:highlight w:val="none"/>
              </w:rPr>
              <w:t>1</w:t>
            </w:r>
          </w:p>
        </w:tc>
        <w:tc>
          <w:tcPr>
            <w:tcW w:w="1169" w:type="dxa"/>
            <w:vAlign w:val="top"/>
          </w:tcPr>
          <w:p w14:paraId="5AD9DC0E">
            <w:pPr>
              <w:pStyle w:val="25"/>
              <w:spacing w:before="169" w:line="235" w:lineRule="auto"/>
              <w:ind w:left="114" w:right="56" w:hanging="2"/>
              <w:rPr>
                <w:rFonts w:hint="eastAsia" w:ascii="宋体" w:hAnsi="宋体" w:eastAsia="宋体" w:cs="宋体"/>
                <w:color w:val="auto"/>
                <w:sz w:val="19"/>
                <w:szCs w:val="19"/>
                <w:highlight w:val="none"/>
              </w:rPr>
            </w:pPr>
            <w:r>
              <w:rPr>
                <w:rFonts w:hint="eastAsia" w:ascii="宋体" w:hAnsi="宋体" w:eastAsia="宋体" w:cs="宋体"/>
                <w:color w:val="auto"/>
                <w:spacing w:val="8"/>
                <w:sz w:val="19"/>
                <w:szCs w:val="19"/>
                <w:highlight w:val="none"/>
              </w:rPr>
              <w:t>特殊路基处</w:t>
            </w:r>
            <w:r>
              <w:rPr>
                <w:rFonts w:hint="eastAsia" w:ascii="宋体" w:hAnsi="宋体" w:eastAsia="宋体" w:cs="宋体"/>
                <w:color w:val="auto"/>
                <w:sz w:val="19"/>
                <w:szCs w:val="19"/>
                <w:highlight w:val="none"/>
              </w:rPr>
              <w:t>理</w:t>
            </w:r>
          </w:p>
        </w:tc>
        <w:tc>
          <w:tcPr>
            <w:tcW w:w="593" w:type="dxa"/>
            <w:vAlign w:val="top"/>
          </w:tcPr>
          <w:p w14:paraId="6F61C965">
            <w:pPr>
              <w:spacing w:before="209" w:line="199" w:lineRule="auto"/>
              <w:ind w:left="168"/>
              <w:rPr>
                <w:rFonts w:hint="eastAsia" w:ascii="宋体" w:hAnsi="宋体" w:eastAsia="宋体" w:cs="宋体"/>
                <w:color w:val="auto"/>
                <w:sz w:val="19"/>
                <w:szCs w:val="19"/>
                <w:highlight w:val="none"/>
              </w:rPr>
            </w:pPr>
            <w:r>
              <w:rPr>
                <w:rFonts w:hint="eastAsia" w:ascii="宋体" w:hAnsi="宋体" w:eastAsia="宋体" w:cs="宋体"/>
                <w:color w:val="auto"/>
                <w:spacing w:val="4"/>
                <w:sz w:val="19"/>
                <w:szCs w:val="19"/>
                <w:highlight w:val="none"/>
              </w:rPr>
              <w:t>km</w:t>
            </w:r>
          </w:p>
        </w:tc>
        <w:tc>
          <w:tcPr>
            <w:tcW w:w="506" w:type="dxa"/>
            <w:vAlign w:val="top"/>
          </w:tcPr>
          <w:p w14:paraId="53BE1BD1">
            <w:pPr>
              <w:rPr>
                <w:rFonts w:hint="eastAsia" w:ascii="宋体" w:hAnsi="宋体" w:eastAsia="宋体" w:cs="宋体"/>
                <w:color w:val="auto"/>
                <w:sz w:val="21"/>
                <w:highlight w:val="none"/>
              </w:rPr>
            </w:pPr>
          </w:p>
        </w:tc>
        <w:tc>
          <w:tcPr>
            <w:tcW w:w="2361" w:type="dxa"/>
            <w:vAlign w:val="top"/>
          </w:tcPr>
          <w:p w14:paraId="20C82F8A">
            <w:pPr>
              <w:rPr>
                <w:rFonts w:hint="eastAsia" w:ascii="宋体" w:hAnsi="宋体" w:eastAsia="宋体" w:cs="宋体"/>
                <w:color w:val="auto"/>
                <w:sz w:val="21"/>
                <w:highlight w:val="none"/>
              </w:rPr>
            </w:pPr>
          </w:p>
        </w:tc>
        <w:tc>
          <w:tcPr>
            <w:tcW w:w="1184" w:type="dxa"/>
            <w:vAlign w:val="top"/>
          </w:tcPr>
          <w:p w14:paraId="526100C5">
            <w:pPr>
              <w:rPr>
                <w:rFonts w:hint="eastAsia" w:ascii="宋体" w:hAnsi="宋体" w:eastAsia="宋体" w:cs="宋体"/>
                <w:color w:val="auto"/>
                <w:sz w:val="21"/>
                <w:highlight w:val="none"/>
              </w:rPr>
            </w:pPr>
          </w:p>
        </w:tc>
        <w:tc>
          <w:tcPr>
            <w:tcW w:w="1408" w:type="dxa"/>
            <w:vAlign w:val="top"/>
          </w:tcPr>
          <w:p w14:paraId="4D9EBDD5">
            <w:pPr>
              <w:rPr>
                <w:rFonts w:hint="eastAsia" w:ascii="宋体" w:hAnsi="宋体" w:eastAsia="宋体" w:cs="宋体"/>
                <w:color w:val="auto"/>
                <w:sz w:val="21"/>
                <w:highlight w:val="none"/>
              </w:rPr>
            </w:pPr>
          </w:p>
        </w:tc>
        <w:tc>
          <w:tcPr>
            <w:tcW w:w="1077" w:type="dxa"/>
            <w:vAlign w:val="top"/>
          </w:tcPr>
          <w:p w14:paraId="52322E2F">
            <w:pPr>
              <w:rPr>
                <w:rFonts w:hint="eastAsia" w:ascii="宋体" w:hAnsi="宋体" w:eastAsia="宋体" w:cs="宋体"/>
                <w:color w:val="auto"/>
                <w:sz w:val="21"/>
                <w:highlight w:val="none"/>
              </w:rPr>
            </w:pPr>
          </w:p>
        </w:tc>
      </w:tr>
      <w:tr w14:paraId="2BA42A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5" w:hRule="atLeast"/>
        </w:trPr>
        <w:tc>
          <w:tcPr>
            <w:tcW w:w="424" w:type="dxa"/>
            <w:vAlign w:val="top"/>
          </w:tcPr>
          <w:p w14:paraId="6F455F18">
            <w:pPr>
              <w:spacing w:before="236" w:line="195" w:lineRule="auto"/>
              <w:ind w:left="165"/>
              <w:rPr>
                <w:rFonts w:hint="eastAsia" w:ascii="宋体" w:hAnsi="宋体" w:eastAsia="宋体" w:cs="宋体"/>
                <w:color w:val="auto"/>
                <w:sz w:val="19"/>
                <w:szCs w:val="19"/>
                <w:highlight w:val="none"/>
              </w:rPr>
            </w:pPr>
            <w:r>
              <w:rPr>
                <w:rFonts w:hint="eastAsia" w:ascii="宋体" w:hAnsi="宋体" w:eastAsia="宋体" w:cs="宋体"/>
                <w:color w:val="auto"/>
                <w:sz w:val="19"/>
                <w:szCs w:val="19"/>
                <w:highlight w:val="none"/>
              </w:rPr>
              <w:t>2</w:t>
            </w:r>
          </w:p>
        </w:tc>
        <w:tc>
          <w:tcPr>
            <w:tcW w:w="1169" w:type="dxa"/>
            <w:vAlign w:val="top"/>
          </w:tcPr>
          <w:p w14:paraId="4C5BCCF7">
            <w:pPr>
              <w:pStyle w:val="25"/>
              <w:spacing w:before="192" w:line="228" w:lineRule="auto"/>
              <w:ind w:left="113"/>
              <w:rPr>
                <w:rFonts w:hint="eastAsia" w:ascii="宋体" w:hAnsi="宋体" w:eastAsia="宋体" w:cs="宋体"/>
                <w:color w:val="auto"/>
                <w:sz w:val="19"/>
                <w:szCs w:val="19"/>
                <w:highlight w:val="none"/>
              </w:rPr>
            </w:pPr>
            <w:r>
              <w:rPr>
                <w:rFonts w:hint="eastAsia" w:ascii="宋体" w:hAnsi="宋体" w:eastAsia="宋体" w:cs="宋体"/>
                <w:color w:val="auto"/>
                <w:spacing w:val="7"/>
                <w:sz w:val="19"/>
                <w:szCs w:val="19"/>
                <w:highlight w:val="none"/>
              </w:rPr>
              <w:t>路基填筑</w:t>
            </w:r>
          </w:p>
        </w:tc>
        <w:tc>
          <w:tcPr>
            <w:tcW w:w="593" w:type="dxa"/>
            <w:vAlign w:val="top"/>
          </w:tcPr>
          <w:p w14:paraId="4FCD46F1">
            <w:pPr>
              <w:pStyle w:val="25"/>
              <w:spacing w:before="192" w:line="229" w:lineRule="auto"/>
              <w:ind w:left="205"/>
              <w:rPr>
                <w:rFonts w:hint="eastAsia" w:ascii="宋体" w:hAnsi="宋体" w:eastAsia="宋体" w:cs="宋体"/>
                <w:color w:val="auto"/>
                <w:sz w:val="19"/>
                <w:szCs w:val="19"/>
                <w:highlight w:val="none"/>
              </w:rPr>
            </w:pPr>
            <w:r>
              <w:rPr>
                <w:rFonts w:hint="eastAsia" w:ascii="宋体" w:hAnsi="宋体" w:eastAsia="宋体" w:cs="宋体"/>
                <w:color w:val="auto"/>
                <w:sz w:val="19"/>
                <w:szCs w:val="19"/>
                <w:highlight w:val="none"/>
              </w:rPr>
              <w:t>万</w:t>
            </w:r>
          </w:p>
          <w:p w14:paraId="1B1AFBD3">
            <w:pPr>
              <w:spacing w:before="24" w:line="130" w:lineRule="auto"/>
              <w:ind w:left="185" w:right="180" w:firstLine="157"/>
              <w:rPr>
                <w:rFonts w:hint="eastAsia" w:ascii="宋体" w:hAnsi="宋体" w:eastAsia="宋体" w:cs="宋体"/>
                <w:color w:val="auto"/>
                <w:sz w:val="19"/>
                <w:szCs w:val="19"/>
                <w:highlight w:val="none"/>
              </w:rPr>
            </w:pPr>
            <w:r>
              <w:rPr>
                <w:rFonts w:hint="eastAsia" w:ascii="宋体" w:hAnsi="宋体" w:eastAsia="宋体" w:cs="宋体"/>
                <w:color w:val="auto"/>
                <w:spacing w:val="-1"/>
                <w:sz w:val="12"/>
                <w:szCs w:val="12"/>
                <w:highlight w:val="none"/>
              </w:rPr>
              <w:t>3</w:t>
            </w:r>
            <w:r>
              <w:rPr>
                <w:rFonts w:hint="eastAsia" w:ascii="宋体" w:hAnsi="宋体" w:eastAsia="宋体" w:cs="宋体"/>
                <w:color w:val="auto"/>
                <w:spacing w:val="5"/>
                <w:sz w:val="19"/>
                <w:szCs w:val="19"/>
                <w:highlight w:val="none"/>
              </w:rPr>
              <w:t>m</w:t>
            </w:r>
          </w:p>
        </w:tc>
        <w:tc>
          <w:tcPr>
            <w:tcW w:w="506" w:type="dxa"/>
            <w:vAlign w:val="top"/>
          </w:tcPr>
          <w:p w14:paraId="3C69AA1C">
            <w:pPr>
              <w:rPr>
                <w:rFonts w:hint="eastAsia" w:ascii="宋体" w:hAnsi="宋体" w:eastAsia="宋体" w:cs="宋体"/>
                <w:color w:val="auto"/>
                <w:sz w:val="21"/>
                <w:highlight w:val="none"/>
              </w:rPr>
            </w:pPr>
          </w:p>
        </w:tc>
        <w:tc>
          <w:tcPr>
            <w:tcW w:w="2361" w:type="dxa"/>
            <w:vAlign w:val="top"/>
          </w:tcPr>
          <w:p w14:paraId="5F090F51">
            <w:pPr>
              <w:rPr>
                <w:rFonts w:hint="eastAsia" w:ascii="宋体" w:hAnsi="宋体" w:eastAsia="宋体" w:cs="宋体"/>
                <w:color w:val="auto"/>
                <w:sz w:val="21"/>
                <w:highlight w:val="none"/>
              </w:rPr>
            </w:pPr>
          </w:p>
        </w:tc>
        <w:tc>
          <w:tcPr>
            <w:tcW w:w="1184" w:type="dxa"/>
            <w:vAlign w:val="top"/>
          </w:tcPr>
          <w:p w14:paraId="5FCFF813">
            <w:pPr>
              <w:rPr>
                <w:rFonts w:hint="eastAsia" w:ascii="宋体" w:hAnsi="宋体" w:eastAsia="宋体" w:cs="宋体"/>
                <w:color w:val="auto"/>
                <w:sz w:val="21"/>
                <w:highlight w:val="none"/>
              </w:rPr>
            </w:pPr>
          </w:p>
        </w:tc>
        <w:tc>
          <w:tcPr>
            <w:tcW w:w="1408" w:type="dxa"/>
            <w:vAlign w:val="top"/>
          </w:tcPr>
          <w:p w14:paraId="0DE0842B">
            <w:pPr>
              <w:rPr>
                <w:rFonts w:hint="eastAsia" w:ascii="宋体" w:hAnsi="宋体" w:eastAsia="宋体" w:cs="宋体"/>
                <w:color w:val="auto"/>
                <w:sz w:val="21"/>
                <w:highlight w:val="none"/>
              </w:rPr>
            </w:pPr>
          </w:p>
        </w:tc>
        <w:tc>
          <w:tcPr>
            <w:tcW w:w="1077" w:type="dxa"/>
            <w:vAlign w:val="top"/>
          </w:tcPr>
          <w:p w14:paraId="66F7315B">
            <w:pPr>
              <w:rPr>
                <w:rFonts w:hint="eastAsia" w:ascii="宋体" w:hAnsi="宋体" w:eastAsia="宋体" w:cs="宋体"/>
                <w:color w:val="auto"/>
                <w:sz w:val="21"/>
                <w:highlight w:val="none"/>
              </w:rPr>
            </w:pPr>
          </w:p>
        </w:tc>
      </w:tr>
      <w:tr w14:paraId="5665E0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3" w:hRule="atLeast"/>
        </w:trPr>
        <w:tc>
          <w:tcPr>
            <w:tcW w:w="424" w:type="dxa"/>
            <w:vAlign w:val="top"/>
          </w:tcPr>
          <w:p w14:paraId="5B4F867F">
            <w:pPr>
              <w:spacing w:before="233" w:line="195" w:lineRule="auto"/>
              <w:ind w:left="169"/>
              <w:rPr>
                <w:rFonts w:hint="eastAsia" w:ascii="宋体" w:hAnsi="宋体" w:eastAsia="宋体" w:cs="宋体"/>
                <w:color w:val="auto"/>
                <w:sz w:val="19"/>
                <w:szCs w:val="19"/>
                <w:highlight w:val="none"/>
              </w:rPr>
            </w:pPr>
            <w:r>
              <w:rPr>
                <w:rFonts w:hint="eastAsia" w:ascii="宋体" w:hAnsi="宋体" w:eastAsia="宋体" w:cs="宋体"/>
                <w:color w:val="auto"/>
                <w:sz w:val="19"/>
                <w:szCs w:val="19"/>
                <w:highlight w:val="none"/>
              </w:rPr>
              <w:t>3</w:t>
            </w:r>
          </w:p>
        </w:tc>
        <w:tc>
          <w:tcPr>
            <w:tcW w:w="1169" w:type="dxa"/>
            <w:vAlign w:val="top"/>
          </w:tcPr>
          <w:p w14:paraId="29084B9E">
            <w:pPr>
              <w:pStyle w:val="25"/>
              <w:spacing w:before="192" w:line="228" w:lineRule="auto"/>
              <w:ind w:left="113"/>
              <w:rPr>
                <w:rFonts w:hint="eastAsia" w:ascii="宋体" w:hAnsi="宋体" w:eastAsia="宋体" w:cs="宋体"/>
                <w:color w:val="auto"/>
                <w:sz w:val="19"/>
                <w:szCs w:val="19"/>
                <w:highlight w:val="none"/>
              </w:rPr>
            </w:pPr>
            <w:r>
              <w:rPr>
                <w:rFonts w:hint="eastAsia" w:ascii="宋体" w:hAnsi="宋体" w:eastAsia="宋体" w:cs="宋体"/>
                <w:color w:val="auto"/>
                <w:spacing w:val="7"/>
                <w:sz w:val="19"/>
                <w:szCs w:val="19"/>
                <w:highlight w:val="none"/>
              </w:rPr>
              <w:t>路面基层</w:t>
            </w:r>
          </w:p>
        </w:tc>
        <w:tc>
          <w:tcPr>
            <w:tcW w:w="593" w:type="dxa"/>
            <w:vAlign w:val="top"/>
          </w:tcPr>
          <w:p w14:paraId="26D93623">
            <w:pPr>
              <w:pStyle w:val="25"/>
              <w:spacing w:before="191" w:line="229" w:lineRule="auto"/>
              <w:ind w:left="205"/>
              <w:rPr>
                <w:rFonts w:hint="eastAsia" w:ascii="宋体" w:hAnsi="宋体" w:eastAsia="宋体" w:cs="宋体"/>
                <w:color w:val="auto"/>
                <w:sz w:val="19"/>
                <w:szCs w:val="19"/>
                <w:highlight w:val="none"/>
              </w:rPr>
            </w:pPr>
            <w:r>
              <w:rPr>
                <w:rFonts w:hint="eastAsia" w:ascii="宋体" w:hAnsi="宋体" w:eastAsia="宋体" w:cs="宋体"/>
                <w:color w:val="auto"/>
                <w:sz w:val="19"/>
                <w:szCs w:val="19"/>
                <w:highlight w:val="none"/>
              </w:rPr>
              <w:t>万</w:t>
            </w:r>
          </w:p>
          <w:p w14:paraId="08C45256">
            <w:pPr>
              <w:spacing w:before="20" w:line="131" w:lineRule="auto"/>
              <w:ind w:left="185" w:right="180" w:firstLine="154"/>
              <w:rPr>
                <w:rFonts w:hint="eastAsia" w:ascii="宋体" w:hAnsi="宋体" w:eastAsia="宋体" w:cs="宋体"/>
                <w:color w:val="auto"/>
                <w:sz w:val="19"/>
                <w:szCs w:val="19"/>
                <w:highlight w:val="none"/>
              </w:rPr>
            </w:pPr>
            <w:r>
              <w:rPr>
                <w:rFonts w:hint="eastAsia" w:ascii="宋体" w:hAnsi="宋体" w:eastAsia="宋体" w:cs="宋体"/>
                <w:color w:val="auto"/>
                <w:spacing w:val="2"/>
                <w:sz w:val="12"/>
                <w:szCs w:val="12"/>
                <w:highlight w:val="none"/>
              </w:rPr>
              <w:t>2</w:t>
            </w:r>
            <w:r>
              <w:rPr>
                <w:rFonts w:hint="eastAsia" w:ascii="宋体" w:hAnsi="宋体" w:eastAsia="宋体" w:cs="宋体"/>
                <w:color w:val="auto"/>
                <w:spacing w:val="5"/>
                <w:sz w:val="19"/>
                <w:szCs w:val="19"/>
                <w:highlight w:val="none"/>
              </w:rPr>
              <w:t>m</w:t>
            </w:r>
          </w:p>
        </w:tc>
        <w:tc>
          <w:tcPr>
            <w:tcW w:w="506" w:type="dxa"/>
            <w:vAlign w:val="top"/>
          </w:tcPr>
          <w:p w14:paraId="5C6DD153">
            <w:pPr>
              <w:rPr>
                <w:rFonts w:hint="eastAsia" w:ascii="宋体" w:hAnsi="宋体" w:eastAsia="宋体" w:cs="宋体"/>
                <w:color w:val="auto"/>
                <w:sz w:val="21"/>
                <w:highlight w:val="none"/>
              </w:rPr>
            </w:pPr>
          </w:p>
        </w:tc>
        <w:tc>
          <w:tcPr>
            <w:tcW w:w="2361" w:type="dxa"/>
            <w:vAlign w:val="top"/>
          </w:tcPr>
          <w:p w14:paraId="3F0FF195">
            <w:pPr>
              <w:rPr>
                <w:rFonts w:hint="eastAsia" w:ascii="宋体" w:hAnsi="宋体" w:eastAsia="宋体" w:cs="宋体"/>
                <w:color w:val="auto"/>
                <w:sz w:val="21"/>
                <w:highlight w:val="none"/>
              </w:rPr>
            </w:pPr>
          </w:p>
        </w:tc>
        <w:tc>
          <w:tcPr>
            <w:tcW w:w="1184" w:type="dxa"/>
            <w:vAlign w:val="top"/>
          </w:tcPr>
          <w:p w14:paraId="5050F287">
            <w:pPr>
              <w:rPr>
                <w:rFonts w:hint="eastAsia" w:ascii="宋体" w:hAnsi="宋体" w:eastAsia="宋体" w:cs="宋体"/>
                <w:color w:val="auto"/>
                <w:sz w:val="21"/>
                <w:highlight w:val="none"/>
              </w:rPr>
            </w:pPr>
          </w:p>
        </w:tc>
        <w:tc>
          <w:tcPr>
            <w:tcW w:w="1408" w:type="dxa"/>
            <w:vAlign w:val="top"/>
          </w:tcPr>
          <w:p w14:paraId="70724273">
            <w:pPr>
              <w:rPr>
                <w:rFonts w:hint="eastAsia" w:ascii="宋体" w:hAnsi="宋体" w:eastAsia="宋体" w:cs="宋体"/>
                <w:color w:val="auto"/>
                <w:sz w:val="21"/>
                <w:highlight w:val="none"/>
              </w:rPr>
            </w:pPr>
          </w:p>
        </w:tc>
        <w:tc>
          <w:tcPr>
            <w:tcW w:w="1077" w:type="dxa"/>
            <w:vAlign w:val="top"/>
          </w:tcPr>
          <w:p w14:paraId="13F444F6">
            <w:pPr>
              <w:rPr>
                <w:rFonts w:hint="eastAsia" w:ascii="宋体" w:hAnsi="宋体" w:eastAsia="宋体" w:cs="宋体"/>
                <w:color w:val="auto"/>
                <w:sz w:val="21"/>
                <w:highlight w:val="none"/>
              </w:rPr>
            </w:pPr>
          </w:p>
        </w:tc>
      </w:tr>
      <w:tr w14:paraId="4970A2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5" w:hRule="atLeast"/>
        </w:trPr>
        <w:tc>
          <w:tcPr>
            <w:tcW w:w="424" w:type="dxa"/>
            <w:vAlign w:val="top"/>
          </w:tcPr>
          <w:p w14:paraId="1006700A">
            <w:pPr>
              <w:spacing w:before="235" w:line="195" w:lineRule="auto"/>
              <w:ind w:left="164"/>
              <w:rPr>
                <w:rFonts w:hint="eastAsia" w:ascii="宋体" w:hAnsi="宋体" w:eastAsia="宋体" w:cs="宋体"/>
                <w:color w:val="auto"/>
                <w:sz w:val="19"/>
                <w:szCs w:val="19"/>
                <w:highlight w:val="none"/>
              </w:rPr>
            </w:pPr>
            <w:r>
              <w:rPr>
                <w:rFonts w:hint="eastAsia" w:ascii="宋体" w:hAnsi="宋体" w:eastAsia="宋体" w:cs="宋体"/>
                <w:color w:val="auto"/>
                <w:sz w:val="19"/>
                <w:szCs w:val="19"/>
                <w:highlight w:val="none"/>
              </w:rPr>
              <w:t>4</w:t>
            </w:r>
          </w:p>
        </w:tc>
        <w:tc>
          <w:tcPr>
            <w:tcW w:w="1169" w:type="dxa"/>
            <w:vAlign w:val="top"/>
          </w:tcPr>
          <w:p w14:paraId="345BE5A2">
            <w:pPr>
              <w:pStyle w:val="25"/>
              <w:spacing w:before="193" w:line="228" w:lineRule="auto"/>
              <w:ind w:left="113"/>
              <w:rPr>
                <w:rFonts w:hint="eastAsia" w:ascii="宋体" w:hAnsi="宋体" w:eastAsia="宋体" w:cs="宋体"/>
                <w:color w:val="auto"/>
                <w:sz w:val="19"/>
                <w:szCs w:val="19"/>
                <w:highlight w:val="none"/>
              </w:rPr>
            </w:pPr>
            <w:r>
              <w:rPr>
                <w:rFonts w:hint="eastAsia" w:ascii="宋体" w:hAnsi="宋体" w:eastAsia="宋体" w:cs="宋体"/>
                <w:color w:val="auto"/>
                <w:spacing w:val="7"/>
                <w:sz w:val="19"/>
                <w:szCs w:val="19"/>
                <w:highlight w:val="none"/>
              </w:rPr>
              <w:t>路面面层</w:t>
            </w:r>
          </w:p>
        </w:tc>
        <w:tc>
          <w:tcPr>
            <w:tcW w:w="593" w:type="dxa"/>
            <w:vAlign w:val="top"/>
          </w:tcPr>
          <w:p w14:paraId="370B50C4">
            <w:pPr>
              <w:pStyle w:val="25"/>
              <w:spacing w:before="193" w:line="229" w:lineRule="auto"/>
              <w:ind w:left="205"/>
              <w:rPr>
                <w:rFonts w:hint="eastAsia" w:ascii="宋体" w:hAnsi="宋体" w:eastAsia="宋体" w:cs="宋体"/>
                <w:color w:val="auto"/>
                <w:sz w:val="19"/>
                <w:szCs w:val="19"/>
                <w:highlight w:val="none"/>
              </w:rPr>
            </w:pPr>
            <w:r>
              <w:rPr>
                <w:rFonts w:hint="eastAsia" w:ascii="宋体" w:hAnsi="宋体" w:eastAsia="宋体" w:cs="宋体"/>
                <w:color w:val="auto"/>
                <w:sz w:val="19"/>
                <w:szCs w:val="19"/>
                <w:highlight w:val="none"/>
              </w:rPr>
              <w:t>万</w:t>
            </w:r>
          </w:p>
          <w:p w14:paraId="3EB9EE20">
            <w:pPr>
              <w:spacing w:before="24" w:line="129" w:lineRule="auto"/>
              <w:ind w:left="185" w:right="180" w:firstLine="154"/>
              <w:rPr>
                <w:rFonts w:hint="eastAsia" w:ascii="宋体" w:hAnsi="宋体" w:eastAsia="宋体" w:cs="宋体"/>
                <w:color w:val="auto"/>
                <w:sz w:val="19"/>
                <w:szCs w:val="19"/>
                <w:highlight w:val="none"/>
              </w:rPr>
            </w:pPr>
            <w:r>
              <w:rPr>
                <w:rFonts w:hint="eastAsia" w:ascii="宋体" w:hAnsi="宋体" w:eastAsia="宋体" w:cs="宋体"/>
                <w:color w:val="auto"/>
                <w:spacing w:val="2"/>
                <w:sz w:val="12"/>
                <w:szCs w:val="12"/>
                <w:highlight w:val="none"/>
              </w:rPr>
              <w:t>2</w:t>
            </w:r>
            <w:r>
              <w:rPr>
                <w:rFonts w:hint="eastAsia" w:ascii="宋体" w:hAnsi="宋体" w:eastAsia="宋体" w:cs="宋体"/>
                <w:color w:val="auto"/>
                <w:spacing w:val="5"/>
                <w:sz w:val="19"/>
                <w:szCs w:val="19"/>
                <w:highlight w:val="none"/>
              </w:rPr>
              <w:t>m</w:t>
            </w:r>
          </w:p>
        </w:tc>
        <w:tc>
          <w:tcPr>
            <w:tcW w:w="506" w:type="dxa"/>
            <w:vAlign w:val="top"/>
          </w:tcPr>
          <w:p w14:paraId="22F8FA00">
            <w:pPr>
              <w:rPr>
                <w:rFonts w:hint="eastAsia" w:ascii="宋体" w:hAnsi="宋体" w:eastAsia="宋体" w:cs="宋体"/>
                <w:color w:val="auto"/>
                <w:sz w:val="21"/>
                <w:highlight w:val="none"/>
              </w:rPr>
            </w:pPr>
          </w:p>
        </w:tc>
        <w:tc>
          <w:tcPr>
            <w:tcW w:w="2361" w:type="dxa"/>
            <w:vAlign w:val="top"/>
          </w:tcPr>
          <w:p w14:paraId="17B0B2FC">
            <w:pPr>
              <w:rPr>
                <w:rFonts w:hint="eastAsia" w:ascii="宋体" w:hAnsi="宋体" w:eastAsia="宋体" w:cs="宋体"/>
                <w:color w:val="auto"/>
                <w:sz w:val="21"/>
                <w:highlight w:val="none"/>
              </w:rPr>
            </w:pPr>
          </w:p>
        </w:tc>
        <w:tc>
          <w:tcPr>
            <w:tcW w:w="1184" w:type="dxa"/>
            <w:vAlign w:val="top"/>
          </w:tcPr>
          <w:p w14:paraId="24E446B4">
            <w:pPr>
              <w:rPr>
                <w:rFonts w:hint="eastAsia" w:ascii="宋体" w:hAnsi="宋体" w:eastAsia="宋体" w:cs="宋体"/>
                <w:color w:val="auto"/>
                <w:sz w:val="21"/>
                <w:highlight w:val="none"/>
              </w:rPr>
            </w:pPr>
          </w:p>
        </w:tc>
        <w:tc>
          <w:tcPr>
            <w:tcW w:w="1408" w:type="dxa"/>
            <w:vAlign w:val="top"/>
          </w:tcPr>
          <w:p w14:paraId="0F271904">
            <w:pPr>
              <w:rPr>
                <w:rFonts w:hint="eastAsia" w:ascii="宋体" w:hAnsi="宋体" w:eastAsia="宋体" w:cs="宋体"/>
                <w:color w:val="auto"/>
                <w:sz w:val="21"/>
                <w:highlight w:val="none"/>
              </w:rPr>
            </w:pPr>
          </w:p>
        </w:tc>
        <w:tc>
          <w:tcPr>
            <w:tcW w:w="1077" w:type="dxa"/>
            <w:vAlign w:val="top"/>
          </w:tcPr>
          <w:p w14:paraId="7A0784C2">
            <w:pPr>
              <w:rPr>
                <w:rFonts w:hint="eastAsia" w:ascii="宋体" w:hAnsi="宋体" w:eastAsia="宋体" w:cs="宋体"/>
                <w:color w:val="auto"/>
                <w:sz w:val="21"/>
                <w:highlight w:val="none"/>
              </w:rPr>
            </w:pPr>
          </w:p>
        </w:tc>
      </w:tr>
      <w:tr w14:paraId="7603CF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2" w:hRule="atLeast"/>
        </w:trPr>
        <w:tc>
          <w:tcPr>
            <w:tcW w:w="424" w:type="dxa"/>
            <w:vAlign w:val="top"/>
          </w:tcPr>
          <w:p w14:paraId="66511BA0">
            <w:pPr>
              <w:spacing w:before="238" w:line="192" w:lineRule="auto"/>
              <w:ind w:left="170"/>
              <w:rPr>
                <w:rFonts w:hint="eastAsia" w:ascii="宋体" w:hAnsi="宋体" w:eastAsia="宋体" w:cs="宋体"/>
                <w:color w:val="auto"/>
                <w:sz w:val="19"/>
                <w:szCs w:val="19"/>
                <w:highlight w:val="none"/>
              </w:rPr>
            </w:pPr>
            <w:r>
              <w:rPr>
                <w:rFonts w:hint="eastAsia" w:ascii="宋体" w:hAnsi="宋体" w:eastAsia="宋体" w:cs="宋体"/>
                <w:color w:val="auto"/>
                <w:sz w:val="19"/>
                <w:szCs w:val="19"/>
                <w:highlight w:val="none"/>
              </w:rPr>
              <w:t>5</w:t>
            </w:r>
          </w:p>
        </w:tc>
        <w:tc>
          <w:tcPr>
            <w:tcW w:w="1169" w:type="dxa"/>
            <w:vAlign w:val="top"/>
          </w:tcPr>
          <w:p w14:paraId="41B771B5">
            <w:pPr>
              <w:pStyle w:val="25"/>
              <w:spacing w:before="194" w:line="232" w:lineRule="auto"/>
              <w:ind w:left="112" w:right="56" w:firstLine="1"/>
              <w:rPr>
                <w:rFonts w:hint="eastAsia" w:ascii="宋体" w:hAnsi="宋体" w:eastAsia="宋体" w:cs="宋体"/>
                <w:color w:val="auto"/>
                <w:sz w:val="19"/>
                <w:szCs w:val="19"/>
                <w:highlight w:val="none"/>
              </w:rPr>
            </w:pPr>
            <w:r>
              <w:rPr>
                <w:rFonts w:hint="eastAsia" w:ascii="宋体" w:hAnsi="宋体" w:eastAsia="宋体" w:cs="宋体"/>
                <w:color w:val="auto"/>
                <w:spacing w:val="7"/>
                <w:sz w:val="19"/>
                <w:szCs w:val="19"/>
                <w:highlight w:val="none"/>
              </w:rPr>
              <w:t>路基防护及</w:t>
            </w:r>
            <w:r>
              <w:rPr>
                <w:rFonts w:hint="eastAsia" w:ascii="宋体" w:hAnsi="宋体" w:eastAsia="宋体" w:cs="宋体"/>
                <w:color w:val="auto"/>
                <w:spacing w:val="5"/>
                <w:sz w:val="19"/>
                <w:szCs w:val="19"/>
                <w:highlight w:val="none"/>
              </w:rPr>
              <w:t>排水</w:t>
            </w:r>
          </w:p>
        </w:tc>
        <w:tc>
          <w:tcPr>
            <w:tcW w:w="593" w:type="dxa"/>
            <w:vAlign w:val="top"/>
          </w:tcPr>
          <w:p w14:paraId="3598ABBE">
            <w:pPr>
              <w:spacing w:before="231" w:line="199" w:lineRule="auto"/>
              <w:ind w:left="168"/>
              <w:rPr>
                <w:rFonts w:hint="eastAsia" w:ascii="宋体" w:hAnsi="宋体" w:eastAsia="宋体" w:cs="宋体"/>
                <w:color w:val="auto"/>
                <w:sz w:val="19"/>
                <w:szCs w:val="19"/>
                <w:highlight w:val="none"/>
              </w:rPr>
            </w:pPr>
            <w:r>
              <w:rPr>
                <w:rFonts w:hint="eastAsia" w:ascii="宋体" w:hAnsi="宋体" w:eastAsia="宋体" w:cs="宋体"/>
                <w:color w:val="auto"/>
                <w:spacing w:val="4"/>
                <w:sz w:val="19"/>
                <w:szCs w:val="19"/>
                <w:highlight w:val="none"/>
              </w:rPr>
              <w:t>km</w:t>
            </w:r>
          </w:p>
        </w:tc>
        <w:tc>
          <w:tcPr>
            <w:tcW w:w="506" w:type="dxa"/>
            <w:vAlign w:val="top"/>
          </w:tcPr>
          <w:p w14:paraId="687812F2">
            <w:pPr>
              <w:rPr>
                <w:rFonts w:hint="eastAsia" w:ascii="宋体" w:hAnsi="宋体" w:eastAsia="宋体" w:cs="宋体"/>
                <w:color w:val="auto"/>
                <w:sz w:val="21"/>
                <w:highlight w:val="none"/>
              </w:rPr>
            </w:pPr>
          </w:p>
        </w:tc>
        <w:tc>
          <w:tcPr>
            <w:tcW w:w="2361" w:type="dxa"/>
            <w:vAlign w:val="top"/>
          </w:tcPr>
          <w:p w14:paraId="61E2484B">
            <w:pPr>
              <w:rPr>
                <w:rFonts w:hint="eastAsia" w:ascii="宋体" w:hAnsi="宋体" w:eastAsia="宋体" w:cs="宋体"/>
                <w:color w:val="auto"/>
                <w:sz w:val="21"/>
                <w:highlight w:val="none"/>
              </w:rPr>
            </w:pPr>
          </w:p>
        </w:tc>
        <w:tc>
          <w:tcPr>
            <w:tcW w:w="1184" w:type="dxa"/>
            <w:vAlign w:val="top"/>
          </w:tcPr>
          <w:p w14:paraId="7FD2CCA9">
            <w:pPr>
              <w:rPr>
                <w:rFonts w:hint="eastAsia" w:ascii="宋体" w:hAnsi="宋体" w:eastAsia="宋体" w:cs="宋体"/>
                <w:color w:val="auto"/>
                <w:sz w:val="21"/>
                <w:highlight w:val="none"/>
              </w:rPr>
            </w:pPr>
          </w:p>
        </w:tc>
        <w:tc>
          <w:tcPr>
            <w:tcW w:w="1408" w:type="dxa"/>
            <w:vAlign w:val="top"/>
          </w:tcPr>
          <w:p w14:paraId="74D2E75A">
            <w:pPr>
              <w:rPr>
                <w:rFonts w:hint="eastAsia" w:ascii="宋体" w:hAnsi="宋体" w:eastAsia="宋体" w:cs="宋体"/>
                <w:color w:val="auto"/>
                <w:sz w:val="21"/>
                <w:highlight w:val="none"/>
              </w:rPr>
            </w:pPr>
          </w:p>
        </w:tc>
        <w:tc>
          <w:tcPr>
            <w:tcW w:w="1077" w:type="dxa"/>
            <w:vAlign w:val="top"/>
          </w:tcPr>
          <w:p w14:paraId="0A8F0AC6">
            <w:pPr>
              <w:rPr>
                <w:rFonts w:hint="eastAsia" w:ascii="宋体" w:hAnsi="宋体" w:eastAsia="宋体" w:cs="宋体"/>
                <w:color w:val="auto"/>
                <w:sz w:val="21"/>
                <w:highlight w:val="none"/>
              </w:rPr>
            </w:pPr>
          </w:p>
        </w:tc>
      </w:tr>
      <w:tr w14:paraId="45FBB5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424" w:type="dxa"/>
            <w:vAlign w:val="top"/>
          </w:tcPr>
          <w:p w14:paraId="05D97528">
            <w:pPr>
              <w:spacing w:before="239" w:line="195" w:lineRule="auto"/>
              <w:ind w:left="169"/>
              <w:rPr>
                <w:rFonts w:hint="eastAsia" w:ascii="宋体" w:hAnsi="宋体" w:eastAsia="宋体" w:cs="宋体"/>
                <w:color w:val="auto"/>
                <w:sz w:val="19"/>
                <w:szCs w:val="19"/>
                <w:highlight w:val="none"/>
              </w:rPr>
            </w:pPr>
            <w:r>
              <w:rPr>
                <w:rFonts w:hint="eastAsia" w:ascii="宋体" w:hAnsi="宋体" w:eastAsia="宋体" w:cs="宋体"/>
                <w:color w:val="auto"/>
                <w:sz w:val="19"/>
                <w:szCs w:val="19"/>
                <w:highlight w:val="none"/>
              </w:rPr>
              <w:t>6</w:t>
            </w:r>
          </w:p>
        </w:tc>
        <w:tc>
          <w:tcPr>
            <w:tcW w:w="1169" w:type="dxa"/>
            <w:vAlign w:val="top"/>
          </w:tcPr>
          <w:p w14:paraId="46A34590">
            <w:pPr>
              <w:pStyle w:val="25"/>
              <w:spacing w:before="194" w:line="230" w:lineRule="auto"/>
              <w:ind w:left="113"/>
              <w:rPr>
                <w:rFonts w:hint="eastAsia" w:ascii="宋体" w:hAnsi="宋体" w:eastAsia="宋体" w:cs="宋体"/>
                <w:color w:val="auto"/>
                <w:sz w:val="19"/>
                <w:szCs w:val="19"/>
                <w:highlight w:val="none"/>
              </w:rPr>
            </w:pPr>
            <w:r>
              <w:rPr>
                <w:rFonts w:hint="eastAsia" w:ascii="宋体" w:hAnsi="宋体" w:eastAsia="宋体" w:cs="宋体"/>
                <w:color w:val="auto"/>
                <w:spacing w:val="4"/>
                <w:sz w:val="19"/>
                <w:szCs w:val="19"/>
                <w:highlight w:val="none"/>
              </w:rPr>
              <w:t>涵洞</w:t>
            </w:r>
          </w:p>
        </w:tc>
        <w:tc>
          <w:tcPr>
            <w:tcW w:w="593" w:type="dxa"/>
            <w:vAlign w:val="top"/>
          </w:tcPr>
          <w:p w14:paraId="32873C70">
            <w:pPr>
              <w:pStyle w:val="25"/>
              <w:spacing w:before="195" w:line="233" w:lineRule="auto"/>
              <w:ind w:left="204"/>
              <w:rPr>
                <w:rFonts w:hint="eastAsia" w:ascii="宋体" w:hAnsi="宋体" w:eastAsia="宋体" w:cs="宋体"/>
                <w:color w:val="auto"/>
                <w:sz w:val="19"/>
                <w:szCs w:val="19"/>
                <w:highlight w:val="none"/>
              </w:rPr>
            </w:pPr>
            <w:r>
              <w:rPr>
                <w:rFonts w:hint="eastAsia" w:ascii="宋体" w:hAnsi="宋体" w:eastAsia="宋体" w:cs="宋体"/>
                <w:color w:val="auto"/>
                <w:sz w:val="19"/>
                <w:szCs w:val="19"/>
                <w:highlight w:val="none"/>
              </w:rPr>
              <w:t>道</w:t>
            </w:r>
          </w:p>
        </w:tc>
        <w:tc>
          <w:tcPr>
            <w:tcW w:w="506" w:type="dxa"/>
            <w:vAlign w:val="top"/>
          </w:tcPr>
          <w:p w14:paraId="690F28CA">
            <w:pPr>
              <w:rPr>
                <w:rFonts w:hint="eastAsia" w:ascii="宋体" w:hAnsi="宋体" w:eastAsia="宋体" w:cs="宋体"/>
                <w:color w:val="auto"/>
                <w:sz w:val="21"/>
                <w:highlight w:val="none"/>
              </w:rPr>
            </w:pPr>
          </w:p>
        </w:tc>
        <w:tc>
          <w:tcPr>
            <w:tcW w:w="2361" w:type="dxa"/>
            <w:vAlign w:val="top"/>
          </w:tcPr>
          <w:p w14:paraId="4D537364">
            <w:pPr>
              <w:rPr>
                <w:rFonts w:hint="eastAsia" w:ascii="宋体" w:hAnsi="宋体" w:eastAsia="宋体" w:cs="宋体"/>
                <w:color w:val="auto"/>
                <w:sz w:val="21"/>
                <w:highlight w:val="none"/>
              </w:rPr>
            </w:pPr>
          </w:p>
        </w:tc>
        <w:tc>
          <w:tcPr>
            <w:tcW w:w="1184" w:type="dxa"/>
            <w:vAlign w:val="top"/>
          </w:tcPr>
          <w:p w14:paraId="1FAA48B4">
            <w:pPr>
              <w:rPr>
                <w:rFonts w:hint="eastAsia" w:ascii="宋体" w:hAnsi="宋体" w:eastAsia="宋体" w:cs="宋体"/>
                <w:color w:val="auto"/>
                <w:sz w:val="21"/>
                <w:highlight w:val="none"/>
              </w:rPr>
            </w:pPr>
          </w:p>
        </w:tc>
        <w:tc>
          <w:tcPr>
            <w:tcW w:w="1408" w:type="dxa"/>
            <w:vAlign w:val="top"/>
          </w:tcPr>
          <w:p w14:paraId="31E21B5F">
            <w:pPr>
              <w:rPr>
                <w:rFonts w:hint="eastAsia" w:ascii="宋体" w:hAnsi="宋体" w:eastAsia="宋体" w:cs="宋体"/>
                <w:color w:val="auto"/>
                <w:sz w:val="21"/>
                <w:highlight w:val="none"/>
              </w:rPr>
            </w:pPr>
          </w:p>
        </w:tc>
        <w:tc>
          <w:tcPr>
            <w:tcW w:w="1077" w:type="dxa"/>
            <w:vAlign w:val="top"/>
          </w:tcPr>
          <w:p w14:paraId="11503175">
            <w:pPr>
              <w:rPr>
                <w:rFonts w:hint="eastAsia" w:ascii="宋体" w:hAnsi="宋体" w:eastAsia="宋体" w:cs="宋体"/>
                <w:color w:val="auto"/>
                <w:sz w:val="21"/>
                <w:highlight w:val="none"/>
              </w:rPr>
            </w:pPr>
          </w:p>
        </w:tc>
      </w:tr>
      <w:tr w14:paraId="08611D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424" w:type="dxa"/>
            <w:vAlign w:val="top"/>
          </w:tcPr>
          <w:p w14:paraId="11C95F19">
            <w:pPr>
              <w:spacing w:before="243" w:line="192" w:lineRule="auto"/>
              <w:ind w:left="168"/>
              <w:rPr>
                <w:rFonts w:hint="eastAsia" w:ascii="宋体" w:hAnsi="宋体" w:eastAsia="宋体" w:cs="宋体"/>
                <w:color w:val="auto"/>
                <w:sz w:val="19"/>
                <w:szCs w:val="19"/>
                <w:highlight w:val="none"/>
              </w:rPr>
            </w:pPr>
            <w:r>
              <w:rPr>
                <w:rFonts w:hint="eastAsia" w:ascii="宋体" w:hAnsi="宋体" w:eastAsia="宋体" w:cs="宋体"/>
                <w:color w:val="auto"/>
                <w:sz w:val="19"/>
                <w:szCs w:val="19"/>
                <w:highlight w:val="none"/>
              </w:rPr>
              <w:t>7</w:t>
            </w:r>
          </w:p>
        </w:tc>
        <w:tc>
          <w:tcPr>
            <w:tcW w:w="1169" w:type="dxa"/>
            <w:vAlign w:val="top"/>
          </w:tcPr>
          <w:p w14:paraId="628799EF">
            <w:pPr>
              <w:pStyle w:val="25"/>
              <w:spacing w:before="196" w:line="232" w:lineRule="auto"/>
              <w:ind w:left="112"/>
              <w:rPr>
                <w:rFonts w:hint="eastAsia" w:ascii="宋体" w:hAnsi="宋体" w:eastAsia="宋体" w:cs="宋体"/>
                <w:color w:val="auto"/>
                <w:sz w:val="19"/>
                <w:szCs w:val="19"/>
                <w:highlight w:val="none"/>
              </w:rPr>
            </w:pPr>
            <w:r>
              <w:rPr>
                <w:rFonts w:hint="eastAsia" w:ascii="宋体" w:hAnsi="宋体" w:eastAsia="宋体" w:cs="宋体"/>
                <w:color w:val="auto"/>
                <w:spacing w:val="5"/>
                <w:sz w:val="19"/>
                <w:szCs w:val="19"/>
                <w:highlight w:val="none"/>
              </w:rPr>
              <w:t>通道</w:t>
            </w:r>
          </w:p>
        </w:tc>
        <w:tc>
          <w:tcPr>
            <w:tcW w:w="593" w:type="dxa"/>
            <w:vAlign w:val="top"/>
          </w:tcPr>
          <w:p w14:paraId="143FE005">
            <w:pPr>
              <w:pStyle w:val="25"/>
              <w:spacing w:before="196" w:line="232" w:lineRule="auto"/>
              <w:ind w:left="204"/>
              <w:rPr>
                <w:rFonts w:hint="eastAsia" w:ascii="宋体" w:hAnsi="宋体" w:eastAsia="宋体" w:cs="宋体"/>
                <w:color w:val="auto"/>
                <w:sz w:val="19"/>
                <w:szCs w:val="19"/>
                <w:highlight w:val="none"/>
              </w:rPr>
            </w:pPr>
            <w:r>
              <w:rPr>
                <w:rFonts w:hint="eastAsia" w:ascii="宋体" w:hAnsi="宋体" w:eastAsia="宋体" w:cs="宋体"/>
                <w:color w:val="auto"/>
                <w:sz w:val="19"/>
                <w:szCs w:val="19"/>
                <w:highlight w:val="none"/>
              </w:rPr>
              <w:t>道</w:t>
            </w:r>
          </w:p>
        </w:tc>
        <w:tc>
          <w:tcPr>
            <w:tcW w:w="506" w:type="dxa"/>
            <w:vAlign w:val="top"/>
          </w:tcPr>
          <w:p w14:paraId="09D9B9AC">
            <w:pPr>
              <w:rPr>
                <w:rFonts w:hint="eastAsia" w:ascii="宋体" w:hAnsi="宋体" w:eastAsia="宋体" w:cs="宋体"/>
                <w:color w:val="auto"/>
                <w:sz w:val="21"/>
                <w:highlight w:val="none"/>
              </w:rPr>
            </w:pPr>
          </w:p>
        </w:tc>
        <w:tc>
          <w:tcPr>
            <w:tcW w:w="2361" w:type="dxa"/>
            <w:vAlign w:val="top"/>
          </w:tcPr>
          <w:p w14:paraId="77155813">
            <w:pPr>
              <w:rPr>
                <w:rFonts w:hint="eastAsia" w:ascii="宋体" w:hAnsi="宋体" w:eastAsia="宋体" w:cs="宋体"/>
                <w:color w:val="auto"/>
                <w:sz w:val="21"/>
                <w:highlight w:val="none"/>
              </w:rPr>
            </w:pPr>
          </w:p>
        </w:tc>
        <w:tc>
          <w:tcPr>
            <w:tcW w:w="1184" w:type="dxa"/>
            <w:vAlign w:val="top"/>
          </w:tcPr>
          <w:p w14:paraId="0645B18B">
            <w:pPr>
              <w:rPr>
                <w:rFonts w:hint="eastAsia" w:ascii="宋体" w:hAnsi="宋体" w:eastAsia="宋体" w:cs="宋体"/>
                <w:color w:val="auto"/>
                <w:sz w:val="21"/>
                <w:highlight w:val="none"/>
              </w:rPr>
            </w:pPr>
          </w:p>
        </w:tc>
        <w:tc>
          <w:tcPr>
            <w:tcW w:w="1408" w:type="dxa"/>
            <w:vAlign w:val="top"/>
          </w:tcPr>
          <w:p w14:paraId="1E152D54">
            <w:pPr>
              <w:rPr>
                <w:rFonts w:hint="eastAsia" w:ascii="宋体" w:hAnsi="宋体" w:eastAsia="宋体" w:cs="宋体"/>
                <w:color w:val="auto"/>
                <w:sz w:val="21"/>
                <w:highlight w:val="none"/>
              </w:rPr>
            </w:pPr>
          </w:p>
        </w:tc>
        <w:tc>
          <w:tcPr>
            <w:tcW w:w="1077" w:type="dxa"/>
            <w:vAlign w:val="top"/>
          </w:tcPr>
          <w:p w14:paraId="3CF6B3EC">
            <w:pPr>
              <w:rPr>
                <w:rFonts w:hint="eastAsia" w:ascii="宋体" w:hAnsi="宋体" w:eastAsia="宋体" w:cs="宋体"/>
                <w:color w:val="auto"/>
                <w:sz w:val="21"/>
                <w:highlight w:val="none"/>
              </w:rPr>
            </w:pPr>
          </w:p>
        </w:tc>
      </w:tr>
      <w:tr w14:paraId="279D1E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424" w:type="dxa"/>
            <w:vAlign w:val="top"/>
          </w:tcPr>
          <w:p w14:paraId="4E76D6B0">
            <w:pPr>
              <w:spacing w:before="236" w:line="195" w:lineRule="auto"/>
              <w:ind w:left="173"/>
              <w:rPr>
                <w:rFonts w:hint="eastAsia" w:ascii="宋体" w:hAnsi="宋体" w:eastAsia="宋体" w:cs="宋体"/>
                <w:color w:val="auto"/>
                <w:sz w:val="19"/>
                <w:szCs w:val="19"/>
                <w:highlight w:val="none"/>
              </w:rPr>
            </w:pPr>
            <w:r>
              <w:rPr>
                <w:rFonts w:hint="eastAsia" w:ascii="宋体" w:hAnsi="宋体" w:eastAsia="宋体" w:cs="宋体"/>
                <w:color w:val="auto"/>
                <w:sz w:val="19"/>
                <w:szCs w:val="19"/>
                <w:highlight w:val="none"/>
              </w:rPr>
              <w:t>8</w:t>
            </w:r>
          </w:p>
        </w:tc>
        <w:tc>
          <w:tcPr>
            <w:tcW w:w="1169" w:type="dxa"/>
            <w:vAlign w:val="top"/>
          </w:tcPr>
          <w:p w14:paraId="5DFDF2B3">
            <w:pPr>
              <w:pStyle w:val="25"/>
              <w:spacing w:before="194" w:line="228" w:lineRule="auto"/>
              <w:ind w:left="112"/>
              <w:rPr>
                <w:rFonts w:hint="eastAsia" w:ascii="宋体" w:hAnsi="宋体" w:eastAsia="宋体" w:cs="宋体"/>
                <w:color w:val="auto"/>
                <w:sz w:val="19"/>
                <w:szCs w:val="19"/>
                <w:highlight w:val="none"/>
              </w:rPr>
            </w:pPr>
            <w:r>
              <w:rPr>
                <w:rFonts w:hint="eastAsia" w:ascii="宋体" w:hAnsi="宋体" w:eastAsia="宋体" w:cs="宋体"/>
                <w:color w:val="auto"/>
                <w:spacing w:val="7"/>
                <w:sz w:val="19"/>
                <w:szCs w:val="19"/>
                <w:highlight w:val="none"/>
              </w:rPr>
              <w:t>桥梁基桩</w:t>
            </w:r>
          </w:p>
        </w:tc>
        <w:tc>
          <w:tcPr>
            <w:tcW w:w="593" w:type="dxa"/>
            <w:vAlign w:val="top"/>
          </w:tcPr>
          <w:p w14:paraId="17D51378">
            <w:pPr>
              <w:pStyle w:val="25"/>
              <w:spacing w:before="194" w:line="229" w:lineRule="auto"/>
              <w:ind w:left="205"/>
              <w:rPr>
                <w:rFonts w:hint="eastAsia" w:ascii="宋体" w:hAnsi="宋体" w:eastAsia="宋体" w:cs="宋体"/>
                <w:color w:val="auto"/>
                <w:sz w:val="19"/>
                <w:szCs w:val="19"/>
                <w:highlight w:val="none"/>
              </w:rPr>
            </w:pPr>
            <w:r>
              <w:rPr>
                <w:rFonts w:hint="eastAsia" w:ascii="宋体" w:hAnsi="宋体" w:eastAsia="宋体" w:cs="宋体"/>
                <w:color w:val="auto"/>
                <w:sz w:val="19"/>
                <w:szCs w:val="19"/>
                <w:highlight w:val="none"/>
              </w:rPr>
              <w:t>根</w:t>
            </w:r>
          </w:p>
        </w:tc>
        <w:tc>
          <w:tcPr>
            <w:tcW w:w="506" w:type="dxa"/>
            <w:vAlign w:val="top"/>
          </w:tcPr>
          <w:p w14:paraId="2A864113">
            <w:pPr>
              <w:rPr>
                <w:rFonts w:hint="eastAsia" w:ascii="宋体" w:hAnsi="宋体" w:eastAsia="宋体" w:cs="宋体"/>
                <w:color w:val="auto"/>
                <w:sz w:val="21"/>
                <w:highlight w:val="none"/>
              </w:rPr>
            </w:pPr>
          </w:p>
        </w:tc>
        <w:tc>
          <w:tcPr>
            <w:tcW w:w="2361" w:type="dxa"/>
            <w:vAlign w:val="top"/>
          </w:tcPr>
          <w:p w14:paraId="457E7396">
            <w:pPr>
              <w:rPr>
                <w:rFonts w:hint="eastAsia" w:ascii="宋体" w:hAnsi="宋体" w:eastAsia="宋体" w:cs="宋体"/>
                <w:color w:val="auto"/>
                <w:sz w:val="21"/>
                <w:highlight w:val="none"/>
              </w:rPr>
            </w:pPr>
          </w:p>
        </w:tc>
        <w:tc>
          <w:tcPr>
            <w:tcW w:w="1184" w:type="dxa"/>
            <w:vAlign w:val="top"/>
          </w:tcPr>
          <w:p w14:paraId="5CCAEC7A">
            <w:pPr>
              <w:rPr>
                <w:rFonts w:hint="eastAsia" w:ascii="宋体" w:hAnsi="宋体" w:eastAsia="宋体" w:cs="宋体"/>
                <w:color w:val="auto"/>
                <w:sz w:val="21"/>
                <w:highlight w:val="none"/>
              </w:rPr>
            </w:pPr>
          </w:p>
        </w:tc>
        <w:tc>
          <w:tcPr>
            <w:tcW w:w="1408" w:type="dxa"/>
            <w:vAlign w:val="top"/>
          </w:tcPr>
          <w:p w14:paraId="2E38C649">
            <w:pPr>
              <w:rPr>
                <w:rFonts w:hint="eastAsia" w:ascii="宋体" w:hAnsi="宋体" w:eastAsia="宋体" w:cs="宋体"/>
                <w:color w:val="auto"/>
                <w:sz w:val="21"/>
                <w:highlight w:val="none"/>
              </w:rPr>
            </w:pPr>
          </w:p>
        </w:tc>
        <w:tc>
          <w:tcPr>
            <w:tcW w:w="1077" w:type="dxa"/>
            <w:vAlign w:val="top"/>
          </w:tcPr>
          <w:p w14:paraId="6293FCBB">
            <w:pPr>
              <w:rPr>
                <w:rFonts w:hint="eastAsia" w:ascii="宋体" w:hAnsi="宋体" w:eastAsia="宋体" w:cs="宋体"/>
                <w:color w:val="auto"/>
                <w:sz w:val="21"/>
                <w:highlight w:val="none"/>
              </w:rPr>
            </w:pPr>
          </w:p>
        </w:tc>
      </w:tr>
      <w:tr w14:paraId="523E27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424" w:type="dxa"/>
            <w:vAlign w:val="top"/>
          </w:tcPr>
          <w:p w14:paraId="49EFB04F">
            <w:pPr>
              <w:spacing w:before="239" w:line="195" w:lineRule="auto"/>
              <w:ind w:left="169"/>
              <w:rPr>
                <w:rFonts w:hint="eastAsia" w:ascii="宋体" w:hAnsi="宋体" w:eastAsia="宋体" w:cs="宋体"/>
                <w:color w:val="auto"/>
                <w:sz w:val="19"/>
                <w:szCs w:val="19"/>
                <w:highlight w:val="none"/>
              </w:rPr>
            </w:pPr>
            <w:r>
              <w:rPr>
                <w:rFonts w:hint="eastAsia" w:ascii="宋体" w:hAnsi="宋体" w:eastAsia="宋体" w:cs="宋体"/>
                <w:color w:val="auto"/>
                <w:sz w:val="19"/>
                <w:szCs w:val="19"/>
                <w:highlight w:val="none"/>
              </w:rPr>
              <w:t>9</w:t>
            </w:r>
          </w:p>
        </w:tc>
        <w:tc>
          <w:tcPr>
            <w:tcW w:w="1169" w:type="dxa"/>
            <w:vAlign w:val="top"/>
          </w:tcPr>
          <w:p w14:paraId="5AFDA0F3">
            <w:pPr>
              <w:pStyle w:val="25"/>
              <w:spacing w:before="197" w:line="228" w:lineRule="auto"/>
              <w:ind w:left="112"/>
              <w:rPr>
                <w:rFonts w:hint="eastAsia" w:ascii="宋体" w:hAnsi="宋体" w:eastAsia="宋体" w:cs="宋体"/>
                <w:color w:val="auto"/>
                <w:sz w:val="19"/>
                <w:szCs w:val="19"/>
                <w:highlight w:val="none"/>
              </w:rPr>
            </w:pPr>
            <w:r>
              <w:rPr>
                <w:rFonts w:hint="eastAsia" w:ascii="宋体" w:hAnsi="宋体" w:eastAsia="宋体" w:cs="宋体"/>
                <w:color w:val="auto"/>
                <w:spacing w:val="7"/>
                <w:sz w:val="19"/>
                <w:szCs w:val="19"/>
                <w:highlight w:val="none"/>
              </w:rPr>
              <w:t>桥梁墩台</w:t>
            </w:r>
          </w:p>
        </w:tc>
        <w:tc>
          <w:tcPr>
            <w:tcW w:w="593" w:type="dxa"/>
            <w:vAlign w:val="top"/>
          </w:tcPr>
          <w:p w14:paraId="520C8900">
            <w:pPr>
              <w:pStyle w:val="25"/>
              <w:spacing w:before="198" w:line="230" w:lineRule="auto"/>
              <w:ind w:left="207"/>
              <w:rPr>
                <w:rFonts w:hint="eastAsia" w:ascii="宋体" w:hAnsi="宋体" w:eastAsia="宋体" w:cs="宋体"/>
                <w:color w:val="auto"/>
                <w:sz w:val="19"/>
                <w:szCs w:val="19"/>
                <w:highlight w:val="none"/>
              </w:rPr>
            </w:pPr>
            <w:r>
              <w:rPr>
                <w:rFonts w:hint="eastAsia" w:ascii="宋体" w:hAnsi="宋体" w:eastAsia="宋体" w:cs="宋体"/>
                <w:color w:val="auto"/>
                <w:sz w:val="19"/>
                <w:szCs w:val="19"/>
                <w:highlight w:val="none"/>
              </w:rPr>
              <w:t>座</w:t>
            </w:r>
          </w:p>
        </w:tc>
        <w:tc>
          <w:tcPr>
            <w:tcW w:w="506" w:type="dxa"/>
            <w:vAlign w:val="top"/>
          </w:tcPr>
          <w:p w14:paraId="2278EB63">
            <w:pPr>
              <w:rPr>
                <w:rFonts w:hint="eastAsia" w:ascii="宋体" w:hAnsi="宋体" w:eastAsia="宋体" w:cs="宋体"/>
                <w:color w:val="auto"/>
                <w:sz w:val="21"/>
                <w:highlight w:val="none"/>
              </w:rPr>
            </w:pPr>
          </w:p>
        </w:tc>
        <w:tc>
          <w:tcPr>
            <w:tcW w:w="2361" w:type="dxa"/>
            <w:vAlign w:val="top"/>
          </w:tcPr>
          <w:p w14:paraId="61B0196B">
            <w:pPr>
              <w:rPr>
                <w:rFonts w:hint="eastAsia" w:ascii="宋体" w:hAnsi="宋体" w:eastAsia="宋体" w:cs="宋体"/>
                <w:color w:val="auto"/>
                <w:sz w:val="21"/>
                <w:highlight w:val="none"/>
              </w:rPr>
            </w:pPr>
          </w:p>
        </w:tc>
        <w:tc>
          <w:tcPr>
            <w:tcW w:w="1184" w:type="dxa"/>
            <w:vAlign w:val="top"/>
          </w:tcPr>
          <w:p w14:paraId="19D45BC8">
            <w:pPr>
              <w:rPr>
                <w:rFonts w:hint="eastAsia" w:ascii="宋体" w:hAnsi="宋体" w:eastAsia="宋体" w:cs="宋体"/>
                <w:color w:val="auto"/>
                <w:sz w:val="21"/>
                <w:highlight w:val="none"/>
              </w:rPr>
            </w:pPr>
          </w:p>
        </w:tc>
        <w:tc>
          <w:tcPr>
            <w:tcW w:w="1408" w:type="dxa"/>
            <w:vAlign w:val="top"/>
          </w:tcPr>
          <w:p w14:paraId="73892126">
            <w:pPr>
              <w:rPr>
                <w:rFonts w:hint="eastAsia" w:ascii="宋体" w:hAnsi="宋体" w:eastAsia="宋体" w:cs="宋体"/>
                <w:color w:val="auto"/>
                <w:sz w:val="21"/>
                <w:highlight w:val="none"/>
              </w:rPr>
            </w:pPr>
          </w:p>
        </w:tc>
        <w:tc>
          <w:tcPr>
            <w:tcW w:w="1077" w:type="dxa"/>
            <w:vAlign w:val="top"/>
          </w:tcPr>
          <w:p w14:paraId="78D96084">
            <w:pPr>
              <w:rPr>
                <w:rFonts w:hint="eastAsia" w:ascii="宋体" w:hAnsi="宋体" w:eastAsia="宋体" w:cs="宋体"/>
                <w:color w:val="auto"/>
                <w:sz w:val="21"/>
                <w:highlight w:val="none"/>
              </w:rPr>
            </w:pPr>
          </w:p>
        </w:tc>
      </w:tr>
      <w:tr w14:paraId="228BC9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9" w:hRule="atLeast"/>
        </w:trPr>
        <w:tc>
          <w:tcPr>
            <w:tcW w:w="424" w:type="dxa"/>
            <w:vAlign w:val="top"/>
          </w:tcPr>
          <w:p w14:paraId="1E03E077">
            <w:pPr>
              <w:spacing w:before="238" w:line="195" w:lineRule="auto"/>
              <w:ind w:left="213"/>
              <w:rPr>
                <w:rFonts w:hint="eastAsia" w:ascii="宋体" w:hAnsi="宋体" w:eastAsia="宋体" w:cs="宋体"/>
                <w:color w:val="auto"/>
                <w:sz w:val="19"/>
                <w:szCs w:val="19"/>
                <w:highlight w:val="none"/>
              </w:rPr>
            </w:pPr>
            <w:r>
              <w:rPr>
                <w:rFonts w:hint="eastAsia" w:ascii="宋体" w:hAnsi="宋体" w:eastAsia="宋体" w:cs="宋体"/>
                <w:color w:val="auto"/>
                <w:sz w:val="19"/>
                <w:szCs w:val="19"/>
                <w:highlight w:val="none"/>
              </w:rPr>
              <w:t>1</w:t>
            </w:r>
          </w:p>
          <w:p w14:paraId="179A3F09">
            <w:pPr>
              <w:spacing w:before="52" w:line="195" w:lineRule="auto"/>
              <w:ind w:left="197"/>
              <w:rPr>
                <w:rFonts w:hint="eastAsia" w:ascii="宋体" w:hAnsi="宋体" w:eastAsia="宋体" w:cs="宋体"/>
                <w:color w:val="auto"/>
                <w:sz w:val="19"/>
                <w:szCs w:val="19"/>
                <w:highlight w:val="none"/>
              </w:rPr>
            </w:pPr>
            <w:r>
              <w:rPr>
                <w:rFonts w:hint="eastAsia" w:ascii="宋体" w:hAnsi="宋体" w:eastAsia="宋体" w:cs="宋体"/>
                <w:color w:val="auto"/>
                <w:sz w:val="19"/>
                <w:szCs w:val="19"/>
                <w:highlight w:val="none"/>
              </w:rPr>
              <w:t>0</w:t>
            </w:r>
          </w:p>
        </w:tc>
        <w:tc>
          <w:tcPr>
            <w:tcW w:w="1169" w:type="dxa"/>
            <w:vAlign w:val="top"/>
          </w:tcPr>
          <w:p w14:paraId="08920B78">
            <w:pPr>
              <w:pStyle w:val="25"/>
              <w:spacing w:before="197" w:line="234" w:lineRule="auto"/>
              <w:ind w:left="112" w:right="56"/>
              <w:rPr>
                <w:rFonts w:hint="eastAsia" w:ascii="宋体" w:hAnsi="宋体" w:eastAsia="宋体" w:cs="宋体"/>
                <w:color w:val="auto"/>
                <w:sz w:val="19"/>
                <w:szCs w:val="19"/>
                <w:highlight w:val="none"/>
              </w:rPr>
            </w:pPr>
            <w:r>
              <w:rPr>
                <w:rFonts w:hint="eastAsia" w:ascii="宋体" w:hAnsi="宋体" w:eastAsia="宋体" w:cs="宋体"/>
                <w:color w:val="auto"/>
                <w:spacing w:val="8"/>
                <w:sz w:val="19"/>
                <w:szCs w:val="19"/>
                <w:highlight w:val="none"/>
              </w:rPr>
              <w:t>梁体预制安</w:t>
            </w:r>
            <w:r>
              <w:rPr>
                <w:rFonts w:hint="eastAsia" w:ascii="宋体" w:hAnsi="宋体" w:eastAsia="宋体" w:cs="宋体"/>
                <w:color w:val="auto"/>
                <w:spacing w:val="1"/>
                <w:sz w:val="19"/>
                <w:szCs w:val="19"/>
                <w:highlight w:val="none"/>
              </w:rPr>
              <w:t>装</w:t>
            </w:r>
          </w:p>
        </w:tc>
        <w:tc>
          <w:tcPr>
            <w:tcW w:w="593" w:type="dxa"/>
            <w:vAlign w:val="top"/>
          </w:tcPr>
          <w:p w14:paraId="24E7BC45">
            <w:pPr>
              <w:pStyle w:val="25"/>
              <w:spacing w:before="196" w:line="229" w:lineRule="auto"/>
              <w:ind w:left="210"/>
              <w:rPr>
                <w:rFonts w:hint="eastAsia" w:ascii="宋体" w:hAnsi="宋体" w:eastAsia="宋体" w:cs="宋体"/>
                <w:color w:val="auto"/>
                <w:sz w:val="19"/>
                <w:szCs w:val="19"/>
                <w:highlight w:val="none"/>
              </w:rPr>
            </w:pPr>
            <w:r>
              <w:rPr>
                <w:rFonts w:hint="eastAsia" w:ascii="宋体" w:hAnsi="宋体" w:eastAsia="宋体" w:cs="宋体"/>
                <w:color w:val="auto"/>
                <w:sz w:val="19"/>
                <w:szCs w:val="19"/>
                <w:highlight w:val="none"/>
              </w:rPr>
              <w:t>片</w:t>
            </w:r>
          </w:p>
        </w:tc>
        <w:tc>
          <w:tcPr>
            <w:tcW w:w="506" w:type="dxa"/>
            <w:vAlign w:val="top"/>
          </w:tcPr>
          <w:p w14:paraId="00EDE5FB">
            <w:pPr>
              <w:rPr>
                <w:rFonts w:hint="eastAsia" w:ascii="宋体" w:hAnsi="宋体" w:eastAsia="宋体" w:cs="宋体"/>
                <w:color w:val="auto"/>
                <w:sz w:val="21"/>
                <w:highlight w:val="none"/>
              </w:rPr>
            </w:pPr>
          </w:p>
        </w:tc>
        <w:tc>
          <w:tcPr>
            <w:tcW w:w="2361" w:type="dxa"/>
            <w:vAlign w:val="top"/>
          </w:tcPr>
          <w:p w14:paraId="2F080369">
            <w:pPr>
              <w:rPr>
                <w:rFonts w:hint="eastAsia" w:ascii="宋体" w:hAnsi="宋体" w:eastAsia="宋体" w:cs="宋体"/>
                <w:color w:val="auto"/>
                <w:sz w:val="21"/>
                <w:highlight w:val="none"/>
              </w:rPr>
            </w:pPr>
          </w:p>
        </w:tc>
        <w:tc>
          <w:tcPr>
            <w:tcW w:w="1184" w:type="dxa"/>
            <w:vAlign w:val="top"/>
          </w:tcPr>
          <w:p w14:paraId="678CA63D">
            <w:pPr>
              <w:rPr>
                <w:rFonts w:hint="eastAsia" w:ascii="宋体" w:hAnsi="宋体" w:eastAsia="宋体" w:cs="宋体"/>
                <w:color w:val="auto"/>
                <w:sz w:val="21"/>
                <w:highlight w:val="none"/>
              </w:rPr>
            </w:pPr>
          </w:p>
        </w:tc>
        <w:tc>
          <w:tcPr>
            <w:tcW w:w="1408" w:type="dxa"/>
            <w:vAlign w:val="top"/>
          </w:tcPr>
          <w:p w14:paraId="69171D4C">
            <w:pPr>
              <w:rPr>
                <w:rFonts w:hint="eastAsia" w:ascii="宋体" w:hAnsi="宋体" w:eastAsia="宋体" w:cs="宋体"/>
                <w:color w:val="auto"/>
                <w:sz w:val="21"/>
                <w:highlight w:val="none"/>
              </w:rPr>
            </w:pPr>
          </w:p>
        </w:tc>
        <w:tc>
          <w:tcPr>
            <w:tcW w:w="1077" w:type="dxa"/>
            <w:vAlign w:val="top"/>
          </w:tcPr>
          <w:p w14:paraId="72EA1867">
            <w:pPr>
              <w:rPr>
                <w:rFonts w:hint="eastAsia" w:ascii="宋体" w:hAnsi="宋体" w:eastAsia="宋体" w:cs="宋体"/>
                <w:color w:val="auto"/>
                <w:sz w:val="21"/>
                <w:highlight w:val="none"/>
              </w:rPr>
            </w:pPr>
          </w:p>
        </w:tc>
      </w:tr>
    </w:tbl>
    <w:p w14:paraId="60E14C8B">
      <w:pPr>
        <w:spacing w:before="183" w:line="228" w:lineRule="auto"/>
        <w:ind w:left="290"/>
        <w:rPr>
          <w:rFonts w:hint="eastAsia" w:ascii="宋体" w:hAnsi="宋体" w:eastAsia="宋体" w:cs="宋体"/>
          <w:color w:val="auto"/>
          <w:sz w:val="19"/>
          <w:szCs w:val="19"/>
          <w:highlight w:val="none"/>
        </w:rPr>
      </w:pPr>
      <w:r>
        <w:rPr>
          <w:rFonts w:hint="eastAsia" w:ascii="宋体" w:hAnsi="宋体" w:eastAsia="宋体" w:cs="宋体"/>
          <w:color w:val="auto"/>
          <w:spacing w:val="9"/>
          <w:sz w:val="19"/>
          <w:szCs w:val="19"/>
          <w:highlight w:val="none"/>
        </w:rPr>
        <w:t>注：互通立交、分离立交的匝道、匝道涵洞、通道、桥梁分别归入表中相关的项目内。</w:t>
      </w:r>
    </w:p>
    <w:p w14:paraId="41797F44">
      <w:pPr>
        <w:spacing w:line="228" w:lineRule="auto"/>
        <w:rPr>
          <w:rFonts w:hint="eastAsia" w:ascii="宋体" w:hAnsi="宋体" w:eastAsia="宋体" w:cs="宋体"/>
          <w:color w:val="auto"/>
          <w:sz w:val="19"/>
          <w:szCs w:val="19"/>
          <w:highlight w:val="none"/>
        </w:rPr>
        <w:sectPr>
          <w:headerReference r:id="rId253" w:type="default"/>
          <w:footerReference r:id="rId254" w:type="default"/>
          <w:pgSz w:w="11907" w:h="16840"/>
          <w:pgMar w:top="1182" w:right="1274" w:bottom="1014" w:left="1786" w:header="849" w:footer="852" w:gutter="0"/>
          <w:pgNumType w:fmt="decimal"/>
          <w:cols w:space="720" w:num="1"/>
        </w:sectPr>
      </w:pPr>
    </w:p>
    <w:p w14:paraId="14E85915">
      <w:pPr>
        <w:spacing w:before="298" w:line="223" w:lineRule="auto"/>
        <w:ind w:left="304"/>
        <w:outlineLvl w:val="2"/>
        <w:rPr>
          <w:rFonts w:hint="eastAsia" w:ascii="宋体" w:hAnsi="宋体" w:eastAsia="宋体" w:cs="宋体"/>
          <w:color w:val="auto"/>
          <w:sz w:val="28"/>
          <w:szCs w:val="28"/>
          <w:highlight w:val="none"/>
        </w:rPr>
      </w:pPr>
      <w:bookmarkStart w:id="905" w:name="_Toc11314"/>
      <w:bookmarkStart w:id="906" w:name="_Toc31963"/>
      <w:bookmarkStart w:id="907" w:name="_Toc19683"/>
      <w:bookmarkStart w:id="908" w:name="_Toc19815"/>
      <w:bookmarkStart w:id="909" w:name="_Toc13512"/>
      <w:r>
        <w:rPr>
          <w:rFonts w:hint="eastAsia" w:ascii="宋体" w:hAnsi="宋体" w:eastAsia="宋体" w:cs="宋体"/>
          <w:color w:val="auto"/>
          <w:spacing w:val="-3"/>
          <w:sz w:val="28"/>
          <w:szCs w:val="28"/>
          <w:highlight w:val="none"/>
        </w:rPr>
        <w:t>附表五施工总平面图</w:t>
      </w:r>
      <w:bookmarkEnd w:id="905"/>
      <w:bookmarkEnd w:id="906"/>
      <w:bookmarkEnd w:id="907"/>
      <w:bookmarkEnd w:id="908"/>
      <w:bookmarkEnd w:id="909"/>
    </w:p>
    <w:p w14:paraId="1761EFD4">
      <w:pPr>
        <w:pStyle w:val="4"/>
        <w:spacing w:line="248" w:lineRule="auto"/>
        <w:rPr>
          <w:rFonts w:hint="eastAsia" w:ascii="宋体" w:hAnsi="宋体" w:eastAsia="宋体" w:cs="宋体"/>
          <w:color w:val="auto"/>
          <w:highlight w:val="none"/>
        </w:rPr>
      </w:pPr>
    </w:p>
    <w:p w14:paraId="08389944">
      <w:pPr>
        <w:pStyle w:val="4"/>
        <w:spacing w:line="249" w:lineRule="auto"/>
        <w:rPr>
          <w:rFonts w:hint="eastAsia" w:ascii="宋体" w:hAnsi="宋体" w:eastAsia="宋体" w:cs="宋体"/>
          <w:color w:val="auto"/>
          <w:highlight w:val="none"/>
        </w:rPr>
      </w:pPr>
    </w:p>
    <w:p w14:paraId="549CC5E6">
      <w:pPr>
        <w:spacing w:before="78" w:line="343" w:lineRule="auto"/>
        <w:ind w:left="284" w:right="363" w:firstLine="480"/>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投标人应递交一份施工总平面图，绘出现场临时设施布置图表并附文字说</w:t>
      </w:r>
      <w:r>
        <w:rPr>
          <w:rFonts w:hint="eastAsia" w:ascii="宋体" w:hAnsi="宋体" w:eastAsia="宋体" w:cs="宋体"/>
          <w:color w:val="auto"/>
          <w:spacing w:val="-16"/>
          <w:sz w:val="24"/>
          <w:szCs w:val="24"/>
          <w:highlight w:val="none"/>
        </w:rPr>
        <w:t>明，说明施工营地、料场、临时设施、加工车间、现场办公、设备及仓储、供电、</w:t>
      </w:r>
      <w:r>
        <w:rPr>
          <w:rFonts w:hint="eastAsia" w:ascii="宋体" w:hAnsi="宋体" w:eastAsia="宋体" w:cs="宋体"/>
          <w:color w:val="auto"/>
          <w:spacing w:val="-15"/>
          <w:sz w:val="24"/>
          <w:szCs w:val="24"/>
          <w:highlight w:val="none"/>
        </w:rPr>
        <w:t>供水、卫生、生活、道路、消防等设施的情况</w:t>
      </w:r>
      <w:r>
        <w:rPr>
          <w:rFonts w:hint="eastAsia" w:ascii="宋体" w:hAnsi="宋体" w:eastAsia="宋体" w:cs="宋体"/>
          <w:color w:val="auto"/>
          <w:spacing w:val="-16"/>
          <w:sz w:val="24"/>
          <w:szCs w:val="24"/>
          <w:highlight w:val="none"/>
        </w:rPr>
        <w:t>和布置。</w:t>
      </w:r>
    </w:p>
    <w:p w14:paraId="7D48463C">
      <w:pPr>
        <w:spacing w:line="343" w:lineRule="auto"/>
        <w:rPr>
          <w:rFonts w:hint="eastAsia" w:ascii="宋体" w:hAnsi="宋体" w:eastAsia="宋体" w:cs="宋体"/>
          <w:color w:val="auto"/>
          <w:sz w:val="24"/>
          <w:szCs w:val="24"/>
          <w:highlight w:val="none"/>
        </w:rPr>
        <w:sectPr>
          <w:headerReference r:id="rId255" w:type="default"/>
          <w:footerReference r:id="rId256" w:type="default"/>
          <w:pgSz w:w="11907" w:h="16840"/>
          <w:pgMar w:top="1182" w:right="1290" w:bottom="1014" w:left="1786" w:header="849" w:footer="852" w:gutter="0"/>
          <w:pgNumType w:fmt="decimal"/>
          <w:cols w:space="720" w:num="1"/>
        </w:sectPr>
      </w:pPr>
    </w:p>
    <w:p w14:paraId="0418BDEF">
      <w:pPr>
        <w:pStyle w:val="4"/>
        <w:spacing w:line="273" w:lineRule="auto"/>
        <w:rPr>
          <w:rFonts w:hint="eastAsia" w:ascii="宋体" w:hAnsi="宋体" w:eastAsia="宋体" w:cs="宋体"/>
          <w:color w:val="auto"/>
          <w:highlight w:val="none"/>
        </w:rPr>
      </w:pPr>
    </w:p>
    <w:p w14:paraId="745B550F">
      <w:pPr>
        <w:pStyle w:val="4"/>
        <w:spacing w:line="274" w:lineRule="auto"/>
        <w:rPr>
          <w:rFonts w:hint="eastAsia" w:ascii="宋体" w:hAnsi="宋体" w:eastAsia="宋体" w:cs="宋体"/>
          <w:color w:val="auto"/>
          <w:highlight w:val="none"/>
        </w:rPr>
      </w:pPr>
    </w:p>
    <w:p w14:paraId="20DFF2BA">
      <w:pPr>
        <w:spacing w:before="91" w:line="222" w:lineRule="auto"/>
        <w:ind w:left="304"/>
        <w:outlineLvl w:val="2"/>
        <w:rPr>
          <w:rFonts w:hint="eastAsia" w:ascii="宋体" w:hAnsi="宋体" w:eastAsia="宋体" w:cs="宋体"/>
          <w:color w:val="auto"/>
          <w:sz w:val="28"/>
          <w:szCs w:val="28"/>
          <w:highlight w:val="none"/>
        </w:rPr>
      </w:pPr>
      <w:bookmarkStart w:id="910" w:name="_Toc3115"/>
      <w:bookmarkStart w:id="911" w:name="_Toc26428"/>
      <w:bookmarkStart w:id="912" w:name="_Toc19325"/>
      <w:bookmarkStart w:id="913" w:name="_Toc20069"/>
      <w:bookmarkStart w:id="914" w:name="_Toc26623"/>
      <w:r>
        <w:rPr>
          <w:rFonts w:hint="eastAsia" w:ascii="宋体" w:hAnsi="宋体" w:eastAsia="宋体" w:cs="宋体"/>
          <w:color w:val="auto"/>
          <w:spacing w:val="-3"/>
          <w:sz w:val="28"/>
          <w:szCs w:val="28"/>
          <w:highlight w:val="none"/>
        </w:rPr>
        <w:t>附表六劳动力计划表</w:t>
      </w:r>
      <w:bookmarkEnd w:id="910"/>
      <w:bookmarkEnd w:id="911"/>
      <w:bookmarkEnd w:id="912"/>
      <w:bookmarkEnd w:id="913"/>
      <w:bookmarkEnd w:id="914"/>
    </w:p>
    <w:p w14:paraId="4845FC00">
      <w:pPr>
        <w:spacing w:before="158" w:line="231" w:lineRule="auto"/>
        <w:ind w:left="7364"/>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单位：人</w:t>
      </w:r>
    </w:p>
    <w:p w14:paraId="0E1E6083">
      <w:pPr>
        <w:spacing w:line="20" w:lineRule="exact"/>
        <w:rPr>
          <w:rFonts w:hint="eastAsia" w:ascii="宋体" w:hAnsi="宋体" w:eastAsia="宋体" w:cs="宋体"/>
          <w:color w:val="auto"/>
          <w:highlight w:val="none"/>
        </w:rPr>
      </w:pPr>
    </w:p>
    <w:tbl>
      <w:tblPr>
        <w:tblStyle w:val="24"/>
        <w:tblW w:w="8896" w:type="dxa"/>
        <w:tblInd w:w="15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8"/>
        <w:gridCol w:w="1362"/>
        <w:gridCol w:w="1109"/>
        <w:gridCol w:w="1110"/>
        <w:gridCol w:w="1110"/>
        <w:gridCol w:w="1111"/>
        <w:gridCol w:w="1111"/>
        <w:gridCol w:w="1115"/>
      </w:tblGrid>
      <w:tr w14:paraId="57301C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868" w:type="dxa"/>
            <w:vAlign w:val="top"/>
          </w:tcPr>
          <w:p w14:paraId="4234E004">
            <w:pPr>
              <w:pStyle w:val="25"/>
              <w:spacing w:before="177" w:line="220" w:lineRule="auto"/>
              <w:ind w:left="235"/>
              <w:rPr>
                <w:rFonts w:hint="eastAsia" w:ascii="宋体" w:hAnsi="宋体" w:eastAsia="宋体" w:cs="宋体"/>
                <w:color w:val="auto"/>
                <w:sz w:val="22"/>
                <w:szCs w:val="22"/>
                <w:highlight w:val="none"/>
              </w:rPr>
            </w:pPr>
            <w:r>
              <w:rPr>
                <w:rFonts w:hint="eastAsia" w:ascii="宋体" w:hAnsi="宋体" w:eastAsia="宋体" w:cs="宋体"/>
                <w:color w:val="auto"/>
                <w:spacing w:val="-5"/>
                <w:sz w:val="22"/>
                <w:szCs w:val="22"/>
                <w:highlight w:val="none"/>
              </w:rPr>
              <w:t>工种</w:t>
            </w:r>
          </w:p>
        </w:tc>
        <w:tc>
          <w:tcPr>
            <w:tcW w:w="8028" w:type="dxa"/>
            <w:gridSpan w:val="7"/>
            <w:vAlign w:val="top"/>
          </w:tcPr>
          <w:p w14:paraId="135D0A12">
            <w:pPr>
              <w:pStyle w:val="25"/>
              <w:spacing w:before="177" w:line="220" w:lineRule="auto"/>
              <w:ind w:left="2550"/>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按工程施工阶段投入劳动力情况</w:t>
            </w:r>
          </w:p>
        </w:tc>
      </w:tr>
      <w:tr w14:paraId="0B7392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868" w:type="dxa"/>
            <w:vAlign w:val="top"/>
          </w:tcPr>
          <w:p w14:paraId="67B0E72D">
            <w:pPr>
              <w:rPr>
                <w:rFonts w:hint="eastAsia" w:ascii="宋体" w:hAnsi="宋体" w:eastAsia="宋体" w:cs="宋体"/>
                <w:color w:val="auto"/>
                <w:sz w:val="21"/>
                <w:highlight w:val="none"/>
              </w:rPr>
            </w:pPr>
          </w:p>
        </w:tc>
        <w:tc>
          <w:tcPr>
            <w:tcW w:w="1362" w:type="dxa"/>
            <w:vAlign w:val="top"/>
          </w:tcPr>
          <w:p w14:paraId="2A3753B6">
            <w:pPr>
              <w:rPr>
                <w:rFonts w:hint="eastAsia" w:ascii="宋体" w:hAnsi="宋体" w:eastAsia="宋体" w:cs="宋体"/>
                <w:color w:val="auto"/>
                <w:sz w:val="21"/>
                <w:highlight w:val="none"/>
              </w:rPr>
            </w:pPr>
          </w:p>
        </w:tc>
        <w:tc>
          <w:tcPr>
            <w:tcW w:w="1109" w:type="dxa"/>
            <w:vAlign w:val="top"/>
          </w:tcPr>
          <w:p w14:paraId="53114522">
            <w:pPr>
              <w:rPr>
                <w:rFonts w:hint="eastAsia" w:ascii="宋体" w:hAnsi="宋体" w:eastAsia="宋体" w:cs="宋体"/>
                <w:color w:val="auto"/>
                <w:sz w:val="21"/>
                <w:highlight w:val="none"/>
              </w:rPr>
            </w:pPr>
          </w:p>
        </w:tc>
        <w:tc>
          <w:tcPr>
            <w:tcW w:w="1110" w:type="dxa"/>
            <w:vAlign w:val="top"/>
          </w:tcPr>
          <w:p w14:paraId="05E93E59">
            <w:pPr>
              <w:rPr>
                <w:rFonts w:hint="eastAsia" w:ascii="宋体" w:hAnsi="宋体" w:eastAsia="宋体" w:cs="宋体"/>
                <w:color w:val="auto"/>
                <w:sz w:val="21"/>
                <w:highlight w:val="none"/>
              </w:rPr>
            </w:pPr>
          </w:p>
        </w:tc>
        <w:tc>
          <w:tcPr>
            <w:tcW w:w="1110" w:type="dxa"/>
            <w:vAlign w:val="top"/>
          </w:tcPr>
          <w:p w14:paraId="1769B189">
            <w:pPr>
              <w:rPr>
                <w:rFonts w:hint="eastAsia" w:ascii="宋体" w:hAnsi="宋体" w:eastAsia="宋体" w:cs="宋体"/>
                <w:color w:val="auto"/>
                <w:sz w:val="21"/>
                <w:highlight w:val="none"/>
              </w:rPr>
            </w:pPr>
          </w:p>
        </w:tc>
        <w:tc>
          <w:tcPr>
            <w:tcW w:w="1111" w:type="dxa"/>
            <w:vAlign w:val="top"/>
          </w:tcPr>
          <w:p w14:paraId="27C81458">
            <w:pPr>
              <w:rPr>
                <w:rFonts w:hint="eastAsia" w:ascii="宋体" w:hAnsi="宋体" w:eastAsia="宋体" w:cs="宋体"/>
                <w:color w:val="auto"/>
                <w:sz w:val="21"/>
                <w:highlight w:val="none"/>
              </w:rPr>
            </w:pPr>
          </w:p>
        </w:tc>
        <w:tc>
          <w:tcPr>
            <w:tcW w:w="1111" w:type="dxa"/>
            <w:vAlign w:val="top"/>
          </w:tcPr>
          <w:p w14:paraId="38183389">
            <w:pPr>
              <w:rPr>
                <w:rFonts w:hint="eastAsia" w:ascii="宋体" w:hAnsi="宋体" w:eastAsia="宋体" w:cs="宋体"/>
                <w:color w:val="auto"/>
                <w:sz w:val="21"/>
                <w:highlight w:val="none"/>
              </w:rPr>
            </w:pPr>
          </w:p>
        </w:tc>
        <w:tc>
          <w:tcPr>
            <w:tcW w:w="1115" w:type="dxa"/>
            <w:vAlign w:val="top"/>
          </w:tcPr>
          <w:p w14:paraId="544C4619">
            <w:pPr>
              <w:rPr>
                <w:rFonts w:hint="eastAsia" w:ascii="宋体" w:hAnsi="宋体" w:eastAsia="宋体" w:cs="宋体"/>
                <w:color w:val="auto"/>
                <w:sz w:val="21"/>
                <w:highlight w:val="none"/>
              </w:rPr>
            </w:pPr>
          </w:p>
        </w:tc>
      </w:tr>
      <w:tr w14:paraId="4F401A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868" w:type="dxa"/>
            <w:vAlign w:val="top"/>
          </w:tcPr>
          <w:p w14:paraId="0C31DB80">
            <w:pPr>
              <w:rPr>
                <w:rFonts w:hint="eastAsia" w:ascii="宋体" w:hAnsi="宋体" w:eastAsia="宋体" w:cs="宋体"/>
                <w:color w:val="auto"/>
                <w:sz w:val="21"/>
                <w:highlight w:val="none"/>
              </w:rPr>
            </w:pPr>
          </w:p>
        </w:tc>
        <w:tc>
          <w:tcPr>
            <w:tcW w:w="1362" w:type="dxa"/>
            <w:vAlign w:val="top"/>
          </w:tcPr>
          <w:p w14:paraId="2F740B2A">
            <w:pPr>
              <w:rPr>
                <w:rFonts w:hint="eastAsia" w:ascii="宋体" w:hAnsi="宋体" w:eastAsia="宋体" w:cs="宋体"/>
                <w:color w:val="auto"/>
                <w:sz w:val="21"/>
                <w:highlight w:val="none"/>
              </w:rPr>
            </w:pPr>
          </w:p>
        </w:tc>
        <w:tc>
          <w:tcPr>
            <w:tcW w:w="1109" w:type="dxa"/>
            <w:vAlign w:val="top"/>
          </w:tcPr>
          <w:p w14:paraId="48BD44DB">
            <w:pPr>
              <w:rPr>
                <w:rFonts w:hint="eastAsia" w:ascii="宋体" w:hAnsi="宋体" w:eastAsia="宋体" w:cs="宋体"/>
                <w:color w:val="auto"/>
                <w:sz w:val="21"/>
                <w:highlight w:val="none"/>
              </w:rPr>
            </w:pPr>
          </w:p>
        </w:tc>
        <w:tc>
          <w:tcPr>
            <w:tcW w:w="1110" w:type="dxa"/>
            <w:vAlign w:val="top"/>
          </w:tcPr>
          <w:p w14:paraId="10B0469B">
            <w:pPr>
              <w:rPr>
                <w:rFonts w:hint="eastAsia" w:ascii="宋体" w:hAnsi="宋体" w:eastAsia="宋体" w:cs="宋体"/>
                <w:color w:val="auto"/>
                <w:sz w:val="21"/>
                <w:highlight w:val="none"/>
              </w:rPr>
            </w:pPr>
          </w:p>
        </w:tc>
        <w:tc>
          <w:tcPr>
            <w:tcW w:w="1110" w:type="dxa"/>
            <w:vAlign w:val="top"/>
          </w:tcPr>
          <w:p w14:paraId="6117525A">
            <w:pPr>
              <w:rPr>
                <w:rFonts w:hint="eastAsia" w:ascii="宋体" w:hAnsi="宋体" w:eastAsia="宋体" w:cs="宋体"/>
                <w:color w:val="auto"/>
                <w:sz w:val="21"/>
                <w:highlight w:val="none"/>
              </w:rPr>
            </w:pPr>
          </w:p>
        </w:tc>
        <w:tc>
          <w:tcPr>
            <w:tcW w:w="1111" w:type="dxa"/>
            <w:vAlign w:val="top"/>
          </w:tcPr>
          <w:p w14:paraId="07383CA3">
            <w:pPr>
              <w:rPr>
                <w:rFonts w:hint="eastAsia" w:ascii="宋体" w:hAnsi="宋体" w:eastAsia="宋体" w:cs="宋体"/>
                <w:color w:val="auto"/>
                <w:sz w:val="21"/>
                <w:highlight w:val="none"/>
              </w:rPr>
            </w:pPr>
          </w:p>
        </w:tc>
        <w:tc>
          <w:tcPr>
            <w:tcW w:w="1111" w:type="dxa"/>
            <w:vAlign w:val="top"/>
          </w:tcPr>
          <w:p w14:paraId="0FC0C2C5">
            <w:pPr>
              <w:rPr>
                <w:rFonts w:hint="eastAsia" w:ascii="宋体" w:hAnsi="宋体" w:eastAsia="宋体" w:cs="宋体"/>
                <w:color w:val="auto"/>
                <w:sz w:val="21"/>
                <w:highlight w:val="none"/>
              </w:rPr>
            </w:pPr>
          </w:p>
        </w:tc>
        <w:tc>
          <w:tcPr>
            <w:tcW w:w="1115" w:type="dxa"/>
            <w:vAlign w:val="top"/>
          </w:tcPr>
          <w:p w14:paraId="626E0A21">
            <w:pPr>
              <w:rPr>
                <w:rFonts w:hint="eastAsia" w:ascii="宋体" w:hAnsi="宋体" w:eastAsia="宋体" w:cs="宋体"/>
                <w:color w:val="auto"/>
                <w:sz w:val="21"/>
                <w:highlight w:val="none"/>
              </w:rPr>
            </w:pPr>
          </w:p>
        </w:tc>
      </w:tr>
      <w:tr w14:paraId="15E5E3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868" w:type="dxa"/>
            <w:vAlign w:val="top"/>
          </w:tcPr>
          <w:p w14:paraId="30ED0981">
            <w:pPr>
              <w:rPr>
                <w:rFonts w:hint="eastAsia" w:ascii="宋体" w:hAnsi="宋体" w:eastAsia="宋体" w:cs="宋体"/>
                <w:color w:val="auto"/>
                <w:sz w:val="21"/>
                <w:highlight w:val="none"/>
              </w:rPr>
            </w:pPr>
          </w:p>
        </w:tc>
        <w:tc>
          <w:tcPr>
            <w:tcW w:w="1362" w:type="dxa"/>
            <w:vAlign w:val="top"/>
          </w:tcPr>
          <w:p w14:paraId="68673BE3">
            <w:pPr>
              <w:rPr>
                <w:rFonts w:hint="eastAsia" w:ascii="宋体" w:hAnsi="宋体" w:eastAsia="宋体" w:cs="宋体"/>
                <w:color w:val="auto"/>
                <w:sz w:val="21"/>
                <w:highlight w:val="none"/>
              </w:rPr>
            </w:pPr>
          </w:p>
        </w:tc>
        <w:tc>
          <w:tcPr>
            <w:tcW w:w="1109" w:type="dxa"/>
            <w:vAlign w:val="top"/>
          </w:tcPr>
          <w:p w14:paraId="1AD0538C">
            <w:pPr>
              <w:rPr>
                <w:rFonts w:hint="eastAsia" w:ascii="宋体" w:hAnsi="宋体" w:eastAsia="宋体" w:cs="宋体"/>
                <w:color w:val="auto"/>
                <w:sz w:val="21"/>
                <w:highlight w:val="none"/>
              </w:rPr>
            </w:pPr>
          </w:p>
        </w:tc>
        <w:tc>
          <w:tcPr>
            <w:tcW w:w="1110" w:type="dxa"/>
            <w:vAlign w:val="top"/>
          </w:tcPr>
          <w:p w14:paraId="6A385AE5">
            <w:pPr>
              <w:rPr>
                <w:rFonts w:hint="eastAsia" w:ascii="宋体" w:hAnsi="宋体" w:eastAsia="宋体" w:cs="宋体"/>
                <w:color w:val="auto"/>
                <w:sz w:val="21"/>
                <w:highlight w:val="none"/>
              </w:rPr>
            </w:pPr>
          </w:p>
        </w:tc>
        <w:tc>
          <w:tcPr>
            <w:tcW w:w="1110" w:type="dxa"/>
            <w:vAlign w:val="top"/>
          </w:tcPr>
          <w:p w14:paraId="66730F20">
            <w:pPr>
              <w:rPr>
                <w:rFonts w:hint="eastAsia" w:ascii="宋体" w:hAnsi="宋体" w:eastAsia="宋体" w:cs="宋体"/>
                <w:color w:val="auto"/>
                <w:sz w:val="21"/>
                <w:highlight w:val="none"/>
              </w:rPr>
            </w:pPr>
          </w:p>
        </w:tc>
        <w:tc>
          <w:tcPr>
            <w:tcW w:w="1111" w:type="dxa"/>
            <w:vAlign w:val="top"/>
          </w:tcPr>
          <w:p w14:paraId="394D520C">
            <w:pPr>
              <w:rPr>
                <w:rFonts w:hint="eastAsia" w:ascii="宋体" w:hAnsi="宋体" w:eastAsia="宋体" w:cs="宋体"/>
                <w:color w:val="auto"/>
                <w:sz w:val="21"/>
                <w:highlight w:val="none"/>
              </w:rPr>
            </w:pPr>
          </w:p>
        </w:tc>
        <w:tc>
          <w:tcPr>
            <w:tcW w:w="1111" w:type="dxa"/>
            <w:vAlign w:val="top"/>
          </w:tcPr>
          <w:p w14:paraId="4C9FE260">
            <w:pPr>
              <w:rPr>
                <w:rFonts w:hint="eastAsia" w:ascii="宋体" w:hAnsi="宋体" w:eastAsia="宋体" w:cs="宋体"/>
                <w:color w:val="auto"/>
                <w:sz w:val="21"/>
                <w:highlight w:val="none"/>
              </w:rPr>
            </w:pPr>
          </w:p>
        </w:tc>
        <w:tc>
          <w:tcPr>
            <w:tcW w:w="1115" w:type="dxa"/>
            <w:vAlign w:val="top"/>
          </w:tcPr>
          <w:p w14:paraId="6936048A">
            <w:pPr>
              <w:rPr>
                <w:rFonts w:hint="eastAsia" w:ascii="宋体" w:hAnsi="宋体" w:eastAsia="宋体" w:cs="宋体"/>
                <w:color w:val="auto"/>
                <w:sz w:val="21"/>
                <w:highlight w:val="none"/>
              </w:rPr>
            </w:pPr>
          </w:p>
        </w:tc>
      </w:tr>
      <w:tr w14:paraId="30C4E8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868" w:type="dxa"/>
            <w:vAlign w:val="top"/>
          </w:tcPr>
          <w:p w14:paraId="2CCB9EED">
            <w:pPr>
              <w:rPr>
                <w:rFonts w:hint="eastAsia" w:ascii="宋体" w:hAnsi="宋体" w:eastAsia="宋体" w:cs="宋体"/>
                <w:color w:val="auto"/>
                <w:sz w:val="21"/>
                <w:highlight w:val="none"/>
              </w:rPr>
            </w:pPr>
          </w:p>
        </w:tc>
        <w:tc>
          <w:tcPr>
            <w:tcW w:w="1362" w:type="dxa"/>
            <w:vAlign w:val="top"/>
          </w:tcPr>
          <w:p w14:paraId="7DC7B59F">
            <w:pPr>
              <w:rPr>
                <w:rFonts w:hint="eastAsia" w:ascii="宋体" w:hAnsi="宋体" w:eastAsia="宋体" w:cs="宋体"/>
                <w:color w:val="auto"/>
                <w:sz w:val="21"/>
                <w:highlight w:val="none"/>
              </w:rPr>
            </w:pPr>
          </w:p>
        </w:tc>
        <w:tc>
          <w:tcPr>
            <w:tcW w:w="1109" w:type="dxa"/>
            <w:vAlign w:val="top"/>
          </w:tcPr>
          <w:p w14:paraId="7CC406A6">
            <w:pPr>
              <w:rPr>
                <w:rFonts w:hint="eastAsia" w:ascii="宋体" w:hAnsi="宋体" w:eastAsia="宋体" w:cs="宋体"/>
                <w:color w:val="auto"/>
                <w:sz w:val="21"/>
                <w:highlight w:val="none"/>
              </w:rPr>
            </w:pPr>
          </w:p>
        </w:tc>
        <w:tc>
          <w:tcPr>
            <w:tcW w:w="1110" w:type="dxa"/>
            <w:vAlign w:val="top"/>
          </w:tcPr>
          <w:p w14:paraId="0A4A9D8D">
            <w:pPr>
              <w:rPr>
                <w:rFonts w:hint="eastAsia" w:ascii="宋体" w:hAnsi="宋体" w:eastAsia="宋体" w:cs="宋体"/>
                <w:color w:val="auto"/>
                <w:sz w:val="21"/>
                <w:highlight w:val="none"/>
              </w:rPr>
            </w:pPr>
          </w:p>
        </w:tc>
        <w:tc>
          <w:tcPr>
            <w:tcW w:w="1110" w:type="dxa"/>
            <w:vAlign w:val="top"/>
          </w:tcPr>
          <w:p w14:paraId="351021B2">
            <w:pPr>
              <w:rPr>
                <w:rFonts w:hint="eastAsia" w:ascii="宋体" w:hAnsi="宋体" w:eastAsia="宋体" w:cs="宋体"/>
                <w:color w:val="auto"/>
                <w:sz w:val="21"/>
                <w:highlight w:val="none"/>
              </w:rPr>
            </w:pPr>
          </w:p>
        </w:tc>
        <w:tc>
          <w:tcPr>
            <w:tcW w:w="1111" w:type="dxa"/>
            <w:vAlign w:val="top"/>
          </w:tcPr>
          <w:p w14:paraId="1C9D7D29">
            <w:pPr>
              <w:rPr>
                <w:rFonts w:hint="eastAsia" w:ascii="宋体" w:hAnsi="宋体" w:eastAsia="宋体" w:cs="宋体"/>
                <w:color w:val="auto"/>
                <w:sz w:val="21"/>
                <w:highlight w:val="none"/>
              </w:rPr>
            </w:pPr>
          </w:p>
        </w:tc>
        <w:tc>
          <w:tcPr>
            <w:tcW w:w="1111" w:type="dxa"/>
            <w:vAlign w:val="top"/>
          </w:tcPr>
          <w:p w14:paraId="7EA36CCA">
            <w:pPr>
              <w:rPr>
                <w:rFonts w:hint="eastAsia" w:ascii="宋体" w:hAnsi="宋体" w:eastAsia="宋体" w:cs="宋体"/>
                <w:color w:val="auto"/>
                <w:sz w:val="21"/>
                <w:highlight w:val="none"/>
              </w:rPr>
            </w:pPr>
          </w:p>
        </w:tc>
        <w:tc>
          <w:tcPr>
            <w:tcW w:w="1115" w:type="dxa"/>
            <w:vAlign w:val="top"/>
          </w:tcPr>
          <w:p w14:paraId="50C89160">
            <w:pPr>
              <w:rPr>
                <w:rFonts w:hint="eastAsia" w:ascii="宋体" w:hAnsi="宋体" w:eastAsia="宋体" w:cs="宋体"/>
                <w:color w:val="auto"/>
                <w:sz w:val="21"/>
                <w:highlight w:val="none"/>
              </w:rPr>
            </w:pPr>
          </w:p>
        </w:tc>
      </w:tr>
      <w:tr w14:paraId="79BCD4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868" w:type="dxa"/>
            <w:vAlign w:val="top"/>
          </w:tcPr>
          <w:p w14:paraId="1821015D">
            <w:pPr>
              <w:rPr>
                <w:rFonts w:hint="eastAsia" w:ascii="宋体" w:hAnsi="宋体" w:eastAsia="宋体" w:cs="宋体"/>
                <w:color w:val="auto"/>
                <w:sz w:val="21"/>
                <w:highlight w:val="none"/>
              </w:rPr>
            </w:pPr>
          </w:p>
        </w:tc>
        <w:tc>
          <w:tcPr>
            <w:tcW w:w="1362" w:type="dxa"/>
            <w:vAlign w:val="top"/>
          </w:tcPr>
          <w:p w14:paraId="45DE0294">
            <w:pPr>
              <w:rPr>
                <w:rFonts w:hint="eastAsia" w:ascii="宋体" w:hAnsi="宋体" w:eastAsia="宋体" w:cs="宋体"/>
                <w:color w:val="auto"/>
                <w:sz w:val="21"/>
                <w:highlight w:val="none"/>
              </w:rPr>
            </w:pPr>
          </w:p>
        </w:tc>
        <w:tc>
          <w:tcPr>
            <w:tcW w:w="1109" w:type="dxa"/>
            <w:vAlign w:val="top"/>
          </w:tcPr>
          <w:p w14:paraId="4443757B">
            <w:pPr>
              <w:rPr>
                <w:rFonts w:hint="eastAsia" w:ascii="宋体" w:hAnsi="宋体" w:eastAsia="宋体" w:cs="宋体"/>
                <w:color w:val="auto"/>
                <w:sz w:val="21"/>
                <w:highlight w:val="none"/>
              </w:rPr>
            </w:pPr>
          </w:p>
        </w:tc>
        <w:tc>
          <w:tcPr>
            <w:tcW w:w="1110" w:type="dxa"/>
            <w:vAlign w:val="top"/>
          </w:tcPr>
          <w:p w14:paraId="4EB6D4B2">
            <w:pPr>
              <w:rPr>
                <w:rFonts w:hint="eastAsia" w:ascii="宋体" w:hAnsi="宋体" w:eastAsia="宋体" w:cs="宋体"/>
                <w:color w:val="auto"/>
                <w:sz w:val="21"/>
                <w:highlight w:val="none"/>
              </w:rPr>
            </w:pPr>
          </w:p>
        </w:tc>
        <w:tc>
          <w:tcPr>
            <w:tcW w:w="1110" w:type="dxa"/>
            <w:vAlign w:val="top"/>
          </w:tcPr>
          <w:p w14:paraId="3255EE07">
            <w:pPr>
              <w:rPr>
                <w:rFonts w:hint="eastAsia" w:ascii="宋体" w:hAnsi="宋体" w:eastAsia="宋体" w:cs="宋体"/>
                <w:color w:val="auto"/>
                <w:sz w:val="21"/>
                <w:highlight w:val="none"/>
              </w:rPr>
            </w:pPr>
          </w:p>
        </w:tc>
        <w:tc>
          <w:tcPr>
            <w:tcW w:w="1111" w:type="dxa"/>
            <w:vAlign w:val="top"/>
          </w:tcPr>
          <w:p w14:paraId="15A605B9">
            <w:pPr>
              <w:rPr>
                <w:rFonts w:hint="eastAsia" w:ascii="宋体" w:hAnsi="宋体" w:eastAsia="宋体" w:cs="宋体"/>
                <w:color w:val="auto"/>
                <w:sz w:val="21"/>
                <w:highlight w:val="none"/>
              </w:rPr>
            </w:pPr>
          </w:p>
        </w:tc>
        <w:tc>
          <w:tcPr>
            <w:tcW w:w="1111" w:type="dxa"/>
            <w:vAlign w:val="top"/>
          </w:tcPr>
          <w:p w14:paraId="33AC8CC7">
            <w:pPr>
              <w:rPr>
                <w:rFonts w:hint="eastAsia" w:ascii="宋体" w:hAnsi="宋体" w:eastAsia="宋体" w:cs="宋体"/>
                <w:color w:val="auto"/>
                <w:sz w:val="21"/>
                <w:highlight w:val="none"/>
              </w:rPr>
            </w:pPr>
          </w:p>
        </w:tc>
        <w:tc>
          <w:tcPr>
            <w:tcW w:w="1115" w:type="dxa"/>
            <w:vAlign w:val="top"/>
          </w:tcPr>
          <w:p w14:paraId="0AD8F5D2">
            <w:pPr>
              <w:rPr>
                <w:rFonts w:hint="eastAsia" w:ascii="宋体" w:hAnsi="宋体" w:eastAsia="宋体" w:cs="宋体"/>
                <w:color w:val="auto"/>
                <w:sz w:val="21"/>
                <w:highlight w:val="none"/>
              </w:rPr>
            </w:pPr>
          </w:p>
        </w:tc>
      </w:tr>
      <w:tr w14:paraId="0FEB6E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868" w:type="dxa"/>
            <w:vAlign w:val="top"/>
          </w:tcPr>
          <w:p w14:paraId="6D056A46">
            <w:pPr>
              <w:rPr>
                <w:rFonts w:hint="eastAsia" w:ascii="宋体" w:hAnsi="宋体" w:eastAsia="宋体" w:cs="宋体"/>
                <w:color w:val="auto"/>
                <w:sz w:val="21"/>
                <w:highlight w:val="none"/>
              </w:rPr>
            </w:pPr>
          </w:p>
        </w:tc>
        <w:tc>
          <w:tcPr>
            <w:tcW w:w="1362" w:type="dxa"/>
            <w:vAlign w:val="top"/>
          </w:tcPr>
          <w:p w14:paraId="6F18CB8C">
            <w:pPr>
              <w:rPr>
                <w:rFonts w:hint="eastAsia" w:ascii="宋体" w:hAnsi="宋体" w:eastAsia="宋体" w:cs="宋体"/>
                <w:color w:val="auto"/>
                <w:sz w:val="21"/>
                <w:highlight w:val="none"/>
              </w:rPr>
            </w:pPr>
          </w:p>
        </w:tc>
        <w:tc>
          <w:tcPr>
            <w:tcW w:w="1109" w:type="dxa"/>
            <w:vAlign w:val="top"/>
          </w:tcPr>
          <w:p w14:paraId="3E9B6D1F">
            <w:pPr>
              <w:rPr>
                <w:rFonts w:hint="eastAsia" w:ascii="宋体" w:hAnsi="宋体" w:eastAsia="宋体" w:cs="宋体"/>
                <w:color w:val="auto"/>
                <w:sz w:val="21"/>
                <w:highlight w:val="none"/>
              </w:rPr>
            </w:pPr>
          </w:p>
        </w:tc>
        <w:tc>
          <w:tcPr>
            <w:tcW w:w="1110" w:type="dxa"/>
            <w:vAlign w:val="top"/>
          </w:tcPr>
          <w:p w14:paraId="38316AC7">
            <w:pPr>
              <w:rPr>
                <w:rFonts w:hint="eastAsia" w:ascii="宋体" w:hAnsi="宋体" w:eastAsia="宋体" w:cs="宋体"/>
                <w:color w:val="auto"/>
                <w:sz w:val="21"/>
                <w:highlight w:val="none"/>
              </w:rPr>
            </w:pPr>
          </w:p>
        </w:tc>
        <w:tc>
          <w:tcPr>
            <w:tcW w:w="1110" w:type="dxa"/>
            <w:vAlign w:val="top"/>
          </w:tcPr>
          <w:p w14:paraId="27D3A34B">
            <w:pPr>
              <w:rPr>
                <w:rFonts w:hint="eastAsia" w:ascii="宋体" w:hAnsi="宋体" w:eastAsia="宋体" w:cs="宋体"/>
                <w:color w:val="auto"/>
                <w:sz w:val="21"/>
                <w:highlight w:val="none"/>
              </w:rPr>
            </w:pPr>
          </w:p>
        </w:tc>
        <w:tc>
          <w:tcPr>
            <w:tcW w:w="1111" w:type="dxa"/>
            <w:vAlign w:val="top"/>
          </w:tcPr>
          <w:p w14:paraId="0FB99442">
            <w:pPr>
              <w:rPr>
                <w:rFonts w:hint="eastAsia" w:ascii="宋体" w:hAnsi="宋体" w:eastAsia="宋体" w:cs="宋体"/>
                <w:color w:val="auto"/>
                <w:sz w:val="21"/>
                <w:highlight w:val="none"/>
              </w:rPr>
            </w:pPr>
          </w:p>
        </w:tc>
        <w:tc>
          <w:tcPr>
            <w:tcW w:w="1111" w:type="dxa"/>
            <w:vAlign w:val="top"/>
          </w:tcPr>
          <w:p w14:paraId="760F87B5">
            <w:pPr>
              <w:rPr>
                <w:rFonts w:hint="eastAsia" w:ascii="宋体" w:hAnsi="宋体" w:eastAsia="宋体" w:cs="宋体"/>
                <w:color w:val="auto"/>
                <w:sz w:val="21"/>
                <w:highlight w:val="none"/>
              </w:rPr>
            </w:pPr>
          </w:p>
        </w:tc>
        <w:tc>
          <w:tcPr>
            <w:tcW w:w="1115" w:type="dxa"/>
            <w:vAlign w:val="top"/>
          </w:tcPr>
          <w:p w14:paraId="046D2DC8">
            <w:pPr>
              <w:rPr>
                <w:rFonts w:hint="eastAsia" w:ascii="宋体" w:hAnsi="宋体" w:eastAsia="宋体" w:cs="宋体"/>
                <w:color w:val="auto"/>
                <w:sz w:val="21"/>
                <w:highlight w:val="none"/>
              </w:rPr>
            </w:pPr>
          </w:p>
        </w:tc>
      </w:tr>
      <w:tr w14:paraId="1857BE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868" w:type="dxa"/>
            <w:vAlign w:val="top"/>
          </w:tcPr>
          <w:p w14:paraId="797668FE">
            <w:pPr>
              <w:rPr>
                <w:rFonts w:hint="eastAsia" w:ascii="宋体" w:hAnsi="宋体" w:eastAsia="宋体" w:cs="宋体"/>
                <w:color w:val="auto"/>
                <w:sz w:val="21"/>
                <w:highlight w:val="none"/>
              </w:rPr>
            </w:pPr>
          </w:p>
        </w:tc>
        <w:tc>
          <w:tcPr>
            <w:tcW w:w="1362" w:type="dxa"/>
            <w:vAlign w:val="top"/>
          </w:tcPr>
          <w:p w14:paraId="416881A9">
            <w:pPr>
              <w:rPr>
                <w:rFonts w:hint="eastAsia" w:ascii="宋体" w:hAnsi="宋体" w:eastAsia="宋体" w:cs="宋体"/>
                <w:color w:val="auto"/>
                <w:sz w:val="21"/>
                <w:highlight w:val="none"/>
              </w:rPr>
            </w:pPr>
          </w:p>
        </w:tc>
        <w:tc>
          <w:tcPr>
            <w:tcW w:w="1109" w:type="dxa"/>
            <w:vAlign w:val="top"/>
          </w:tcPr>
          <w:p w14:paraId="6510B341">
            <w:pPr>
              <w:rPr>
                <w:rFonts w:hint="eastAsia" w:ascii="宋体" w:hAnsi="宋体" w:eastAsia="宋体" w:cs="宋体"/>
                <w:color w:val="auto"/>
                <w:sz w:val="21"/>
                <w:highlight w:val="none"/>
              </w:rPr>
            </w:pPr>
          </w:p>
        </w:tc>
        <w:tc>
          <w:tcPr>
            <w:tcW w:w="1110" w:type="dxa"/>
            <w:vAlign w:val="top"/>
          </w:tcPr>
          <w:p w14:paraId="44DC561F">
            <w:pPr>
              <w:rPr>
                <w:rFonts w:hint="eastAsia" w:ascii="宋体" w:hAnsi="宋体" w:eastAsia="宋体" w:cs="宋体"/>
                <w:color w:val="auto"/>
                <w:sz w:val="21"/>
                <w:highlight w:val="none"/>
              </w:rPr>
            </w:pPr>
          </w:p>
        </w:tc>
        <w:tc>
          <w:tcPr>
            <w:tcW w:w="1110" w:type="dxa"/>
            <w:vAlign w:val="top"/>
          </w:tcPr>
          <w:p w14:paraId="7A20936C">
            <w:pPr>
              <w:rPr>
                <w:rFonts w:hint="eastAsia" w:ascii="宋体" w:hAnsi="宋体" w:eastAsia="宋体" w:cs="宋体"/>
                <w:color w:val="auto"/>
                <w:sz w:val="21"/>
                <w:highlight w:val="none"/>
              </w:rPr>
            </w:pPr>
          </w:p>
        </w:tc>
        <w:tc>
          <w:tcPr>
            <w:tcW w:w="1111" w:type="dxa"/>
            <w:vAlign w:val="top"/>
          </w:tcPr>
          <w:p w14:paraId="04652844">
            <w:pPr>
              <w:rPr>
                <w:rFonts w:hint="eastAsia" w:ascii="宋体" w:hAnsi="宋体" w:eastAsia="宋体" w:cs="宋体"/>
                <w:color w:val="auto"/>
                <w:sz w:val="21"/>
                <w:highlight w:val="none"/>
              </w:rPr>
            </w:pPr>
          </w:p>
        </w:tc>
        <w:tc>
          <w:tcPr>
            <w:tcW w:w="1111" w:type="dxa"/>
            <w:vAlign w:val="top"/>
          </w:tcPr>
          <w:p w14:paraId="42ADB6A9">
            <w:pPr>
              <w:rPr>
                <w:rFonts w:hint="eastAsia" w:ascii="宋体" w:hAnsi="宋体" w:eastAsia="宋体" w:cs="宋体"/>
                <w:color w:val="auto"/>
                <w:sz w:val="21"/>
                <w:highlight w:val="none"/>
              </w:rPr>
            </w:pPr>
          </w:p>
        </w:tc>
        <w:tc>
          <w:tcPr>
            <w:tcW w:w="1115" w:type="dxa"/>
            <w:vAlign w:val="top"/>
          </w:tcPr>
          <w:p w14:paraId="69306DFE">
            <w:pPr>
              <w:rPr>
                <w:rFonts w:hint="eastAsia" w:ascii="宋体" w:hAnsi="宋体" w:eastAsia="宋体" w:cs="宋体"/>
                <w:color w:val="auto"/>
                <w:sz w:val="21"/>
                <w:highlight w:val="none"/>
              </w:rPr>
            </w:pPr>
          </w:p>
        </w:tc>
      </w:tr>
      <w:tr w14:paraId="294F8B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868" w:type="dxa"/>
            <w:vAlign w:val="top"/>
          </w:tcPr>
          <w:p w14:paraId="1FF838F6">
            <w:pPr>
              <w:rPr>
                <w:rFonts w:hint="eastAsia" w:ascii="宋体" w:hAnsi="宋体" w:eastAsia="宋体" w:cs="宋体"/>
                <w:color w:val="auto"/>
                <w:sz w:val="21"/>
                <w:highlight w:val="none"/>
              </w:rPr>
            </w:pPr>
          </w:p>
        </w:tc>
        <w:tc>
          <w:tcPr>
            <w:tcW w:w="1362" w:type="dxa"/>
            <w:vAlign w:val="top"/>
          </w:tcPr>
          <w:p w14:paraId="1C46A454">
            <w:pPr>
              <w:rPr>
                <w:rFonts w:hint="eastAsia" w:ascii="宋体" w:hAnsi="宋体" w:eastAsia="宋体" w:cs="宋体"/>
                <w:color w:val="auto"/>
                <w:sz w:val="21"/>
                <w:highlight w:val="none"/>
              </w:rPr>
            </w:pPr>
          </w:p>
        </w:tc>
        <w:tc>
          <w:tcPr>
            <w:tcW w:w="1109" w:type="dxa"/>
            <w:vAlign w:val="top"/>
          </w:tcPr>
          <w:p w14:paraId="4434C25E">
            <w:pPr>
              <w:rPr>
                <w:rFonts w:hint="eastAsia" w:ascii="宋体" w:hAnsi="宋体" w:eastAsia="宋体" w:cs="宋体"/>
                <w:color w:val="auto"/>
                <w:sz w:val="21"/>
                <w:highlight w:val="none"/>
              </w:rPr>
            </w:pPr>
          </w:p>
        </w:tc>
        <w:tc>
          <w:tcPr>
            <w:tcW w:w="1110" w:type="dxa"/>
            <w:vAlign w:val="top"/>
          </w:tcPr>
          <w:p w14:paraId="51C8517E">
            <w:pPr>
              <w:rPr>
                <w:rFonts w:hint="eastAsia" w:ascii="宋体" w:hAnsi="宋体" w:eastAsia="宋体" w:cs="宋体"/>
                <w:color w:val="auto"/>
                <w:sz w:val="21"/>
                <w:highlight w:val="none"/>
              </w:rPr>
            </w:pPr>
          </w:p>
        </w:tc>
        <w:tc>
          <w:tcPr>
            <w:tcW w:w="1110" w:type="dxa"/>
            <w:vAlign w:val="top"/>
          </w:tcPr>
          <w:p w14:paraId="22CA60D8">
            <w:pPr>
              <w:rPr>
                <w:rFonts w:hint="eastAsia" w:ascii="宋体" w:hAnsi="宋体" w:eastAsia="宋体" w:cs="宋体"/>
                <w:color w:val="auto"/>
                <w:sz w:val="21"/>
                <w:highlight w:val="none"/>
              </w:rPr>
            </w:pPr>
          </w:p>
        </w:tc>
        <w:tc>
          <w:tcPr>
            <w:tcW w:w="1111" w:type="dxa"/>
            <w:vAlign w:val="top"/>
          </w:tcPr>
          <w:p w14:paraId="09650AF1">
            <w:pPr>
              <w:rPr>
                <w:rFonts w:hint="eastAsia" w:ascii="宋体" w:hAnsi="宋体" w:eastAsia="宋体" w:cs="宋体"/>
                <w:color w:val="auto"/>
                <w:sz w:val="21"/>
                <w:highlight w:val="none"/>
              </w:rPr>
            </w:pPr>
          </w:p>
        </w:tc>
        <w:tc>
          <w:tcPr>
            <w:tcW w:w="1111" w:type="dxa"/>
            <w:vAlign w:val="top"/>
          </w:tcPr>
          <w:p w14:paraId="190C1A34">
            <w:pPr>
              <w:rPr>
                <w:rFonts w:hint="eastAsia" w:ascii="宋体" w:hAnsi="宋体" w:eastAsia="宋体" w:cs="宋体"/>
                <w:color w:val="auto"/>
                <w:sz w:val="21"/>
                <w:highlight w:val="none"/>
              </w:rPr>
            </w:pPr>
          </w:p>
        </w:tc>
        <w:tc>
          <w:tcPr>
            <w:tcW w:w="1115" w:type="dxa"/>
            <w:vAlign w:val="top"/>
          </w:tcPr>
          <w:p w14:paraId="7A7B1F9B">
            <w:pPr>
              <w:rPr>
                <w:rFonts w:hint="eastAsia" w:ascii="宋体" w:hAnsi="宋体" w:eastAsia="宋体" w:cs="宋体"/>
                <w:color w:val="auto"/>
                <w:sz w:val="21"/>
                <w:highlight w:val="none"/>
              </w:rPr>
            </w:pPr>
          </w:p>
        </w:tc>
      </w:tr>
      <w:tr w14:paraId="5CBECD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868" w:type="dxa"/>
            <w:vAlign w:val="top"/>
          </w:tcPr>
          <w:p w14:paraId="6F35665F">
            <w:pPr>
              <w:rPr>
                <w:rFonts w:hint="eastAsia" w:ascii="宋体" w:hAnsi="宋体" w:eastAsia="宋体" w:cs="宋体"/>
                <w:color w:val="auto"/>
                <w:sz w:val="21"/>
                <w:highlight w:val="none"/>
              </w:rPr>
            </w:pPr>
          </w:p>
        </w:tc>
        <w:tc>
          <w:tcPr>
            <w:tcW w:w="1362" w:type="dxa"/>
            <w:vAlign w:val="top"/>
          </w:tcPr>
          <w:p w14:paraId="4BC8180A">
            <w:pPr>
              <w:rPr>
                <w:rFonts w:hint="eastAsia" w:ascii="宋体" w:hAnsi="宋体" w:eastAsia="宋体" w:cs="宋体"/>
                <w:color w:val="auto"/>
                <w:sz w:val="21"/>
                <w:highlight w:val="none"/>
              </w:rPr>
            </w:pPr>
          </w:p>
        </w:tc>
        <w:tc>
          <w:tcPr>
            <w:tcW w:w="1109" w:type="dxa"/>
            <w:vAlign w:val="top"/>
          </w:tcPr>
          <w:p w14:paraId="16423962">
            <w:pPr>
              <w:rPr>
                <w:rFonts w:hint="eastAsia" w:ascii="宋体" w:hAnsi="宋体" w:eastAsia="宋体" w:cs="宋体"/>
                <w:color w:val="auto"/>
                <w:sz w:val="21"/>
                <w:highlight w:val="none"/>
              </w:rPr>
            </w:pPr>
          </w:p>
        </w:tc>
        <w:tc>
          <w:tcPr>
            <w:tcW w:w="1110" w:type="dxa"/>
            <w:vAlign w:val="top"/>
          </w:tcPr>
          <w:p w14:paraId="3431B60A">
            <w:pPr>
              <w:rPr>
                <w:rFonts w:hint="eastAsia" w:ascii="宋体" w:hAnsi="宋体" w:eastAsia="宋体" w:cs="宋体"/>
                <w:color w:val="auto"/>
                <w:sz w:val="21"/>
                <w:highlight w:val="none"/>
              </w:rPr>
            </w:pPr>
          </w:p>
        </w:tc>
        <w:tc>
          <w:tcPr>
            <w:tcW w:w="1110" w:type="dxa"/>
            <w:vAlign w:val="top"/>
          </w:tcPr>
          <w:p w14:paraId="229D9ACB">
            <w:pPr>
              <w:rPr>
                <w:rFonts w:hint="eastAsia" w:ascii="宋体" w:hAnsi="宋体" w:eastAsia="宋体" w:cs="宋体"/>
                <w:color w:val="auto"/>
                <w:sz w:val="21"/>
                <w:highlight w:val="none"/>
              </w:rPr>
            </w:pPr>
          </w:p>
        </w:tc>
        <w:tc>
          <w:tcPr>
            <w:tcW w:w="1111" w:type="dxa"/>
            <w:vAlign w:val="top"/>
          </w:tcPr>
          <w:p w14:paraId="710B99EF">
            <w:pPr>
              <w:rPr>
                <w:rFonts w:hint="eastAsia" w:ascii="宋体" w:hAnsi="宋体" w:eastAsia="宋体" w:cs="宋体"/>
                <w:color w:val="auto"/>
                <w:sz w:val="21"/>
                <w:highlight w:val="none"/>
              </w:rPr>
            </w:pPr>
          </w:p>
        </w:tc>
        <w:tc>
          <w:tcPr>
            <w:tcW w:w="1111" w:type="dxa"/>
            <w:vAlign w:val="top"/>
          </w:tcPr>
          <w:p w14:paraId="651E6084">
            <w:pPr>
              <w:rPr>
                <w:rFonts w:hint="eastAsia" w:ascii="宋体" w:hAnsi="宋体" w:eastAsia="宋体" w:cs="宋体"/>
                <w:color w:val="auto"/>
                <w:sz w:val="21"/>
                <w:highlight w:val="none"/>
              </w:rPr>
            </w:pPr>
          </w:p>
        </w:tc>
        <w:tc>
          <w:tcPr>
            <w:tcW w:w="1115" w:type="dxa"/>
            <w:vAlign w:val="top"/>
          </w:tcPr>
          <w:p w14:paraId="6081F058">
            <w:pPr>
              <w:rPr>
                <w:rFonts w:hint="eastAsia" w:ascii="宋体" w:hAnsi="宋体" w:eastAsia="宋体" w:cs="宋体"/>
                <w:color w:val="auto"/>
                <w:sz w:val="21"/>
                <w:highlight w:val="none"/>
              </w:rPr>
            </w:pPr>
          </w:p>
        </w:tc>
      </w:tr>
      <w:tr w14:paraId="32E211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868" w:type="dxa"/>
            <w:vAlign w:val="top"/>
          </w:tcPr>
          <w:p w14:paraId="356E51C4">
            <w:pPr>
              <w:rPr>
                <w:rFonts w:hint="eastAsia" w:ascii="宋体" w:hAnsi="宋体" w:eastAsia="宋体" w:cs="宋体"/>
                <w:color w:val="auto"/>
                <w:sz w:val="21"/>
                <w:highlight w:val="none"/>
              </w:rPr>
            </w:pPr>
          </w:p>
        </w:tc>
        <w:tc>
          <w:tcPr>
            <w:tcW w:w="1362" w:type="dxa"/>
            <w:vAlign w:val="top"/>
          </w:tcPr>
          <w:p w14:paraId="113894F2">
            <w:pPr>
              <w:rPr>
                <w:rFonts w:hint="eastAsia" w:ascii="宋体" w:hAnsi="宋体" w:eastAsia="宋体" w:cs="宋体"/>
                <w:color w:val="auto"/>
                <w:sz w:val="21"/>
                <w:highlight w:val="none"/>
              </w:rPr>
            </w:pPr>
          </w:p>
        </w:tc>
        <w:tc>
          <w:tcPr>
            <w:tcW w:w="1109" w:type="dxa"/>
            <w:vAlign w:val="top"/>
          </w:tcPr>
          <w:p w14:paraId="0EE0E6AB">
            <w:pPr>
              <w:rPr>
                <w:rFonts w:hint="eastAsia" w:ascii="宋体" w:hAnsi="宋体" w:eastAsia="宋体" w:cs="宋体"/>
                <w:color w:val="auto"/>
                <w:sz w:val="21"/>
                <w:highlight w:val="none"/>
              </w:rPr>
            </w:pPr>
          </w:p>
        </w:tc>
        <w:tc>
          <w:tcPr>
            <w:tcW w:w="1110" w:type="dxa"/>
            <w:vAlign w:val="top"/>
          </w:tcPr>
          <w:p w14:paraId="57BB3BFA">
            <w:pPr>
              <w:rPr>
                <w:rFonts w:hint="eastAsia" w:ascii="宋体" w:hAnsi="宋体" w:eastAsia="宋体" w:cs="宋体"/>
                <w:color w:val="auto"/>
                <w:sz w:val="21"/>
                <w:highlight w:val="none"/>
              </w:rPr>
            </w:pPr>
          </w:p>
        </w:tc>
        <w:tc>
          <w:tcPr>
            <w:tcW w:w="1110" w:type="dxa"/>
            <w:vAlign w:val="top"/>
          </w:tcPr>
          <w:p w14:paraId="775B482E">
            <w:pPr>
              <w:rPr>
                <w:rFonts w:hint="eastAsia" w:ascii="宋体" w:hAnsi="宋体" w:eastAsia="宋体" w:cs="宋体"/>
                <w:color w:val="auto"/>
                <w:sz w:val="21"/>
                <w:highlight w:val="none"/>
              </w:rPr>
            </w:pPr>
          </w:p>
        </w:tc>
        <w:tc>
          <w:tcPr>
            <w:tcW w:w="1111" w:type="dxa"/>
            <w:vAlign w:val="top"/>
          </w:tcPr>
          <w:p w14:paraId="2E5362B1">
            <w:pPr>
              <w:rPr>
                <w:rFonts w:hint="eastAsia" w:ascii="宋体" w:hAnsi="宋体" w:eastAsia="宋体" w:cs="宋体"/>
                <w:color w:val="auto"/>
                <w:sz w:val="21"/>
                <w:highlight w:val="none"/>
              </w:rPr>
            </w:pPr>
          </w:p>
        </w:tc>
        <w:tc>
          <w:tcPr>
            <w:tcW w:w="1111" w:type="dxa"/>
            <w:vAlign w:val="top"/>
          </w:tcPr>
          <w:p w14:paraId="46D1B678">
            <w:pPr>
              <w:rPr>
                <w:rFonts w:hint="eastAsia" w:ascii="宋体" w:hAnsi="宋体" w:eastAsia="宋体" w:cs="宋体"/>
                <w:color w:val="auto"/>
                <w:sz w:val="21"/>
                <w:highlight w:val="none"/>
              </w:rPr>
            </w:pPr>
          </w:p>
        </w:tc>
        <w:tc>
          <w:tcPr>
            <w:tcW w:w="1115" w:type="dxa"/>
            <w:vAlign w:val="top"/>
          </w:tcPr>
          <w:p w14:paraId="7B090DAC">
            <w:pPr>
              <w:rPr>
                <w:rFonts w:hint="eastAsia" w:ascii="宋体" w:hAnsi="宋体" w:eastAsia="宋体" w:cs="宋体"/>
                <w:color w:val="auto"/>
                <w:sz w:val="21"/>
                <w:highlight w:val="none"/>
              </w:rPr>
            </w:pPr>
          </w:p>
        </w:tc>
      </w:tr>
      <w:tr w14:paraId="2DCC49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868" w:type="dxa"/>
            <w:vAlign w:val="top"/>
          </w:tcPr>
          <w:p w14:paraId="1BAC4586">
            <w:pPr>
              <w:rPr>
                <w:rFonts w:hint="eastAsia" w:ascii="宋体" w:hAnsi="宋体" w:eastAsia="宋体" w:cs="宋体"/>
                <w:color w:val="auto"/>
                <w:sz w:val="21"/>
                <w:highlight w:val="none"/>
              </w:rPr>
            </w:pPr>
          </w:p>
        </w:tc>
        <w:tc>
          <w:tcPr>
            <w:tcW w:w="1362" w:type="dxa"/>
            <w:vAlign w:val="top"/>
          </w:tcPr>
          <w:p w14:paraId="0CC195EC">
            <w:pPr>
              <w:rPr>
                <w:rFonts w:hint="eastAsia" w:ascii="宋体" w:hAnsi="宋体" w:eastAsia="宋体" w:cs="宋体"/>
                <w:color w:val="auto"/>
                <w:sz w:val="21"/>
                <w:highlight w:val="none"/>
              </w:rPr>
            </w:pPr>
          </w:p>
        </w:tc>
        <w:tc>
          <w:tcPr>
            <w:tcW w:w="1109" w:type="dxa"/>
            <w:vAlign w:val="top"/>
          </w:tcPr>
          <w:p w14:paraId="6C0EB4E9">
            <w:pPr>
              <w:rPr>
                <w:rFonts w:hint="eastAsia" w:ascii="宋体" w:hAnsi="宋体" w:eastAsia="宋体" w:cs="宋体"/>
                <w:color w:val="auto"/>
                <w:sz w:val="21"/>
                <w:highlight w:val="none"/>
              </w:rPr>
            </w:pPr>
          </w:p>
        </w:tc>
        <w:tc>
          <w:tcPr>
            <w:tcW w:w="1110" w:type="dxa"/>
            <w:vAlign w:val="top"/>
          </w:tcPr>
          <w:p w14:paraId="51191846">
            <w:pPr>
              <w:rPr>
                <w:rFonts w:hint="eastAsia" w:ascii="宋体" w:hAnsi="宋体" w:eastAsia="宋体" w:cs="宋体"/>
                <w:color w:val="auto"/>
                <w:sz w:val="21"/>
                <w:highlight w:val="none"/>
              </w:rPr>
            </w:pPr>
          </w:p>
        </w:tc>
        <w:tc>
          <w:tcPr>
            <w:tcW w:w="1110" w:type="dxa"/>
            <w:vAlign w:val="top"/>
          </w:tcPr>
          <w:p w14:paraId="235DA33E">
            <w:pPr>
              <w:rPr>
                <w:rFonts w:hint="eastAsia" w:ascii="宋体" w:hAnsi="宋体" w:eastAsia="宋体" w:cs="宋体"/>
                <w:color w:val="auto"/>
                <w:sz w:val="21"/>
                <w:highlight w:val="none"/>
              </w:rPr>
            </w:pPr>
          </w:p>
        </w:tc>
        <w:tc>
          <w:tcPr>
            <w:tcW w:w="1111" w:type="dxa"/>
            <w:vAlign w:val="top"/>
          </w:tcPr>
          <w:p w14:paraId="79175CAF">
            <w:pPr>
              <w:rPr>
                <w:rFonts w:hint="eastAsia" w:ascii="宋体" w:hAnsi="宋体" w:eastAsia="宋体" w:cs="宋体"/>
                <w:color w:val="auto"/>
                <w:sz w:val="21"/>
                <w:highlight w:val="none"/>
              </w:rPr>
            </w:pPr>
          </w:p>
        </w:tc>
        <w:tc>
          <w:tcPr>
            <w:tcW w:w="1111" w:type="dxa"/>
            <w:vAlign w:val="top"/>
          </w:tcPr>
          <w:p w14:paraId="4C2D4DEE">
            <w:pPr>
              <w:rPr>
                <w:rFonts w:hint="eastAsia" w:ascii="宋体" w:hAnsi="宋体" w:eastAsia="宋体" w:cs="宋体"/>
                <w:color w:val="auto"/>
                <w:sz w:val="21"/>
                <w:highlight w:val="none"/>
              </w:rPr>
            </w:pPr>
          </w:p>
        </w:tc>
        <w:tc>
          <w:tcPr>
            <w:tcW w:w="1115" w:type="dxa"/>
            <w:vAlign w:val="top"/>
          </w:tcPr>
          <w:p w14:paraId="52B5EE59">
            <w:pPr>
              <w:rPr>
                <w:rFonts w:hint="eastAsia" w:ascii="宋体" w:hAnsi="宋体" w:eastAsia="宋体" w:cs="宋体"/>
                <w:color w:val="auto"/>
                <w:sz w:val="21"/>
                <w:highlight w:val="none"/>
              </w:rPr>
            </w:pPr>
          </w:p>
        </w:tc>
      </w:tr>
      <w:tr w14:paraId="022BE4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868" w:type="dxa"/>
            <w:vAlign w:val="top"/>
          </w:tcPr>
          <w:p w14:paraId="65EEB63F">
            <w:pPr>
              <w:rPr>
                <w:rFonts w:hint="eastAsia" w:ascii="宋体" w:hAnsi="宋体" w:eastAsia="宋体" w:cs="宋体"/>
                <w:color w:val="auto"/>
                <w:sz w:val="21"/>
                <w:highlight w:val="none"/>
              </w:rPr>
            </w:pPr>
          </w:p>
        </w:tc>
        <w:tc>
          <w:tcPr>
            <w:tcW w:w="1362" w:type="dxa"/>
            <w:vAlign w:val="top"/>
          </w:tcPr>
          <w:p w14:paraId="364E6D6C">
            <w:pPr>
              <w:rPr>
                <w:rFonts w:hint="eastAsia" w:ascii="宋体" w:hAnsi="宋体" w:eastAsia="宋体" w:cs="宋体"/>
                <w:color w:val="auto"/>
                <w:sz w:val="21"/>
                <w:highlight w:val="none"/>
              </w:rPr>
            </w:pPr>
          </w:p>
        </w:tc>
        <w:tc>
          <w:tcPr>
            <w:tcW w:w="1109" w:type="dxa"/>
            <w:vAlign w:val="top"/>
          </w:tcPr>
          <w:p w14:paraId="289036D2">
            <w:pPr>
              <w:rPr>
                <w:rFonts w:hint="eastAsia" w:ascii="宋体" w:hAnsi="宋体" w:eastAsia="宋体" w:cs="宋体"/>
                <w:color w:val="auto"/>
                <w:sz w:val="21"/>
                <w:highlight w:val="none"/>
              </w:rPr>
            </w:pPr>
          </w:p>
        </w:tc>
        <w:tc>
          <w:tcPr>
            <w:tcW w:w="1110" w:type="dxa"/>
            <w:vAlign w:val="top"/>
          </w:tcPr>
          <w:p w14:paraId="57ACF111">
            <w:pPr>
              <w:rPr>
                <w:rFonts w:hint="eastAsia" w:ascii="宋体" w:hAnsi="宋体" w:eastAsia="宋体" w:cs="宋体"/>
                <w:color w:val="auto"/>
                <w:sz w:val="21"/>
                <w:highlight w:val="none"/>
              </w:rPr>
            </w:pPr>
          </w:p>
        </w:tc>
        <w:tc>
          <w:tcPr>
            <w:tcW w:w="1110" w:type="dxa"/>
            <w:vAlign w:val="top"/>
          </w:tcPr>
          <w:p w14:paraId="1ED3C5D2">
            <w:pPr>
              <w:rPr>
                <w:rFonts w:hint="eastAsia" w:ascii="宋体" w:hAnsi="宋体" w:eastAsia="宋体" w:cs="宋体"/>
                <w:color w:val="auto"/>
                <w:sz w:val="21"/>
                <w:highlight w:val="none"/>
              </w:rPr>
            </w:pPr>
          </w:p>
        </w:tc>
        <w:tc>
          <w:tcPr>
            <w:tcW w:w="1111" w:type="dxa"/>
            <w:vAlign w:val="top"/>
          </w:tcPr>
          <w:p w14:paraId="50A5839B">
            <w:pPr>
              <w:rPr>
                <w:rFonts w:hint="eastAsia" w:ascii="宋体" w:hAnsi="宋体" w:eastAsia="宋体" w:cs="宋体"/>
                <w:color w:val="auto"/>
                <w:sz w:val="21"/>
                <w:highlight w:val="none"/>
              </w:rPr>
            </w:pPr>
          </w:p>
        </w:tc>
        <w:tc>
          <w:tcPr>
            <w:tcW w:w="1111" w:type="dxa"/>
            <w:vAlign w:val="top"/>
          </w:tcPr>
          <w:p w14:paraId="57D88A87">
            <w:pPr>
              <w:rPr>
                <w:rFonts w:hint="eastAsia" w:ascii="宋体" w:hAnsi="宋体" w:eastAsia="宋体" w:cs="宋体"/>
                <w:color w:val="auto"/>
                <w:sz w:val="21"/>
                <w:highlight w:val="none"/>
              </w:rPr>
            </w:pPr>
          </w:p>
        </w:tc>
        <w:tc>
          <w:tcPr>
            <w:tcW w:w="1115" w:type="dxa"/>
            <w:vAlign w:val="top"/>
          </w:tcPr>
          <w:p w14:paraId="02B9EE64">
            <w:pPr>
              <w:rPr>
                <w:rFonts w:hint="eastAsia" w:ascii="宋体" w:hAnsi="宋体" w:eastAsia="宋体" w:cs="宋体"/>
                <w:color w:val="auto"/>
                <w:sz w:val="21"/>
                <w:highlight w:val="none"/>
              </w:rPr>
            </w:pPr>
          </w:p>
        </w:tc>
      </w:tr>
      <w:tr w14:paraId="7DCF31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868" w:type="dxa"/>
            <w:vAlign w:val="top"/>
          </w:tcPr>
          <w:p w14:paraId="2323BC5D">
            <w:pPr>
              <w:rPr>
                <w:rFonts w:hint="eastAsia" w:ascii="宋体" w:hAnsi="宋体" w:eastAsia="宋体" w:cs="宋体"/>
                <w:color w:val="auto"/>
                <w:sz w:val="21"/>
                <w:highlight w:val="none"/>
              </w:rPr>
            </w:pPr>
          </w:p>
        </w:tc>
        <w:tc>
          <w:tcPr>
            <w:tcW w:w="1362" w:type="dxa"/>
            <w:vAlign w:val="top"/>
          </w:tcPr>
          <w:p w14:paraId="3B5A43E0">
            <w:pPr>
              <w:rPr>
                <w:rFonts w:hint="eastAsia" w:ascii="宋体" w:hAnsi="宋体" w:eastAsia="宋体" w:cs="宋体"/>
                <w:color w:val="auto"/>
                <w:sz w:val="21"/>
                <w:highlight w:val="none"/>
              </w:rPr>
            </w:pPr>
          </w:p>
        </w:tc>
        <w:tc>
          <w:tcPr>
            <w:tcW w:w="1109" w:type="dxa"/>
            <w:vAlign w:val="top"/>
          </w:tcPr>
          <w:p w14:paraId="4636C4B2">
            <w:pPr>
              <w:rPr>
                <w:rFonts w:hint="eastAsia" w:ascii="宋体" w:hAnsi="宋体" w:eastAsia="宋体" w:cs="宋体"/>
                <w:color w:val="auto"/>
                <w:sz w:val="21"/>
                <w:highlight w:val="none"/>
              </w:rPr>
            </w:pPr>
          </w:p>
        </w:tc>
        <w:tc>
          <w:tcPr>
            <w:tcW w:w="1110" w:type="dxa"/>
            <w:vAlign w:val="top"/>
          </w:tcPr>
          <w:p w14:paraId="403A0B0E">
            <w:pPr>
              <w:rPr>
                <w:rFonts w:hint="eastAsia" w:ascii="宋体" w:hAnsi="宋体" w:eastAsia="宋体" w:cs="宋体"/>
                <w:color w:val="auto"/>
                <w:sz w:val="21"/>
                <w:highlight w:val="none"/>
              </w:rPr>
            </w:pPr>
          </w:p>
        </w:tc>
        <w:tc>
          <w:tcPr>
            <w:tcW w:w="1110" w:type="dxa"/>
            <w:vAlign w:val="top"/>
          </w:tcPr>
          <w:p w14:paraId="6B321386">
            <w:pPr>
              <w:rPr>
                <w:rFonts w:hint="eastAsia" w:ascii="宋体" w:hAnsi="宋体" w:eastAsia="宋体" w:cs="宋体"/>
                <w:color w:val="auto"/>
                <w:sz w:val="21"/>
                <w:highlight w:val="none"/>
              </w:rPr>
            </w:pPr>
          </w:p>
        </w:tc>
        <w:tc>
          <w:tcPr>
            <w:tcW w:w="1111" w:type="dxa"/>
            <w:vAlign w:val="top"/>
          </w:tcPr>
          <w:p w14:paraId="6FBBEB82">
            <w:pPr>
              <w:rPr>
                <w:rFonts w:hint="eastAsia" w:ascii="宋体" w:hAnsi="宋体" w:eastAsia="宋体" w:cs="宋体"/>
                <w:color w:val="auto"/>
                <w:sz w:val="21"/>
                <w:highlight w:val="none"/>
              </w:rPr>
            </w:pPr>
          </w:p>
        </w:tc>
        <w:tc>
          <w:tcPr>
            <w:tcW w:w="1111" w:type="dxa"/>
            <w:vAlign w:val="top"/>
          </w:tcPr>
          <w:p w14:paraId="3D5A3332">
            <w:pPr>
              <w:rPr>
                <w:rFonts w:hint="eastAsia" w:ascii="宋体" w:hAnsi="宋体" w:eastAsia="宋体" w:cs="宋体"/>
                <w:color w:val="auto"/>
                <w:sz w:val="21"/>
                <w:highlight w:val="none"/>
              </w:rPr>
            </w:pPr>
          </w:p>
        </w:tc>
        <w:tc>
          <w:tcPr>
            <w:tcW w:w="1115" w:type="dxa"/>
            <w:vAlign w:val="top"/>
          </w:tcPr>
          <w:p w14:paraId="7A273EE8">
            <w:pPr>
              <w:rPr>
                <w:rFonts w:hint="eastAsia" w:ascii="宋体" w:hAnsi="宋体" w:eastAsia="宋体" w:cs="宋体"/>
                <w:color w:val="auto"/>
                <w:sz w:val="21"/>
                <w:highlight w:val="none"/>
              </w:rPr>
            </w:pPr>
          </w:p>
        </w:tc>
      </w:tr>
      <w:tr w14:paraId="1831BE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868" w:type="dxa"/>
            <w:vAlign w:val="top"/>
          </w:tcPr>
          <w:p w14:paraId="71F83336">
            <w:pPr>
              <w:rPr>
                <w:rFonts w:hint="eastAsia" w:ascii="宋体" w:hAnsi="宋体" w:eastAsia="宋体" w:cs="宋体"/>
                <w:color w:val="auto"/>
                <w:sz w:val="21"/>
                <w:highlight w:val="none"/>
              </w:rPr>
            </w:pPr>
          </w:p>
        </w:tc>
        <w:tc>
          <w:tcPr>
            <w:tcW w:w="1362" w:type="dxa"/>
            <w:vAlign w:val="top"/>
          </w:tcPr>
          <w:p w14:paraId="369F1817">
            <w:pPr>
              <w:rPr>
                <w:rFonts w:hint="eastAsia" w:ascii="宋体" w:hAnsi="宋体" w:eastAsia="宋体" w:cs="宋体"/>
                <w:color w:val="auto"/>
                <w:sz w:val="21"/>
                <w:highlight w:val="none"/>
              </w:rPr>
            </w:pPr>
          </w:p>
        </w:tc>
        <w:tc>
          <w:tcPr>
            <w:tcW w:w="1109" w:type="dxa"/>
            <w:vAlign w:val="top"/>
          </w:tcPr>
          <w:p w14:paraId="3257632B">
            <w:pPr>
              <w:rPr>
                <w:rFonts w:hint="eastAsia" w:ascii="宋体" w:hAnsi="宋体" w:eastAsia="宋体" w:cs="宋体"/>
                <w:color w:val="auto"/>
                <w:sz w:val="21"/>
                <w:highlight w:val="none"/>
              </w:rPr>
            </w:pPr>
          </w:p>
        </w:tc>
        <w:tc>
          <w:tcPr>
            <w:tcW w:w="1110" w:type="dxa"/>
            <w:vAlign w:val="top"/>
          </w:tcPr>
          <w:p w14:paraId="4FEC2367">
            <w:pPr>
              <w:rPr>
                <w:rFonts w:hint="eastAsia" w:ascii="宋体" w:hAnsi="宋体" w:eastAsia="宋体" w:cs="宋体"/>
                <w:color w:val="auto"/>
                <w:sz w:val="21"/>
                <w:highlight w:val="none"/>
              </w:rPr>
            </w:pPr>
          </w:p>
        </w:tc>
        <w:tc>
          <w:tcPr>
            <w:tcW w:w="1110" w:type="dxa"/>
            <w:vAlign w:val="top"/>
          </w:tcPr>
          <w:p w14:paraId="2FA444CB">
            <w:pPr>
              <w:rPr>
                <w:rFonts w:hint="eastAsia" w:ascii="宋体" w:hAnsi="宋体" w:eastAsia="宋体" w:cs="宋体"/>
                <w:color w:val="auto"/>
                <w:sz w:val="21"/>
                <w:highlight w:val="none"/>
              </w:rPr>
            </w:pPr>
          </w:p>
        </w:tc>
        <w:tc>
          <w:tcPr>
            <w:tcW w:w="1111" w:type="dxa"/>
            <w:vAlign w:val="top"/>
          </w:tcPr>
          <w:p w14:paraId="1FC308B3">
            <w:pPr>
              <w:rPr>
                <w:rFonts w:hint="eastAsia" w:ascii="宋体" w:hAnsi="宋体" w:eastAsia="宋体" w:cs="宋体"/>
                <w:color w:val="auto"/>
                <w:sz w:val="21"/>
                <w:highlight w:val="none"/>
              </w:rPr>
            </w:pPr>
          </w:p>
        </w:tc>
        <w:tc>
          <w:tcPr>
            <w:tcW w:w="1111" w:type="dxa"/>
            <w:vAlign w:val="top"/>
          </w:tcPr>
          <w:p w14:paraId="0F36A286">
            <w:pPr>
              <w:rPr>
                <w:rFonts w:hint="eastAsia" w:ascii="宋体" w:hAnsi="宋体" w:eastAsia="宋体" w:cs="宋体"/>
                <w:color w:val="auto"/>
                <w:sz w:val="21"/>
                <w:highlight w:val="none"/>
              </w:rPr>
            </w:pPr>
          </w:p>
        </w:tc>
        <w:tc>
          <w:tcPr>
            <w:tcW w:w="1115" w:type="dxa"/>
            <w:vAlign w:val="top"/>
          </w:tcPr>
          <w:p w14:paraId="419E4928">
            <w:pPr>
              <w:rPr>
                <w:rFonts w:hint="eastAsia" w:ascii="宋体" w:hAnsi="宋体" w:eastAsia="宋体" w:cs="宋体"/>
                <w:color w:val="auto"/>
                <w:sz w:val="21"/>
                <w:highlight w:val="none"/>
              </w:rPr>
            </w:pPr>
          </w:p>
        </w:tc>
      </w:tr>
      <w:tr w14:paraId="1F996E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868" w:type="dxa"/>
            <w:vAlign w:val="top"/>
          </w:tcPr>
          <w:p w14:paraId="640F8D5F">
            <w:pPr>
              <w:rPr>
                <w:rFonts w:hint="eastAsia" w:ascii="宋体" w:hAnsi="宋体" w:eastAsia="宋体" w:cs="宋体"/>
                <w:color w:val="auto"/>
                <w:sz w:val="21"/>
                <w:highlight w:val="none"/>
              </w:rPr>
            </w:pPr>
          </w:p>
        </w:tc>
        <w:tc>
          <w:tcPr>
            <w:tcW w:w="1362" w:type="dxa"/>
            <w:vAlign w:val="top"/>
          </w:tcPr>
          <w:p w14:paraId="6F39B9A7">
            <w:pPr>
              <w:rPr>
                <w:rFonts w:hint="eastAsia" w:ascii="宋体" w:hAnsi="宋体" w:eastAsia="宋体" w:cs="宋体"/>
                <w:color w:val="auto"/>
                <w:sz w:val="21"/>
                <w:highlight w:val="none"/>
              </w:rPr>
            </w:pPr>
          </w:p>
        </w:tc>
        <w:tc>
          <w:tcPr>
            <w:tcW w:w="1109" w:type="dxa"/>
            <w:vAlign w:val="top"/>
          </w:tcPr>
          <w:p w14:paraId="5D45500D">
            <w:pPr>
              <w:rPr>
                <w:rFonts w:hint="eastAsia" w:ascii="宋体" w:hAnsi="宋体" w:eastAsia="宋体" w:cs="宋体"/>
                <w:color w:val="auto"/>
                <w:sz w:val="21"/>
                <w:highlight w:val="none"/>
              </w:rPr>
            </w:pPr>
          </w:p>
        </w:tc>
        <w:tc>
          <w:tcPr>
            <w:tcW w:w="1110" w:type="dxa"/>
            <w:vAlign w:val="top"/>
          </w:tcPr>
          <w:p w14:paraId="5AB46543">
            <w:pPr>
              <w:rPr>
                <w:rFonts w:hint="eastAsia" w:ascii="宋体" w:hAnsi="宋体" w:eastAsia="宋体" w:cs="宋体"/>
                <w:color w:val="auto"/>
                <w:sz w:val="21"/>
                <w:highlight w:val="none"/>
              </w:rPr>
            </w:pPr>
          </w:p>
        </w:tc>
        <w:tc>
          <w:tcPr>
            <w:tcW w:w="1110" w:type="dxa"/>
            <w:vAlign w:val="top"/>
          </w:tcPr>
          <w:p w14:paraId="24A54C47">
            <w:pPr>
              <w:rPr>
                <w:rFonts w:hint="eastAsia" w:ascii="宋体" w:hAnsi="宋体" w:eastAsia="宋体" w:cs="宋体"/>
                <w:color w:val="auto"/>
                <w:sz w:val="21"/>
                <w:highlight w:val="none"/>
              </w:rPr>
            </w:pPr>
          </w:p>
        </w:tc>
        <w:tc>
          <w:tcPr>
            <w:tcW w:w="1111" w:type="dxa"/>
            <w:vAlign w:val="top"/>
          </w:tcPr>
          <w:p w14:paraId="690D8568">
            <w:pPr>
              <w:rPr>
                <w:rFonts w:hint="eastAsia" w:ascii="宋体" w:hAnsi="宋体" w:eastAsia="宋体" w:cs="宋体"/>
                <w:color w:val="auto"/>
                <w:sz w:val="21"/>
                <w:highlight w:val="none"/>
              </w:rPr>
            </w:pPr>
          </w:p>
        </w:tc>
        <w:tc>
          <w:tcPr>
            <w:tcW w:w="1111" w:type="dxa"/>
            <w:vAlign w:val="top"/>
          </w:tcPr>
          <w:p w14:paraId="560E31AD">
            <w:pPr>
              <w:rPr>
                <w:rFonts w:hint="eastAsia" w:ascii="宋体" w:hAnsi="宋体" w:eastAsia="宋体" w:cs="宋体"/>
                <w:color w:val="auto"/>
                <w:sz w:val="21"/>
                <w:highlight w:val="none"/>
              </w:rPr>
            </w:pPr>
          </w:p>
        </w:tc>
        <w:tc>
          <w:tcPr>
            <w:tcW w:w="1115" w:type="dxa"/>
            <w:vAlign w:val="top"/>
          </w:tcPr>
          <w:p w14:paraId="3A8E3E1F">
            <w:pPr>
              <w:rPr>
                <w:rFonts w:hint="eastAsia" w:ascii="宋体" w:hAnsi="宋体" w:eastAsia="宋体" w:cs="宋体"/>
                <w:color w:val="auto"/>
                <w:sz w:val="21"/>
                <w:highlight w:val="none"/>
              </w:rPr>
            </w:pPr>
          </w:p>
        </w:tc>
      </w:tr>
      <w:tr w14:paraId="5C14D8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868" w:type="dxa"/>
            <w:vAlign w:val="top"/>
          </w:tcPr>
          <w:p w14:paraId="3B33DBDB">
            <w:pPr>
              <w:rPr>
                <w:rFonts w:hint="eastAsia" w:ascii="宋体" w:hAnsi="宋体" w:eastAsia="宋体" w:cs="宋体"/>
                <w:color w:val="auto"/>
                <w:sz w:val="21"/>
                <w:highlight w:val="none"/>
              </w:rPr>
            </w:pPr>
          </w:p>
        </w:tc>
        <w:tc>
          <w:tcPr>
            <w:tcW w:w="1362" w:type="dxa"/>
            <w:vAlign w:val="top"/>
          </w:tcPr>
          <w:p w14:paraId="5603545B">
            <w:pPr>
              <w:rPr>
                <w:rFonts w:hint="eastAsia" w:ascii="宋体" w:hAnsi="宋体" w:eastAsia="宋体" w:cs="宋体"/>
                <w:color w:val="auto"/>
                <w:sz w:val="21"/>
                <w:highlight w:val="none"/>
              </w:rPr>
            </w:pPr>
          </w:p>
        </w:tc>
        <w:tc>
          <w:tcPr>
            <w:tcW w:w="1109" w:type="dxa"/>
            <w:vAlign w:val="top"/>
          </w:tcPr>
          <w:p w14:paraId="36905180">
            <w:pPr>
              <w:rPr>
                <w:rFonts w:hint="eastAsia" w:ascii="宋体" w:hAnsi="宋体" w:eastAsia="宋体" w:cs="宋体"/>
                <w:color w:val="auto"/>
                <w:sz w:val="21"/>
                <w:highlight w:val="none"/>
              </w:rPr>
            </w:pPr>
          </w:p>
        </w:tc>
        <w:tc>
          <w:tcPr>
            <w:tcW w:w="1110" w:type="dxa"/>
            <w:vAlign w:val="top"/>
          </w:tcPr>
          <w:p w14:paraId="6C24AF86">
            <w:pPr>
              <w:rPr>
                <w:rFonts w:hint="eastAsia" w:ascii="宋体" w:hAnsi="宋体" w:eastAsia="宋体" w:cs="宋体"/>
                <w:color w:val="auto"/>
                <w:sz w:val="21"/>
                <w:highlight w:val="none"/>
              </w:rPr>
            </w:pPr>
          </w:p>
        </w:tc>
        <w:tc>
          <w:tcPr>
            <w:tcW w:w="1110" w:type="dxa"/>
            <w:vAlign w:val="top"/>
          </w:tcPr>
          <w:p w14:paraId="682B9D4D">
            <w:pPr>
              <w:rPr>
                <w:rFonts w:hint="eastAsia" w:ascii="宋体" w:hAnsi="宋体" w:eastAsia="宋体" w:cs="宋体"/>
                <w:color w:val="auto"/>
                <w:sz w:val="21"/>
                <w:highlight w:val="none"/>
              </w:rPr>
            </w:pPr>
          </w:p>
        </w:tc>
        <w:tc>
          <w:tcPr>
            <w:tcW w:w="1111" w:type="dxa"/>
            <w:vAlign w:val="top"/>
          </w:tcPr>
          <w:p w14:paraId="7F8740D4">
            <w:pPr>
              <w:rPr>
                <w:rFonts w:hint="eastAsia" w:ascii="宋体" w:hAnsi="宋体" w:eastAsia="宋体" w:cs="宋体"/>
                <w:color w:val="auto"/>
                <w:sz w:val="21"/>
                <w:highlight w:val="none"/>
              </w:rPr>
            </w:pPr>
          </w:p>
        </w:tc>
        <w:tc>
          <w:tcPr>
            <w:tcW w:w="1111" w:type="dxa"/>
            <w:vAlign w:val="top"/>
          </w:tcPr>
          <w:p w14:paraId="38B7429F">
            <w:pPr>
              <w:rPr>
                <w:rFonts w:hint="eastAsia" w:ascii="宋体" w:hAnsi="宋体" w:eastAsia="宋体" w:cs="宋体"/>
                <w:color w:val="auto"/>
                <w:sz w:val="21"/>
                <w:highlight w:val="none"/>
              </w:rPr>
            </w:pPr>
          </w:p>
        </w:tc>
        <w:tc>
          <w:tcPr>
            <w:tcW w:w="1115" w:type="dxa"/>
            <w:vAlign w:val="top"/>
          </w:tcPr>
          <w:p w14:paraId="285817E9">
            <w:pPr>
              <w:rPr>
                <w:rFonts w:hint="eastAsia" w:ascii="宋体" w:hAnsi="宋体" w:eastAsia="宋体" w:cs="宋体"/>
                <w:color w:val="auto"/>
                <w:sz w:val="21"/>
                <w:highlight w:val="none"/>
              </w:rPr>
            </w:pPr>
          </w:p>
        </w:tc>
      </w:tr>
      <w:tr w14:paraId="5C2692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868" w:type="dxa"/>
            <w:vAlign w:val="top"/>
          </w:tcPr>
          <w:p w14:paraId="67D19808">
            <w:pPr>
              <w:rPr>
                <w:rFonts w:hint="eastAsia" w:ascii="宋体" w:hAnsi="宋体" w:eastAsia="宋体" w:cs="宋体"/>
                <w:color w:val="auto"/>
                <w:sz w:val="21"/>
                <w:highlight w:val="none"/>
              </w:rPr>
            </w:pPr>
          </w:p>
        </w:tc>
        <w:tc>
          <w:tcPr>
            <w:tcW w:w="1362" w:type="dxa"/>
            <w:vAlign w:val="top"/>
          </w:tcPr>
          <w:p w14:paraId="33ADA48A">
            <w:pPr>
              <w:rPr>
                <w:rFonts w:hint="eastAsia" w:ascii="宋体" w:hAnsi="宋体" w:eastAsia="宋体" w:cs="宋体"/>
                <w:color w:val="auto"/>
                <w:sz w:val="21"/>
                <w:highlight w:val="none"/>
              </w:rPr>
            </w:pPr>
          </w:p>
        </w:tc>
        <w:tc>
          <w:tcPr>
            <w:tcW w:w="1109" w:type="dxa"/>
            <w:vAlign w:val="top"/>
          </w:tcPr>
          <w:p w14:paraId="701B1639">
            <w:pPr>
              <w:rPr>
                <w:rFonts w:hint="eastAsia" w:ascii="宋体" w:hAnsi="宋体" w:eastAsia="宋体" w:cs="宋体"/>
                <w:color w:val="auto"/>
                <w:sz w:val="21"/>
                <w:highlight w:val="none"/>
              </w:rPr>
            </w:pPr>
          </w:p>
        </w:tc>
        <w:tc>
          <w:tcPr>
            <w:tcW w:w="1110" w:type="dxa"/>
            <w:vAlign w:val="top"/>
          </w:tcPr>
          <w:p w14:paraId="7F0EABD3">
            <w:pPr>
              <w:rPr>
                <w:rFonts w:hint="eastAsia" w:ascii="宋体" w:hAnsi="宋体" w:eastAsia="宋体" w:cs="宋体"/>
                <w:color w:val="auto"/>
                <w:sz w:val="21"/>
                <w:highlight w:val="none"/>
              </w:rPr>
            </w:pPr>
          </w:p>
        </w:tc>
        <w:tc>
          <w:tcPr>
            <w:tcW w:w="1110" w:type="dxa"/>
            <w:vAlign w:val="top"/>
          </w:tcPr>
          <w:p w14:paraId="3DEB7780">
            <w:pPr>
              <w:rPr>
                <w:rFonts w:hint="eastAsia" w:ascii="宋体" w:hAnsi="宋体" w:eastAsia="宋体" w:cs="宋体"/>
                <w:color w:val="auto"/>
                <w:sz w:val="21"/>
                <w:highlight w:val="none"/>
              </w:rPr>
            </w:pPr>
          </w:p>
        </w:tc>
        <w:tc>
          <w:tcPr>
            <w:tcW w:w="1111" w:type="dxa"/>
            <w:vAlign w:val="top"/>
          </w:tcPr>
          <w:p w14:paraId="6C87B2F2">
            <w:pPr>
              <w:rPr>
                <w:rFonts w:hint="eastAsia" w:ascii="宋体" w:hAnsi="宋体" w:eastAsia="宋体" w:cs="宋体"/>
                <w:color w:val="auto"/>
                <w:sz w:val="21"/>
                <w:highlight w:val="none"/>
              </w:rPr>
            </w:pPr>
          </w:p>
        </w:tc>
        <w:tc>
          <w:tcPr>
            <w:tcW w:w="1111" w:type="dxa"/>
            <w:vAlign w:val="top"/>
          </w:tcPr>
          <w:p w14:paraId="2C29AB6E">
            <w:pPr>
              <w:rPr>
                <w:rFonts w:hint="eastAsia" w:ascii="宋体" w:hAnsi="宋体" w:eastAsia="宋体" w:cs="宋体"/>
                <w:color w:val="auto"/>
                <w:sz w:val="21"/>
                <w:highlight w:val="none"/>
              </w:rPr>
            </w:pPr>
          </w:p>
        </w:tc>
        <w:tc>
          <w:tcPr>
            <w:tcW w:w="1115" w:type="dxa"/>
            <w:vAlign w:val="top"/>
          </w:tcPr>
          <w:p w14:paraId="37B1BEAC">
            <w:pPr>
              <w:rPr>
                <w:rFonts w:hint="eastAsia" w:ascii="宋体" w:hAnsi="宋体" w:eastAsia="宋体" w:cs="宋体"/>
                <w:color w:val="auto"/>
                <w:sz w:val="21"/>
                <w:highlight w:val="none"/>
              </w:rPr>
            </w:pPr>
          </w:p>
        </w:tc>
      </w:tr>
      <w:tr w14:paraId="003B9E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868" w:type="dxa"/>
            <w:vAlign w:val="top"/>
          </w:tcPr>
          <w:p w14:paraId="7DB5A734">
            <w:pPr>
              <w:rPr>
                <w:rFonts w:hint="eastAsia" w:ascii="宋体" w:hAnsi="宋体" w:eastAsia="宋体" w:cs="宋体"/>
                <w:color w:val="auto"/>
                <w:sz w:val="21"/>
                <w:highlight w:val="none"/>
              </w:rPr>
            </w:pPr>
          </w:p>
        </w:tc>
        <w:tc>
          <w:tcPr>
            <w:tcW w:w="1362" w:type="dxa"/>
            <w:vAlign w:val="top"/>
          </w:tcPr>
          <w:p w14:paraId="44CBD0C4">
            <w:pPr>
              <w:rPr>
                <w:rFonts w:hint="eastAsia" w:ascii="宋体" w:hAnsi="宋体" w:eastAsia="宋体" w:cs="宋体"/>
                <w:color w:val="auto"/>
                <w:sz w:val="21"/>
                <w:highlight w:val="none"/>
              </w:rPr>
            </w:pPr>
          </w:p>
        </w:tc>
        <w:tc>
          <w:tcPr>
            <w:tcW w:w="1109" w:type="dxa"/>
            <w:vAlign w:val="top"/>
          </w:tcPr>
          <w:p w14:paraId="35C82D42">
            <w:pPr>
              <w:rPr>
                <w:rFonts w:hint="eastAsia" w:ascii="宋体" w:hAnsi="宋体" w:eastAsia="宋体" w:cs="宋体"/>
                <w:color w:val="auto"/>
                <w:sz w:val="21"/>
                <w:highlight w:val="none"/>
              </w:rPr>
            </w:pPr>
          </w:p>
        </w:tc>
        <w:tc>
          <w:tcPr>
            <w:tcW w:w="1110" w:type="dxa"/>
            <w:vAlign w:val="top"/>
          </w:tcPr>
          <w:p w14:paraId="0BFEA0B3">
            <w:pPr>
              <w:rPr>
                <w:rFonts w:hint="eastAsia" w:ascii="宋体" w:hAnsi="宋体" w:eastAsia="宋体" w:cs="宋体"/>
                <w:color w:val="auto"/>
                <w:sz w:val="21"/>
                <w:highlight w:val="none"/>
              </w:rPr>
            </w:pPr>
          </w:p>
        </w:tc>
        <w:tc>
          <w:tcPr>
            <w:tcW w:w="1110" w:type="dxa"/>
            <w:vAlign w:val="top"/>
          </w:tcPr>
          <w:p w14:paraId="63384170">
            <w:pPr>
              <w:rPr>
                <w:rFonts w:hint="eastAsia" w:ascii="宋体" w:hAnsi="宋体" w:eastAsia="宋体" w:cs="宋体"/>
                <w:color w:val="auto"/>
                <w:sz w:val="21"/>
                <w:highlight w:val="none"/>
              </w:rPr>
            </w:pPr>
          </w:p>
        </w:tc>
        <w:tc>
          <w:tcPr>
            <w:tcW w:w="1111" w:type="dxa"/>
            <w:vAlign w:val="top"/>
          </w:tcPr>
          <w:p w14:paraId="3709C62F">
            <w:pPr>
              <w:rPr>
                <w:rFonts w:hint="eastAsia" w:ascii="宋体" w:hAnsi="宋体" w:eastAsia="宋体" w:cs="宋体"/>
                <w:color w:val="auto"/>
                <w:sz w:val="21"/>
                <w:highlight w:val="none"/>
              </w:rPr>
            </w:pPr>
          </w:p>
        </w:tc>
        <w:tc>
          <w:tcPr>
            <w:tcW w:w="1111" w:type="dxa"/>
            <w:vAlign w:val="top"/>
          </w:tcPr>
          <w:p w14:paraId="6258CF81">
            <w:pPr>
              <w:rPr>
                <w:rFonts w:hint="eastAsia" w:ascii="宋体" w:hAnsi="宋体" w:eastAsia="宋体" w:cs="宋体"/>
                <w:color w:val="auto"/>
                <w:sz w:val="21"/>
                <w:highlight w:val="none"/>
              </w:rPr>
            </w:pPr>
          </w:p>
        </w:tc>
        <w:tc>
          <w:tcPr>
            <w:tcW w:w="1115" w:type="dxa"/>
            <w:vAlign w:val="top"/>
          </w:tcPr>
          <w:p w14:paraId="5C178C0A">
            <w:pPr>
              <w:rPr>
                <w:rFonts w:hint="eastAsia" w:ascii="宋体" w:hAnsi="宋体" w:eastAsia="宋体" w:cs="宋体"/>
                <w:color w:val="auto"/>
                <w:sz w:val="21"/>
                <w:highlight w:val="none"/>
              </w:rPr>
            </w:pPr>
          </w:p>
        </w:tc>
      </w:tr>
      <w:tr w14:paraId="202816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868" w:type="dxa"/>
            <w:vAlign w:val="top"/>
          </w:tcPr>
          <w:p w14:paraId="67F52C35">
            <w:pPr>
              <w:rPr>
                <w:rFonts w:hint="eastAsia" w:ascii="宋体" w:hAnsi="宋体" w:eastAsia="宋体" w:cs="宋体"/>
                <w:color w:val="auto"/>
                <w:sz w:val="21"/>
                <w:highlight w:val="none"/>
              </w:rPr>
            </w:pPr>
          </w:p>
        </w:tc>
        <w:tc>
          <w:tcPr>
            <w:tcW w:w="1362" w:type="dxa"/>
            <w:vAlign w:val="top"/>
          </w:tcPr>
          <w:p w14:paraId="69B00463">
            <w:pPr>
              <w:rPr>
                <w:rFonts w:hint="eastAsia" w:ascii="宋体" w:hAnsi="宋体" w:eastAsia="宋体" w:cs="宋体"/>
                <w:color w:val="auto"/>
                <w:sz w:val="21"/>
                <w:highlight w:val="none"/>
              </w:rPr>
            </w:pPr>
          </w:p>
        </w:tc>
        <w:tc>
          <w:tcPr>
            <w:tcW w:w="1109" w:type="dxa"/>
            <w:vAlign w:val="top"/>
          </w:tcPr>
          <w:p w14:paraId="1AA31705">
            <w:pPr>
              <w:rPr>
                <w:rFonts w:hint="eastAsia" w:ascii="宋体" w:hAnsi="宋体" w:eastAsia="宋体" w:cs="宋体"/>
                <w:color w:val="auto"/>
                <w:sz w:val="21"/>
                <w:highlight w:val="none"/>
              </w:rPr>
            </w:pPr>
          </w:p>
        </w:tc>
        <w:tc>
          <w:tcPr>
            <w:tcW w:w="1110" w:type="dxa"/>
            <w:vAlign w:val="top"/>
          </w:tcPr>
          <w:p w14:paraId="07B2DAE1">
            <w:pPr>
              <w:rPr>
                <w:rFonts w:hint="eastAsia" w:ascii="宋体" w:hAnsi="宋体" w:eastAsia="宋体" w:cs="宋体"/>
                <w:color w:val="auto"/>
                <w:sz w:val="21"/>
                <w:highlight w:val="none"/>
              </w:rPr>
            </w:pPr>
          </w:p>
        </w:tc>
        <w:tc>
          <w:tcPr>
            <w:tcW w:w="1110" w:type="dxa"/>
            <w:vAlign w:val="top"/>
          </w:tcPr>
          <w:p w14:paraId="5A0CA67E">
            <w:pPr>
              <w:rPr>
                <w:rFonts w:hint="eastAsia" w:ascii="宋体" w:hAnsi="宋体" w:eastAsia="宋体" w:cs="宋体"/>
                <w:color w:val="auto"/>
                <w:sz w:val="21"/>
                <w:highlight w:val="none"/>
              </w:rPr>
            </w:pPr>
          </w:p>
        </w:tc>
        <w:tc>
          <w:tcPr>
            <w:tcW w:w="1111" w:type="dxa"/>
            <w:vAlign w:val="top"/>
          </w:tcPr>
          <w:p w14:paraId="16939380">
            <w:pPr>
              <w:rPr>
                <w:rFonts w:hint="eastAsia" w:ascii="宋体" w:hAnsi="宋体" w:eastAsia="宋体" w:cs="宋体"/>
                <w:color w:val="auto"/>
                <w:sz w:val="21"/>
                <w:highlight w:val="none"/>
              </w:rPr>
            </w:pPr>
          </w:p>
        </w:tc>
        <w:tc>
          <w:tcPr>
            <w:tcW w:w="1111" w:type="dxa"/>
            <w:vAlign w:val="top"/>
          </w:tcPr>
          <w:p w14:paraId="3C7D030E">
            <w:pPr>
              <w:rPr>
                <w:rFonts w:hint="eastAsia" w:ascii="宋体" w:hAnsi="宋体" w:eastAsia="宋体" w:cs="宋体"/>
                <w:color w:val="auto"/>
                <w:sz w:val="21"/>
                <w:highlight w:val="none"/>
              </w:rPr>
            </w:pPr>
          </w:p>
        </w:tc>
        <w:tc>
          <w:tcPr>
            <w:tcW w:w="1115" w:type="dxa"/>
            <w:vAlign w:val="top"/>
          </w:tcPr>
          <w:p w14:paraId="207890F6">
            <w:pPr>
              <w:rPr>
                <w:rFonts w:hint="eastAsia" w:ascii="宋体" w:hAnsi="宋体" w:eastAsia="宋体" w:cs="宋体"/>
                <w:color w:val="auto"/>
                <w:sz w:val="21"/>
                <w:highlight w:val="none"/>
              </w:rPr>
            </w:pPr>
          </w:p>
        </w:tc>
      </w:tr>
      <w:tr w14:paraId="1A31BA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868" w:type="dxa"/>
            <w:vAlign w:val="top"/>
          </w:tcPr>
          <w:p w14:paraId="6006239E">
            <w:pPr>
              <w:rPr>
                <w:rFonts w:hint="eastAsia" w:ascii="宋体" w:hAnsi="宋体" w:eastAsia="宋体" w:cs="宋体"/>
                <w:color w:val="auto"/>
                <w:sz w:val="21"/>
                <w:highlight w:val="none"/>
              </w:rPr>
            </w:pPr>
          </w:p>
        </w:tc>
        <w:tc>
          <w:tcPr>
            <w:tcW w:w="1362" w:type="dxa"/>
            <w:vAlign w:val="top"/>
          </w:tcPr>
          <w:p w14:paraId="52D12E99">
            <w:pPr>
              <w:rPr>
                <w:rFonts w:hint="eastAsia" w:ascii="宋体" w:hAnsi="宋体" w:eastAsia="宋体" w:cs="宋体"/>
                <w:color w:val="auto"/>
                <w:sz w:val="21"/>
                <w:highlight w:val="none"/>
              </w:rPr>
            </w:pPr>
          </w:p>
        </w:tc>
        <w:tc>
          <w:tcPr>
            <w:tcW w:w="1109" w:type="dxa"/>
            <w:vAlign w:val="top"/>
          </w:tcPr>
          <w:p w14:paraId="5BC21A6B">
            <w:pPr>
              <w:rPr>
                <w:rFonts w:hint="eastAsia" w:ascii="宋体" w:hAnsi="宋体" w:eastAsia="宋体" w:cs="宋体"/>
                <w:color w:val="auto"/>
                <w:sz w:val="21"/>
                <w:highlight w:val="none"/>
              </w:rPr>
            </w:pPr>
          </w:p>
        </w:tc>
        <w:tc>
          <w:tcPr>
            <w:tcW w:w="1110" w:type="dxa"/>
            <w:vAlign w:val="top"/>
          </w:tcPr>
          <w:p w14:paraId="7C545242">
            <w:pPr>
              <w:rPr>
                <w:rFonts w:hint="eastAsia" w:ascii="宋体" w:hAnsi="宋体" w:eastAsia="宋体" w:cs="宋体"/>
                <w:color w:val="auto"/>
                <w:sz w:val="21"/>
                <w:highlight w:val="none"/>
              </w:rPr>
            </w:pPr>
          </w:p>
        </w:tc>
        <w:tc>
          <w:tcPr>
            <w:tcW w:w="1110" w:type="dxa"/>
            <w:vAlign w:val="top"/>
          </w:tcPr>
          <w:p w14:paraId="531D0F7C">
            <w:pPr>
              <w:rPr>
                <w:rFonts w:hint="eastAsia" w:ascii="宋体" w:hAnsi="宋体" w:eastAsia="宋体" w:cs="宋体"/>
                <w:color w:val="auto"/>
                <w:sz w:val="21"/>
                <w:highlight w:val="none"/>
              </w:rPr>
            </w:pPr>
          </w:p>
        </w:tc>
        <w:tc>
          <w:tcPr>
            <w:tcW w:w="1111" w:type="dxa"/>
            <w:vAlign w:val="top"/>
          </w:tcPr>
          <w:p w14:paraId="25C7F7C7">
            <w:pPr>
              <w:rPr>
                <w:rFonts w:hint="eastAsia" w:ascii="宋体" w:hAnsi="宋体" w:eastAsia="宋体" w:cs="宋体"/>
                <w:color w:val="auto"/>
                <w:sz w:val="21"/>
                <w:highlight w:val="none"/>
              </w:rPr>
            </w:pPr>
          </w:p>
        </w:tc>
        <w:tc>
          <w:tcPr>
            <w:tcW w:w="1111" w:type="dxa"/>
            <w:vAlign w:val="top"/>
          </w:tcPr>
          <w:p w14:paraId="15F9D59E">
            <w:pPr>
              <w:rPr>
                <w:rFonts w:hint="eastAsia" w:ascii="宋体" w:hAnsi="宋体" w:eastAsia="宋体" w:cs="宋体"/>
                <w:color w:val="auto"/>
                <w:sz w:val="21"/>
                <w:highlight w:val="none"/>
              </w:rPr>
            </w:pPr>
          </w:p>
        </w:tc>
        <w:tc>
          <w:tcPr>
            <w:tcW w:w="1115" w:type="dxa"/>
            <w:vAlign w:val="top"/>
          </w:tcPr>
          <w:p w14:paraId="2313D3DF">
            <w:pPr>
              <w:rPr>
                <w:rFonts w:hint="eastAsia" w:ascii="宋体" w:hAnsi="宋体" w:eastAsia="宋体" w:cs="宋体"/>
                <w:color w:val="auto"/>
                <w:sz w:val="21"/>
                <w:highlight w:val="none"/>
              </w:rPr>
            </w:pPr>
          </w:p>
        </w:tc>
      </w:tr>
      <w:tr w14:paraId="2D1026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868" w:type="dxa"/>
            <w:vAlign w:val="top"/>
          </w:tcPr>
          <w:p w14:paraId="3AACDA0A">
            <w:pPr>
              <w:rPr>
                <w:rFonts w:hint="eastAsia" w:ascii="宋体" w:hAnsi="宋体" w:eastAsia="宋体" w:cs="宋体"/>
                <w:color w:val="auto"/>
                <w:sz w:val="21"/>
                <w:highlight w:val="none"/>
              </w:rPr>
            </w:pPr>
          </w:p>
        </w:tc>
        <w:tc>
          <w:tcPr>
            <w:tcW w:w="1362" w:type="dxa"/>
            <w:vAlign w:val="top"/>
          </w:tcPr>
          <w:p w14:paraId="532C38B2">
            <w:pPr>
              <w:rPr>
                <w:rFonts w:hint="eastAsia" w:ascii="宋体" w:hAnsi="宋体" w:eastAsia="宋体" w:cs="宋体"/>
                <w:color w:val="auto"/>
                <w:sz w:val="21"/>
                <w:highlight w:val="none"/>
              </w:rPr>
            </w:pPr>
          </w:p>
        </w:tc>
        <w:tc>
          <w:tcPr>
            <w:tcW w:w="1109" w:type="dxa"/>
            <w:vAlign w:val="top"/>
          </w:tcPr>
          <w:p w14:paraId="75DCCF88">
            <w:pPr>
              <w:rPr>
                <w:rFonts w:hint="eastAsia" w:ascii="宋体" w:hAnsi="宋体" w:eastAsia="宋体" w:cs="宋体"/>
                <w:color w:val="auto"/>
                <w:sz w:val="21"/>
                <w:highlight w:val="none"/>
              </w:rPr>
            </w:pPr>
          </w:p>
        </w:tc>
        <w:tc>
          <w:tcPr>
            <w:tcW w:w="1110" w:type="dxa"/>
            <w:vAlign w:val="top"/>
          </w:tcPr>
          <w:p w14:paraId="164DBF20">
            <w:pPr>
              <w:rPr>
                <w:rFonts w:hint="eastAsia" w:ascii="宋体" w:hAnsi="宋体" w:eastAsia="宋体" w:cs="宋体"/>
                <w:color w:val="auto"/>
                <w:sz w:val="21"/>
                <w:highlight w:val="none"/>
              </w:rPr>
            </w:pPr>
          </w:p>
        </w:tc>
        <w:tc>
          <w:tcPr>
            <w:tcW w:w="1110" w:type="dxa"/>
            <w:vAlign w:val="top"/>
          </w:tcPr>
          <w:p w14:paraId="178B94DA">
            <w:pPr>
              <w:rPr>
                <w:rFonts w:hint="eastAsia" w:ascii="宋体" w:hAnsi="宋体" w:eastAsia="宋体" w:cs="宋体"/>
                <w:color w:val="auto"/>
                <w:sz w:val="21"/>
                <w:highlight w:val="none"/>
              </w:rPr>
            </w:pPr>
          </w:p>
        </w:tc>
        <w:tc>
          <w:tcPr>
            <w:tcW w:w="1111" w:type="dxa"/>
            <w:vAlign w:val="top"/>
          </w:tcPr>
          <w:p w14:paraId="53C4A244">
            <w:pPr>
              <w:rPr>
                <w:rFonts w:hint="eastAsia" w:ascii="宋体" w:hAnsi="宋体" w:eastAsia="宋体" w:cs="宋体"/>
                <w:color w:val="auto"/>
                <w:sz w:val="21"/>
                <w:highlight w:val="none"/>
              </w:rPr>
            </w:pPr>
          </w:p>
        </w:tc>
        <w:tc>
          <w:tcPr>
            <w:tcW w:w="1111" w:type="dxa"/>
            <w:vAlign w:val="top"/>
          </w:tcPr>
          <w:p w14:paraId="11CDCE6D">
            <w:pPr>
              <w:rPr>
                <w:rFonts w:hint="eastAsia" w:ascii="宋体" w:hAnsi="宋体" w:eastAsia="宋体" w:cs="宋体"/>
                <w:color w:val="auto"/>
                <w:sz w:val="21"/>
                <w:highlight w:val="none"/>
              </w:rPr>
            </w:pPr>
          </w:p>
        </w:tc>
        <w:tc>
          <w:tcPr>
            <w:tcW w:w="1115" w:type="dxa"/>
            <w:vAlign w:val="top"/>
          </w:tcPr>
          <w:p w14:paraId="3A75ADCE">
            <w:pPr>
              <w:rPr>
                <w:rFonts w:hint="eastAsia" w:ascii="宋体" w:hAnsi="宋体" w:eastAsia="宋体" w:cs="宋体"/>
                <w:color w:val="auto"/>
                <w:sz w:val="21"/>
                <w:highlight w:val="none"/>
              </w:rPr>
            </w:pPr>
          </w:p>
        </w:tc>
      </w:tr>
      <w:tr w14:paraId="691C33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868" w:type="dxa"/>
            <w:vAlign w:val="top"/>
          </w:tcPr>
          <w:p w14:paraId="6B39C3BD">
            <w:pPr>
              <w:rPr>
                <w:rFonts w:hint="eastAsia" w:ascii="宋体" w:hAnsi="宋体" w:eastAsia="宋体" w:cs="宋体"/>
                <w:color w:val="auto"/>
                <w:sz w:val="21"/>
                <w:highlight w:val="none"/>
              </w:rPr>
            </w:pPr>
          </w:p>
        </w:tc>
        <w:tc>
          <w:tcPr>
            <w:tcW w:w="1362" w:type="dxa"/>
            <w:vAlign w:val="top"/>
          </w:tcPr>
          <w:p w14:paraId="3C028F7C">
            <w:pPr>
              <w:rPr>
                <w:rFonts w:hint="eastAsia" w:ascii="宋体" w:hAnsi="宋体" w:eastAsia="宋体" w:cs="宋体"/>
                <w:color w:val="auto"/>
                <w:sz w:val="21"/>
                <w:highlight w:val="none"/>
              </w:rPr>
            </w:pPr>
          </w:p>
        </w:tc>
        <w:tc>
          <w:tcPr>
            <w:tcW w:w="1109" w:type="dxa"/>
            <w:vAlign w:val="top"/>
          </w:tcPr>
          <w:p w14:paraId="1B4ED722">
            <w:pPr>
              <w:rPr>
                <w:rFonts w:hint="eastAsia" w:ascii="宋体" w:hAnsi="宋体" w:eastAsia="宋体" w:cs="宋体"/>
                <w:color w:val="auto"/>
                <w:sz w:val="21"/>
                <w:highlight w:val="none"/>
              </w:rPr>
            </w:pPr>
          </w:p>
        </w:tc>
        <w:tc>
          <w:tcPr>
            <w:tcW w:w="1110" w:type="dxa"/>
            <w:vAlign w:val="top"/>
          </w:tcPr>
          <w:p w14:paraId="4797B582">
            <w:pPr>
              <w:rPr>
                <w:rFonts w:hint="eastAsia" w:ascii="宋体" w:hAnsi="宋体" w:eastAsia="宋体" w:cs="宋体"/>
                <w:color w:val="auto"/>
                <w:sz w:val="21"/>
                <w:highlight w:val="none"/>
              </w:rPr>
            </w:pPr>
          </w:p>
        </w:tc>
        <w:tc>
          <w:tcPr>
            <w:tcW w:w="1110" w:type="dxa"/>
            <w:vAlign w:val="top"/>
          </w:tcPr>
          <w:p w14:paraId="7E084A15">
            <w:pPr>
              <w:rPr>
                <w:rFonts w:hint="eastAsia" w:ascii="宋体" w:hAnsi="宋体" w:eastAsia="宋体" w:cs="宋体"/>
                <w:color w:val="auto"/>
                <w:sz w:val="21"/>
                <w:highlight w:val="none"/>
              </w:rPr>
            </w:pPr>
          </w:p>
        </w:tc>
        <w:tc>
          <w:tcPr>
            <w:tcW w:w="1111" w:type="dxa"/>
            <w:vAlign w:val="top"/>
          </w:tcPr>
          <w:p w14:paraId="324B88D2">
            <w:pPr>
              <w:rPr>
                <w:rFonts w:hint="eastAsia" w:ascii="宋体" w:hAnsi="宋体" w:eastAsia="宋体" w:cs="宋体"/>
                <w:color w:val="auto"/>
                <w:sz w:val="21"/>
                <w:highlight w:val="none"/>
              </w:rPr>
            </w:pPr>
          </w:p>
        </w:tc>
        <w:tc>
          <w:tcPr>
            <w:tcW w:w="1111" w:type="dxa"/>
            <w:vAlign w:val="top"/>
          </w:tcPr>
          <w:p w14:paraId="723E031D">
            <w:pPr>
              <w:rPr>
                <w:rFonts w:hint="eastAsia" w:ascii="宋体" w:hAnsi="宋体" w:eastAsia="宋体" w:cs="宋体"/>
                <w:color w:val="auto"/>
                <w:sz w:val="21"/>
                <w:highlight w:val="none"/>
              </w:rPr>
            </w:pPr>
          </w:p>
        </w:tc>
        <w:tc>
          <w:tcPr>
            <w:tcW w:w="1115" w:type="dxa"/>
            <w:vAlign w:val="top"/>
          </w:tcPr>
          <w:p w14:paraId="651E539E">
            <w:pPr>
              <w:rPr>
                <w:rFonts w:hint="eastAsia" w:ascii="宋体" w:hAnsi="宋体" w:eastAsia="宋体" w:cs="宋体"/>
                <w:color w:val="auto"/>
                <w:sz w:val="21"/>
                <w:highlight w:val="none"/>
              </w:rPr>
            </w:pPr>
          </w:p>
        </w:tc>
      </w:tr>
      <w:tr w14:paraId="1D65BC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868" w:type="dxa"/>
            <w:vAlign w:val="top"/>
          </w:tcPr>
          <w:p w14:paraId="294E925A">
            <w:pPr>
              <w:rPr>
                <w:rFonts w:hint="eastAsia" w:ascii="宋体" w:hAnsi="宋体" w:eastAsia="宋体" w:cs="宋体"/>
                <w:color w:val="auto"/>
                <w:sz w:val="21"/>
                <w:highlight w:val="none"/>
              </w:rPr>
            </w:pPr>
          </w:p>
        </w:tc>
        <w:tc>
          <w:tcPr>
            <w:tcW w:w="1362" w:type="dxa"/>
            <w:vAlign w:val="top"/>
          </w:tcPr>
          <w:p w14:paraId="7DBE159B">
            <w:pPr>
              <w:rPr>
                <w:rFonts w:hint="eastAsia" w:ascii="宋体" w:hAnsi="宋体" w:eastAsia="宋体" w:cs="宋体"/>
                <w:color w:val="auto"/>
                <w:sz w:val="21"/>
                <w:highlight w:val="none"/>
              </w:rPr>
            </w:pPr>
          </w:p>
        </w:tc>
        <w:tc>
          <w:tcPr>
            <w:tcW w:w="1109" w:type="dxa"/>
            <w:vAlign w:val="top"/>
          </w:tcPr>
          <w:p w14:paraId="2A2FEB28">
            <w:pPr>
              <w:rPr>
                <w:rFonts w:hint="eastAsia" w:ascii="宋体" w:hAnsi="宋体" w:eastAsia="宋体" w:cs="宋体"/>
                <w:color w:val="auto"/>
                <w:sz w:val="21"/>
                <w:highlight w:val="none"/>
              </w:rPr>
            </w:pPr>
          </w:p>
        </w:tc>
        <w:tc>
          <w:tcPr>
            <w:tcW w:w="1110" w:type="dxa"/>
            <w:vAlign w:val="top"/>
          </w:tcPr>
          <w:p w14:paraId="7EA3BCF4">
            <w:pPr>
              <w:rPr>
                <w:rFonts w:hint="eastAsia" w:ascii="宋体" w:hAnsi="宋体" w:eastAsia="宋体" w:cs="宋体"/>
                <w:color w:val="auto"/>
                <w:sz w:val="21"/>
                <w:highlight w:val="none"/>
              </w:rPr>
            </w:pPr>
          </w:p>
        </w:tc>
        <w:tc>
          <w:tcPr>
            <w:tcW w:w="1110" w:type="dxa"/>
            <w:vAlign w:val="top"/>
          </w:tcPr>
          <w:p w14:paraId="24A5F2D5">
            <w:pPr>
              <w:rPr>
                <w:rFonts w:hint="eastAsia" w:ascii="宋体" w:hAnsi="宋体" w:eastAsia="宋体" w:cs="宋体"/>
                <w:color w:val="auto"/>
                <w:sz w:val="21"/>
                <w:highlight w:val="none"/>
              </w:rPr>
            </w:pPr>
          </w:p>
        </w:tc>
        <w:tc>
          <w:tcPr>
            <w:tcW w:w="1111" w:type="dxa"/>
            <w:vAlign w:val="top"/>
          </w:tcPr>
          <w:p w14:paraId="5BADADD0">
            <w:pPr>
              <w:rPr>
                <w:rFonts w:hint="eastAsia" w:ascii="宋体" w:hAnsi="宋体" w:eastAsia="宋体" w:cs="宋体"/>
                <w:color w:val="auto"/>
                <w:sz w:val="21"/>
                <w:highlight w:val="none"/>
              </w:rPr>
            </w:pPr>
          </w:p>
        </w:tc>
        <w:tc>
          <w:tcPr>
            <w:tcW w:w="1111" w:type="dxa"/>
            <w:vAlign w:val="top"/>
          </w:tcPr>
          <w:p w14:paraId="3E289630">
            <w:pPr>
              <w:rPr>
                <w:rFonts w:hint="eastAsia" w:ascii="宋体" w:hAnsi="宋体" w:eastAsia="宋体" w:cs="宋体"/>
                <w:color w:val="auto"/>
                <w:sz w:val="21"/>
                <w:highlight w:val="none"/>
              </w:rPr>
            </w:pPr>
          </w:p>
        </w:tc>
        <w:tc>
          <w:tcPr>
            <w:tcW w:w="1115" w:type="dxa"/>
            <w:vAlign w:val="top"/>
          </w:tcPr>
          <w:p w14:paraId="5CA20B6D">
            <w:pPr>
              <w:rPr>
                <w:rFonts w:hint="eastAsia" w:ascii="宋体" w:hAnsi="宋体" w:eastAsia="宋体" w:cs="宋体"/>
                <w:color w:val="auto"/>
                <w:sz w:val="21"/>
                <w:highlight w:val="none"/>
              </w:rPr>
            </w:pPr>
          </w:p>
        </w:tc>
      </w:tr>
      <w:tr w14:paraId="487643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868" w:type="dxa"/>
            <w:vAlign w:val="top"/>
          </w:tcPr>
          <w:p w14:paraId="16C75A76">
            <w:pPr>
              <w:rPr>
                <w:rFonts w:hint="eastAsia" w:ascii="宋体" w:hAnsi="宋体" w:eastAsia="宋体" w:cs="宋体"/>
                <w:color w:val="auto"/>
                <w:sz w:val="21"/>
                <w:highlight w:val="none"/>
              </w:rPr>
            </w:pPr>
          </w:p>
        </w:tc>
        <w:tc>
          <w:tcPr>
            <w:tcW w:w="1362" w:type="dxa"/>
            <w:vAlign w:val="top"/>
          </w:tcPr>
          <w:p w14:paraId="45F1011B">
            <w:pPr>
              <w:rPr>
                <w:rFonts w:hint="eastAsia" w:ascii="宋体" w:hAnsi="宋体" w:eastAsia="宋体" w:cs="宋体"/>
                <w:color w:val="auto"/>
                <w:sz w:val="21"/>
                <w:highlight w:val="none"/>
              </w:rPr>
            </w:pPr>
          </w:p>
        </w:tc>
        <w:tc>
          <w:tcPr>
            <w:tcW w:w="1109" w:type="dxa"/>
            <w:vAlign w:val="top"/>
          </w:tcPr>
          <w:p w14:paraId="1AE18506">
            <w:pPr>
              <w:rPr>
                <w:rFonts w:hint="eastAsia" w:ascii="宋体" w:hAnsi="宋体" w:eastAsia="宋体" w:cs="宋体"/>
                <w:color w:val="auto"/>
                <w:sz w:val="21"/>
                <w:highlight w:val="none"/>
              </w:rPr>
            </w:pPr>
          </w:p>
        </w:tc>
        <w:tc>
          <w:tcPr>
            <w:tcW w:w="1110" w:type="dxa"/>
            <w:vAlign w:val="top"/>
          </w:tcPr>
          <w:p w14:paraId="139A4F48">
            <w:pPr>
              <w:rPr>
                <w:rFonts w:hint="eastAsia" w:ascii="宋体" w:hAnsi="宋体" w:eastAsia="宋体" w:cs="宋体"/>
                <w:color w:val="auto"/>
                <w:sz w:val="21"/>
                <w:highlight w:val="none"/>
              </w:rPr>
            </w:pPr>
          </w:p>
        </w:tc>
        <w:tc>
          <w:tcPr>
            <w:tcW w:w="1110" w:type="dxa"/>
            <w:vAlign w:val="top"/>
          </w:tcPr>
          <w:p w14:paraId="429C73FF">
            <w:pPr>
              <w:rPr>
                <w:rFonts w:hint="eastAsia" w:ascii="宋体" w:hAnsi="宋体" w:eastAsia="宋体" w:cs="宋体"/>
                <w:color w:val="auto"/>
                <w:sz w:val="21"/>
                <w:highlight w:val="none"/>
              </w:rPr>
            </w:pPr>
          </w:p>
        </w:tc>
        <w:tc>
          <w:tcPr>
            <w:tcW w:w="1111" w:type="dxa"/>
            <w:vAlign w:val="top"/>
          </w:tcPr>
          <w:p w14:paraId="062840DA">
            <w:pPr>
              <w:rPr>
                <w:rFonts w:hint="eastAsia" w:ascii="宋体" w:hAnsi="宋体" w:eastAsia="宋体" w:cs="宋体"/>
                <w:color w:val="auto"/>
                <w:sz w:val="21"/>
                <w:highlight w:val="none"/>
              </w:rPr>
            </w:pPr>
          </w:p>
        </w:tc>
        <w:tc>
          <w:tcPr>
            <w:tcW w:w="1111" w:type="dxa"/>
            <w:vAlign w:val="top"/>
          </w:tcPr>
          <w:p w14:paraId="55CA0297">
            <w:pPr>
              <w:rPr>
                <w:rFonts w:hint="eastAsia" w:ascii="宋体" w:hAnsi="宋体" w:eastAsia="宋体" w:cs="宋体"/>
                <w:color w:val="auto"/>
                <w:sz w:val="21"/>
                <w:highlight w:val="none"/>
              </w:rPr>
            </w:pPr>
          </w:p>
        </w:tc>
        <w:tc>
          <w:tcPr>
            <w:tcW w:w="1115" w:type="dxa"/>
            <w:vAlign w:val="top"/>
          </w:tcPr>
          <w:p w14:paraId="28D8FC6D">
            <w:pPr>
              <w:rPr>
                <w:rFonts w:hint="eastAsia" w:ascii="宋体" w:hAnsi="宋体" w:eastAsia="宋体" w:cs="宋体"/>
                <w:color w:val="auto"/>
                <w:sz w:val="21"/>
                <w:highlight w:val="none"/>
              </w:rPr>
            </w:pPr>
          </w:p>
        </w:tc>
      </w:tr>
      <w:tr w14:paraId="6CF128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868" w:type="dxa"/>
            <w:vAlign w:val="top"/>
          </w:tcPr>
          <w:p w14:paraId="4FE779B2">
            <w:pPr>
              <w:rPr>
                <w:rFonts w:hint="eastAsia" w:ascii="宋体" w:hAnsi="宋体" w:eastAsia="宋体" w:cs="宋体"/>
                <w:color w:val="auto"/>
                <w:sz w:val="21"/>
                <w:highlight w:val="none"/>
              </w:rPr>
            </w:pPr>
          </w:p>
        </w:tc>
        <w:tc>
          <w:tcPr>
            <w:tcW w:w="1362" w:type="dxa"/>
            <w:vAlign w:val="top"/>
          </w:tcPr>
          <w:p w14:paraId="286D0292">
            <w:pPr>
              <w:rPr>
                <w:rFonts w:hint="eastAsia" w:ascii="宋体" w:hAnsi="宋体" w:eastAsia="宋体" w:cs="宋体"/>
                <w:color w:val="auto"/>
                <w:sz w:val="21"/>
                <w:highlight w:val="none"/>
              </w:rPr>
            </w:pPr>
          </w:p>
        </w:tc>
        <w:tc>
          <w:tcPr>
            <w:tcW w:w="1109" w:type="dxa"/>
            <w:vAlign w:val="top"/>
          </w:tcPr>
          <w:p w14:paraId="3CB6A74F">
            <w:pPr>
              <w:rPr>
                <w:rFonts w:hint="eastAsia" w:ascii="宋体" w:hAnsi="宋体" w:eastAsia="宋体" w:cs="宋体"/>
                <w:color w:val="auto"/>
                <w:sz w:val="21"/>
                <w:highlight w:val="none"/>
              </w:rPr>
            </w:pPr>
          </w:p>
        </w:tc>
        <w:tc>
          <w:tcPr>
            <w:tcW w:w="1110" w:type="dxa"/>
            <w:vAlign w:val="top"/>
          </w:tcPr>
          <w:p w14:paraId="47D46D3F">
            <w:pPr>
              <w:rPr>
                <w:rFonts w:hint="eastAsia" w:ascii="宋体" w:hAnsi="宋体" w:eastAsia="宋体" w:cs="宋体"/>
                <w:color w:val="auto"/>
                <w:sz w:val="21"/>
                <w:highlight w:val="none"/>
              </w:rPr>
            </w:pPr>
          </w:p>
        </w:tc>
        <w:tc>
          <w:tcPr>
            <w:tcW w:w="1110" w:type="dxa"/>
            <w:vAlign w:val="top"/>
          </w:tcPr>
          <w:p w14:paraId="48B1D23D">
            <w:pPr>
              <w:rPr>
                <w:rFonts w:hint="eastAsia" w:ascii="宋体" w:hAnsi="宋体" w:eastAsia="宋体" w:cs="宋体"/>
                <w:color w:val="auto"/>
                <w:sz w:val="21"/>
                <w:highlight w:val="none"/>
              </w:rPr>
            </w:pPr>
          </w:p>
        </w:tc>
        <w:tc>
          <w:tcPr>
            <w:tcW w:w="1111" w:type="dxa"/>
            <w:vAlign w:val="top"/>
          </w:tcPr>
          <w:p w14:paraId="53CE2C77">
            <w:pPr>
              <w:rPr>
                <w:rFonts w:hint="eastAsia" w:ascii="宋体" w:hAnsi="宋体" w:eastAsia="宋体" w:cs="宋体"/>
                <w:color w:val="auto"/>
                <w:sz w:val="21"/>
                <w:highlight w:val="none"/>
              </w:rPr>
            </w:pPr>
          </w:p>
        </w:tc>
        <w:tc>
          <w:tcPr>
            <w:tcW w:w="1111" w:type="dxa"/>
            <w:vAlign w:val="top"/>
          </w:tcPr>
          <w:p w14:paraId="3498D1A8">
            <w:pPr>
              <w:rPr>
                <w:rFonts w:hint="eastAsia" w:ascii="宋体" w:hAnsi="宋体" w:eastAsia="宋体" w:cs="宋体"/>
                <w:color w:val="auto"/>
                <w:sz w:val="21"/>
                <w:highlight w:val="none"/>
              </w:rPr>
            </w:pPr>
          </w:p>
        </w:tc>
        <w:tc>
          <w:tcPr>
            <w:tcW w:w="1115" w:type="dxa"/>
            <w:vAlign w:val="top"/>
          </w:tcPr>
          <w:p w14:paraId="7E3EB446">
            <w:pPr>
              <w:rPr>
                <w:rFonts w:hint="eastAsia" w:ascii="宋体" w:hAnsi="宋体" w:eastAsia="宋体" w:cs="宋体"/>
                <w:color w:val="auto"/>
                <w:sz w:val="21"/>
                <w:highlight w:val="none"/>
              </w:rPr>
            </w:pPr>
          </w:p>
        </w:tc>
      </w:tr>
    </w:tbl>
    <w:p w14:paraId="68D56FA6">
      <w:pPr>
        <w:pStyle w:val="4"/>
        <w:rPr>
          <w:rFonts w:hint="eastAsia" w:ascii="宋体" w:hAnsi="宋体" w:eastAsia="宋体" w:cs="宋体"/>
          <w:color w:val="auto"/>
          <w:highlight w:val="none"/>
        </w:rPr>
      </w:pPr>
    </w:p>
    <w:p w14:paraId="7386FFBE">
      <w:pPr>
        <w:rPr>
          <w:rFonts w:hint="eastAsia" w:ascii="宋体" w:hAnsi="宋体" w:eastAsia="宋体" w:cs="宋体"/>
          <w:color w:val="auto"/>
          <w:highlight w:val="none"/>
        </w:rPr>
        <w:sectPr>
          <w:headerReference r:id="rId257" w:type="default"/>
          <w:footerReference r:id="rId258" w:type="default"/>
          <w:pgSz w:w="11907" w:h="16840"/>
          <w:pgMar w:top="1182" w:right="1062" w:bottom="1014" w:left="1786" w:header="849" w:footer="852" w:gutter="0"/>
          <w:pgNumType w:fmt="decimal"/>
          <w:cols w:space="720" w:num="1"/>
        </w:sectPr>
      </w:pPr>
    </w:p>
    <w:p w14:paraId="0173A66C">
      <w:pPr>
        <w:pStyle w:val="4"/>
        <w:spacing w:line="311" w:lineRule="auto"/>
        <w:rPr>
          <w:rFonts w:hint="eastAsia" w:ascii="宋体" w:hAnsi="宋体" w:eastAsia="宋体" w:cs="宋体"/>
          <w:color w:val="auto"/>
          <w:highlight w:val="none"/>
        </w:rPr>
      </w:pPr>
    </w:p>
    <w:p w14:paraId="6B1C0952">
      <w:pPr>
        <w:pStyle w:val="4"/>
        <w:spacing w:line="311" w:lineRule="auto"/>
        <w:rPr>
          <w:rFonts w:hint="eastAsia" w:ascii="宋体" w:hAnsi="宋体" w:eastAsia="宋体" w:cs="宋体"/>
          <w:color w:val="auto"/>
          <w:highlight w:val="none"/>
        </w:rPr>
      </w:pPr>
    </w:p>
    <w:p w14:paraId="24809B28">
      <w:pPr>
        <w:spacing w:before="91" w:line="224" w:lineRule="auto"/>
        <w:ind w:left="301"/>
        <w:rPr>
          <w:rFonts w:hint="eastAsia" w:ascii="宋体" w:hAnsi="宋体" w:eastAsia="宋体" w:cs="宋体"/>
          <w:color w:val="auto"/>
          <w:sz w:val="28"/>
          <w:szCs w:val="28"/>
          <w:highlight w:val="none"/>
        </w:rPr>
      </w:pPr>
      <w:r>
        <w:rPr>
          <w:rFonts w:hint="eastAsia" w:ascii="宋体" w:hAnsi="宋体" w:eastAsia="宋体" w:cs="宋体"/>
          <w:color w:val="auto"/>
          <w:spacing w:val="-3"/>
          <w:sz w:val="28"/>
          <w:szCs w:val="28"/>
          <w:highlight w:val="none"/>
        </w:rPr>
        <w:t>附表七临时占地计划表</w:t>
      </w:r>
    </w:p>
    <w:p w14:paraId="467447DF">
      <w:pPr>
        <w:spacing w:before="187"/>
        <w:rPr>
          <w:rFonts w:hint="eastAsia" w:ascii="宋体" w:hAnsi="宋体" w:eastAsia="宋体" w:cs="宋体"/>
          <w:color w:val="auto"/>
          <w:highlight w:val="none"/>
        </w:rPr>
      </w:pPr>
    </w:p>
    <w:tbl>
      <w:tblPr>
        <w:tblStyle w:val="24"/>
        <w:tblW w:w="8843" w:type="dxa"/>
        <w:tblInd w:w="18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844"/>
        <w:gridCol w:w="394"/>
        <w:gridCol w:w="396"/>
        <w:gridCol w:w="599"/>
        <w:gridCol w:w="599"/>
        <w:gridCol w:w="599"/>
        <w:gridCol w:w="1558"/>
        <w:gridCol w:w="600"/>
        <w:gridCol w:w="623"/>
        <w:gridCol w:w="631"/>
      </w:tblGrid>
      <w:tr w14:paraId="5B01B2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2844" w:type="dxa"/>
            <w:vMerge w:val="restart"/>
            <w:tcBorders>
              <w:bottom w:val="nil"/>
            </w:tcBorders>
            <w:vAlign w:val="top"/>
          </w:tcPr>
          <w:p w14:paraId="11E1DBC1">
            <w:pPr>
              <w:spacing w:line="257" w:lineRule="auto"/>
              <w:rPr>
                <w:rFonts w:hint="eastAsia" w:ascii="宋体" w:hAnsi="宋体" w:eastAsia="宋体" w:cs="宋体"/>
                <w:color w:val="auto"/>
                <w:sz w:val="21"/>
                <w:highlight w:val="none"/>
              </w:rPr>
            </w:pPr>
          </w:p>
          <w:p w14:paraId="469109C6">
            <w:pPr>
              <w:spacing w:line="258" w:lineRule="auto"/>
              <w:rPr>
                <w:rFonts w:hint="eastAsia" w:ascii="宋体" w:hAnsi="宋体" w:eastAsia="宋体" w:cs="宋体"/>
                <w:color w:val="auto"/>
                <w:sz w:val="21"/>
                <w:highlight w:val="none"/>
              </w:rPr>
            </w:pPr>
          </w:p>
          <w:p w14:paraId="2DCCED9D">
            <w:pPr>
              <w:pStyle w:val="25"/>
              <w:spacing w:before="71" w:line="222" w:lineRule="auto"/>
              <w:ind w:left="804"/>
              <w:rPr>
                <w:rFonts w:hint="eastAsia" w:ascii="宋体" w:hAnsi="宋体" w:eastAsia="宋体" w:cs="宋体"/>
                <w:color w:val="auto"/>
                <w:sz w:val="22"/>
                <w:szCs w:val="22"/>
                <w:highlight w:val="none"/>
              </w:rPr>
            </w:pPr>
            <w:r>
              <w:rPr>
                <w:rFonts w:hint="eastAsia" w:ascii="宋体" w:hAnsi="宋体" w:eastAsia="宋体" w:cs="宋体"/>
                <w:color w:val="auto"/>
                <w:spacing w:val="-5"/>
                <w:sz w:val="22"/>
                <w:szCs w:val="22"/>
                <w:highlight w:val="none"/>
              </w:rPr>
              <w:t>用途</w:t>
            </w:r>
          </w:p>
        </w:tc>
        <w:tc>
          <w:tcPr>
            <w:tcW w:w="2587" w:type="dxa"/>
            <w:gridSpan w:val="5"/>
            <w:vAlign w:val="top"/>
          </w:tcPr>
          <w:p w14:paraId="6FF4A668">
            <w:pPr>
              <w:pStyle w:val="25"/>
              <w:spacing w:before="146" w:line="214" w:lineRule="auto"/>
              <w:ind w:left="450"/>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面积（m</w:t>
            </w:r>
            <w:r>
              <w:rPr>
                <w:rFonts w:hint="eastAsia" w:ascii="宋体" w:hAnsi="宋体" w:eastAsia="宋体" w:cs="宋体"/>
                <w:color w:val="auto"/>
                <w:spacing w:val="-4"/>
                <w:position w:val="7"/>
                <w:sz w:val="14"/>
                <w:szCs w:val="14"/>
                <w:highlight w:val="none"/>
              </w:rPr>
              <w:t>2</w:t>
            </w:r>
            <w:r>
              <w:rPr>
                <w:rFonts w:hint="eastAsia" w:ascii="宋体" w:hAnsi="宋体" w:eastAsia="宋体" w:cs="宋体"/>
                <w:color w:val="auto"/>
                <w:spacing w:val="-4"/>
                <w:sz w:val="22"/>
                <w:szCs w:val="22"/>
                <w:highlight w:val="none"/>
              </w:rPr>
              <w:t>）</w:t>
            </w:r>
          </w:p>
        </w:tc>
        <w:tc>
          <w:tcPr>
            <w:tcW w:w="1558" w:type="dxa"/>
            <w:vMerge w:val="restart"/>
            <w:tcBorders>
              <w:bottom w:val="nil"/>
            </w:tcBorders>
            <w:vAlign w:val="top"/>
          </w:tcPr>
          <w:p w14:paraId="7D3F4D29">
            <w:pPr>
              <w:pStyle w:val="25"/>
              <w:spacing w:before="146" w:line="221" w:lineRule="auto"/>
              <w:ind w:left="382"/>
              <w:rPr>
                <w:rFonts w:hint="eastAsia" w:ascii="宋体" w:hAnsi="宋体" w:eastAsia="宋体" w:cs="宋体"/>
                <w:color w:val="auto"/>
                <w:sz w:val="22"/>
                <w:szCs w:val="22"/>
                <w:highlight w:val="none"/>
              </w:rPr>
            </w:pPr>
            <w:r>
              <w:rPr>
                <w:rFonts w:hint="eastAsia" w:ascii="宋体" w:hAnsi="宋体" w:eastAsia="宋体" w:cs="宋体"/>
                <w:color w:val="auto"/>
                <w:spacing w:val="-5"/>
                <w:sz w:val="22"/>
                <w:szCs w:val="22"/>
                <w:highlight w:val="none"/>
              </w:rPr>
              <w:t>需用时间</w:t>
            </w:r>
          </w:p>
          <w:p w14:paraId="6AD47D92">
            <w:pPr>
              <w:pStyle w:val="25"/>
              <w:tabs>
                <w:tab w:val="left" w:pos="465"/>
                <w:tab w:val="left" w:pos="567"/>
              </w:tabs>
              <w:spacing w:before="171" w:line="274" w:lineRule="auto"/>
              <w:ind w:left="253" w:right="122" w:hanging="105"/>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u w:val="single" w:color="auto"/>
              </w:rPr>
              <w:tab/>
            </w:r>
            <w:r>
              <w:rPr>
                <w:rFonts w:hint="eastAsia" w:ascii="宋体" w:hAnsi="宋体" w:eastAsia="宋体" w:cs="宋体"/>
                <w:color w:val="auto"/>
                <w:sz w:val="22"/>
                <w:szCs w:val="22"/>
                <w:highlight w:val="none"/>
                <w:u w:val="single" w:color="auto"/>
              </w:rPr>
              <w:tab/>
            </w:r>
            <w:r>
              <w:rPr>
                <w:rFonts w:hint="eastAsia" w:ascii="宋体" w:hAnsi="宋体" w:eastAsia="宋体" w:cs="宋体"/>
                <w:color w:val="auto"/>
                <w:spacing w:val="-10"/>
                <w:sz w:val="22"/>
                <w:szCs w:val="22"/>
                <w:highlight w:val="none"/>
              </w:rPr>
              <w:t>年月至</w:t>
            </w:r>
            <w:r>
              <w:rPr>
                <w:rFonts w:hint="eastAsia" w:ascii="宋体" w:hAnsi="宋体" w:eastAsia="宋体" w:cs="宋体"/>
                <w:color w:val="auto"/>
                <w:sz w:val="22"/>
                <w:szCs w:val="22"/>
                <w:highlight w:val="none"/>
                <w:u w:val="single" w:color="auto"/>
              </w:rPr>
              <w:tab/>
            </w:r>
            <w:r>
              <w:rPr>
                <w:rFonts w:hint="eastAsia" w:ascii="宋体" w:hAnsi="宋体" w:eastAsia="宋体" w:cs="宋体"/>
                <w:color w:val="auto"/>
                <w:sz w:val="22"/>
                <w:szCs w:val="22"/>
                <w:highlight w:val="none"/>
                <w:u w:val="single" w:color="auto"/>
              </w:rPr>
              <w:tab/>
            </w:r>
            <w:r>
              <w:rPr>
                <w:rFonts w:hint="eastAsia" w:ascii="宋体" w:hAnsi="宋体" w:eastAsia="宋体" w:cs="宋体"/>
                <w:color w:val="auto"/>
                <w:spacing w:val="-5"/>
                <w:sz w:val="22"/>
                <w:szCs w:val="22"/>
                <w:highlight w:val="none"/>
              </w:rPr>
              <w:t>年月</w:t>
            </w:r>
          </w:p>
        </w:tc>
        <w:tc>
          <w:tcPr>
            <w:tcW w:w="1854" w:type="dxa"/>
            <w:gridSpan w:val="3"/>
            <w:vAlign w:val="top"/>
          </w:tcPr>
          <w:p w14:paraId="410E55DC">
            <w:pPr>
              <w:pStyle w:val="25"/>
              <w:spacing w:before="146" w:line="214" w:lineRule="auto"/>
              <w:ind w:left="518"/>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用地位置</w:t>
            </w:r>
          </w:p>
        </w:tc>
      </w:tr>
      <w:tr w14:paraId="6E67F4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2" w:hRule="atLeast"/>
        </w:trPr>
        <w:tc>
          <w:tcPr>
            <w:tcW w:w="2844" w:type="dxa"/>
            <w:vMerge w:val="continue"/>
            <w:tcBorders>
              <w:top w:val="nil"/>
            </w:tcBorders>
            <w:vAlign w:val="top"/>
          </w:tcPr>
          <w:p w14:paraId="76BA23FF">
            <w:pPr>
              <w:rPr>
                <w:rFonts w:hint="eastAsia" w:ascii="宋体" w:hAnsi="宋体" w:eastAsia="宋体" w:cs="宋体"/>
                <w:color w:val="auto"/>
                <w:sz w:val="21"/>
                <w:highlight w:val="none"/>
              </w:rPr>
            </w:pPr>
          </w:p>
        </w:tc>
        <w:tc>
          <w:tcPr>
            <w:tcW w:w="394" w:type="dxa"/>
            <w:textDirection w:val="tbRlV"/>
            <w:vAlign w:val="top"/>
          </w:tcPr>
          <w:p w14:paraId="09B73289">
            <w:pPr>
              <w:pStyle w:val="25"/>
              <w:spacing w:before="71" w:line="209" w:lineRule="auto"/>
              <w:ind w:left="146"/>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菜地</w:t>
            </w:r>
          </w:p>
        </w:tc>
        <w:tc>
          <w:tcPr>
            <w:tcW w:w="396" w:type="dxa"/>
            <w:textDirection w:val="tbRlV"/>
            <w:vAlign w:val="top"/>
          </w:tcPr>
          <w:p w14:paraId="6CE9600F">
            <w:pPr>
              <w:pStyle w:val="25"/>
              <w:spacing w:before="75" w:line="206" w:lineRule="auto"/>
              <w:ind w:left="146"/>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水田</w:t>
            </w:r>
          </w:p>
        </w:tc>
        <w:tc>
          <w:tcPr>
            <w:tcW w:w="599" w:type="dxa"/>
            <w:vAlign w:val="top"/>
          </w:tcPr>
          <w:p w14:paraId="6A016048">
            <w:pPr>
              <w:spacing w:line="289" w:lineRule="auto"/>
              <w:rPr>
                <w:rFonts w:hint="eastAsia" w:ascii="宋体" w:hAnsi="宋体" w:eastAsia="宋体" w:cs="宋体"/>
                <w:color w:val="auto"/>
                <w:sz w:val="21"/>
                <w:highlight w:val="none"/>
              </w:rPr>
            </w:pPr>
          </w:p>
          <w:p w14:paraId="19A27591">
            <w:pPr>
              <w:pStyle w:val="25"/>
              <w:spacing w:before="71" w:line="222" w:lineRule="auto"/>
              <w:ind w:left="101"/>
              <w:rPr>
                <w:rFonts w:hint="eastAsia" w:ascii="宋体" w:hAnsi="宋体" w:eastAsia="宋体" w:cs="宋体"/>
                <w:color w:val="auto"/>
                <w:sz w:val="22"/>
                <w:szCs w:val="22"/>
                <w:highlight w:val="none"/>
              </w:rPr>
            </w:pPr>
            <w:r>
              <w:rPr>
                <w:rFonts w:hint="eastAsia" w:ascii="宋体" w:hAnsi="宋体" w:eastAsia="宋体" w:cs="宋体"/>
                <w:color w:val="auto"/>
                <w:spacing w:val="-5"/>
                <w:sz w:val="22"/>
                <w:szCs w:val="22"/>
                <w:highlight w:val="none"/>
              </w:rPr>
              <w:t>旱地</w:t>
            </w:r>
          </w:p>
        </w:tc>
        <w:tc>
          <w:tcPr>
            <w:tcW w:w="599" w:type="dxa"/>
            <w:vAlign w:val="top"/>
          </w:tcPr>
          <w:p w14:paraId="4E75C900">
            <w:pPr>
              <w:spacing w:line="289" w:lineRule="auto"/>
              <w:rPr>
                <w:rFonts w:hint="eastAsia" w:ascii="宋体" w:hAnsi="宋体" w:eastAsia="宋体" w:cs="宋体"/>
                <w:color w:val="auto"/>
                <w:sz w:val="21"/>
                <w:highlight w:val="none"/>
              </w:rPr>
            </w:pPr>
          </w:p>
          <w:p w14:paraId="12996300">
            <w:pPr>
              <w:pStyle w:val="25"/>
              <w:spacing w:before="72" w:line="221" w:lineRule="auto"/>
              <w:ind w:left="104"/>
              <w:rPr>
                <w:rFonts w:hint="eastAsia" w:ascii="宋体" w:hAnsi="宋体" w:eastAsia="宋体" w:cs="宋体"/>
                <w:color w:val="auto"/>
                <w:sz w:val="22"/>
                <w:szCs w:val="22"/>
                <w:highlight w:val="none"/>
              </w:rPr>
            </w:pPr>
            <w:r>
              <w:rPr>
                <w:rFonts w:hint="eastAsia" w:ascii="宋体" w:hAnsi="宋体" w:eastAsia="宋体" w:cs="宋体"/>
                <w:color w:val="auto"/>
                <w:spacing w:val="-6"/>
                <w:sz w:val="22"/>
                <w:szCs w:val="22"/>
                <w:highlight w:val="none"/>
              </w:rPr>
              <w:t>果园</w:t>
            </w:r>
          </w:p>
        </w:tc>
        <w:tc>
          <w:tcPr>
            <w:tcW w:w="599" w:type="dxa"/>
            <w:vAlign w:val="top"/>
          </w:tcPr>
          <w:p w14:paraId="7F6909C7">
            <w:pPr>
              <w:spacing w:line="289" w:lineRule="auto"/>
              <w:rPr>
                <w:rFonts w:hint="eastAsia" w:ascii="宋体" w:hAnsi="宋体" w:eastAsia="宋体" w:cs="宋体"/>
                <w:color w:val="auto"/>
                <w:sz w:val="21"/>
                <w:highlight w:val="none"/>
              </w:rPr>
            </w:pPr>
          </w:p>
          <w:p w14:paraId="3042D8D7">
            <w:pPr>
              <w:pStyle w:val="25"/>
              <w:spacing w:before="72" w:line="220" w:lineRule="auto"/>
              <w:ind w:left="103"/>
              <w:rPr>
                <w:rFonts w:hint="eastAsia" w:ascii="宋体" w:hAnsi="宋体" w:eastAsia="宋体" w:cs="宋体"/>
                <w:color w:val="auto"/>
                <w:sz w:val="22"/>
                <w:szCs w:val="22"/>
                <w:highlight w:val="none"/>
              </w:rPr>
            </w:pPr>
            <w:r>
              <w:rPr>
                <w:rFonts w:hint="eastAsia" w:ascii="宋体" w:hAnsi="宋体" w:eastAsia="宋体" w:cs="宋体"/>
                <w:color w:val="auto"/>
                <w:spacing w:val="-5"/>
                <w:sz w:val="22"/>
                <w:szCs w:val="22"/>
                <w:highlight w:val="none"/>
              </w:rPr>
              <w:t>荒地</w:t>
            </w:r>
          </w:p>
        </w:tc>
        <w:tc>
          <w:tcPr>
            <w:tcW w:w="1558" w:type="dxa"/>
            <w:vMerge w:val="continue"/>
            <w:tcBorders>
              <w:top w:val="nil"/>
            </w:tcBorders>
            <w:vAlign w:val="top"/>
          </w:tcPr>
          <w:p w14:paraId="7B1E91D1">
            <w:pPr>
              <w:rPr>
                <w:rFonts w:hint="eastAsia" w:ascii="宋体" w:hAnsi="宋体" w:eastAsia="宋体" w:cs="宋体"/>
                <w:color w:val="auto"/>
                <w:sz w:val="21"/>
                <w:highlight w:val="none"/>
              </w:rPr>
            </w:pPr>
          </w:p>
        </w:tc>
        <w:tc>
          <w:tcPr>
            <w:tcW w:w="600" w:type="dxa"/>
            <w:vAlign w:val="top"/>
          </w:tcPr>
          <w:p w14:paraId="612F32CD">
            <w:pPr>
              <w:spacing w:line="289" w:lineRule="auto"/>
              <w:rPr>
                <w:rFonts w:hint="eastAsia" w:ascii="宋体" w:hAnsi="宋体" w:eastAsia="宋体" w:cs="宋体"/>
                <w:color w:val="auto"/>
                <w:sz w:val="21"/>
                <w:highlight w:val="none"/>
              </w:rPr>
            </w:pPr>
          </w:p>
          <w:p w14:paraId="16661CEF">
            <w:pPr>
              <w:pStyle w:val="25"/>
              <w:spacing w:before="72" w:line="220" w:lineRule="auto"/>
              <w:ind w:left="103"/>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桩号</w:t>
            </w:r>
          </w:p>
        </w:tc>
        <w:tc>
          <w:tcPr>
            <w:tcW w:w="623" w:type="dxa"/>
            <w:vAlign w:val="top"/>
          </w:tcPr>
          <w:p w14:paraId="6344487C">
            <w:pPr>
              <w:pStyle w:val="25"/>
              <w:spacing w:before="159" w:line="220" w:lineRule="auto"/>
              <w:ind w:left="117"/>
              <w:rPr>
                <w:rFonts w:hint="eastAsia" w:ascii="宋体" w:hAnsi="宋体" w:eastAsia="宋体" w:cs="宋体"/>
                <w:color w:val="auto"/>
                <w:sz w:val="22"/>
                <w:szCs w:val="22"/>
                <w:highlight w:val="none"/>
              </w:rPr>
            </w:pPr>
            <w:r>
              <w:rPr>
                <w:rFonts w:hint="eastAsia" w:ascii="宋体" w:hAnsi="宋体" w:eastAsia="宋体" w:cs="宋体"/>
                <w:color w:val="auto"/>
                <w:spacing w:val="-5"/>
                <w:sz w:val="22"/>
                <w:szCs w:val="22"/>
                <w:highlight w:val="none"/>
              </w:rPr>
              <w:t>左侧</w:t>
            </w:r>
          </w:p>
          <w:p w14:paraId="62BA4511">
            <w:pPr>
              <w:pStyle w:val="25"/>
              <w:spacing w:before="133" w:line="216" w:lineRule="auto"/>
              <w:jc w:val="righ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（m）</w:t>
            </w:r>
          </w:p>
        </w:tc>
        <w:tc>
          <w:tcPr>
            <w:tcW w:w="631" w:type="dxa"/>
            <w:vAlign w:val="top"/>
          </w:tcPr>
          <w:p w14:paraId="7D2FE738">
            <w:pPr>
              <w:pStyle w:val="25"/>
              <w:spacing w:before="159" w:line="220" w:lineRule="auto"/>
              <w:ind w:left="118"/>
              <w:rPr>
                <w:rFonts w:hint="eastAsia" w:ascii="宋体" w:hAnsi="宋体" w:eastAsia="宋体" w:cs="宋体"/>
                <w:color w:val="auto"/>
                <w:sz w:val="22"/>
                <w:szCs w:val="22"/>
                <w:highlight w:val="none"/>
              </w:rPr>
            </w:pPr>
            <w:r>
              <w:rPr>
                <w:rFonts w:hint="eastAsia" w:ascii="宋体" w:hAnsi="宋体" w:eastAsia="宋体" w:cs="宋体"/>
                <w:color w:val="auto"/>
                <w:spacing w:val="-5"/>
                <w:sz w:val="22"/>
                <w:szCs w:val="22"/>
                <w:highlight w:val="none"/>
              </w:rPr>
              <w:t>右侧</w:t>
            </w:r>
          </w:p>
          <w:p w14:paraId="6F8C4F87">
            <w:pPr>
              <w:pStyle w:val="25"/>
              <w:spacing w:before="133" w:line="216" w:lineRule="auto"/>
              <w:jc w:val="right"/>
              <w:rPr>
                <w:rFonts w:hint="eastAsia" w:ascii="宋体" w:hAnsi="宋体" w:eastAsia="宋体" w:cs="宋体"/>
                <w:color w:val="auto"/>
                <w:sz w:val="22"/>
                <w:szCs w:val="22"/>
                <w:highlight w:val="none"/>
              </w:rPr>
            </w:pPr>
            <w:r>
              <w:rPr>
                <w:rFonts w:hint="eastAsia" w:ascii="宋体" w:hAnsi="宋体" w:eastAsia="宋体" w:cs="宋体"/>
                <w:color w:val="auto"/>
                <w:spacing w:val="-14"/>
                <w:sz w:val="22"/>
                <w:szCs w:val="22"/>
                <w:highlight w:val="none"/>
              </w:rPr>
              <w:t>（m）</w:t>
            </w:r>
          </w:p>
        </w:tc>
      </w:tr>
      <w:tr w14:paraId="60EF67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8" w:hRule="atLeast"/>
        </w:trPr>
        <w:tc>
          <w:tcPr>
            <w:tcW w:w="2844" w:type="dxa"/>
            <w:vAlign w:val="top"/>
          </w:tcPr>
          <w:p w14:paraId="4BBE786A">
            <w:pPr>
              <w:pStyle w:val="25"/>
              <w:spacing w:before="121" w:line="215" w:lineRule="auto"/>
              <w:ind w:left="45"/>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一、临时工程</w:t>
            </w:r>
          </w:p>
        </w:tc>
        <w:tc>
          <w:tcPr>
            <w:tcW w:w="394" w:type="dxa"/>
            <w:vAlign w:val="top"/>
          </w:tcPr>
          <w:p w14:paraId="6F614B65">
            <w:pPr>
              <w:rPr>
                <w:rFonts w:hint="eastAsia" w:ascii="宋体" w:hAnsi="宋体" w:eastAsia="宋体" w:cs="宋体"/>
                <w:color w:val="auto"/>
                <w:sz w:val="21"/>
                <w:highlight w:val="none"/>
              </w:rPr>
            </w:pPr>
          </w:p>
        </w:tc>
        <w:tc>
          <w:tcPr>
            <w:tcW w:w="396" w:type="dxa"/>
            <w:vAlign w:val="top"/>
          </w:tcPr>
          <w:p w14:paraId="3862D3B6">
            <w:pPr>
              <w:rPr>
                <w:rFonts w:hint="eastAsia" w:ascii="宋体" w:hAnsi="宋体" w:eastAsia="宋体" w:cs="宋体"/>
                <w:color w:val="auto"/>
                <w:sz w:val="21"/>
                <w:highlight w:val="none"/>
              </w:rPr>
            </w:pPr>
          </w:p>
        </w:tc>
        <w:tc>
          <w:tcPr>
            <w:tcW w:w="599" w:type="dxa"/>
            <w:vAlign w:val="top"/>
          </w:tcPr>
          <w:p w14:paraId="3A921485">
            <w:pPr>
              <w:rPr>
                <w:rFonts w:hint="eastAsia" w:ascii="宋体" w:hAnsi="宋体" w:eastAsia="宋体" w:cs="宋体"/>
                <w:color w:val="auto"/>
                <w:sz w:val="21"/>
                <w:highlight w:val="none"/>
              </w:rPr>
            </w:pPr>
          </w:p>
        </w:tc>
        <w:tc>
          <w:tcPr>
            <w:tcW w:w="599" w:type="dxa"/>
            <w:vAlign w:val="top"/>
          </w:tcPr>
          <w:p w14:paraId="4282328E">
            <w:pPr>
              <w:rPr>
                <w:rFonts w:hint="eastAsia" w:ascii="宋体" w:hAnsi="宋体" w:eastAsia="宋体" w:cs="宋体"/>
                <w:color w:val="auto"/>
                <w:sz w:val="21"/>
                <w:highlight w:val="none"/>
              </w:rPr>
            </w:pPr>
          </w:p>
        </w:tc>
        <w:tc>
          <w:tcPr>
            <w:tcW w:w="599" w:type="dxa"/>
            <w:vAlign w:val="top"/>
          </w:tcPr>
          <w:p w14:paraId="1647471B">
            <w:pPr>
              <w:rPr>
                <w:rFonts w:hint="eastAsia" w:ascii="宋体" w:hAnsi="宋体" w:eastAsia="宋体" w:cs="宋体"/>
                <w:color w:val="auto"/>
                <w:sz w:val="21"/>
                <w:highlight w:val="none"/>
              </w:rPr>
            </w:pPr>
          </w:p>
        </w:tc>
        <w:tc>
          <w:tcPr>
            <w:tcW w:w="1558" w:type="dxa"/>
            <w:vAlign w:val="top"/>
          </w:tcPr>
          <w:p w14:paraId="3B5E2A62">
            <w:pPr>
              <w:rPr>
                <w:rFonts w:hint="eastAsia" w:ascii="宋体" w:hAnsi="宋体" w:eastAsia="宋体" w:cs="宋体"/>
                <w:color w:val="auto"/>
                <w:sz w:val="21"/>
                <w:highlight w:val="none"/>
              </w:rPr>
            </w:pPr>
          </w:p>
        </w:tc>
        <w:tc>
          <w:tcPr>
            <w:tcW w:w="600" w:type="dxa"/>
            <w:vAlign w:val="top"/>
          </w:tcPr>
          <w:p w14:paraId="4D5B9B67">
            <w:pPr>
              <w:rPr>
                <w:rFonts w:hint="eastAsia" w:ascii="宋体" w:hAnsi="宋体" w:eastAsia="宋体" w:cs="宋体"/>
                <w:color w:val="auto"/>
                <w:sz w:val="21"/>
                <w:highlight w:val="none"/>
              </w:rPr>
            </w:pPr>
          </w:p>
        </w:tc>
        <w:tc>
          <w:tcPr>
            <w:tcW w:w="623" w:type="dxa"/>
            <w:vAlign w:val="top"/>
          </w:tcPr>
          <w:p w14:paraId="4F80CF0E">
            <w:pPr>
              <w:rPr>
                <w:rFonts w:hint="eastAsia" w:ascii="宋体" w:hAnsi="宋体" w:eastAsia="宋体" w:cs="宋体"/>
                <w:color w:val="auto"/>
                <w:sz w:val="21"/>
                <w:highlight w:val="none"/>
              </w:rPr>
            </w:pPr>
          </w:p>
        </w:tc>
        <w:tc>
          <w:tcPr>
            <w:tcW w:w="631" w:type="dxa"/>
            <w:vAlign w:val="top"/>
          </w:tcPr>
          <w:p w14:paraId="214CCA08">
            <w:pPr>
              <w:rPr>
                <w:rFonts w:hint="eastAsia" w:ascii="宋体" w:hAnsi="宋体" w:eastAsia="宋体" w:cs="宋体"/>
                <w:color w:val="auto"/>
                <w:sz w:val="21"/>
                <w:highlight w:val="none"/>
              </w:rPr>
            </w:pPr>
          </w:p>
        </w:tc>
      </w:tr>
      <w:tr w14:paraId="316C8F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4" w:hRule="atLeast"/>
        </w:trPr>
        <w:tc>
          <w:tcPr>
            <w:tcW w:w="2844" w:type="dxa"/>
            <w:vAlign w:val="top"/>
          </w:tcPr>
          <w:p w14:paraId="5A783B32">
            <w:pPr>
              <w:pStyle w:val="25"/>
              <w:spacing w:before="138" w:line="214" w:lineRule="auto"/>
              <w:ind w:left="270"/>
              <w:rPr>
                <w:rFonts w:hint="eastAsia" w:ascii="宋体" w:hAnsi="宋体" w:eastAsia="宋体" w:cs="宋体"/>
                <w:color w:val="auto"/>
                <w:sz w:val="22"/>
                <w:szCs w:val="22"/>
                <w:highlight w:val="none"/>
              </w:rPr>
            </w:pPr>
            <w:r>
              <w:rPr>
                <w:rFonts w:hint="eastAsia" w:ascii="宋体" w:hAnsi="宋体" w:eastAsia="宋体" w:cs="宋体"/>
                <w:color w:val="auto"/>
                <w:spacing w:val="-7"/>
                <w:sz w:val="22"/>
                <w:szCs w:val="22"/>
                <w:highlight w:val="none"/>
              </w:rPr>
              <w:t>1.便道</w:t>
            </w:r>
          </w:p>
        </w:tc>
        <w:tc>
          <w:tcPr>
            <w:tcW w:w="394" w:type="dxa"/>
            <w:vAlign w:val="top"/>
          </w:tcPr>
          <w:p w14:paraId="00F75C6E">
            <w:pPr>
              <w:rPr>
                <w:rFonts w:hint="eastAsia" w:ascii="宋体" w:hAnsi="宋体" w:eastAsia="宋体" w:cs="宋体"/>
                <w:color w:val="auto"/>
                <w:sz w:val="21"/>
                <w:highlight w:val="none"/>
              </w:rPr>
            </w:pPr>
          </w:p>
        </w:tc>
        <w:tc>
          <w:tcPr>
            <w:tcW w:w="396" w:type="dxa"/>
            <w:vAlign w:val="top"/>
          </w:tcPr>
          <w:p w14:paraId="09A4C58C">
            <w:pPr>
              <w:rPr>
                <w:rFonts w:hint="eastAsia" w:ascii="宋体" w:hAnsi="宋体" w:eastAsia="宋体" w:cs="宋体"/>
                <w:color w:val="auto"/>
                <w:sz w:val="21"/>
                <w:highlight w:val="none"/>
              </w:rPr>
            </w:pPr>
          </w:p>
        </w:tc>
        <w:tc>
          <w:tcPr>
            <w:tcW w:w="599" w:type="dxa"/>
            <w:vAlign w:val="top"/>
          </w:tcPr>
          <w:p w14:paraId="448FE53F">
            <w:pPr>
              <w:rPr>
                <w:rFonts w:hint="eastAsia" w:ascii="宋体" w:hAnsi="宋体" w:eastAsia="宋体" w:cs="宋体"/>
                <w:color w:val="auto"/>
                <w:sz w:val="21"/>
                <w:highlight w:val="none"/>
              </w:rPr>
            </w:pPr>
          </w:p>
        </w:tc>
        <w:tc>
          <w:tcPr>
            <w:tcW w:w="599" w:type="dxa"/>
            <w:vAlign w:val="top"/>
          </w:tcPr>
          <w:p w14:paraId="4B06BF0D">
            <w:pPr>
              <w:rPr>
                <w:rFonts w:hint="eastAsia" w:ascii="宋体" w:hAnsi="宋体" w:eastAsia="宋体" w:cs="宋体"/>
                <w:color w:val="auto"/>
                <w:sz w:val="21"/>
                <w:highlight w:val="none"/>
              </w:rPr>
            </w:pPr>
          </w:p>
        </w:tc>
        <w:tc>
          <w:tcPr>
            <w:tcW w:w="599" w:type="dxa"/>
            <w:vAlign w:val="top"/>
          </w:tcPr>
          <w:p w14:paraId="5ED5C566">
            <w:pPr>
              <w:rPr>
                <w:rFonts w:hint="eastAsia" w:ascii="宋体" w:hAnsi="宋体" w:eastAsia="宋体" w:cs="宋体"/>
                <w:color w:val="auto"/>
                <w:sz w:val="21"/>
                <w:highlight w:val="none"/>
              </w:rPr>
            </w:pPr>
          </w:p>
        </w:tc>
        <w:tc>
          <w:tcPr>
            <w:tcW w:w="1558" w:type="dxa"/>
            <w:vAlign w:val="top"/>
          </w:tcPr>
          <w:p w14:paraId="7641F0E2">
            <w:pPr>
              <w:rPr>
                <w:rFonts w:hint="eastAsia" w:ascii="宋体" w:hAnsi="宋体" w:eastAsia="宋体" w:cs="宋体"/>
                <w:color w:val="auto"/>
                <w:sz w:val="21"/>
                <w:highlight w:val="none"/>
              </w:rPr>
            </w:pPr>
          </w:p>
        </w:tc>
        <w:tc>
          <w:tcPr>
            <w:tcW w:w="600" w:type="dxa"/>
            <w:vAlign w:val="top"/>
          </w:tcPr>
          <w:p w14:paraId="524F5760">
            <w:pPr>
              <w:rPr>
                <w:rFonts w:hint="eastAsia" w:ascii="宋体" w:hAnsi="宋体" w:eastAsia="宋体" w:cs="宋体"/>
                <w:color w:val="auto"/>
                <w:sz w:val="21"/>
                <w:highlight w:val="none"/>
              </w:rPr>
            </w:pPr>
          </w:p>
        </w:tc>
        <w:tc>
          <w:tcPr>
            <w:tcW w:w="623" w:type="dxa"/>
            <w:vAlign w:val="top"/>
          </w:tcPr>
          <w:p w14:paraId="6311F86F">
            <w:pPr>
              <w:rPr>
                <w:rFonts w:hint="eastAsia" w:ascii="宋体" w:hAnsi="宋体" w:eastAsia="宋体" w:cs="宋体"/>
                <w:color w:val="auto"/>
                <w:sz w:val="21"/>
                <w:highlight w:val="none"/>
              </w:rPr>
            </w:pPr>
          </w:p>
        </w:tc>
        <w:tc>
          <w:tcPr>
            <w:tcW w:w="631" w:type="dxa"/>
            <w:vAlign w:val="top"/>
          </w:tcPr>
          <w:p w14:paraId="669BBD53">
            <w:pPr>
              <w:rPr>
                <w:rFonts w:hint="eastAsia" w:ascii="宋体" w:hAnsi="宋体" w:eastAsia="宋体" w:cs="宋体"/>
                <w:color w:val="auto"/>
                <w:sz w:val="21"/>
                <w:highlight w:val="none"/>
              </w:rPr>
            </w:pPr>
          </w:p>
        </w:tc>
      </w:tr>
      <w:tr w14:paraId="3A1B78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4" w:hRule="atLeast"/>
        </w:trPr>
        <w:tc>
          <w:tcPr>
            <w:tcW w:w="2844" w:type="dxa"/>
            <w:vAlign w:val="top"/>
          </w:tcPr>
          <w:p w14:paraId="21B99C69">
            <w:pPr>
              <w:pStyle w:val="25"/>
              <w:spacing w:before="140" w:line="213" w:lineRule="auto"/>
              <w:ind w:left="248"/>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2.便桥</w:t>
            </w:r>
          </w:p>
        </w:tc>
        <w:tc>
          <w:tcPr>
            <w:tcW w:w="394" w:type="dxa"/>
            <w:vAlign w:val="top"/>
          </w:tcPr>
          <w:p w14:paraId="50EDF1DE">
            <w:pPr>
              <w:rPr>
                <w:rFonts w:hint="eastAsia" w:ascii="宋体" w:hAnsi="宋体" w:eastAsia="宋体" w:cs="宋体"/>
                <w:color w:val="auto"/>
                <w:sz w:val="21"/>
                <w:highlight w:val="none"/>
              </w:rPr>
            </w:pPr>
          </w:p>
        </w:tc>
        <w:tc>
          <w:tcPr>
            <w:tcW w:w="396" w:type="dxa"/>
            <w:vAlign w:val="top"/>
          </w:tcPr>
          <w:p w14:paraId="5BE5D62B">
            <w:pPr>
              <w:rPr>
                <w:rFonts w:hint="eastAsia" w:ascii="宋体" w:hAnsi="宋体" w:eastAsia="宋体" w:cs="宋体"/>
                <w:color w:val="auto"/>
                <w:sz w:val="21"/>
                <w:highlight w:val="none"/>
              </w:rPr>
            </w:pPr>
          </w:p>
        </w:tc>
        <w:tc>
          <w:tcPr>
            <w:tcW w:w="599" w:type="dxa"/>
            <w:vAlign w:val="top"/>
          </w:tcPr>
          <w:p w14:paraId="6C68B767">
            <w:pPr>
              <w:rPr>
                <w:rFonts w:hint="eastAsia" w:ascii="宋体" w:hAnsi="宋体" w:eastAsia="宋体" w:cs="宋体"/>
                <w:color w:val="auto"/>
                <w:sz w:val="21"/>
                <w:highlight w:val="none"/>
              </w:rPr>
            </w:pPr>
          </w:p>
        </w:tc>
        <w:tc>
          <w:tcPr>
            <w:tcW w:w="599" w:type="dxa"/>
            <w:vAlign w:val="top"/>
          </w:tcPr>
          <w:p w14:paraId="2D09FFD9">
            <w:pPr>
              <w:rPr>
                <w:rFonts w:hint="eastAsia" w:ascii="宋体" w:hAnsi="宋体" w:eastAsia="宋体" w:cs="宋体"/>
                <w:color w:val="auto"/>
                <w:sz w:val="21"/>
                <w:highlight w:val="none"/>
              </w:rPr>
            </w:pPr>
          </w:p>
        </w:tc>
        <w:tc>
          <w:tcPr>
            <w:tcW w:w="599" w:type="dxa"/>
            <w:vAlign w:val="top"/>
          </w:tcPr>
          <w:p w14:paraId="6860F05C">
            <w:pPr>
              <w:rPr>
                <w:rFonts w:hint="eastAsia" w:ascii="宋体" w:hAnsi="宋体" w:eastAsia="宋体" w:cs="宋体"/>
                <w:color w:val="auto"/>
                <w:sz w:val="21"/>
                <w:highlight w:val="none"/>
              </w:rPr>
            </w:pPr>
          </w:p>
        </w:tc>
        <w:tc>
          <w:tcPr>
            <w:tcW w:w="1558" w:type="dxa"/>
            <w:vAlign w:val="top"/>
          </w:tcPr>
          <w:p w14:paraId="6D1FA34D">
            <w:pPr>
              <w:rPr>
                <w:rFonts w:hint="eastAsia" w:ascii="宋体" w:hAnsi="宋体" w:eastAsia="宋体" w:cs="宋体"/>
                <w:color w:val="auto"/>
                <w:sz w:val="21"/>
                <w:highlight w:val="none"/>
              </w:rPr>
            </w:pPr>
          </w:p>
        </w:tc>
        <w:tc>
          <w:tcPr>
            <w:tcW w:w="600" w:type="dxa"/>
            <w:vAlign w:val="top"/>
          </w:tcPr>
          <w:p w14:paraId="1ECBAE93">
            <w:pPr>
              <w:rPr>
                <w:rFonts w:hint="eastAsia" w:ascii="宋体" w:hAnsi="宋体" w:eastAsia="宋体" w:cs="宋体"/>
                <w:color w:val="auto"/>
                <w:sz w:val="21"/>
                <w:highlight w:val="none"/>
              </w:rPr>
            </w:pPr>
          </w:p>
        </w:tc>
        <w:tc>
          <w:tcPr>
            <w:tcW w:w="623" w:type="dxa"/>
            <w:vAlign w:val="top"/>
          </w:tcPr>
          <w:p w14:paraId="181EF45E">
            <w:pPr>
              <w:rPr>
                <w:rFonts w:hint="eastAsia" w:ascii="宋体" w:hAnsi="宋体" w:eastAsia="宋体" w:cs="宋体"/>
                <w:color w:val="auto"/>
                <w:sz w:val="21"/>
                <w:highlight w:val="none"/>
              </w:rPr>
            </w:pPr>
          </w:p>
        </w:tc>
        <w:tc>
          <w:tcPr>
            <w:tcW w:w="631" w:type="dxa"/>
            <w:vAlign w:val="top"/>
          </w:tcPr>
          <w:p w14:paraId="4B4E319B">
            <w:pPr>
              <w:rPr>
                <w:rFonts w:hint="eastAsia" w:ascii="宋体" w:hAnsi="宋体" w:eastAsia="宋体" w:cs="宋体"/>
                <w:color w:val="auto"/>
                <w:sz w:val="21"/>
                <w:highlight w:val="none"/>
              </w:rPr>
            </w:pPr>
          </w:p>
        </w:tc>
      </w:tr>
      <w:tr w14:paraId="7677F7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2844" w:type="dxa"/>
            <w:vAlign w:val="top"/>
          </w:tcPr>
          <w:p w14:paraId="0E8DC1F5">
            <w:pPr>
              <w:spacing w:before="179" w:line="189" w:lineRule="auto"/>
              <w:ind w:left="253"/>
              <w:rPr>
                <w:rFonts w:hint="eastAsia" w:ascii="宋体" w:hAnsi="宋体" w:eastAsia="宋体" w:cs="宋体"/>
                <w:color w:val="auto"/>
                <w:sz w:val="22"/>
                <w:szCs w:val="22"/>
                <w:highlight w:val="none"/>
              </w:rPr>
            </w:pPr>
            <w:r>
              <w:rPr>
                <w:rFonts w:hint="eastAsia" w:ascii="宋体" w:hAnsi="宋体" w:eastAsia="宋体" w:cs="宋体"/>
                <w:color w:val="auto"/>
                <w:spacing w:val="-9"/>
                <w:sz w:val="22"/>
                <w:szCs w:val="22"/>
                <w:highlight w:val="none"/>
              </w:rPr>
              <w:t>3.……</w:t>
            </w:r>
          </w:p>
        </w:tc>
        <w:tc>
          <w:tcPr>
            <w:tcW w:w="394" w:type="dxa"/>
            <w:vAlign w:val="top"/>
          </w:tcPr>
          <w:p w14:paraId="557065BA">
            <w:pPr>
              <w:rPr>
                <w:rFonts w:hint="eastAsia" w:ascii="宋体" w:hAnsi="宋体" w:eastAsia="宋体" w:cs="宋体"/>
                <w:color w:val="auto"/>
                <w:sz w:val="21"/>
                <w:highlight w:val="none"/>
              </w:rPr>
            </w:pPr>
          </w:p>
        </w:tc>
        <w:tc>
          <w:tcPr>
            <w:tcW w:w="396" w:type="dxa"/>
            <w:vAlign w:val="top"/>
          </w:tcPr>
          <w:p w14:paraId="266F0A2B">
            <w:pPr>
              <w:rPr>
                <w:rFonts w:hint="eastAsia" w:ascii="宋体" w:hAnsi="宋体" w:eastAsia="宋体" w:cs="宋体"/>
                <w:color w:val="auto"/>
                <w:sz w:val="21"/>
                <w:highlight w:val="none"/>
              </w:rPr>
            </w:pPr>
          </w:p>
        </w:tc>
        <w:tc>
          <w:tcPr>
            <w:tcW w:w="599" w:type="dxa"/>
            <w:vAlign w:val="top"/>
          </w:tcPr>
          <w:p w14:paraId="609E53B6">
            <w:pPr>
              <w:rPr>
                <w:rFonts w:hint="eastAsia" w:ascii="宋体" w:hAnsi="宋体" w:eastAsia="宋体" w:cs="宋体"/>
                <w:color w:val="auto"/>
                <w:sz w:val="21"/>
                <w:highlight w:val="none"/>
              </w:rPr>
            </w:pPr>
          </w:p>
        </w:tc>
        <w:tc>
          <w:tcPr>
            <w:tcW w:w="599" w:type="dxa"/>
            <w:vAlign w:val="top"/>
          </w:tcPr>
          <w:p w14:paraId="0823DF7C">
            <w:pPr>
              <w:rPr>
                <w:rFonts w:hint="eastAsia" w:ascii="宋体" w:hAnsi="宋体" w:eastAsia="宋体" w:cs="宋体"/>
                <w:color w:val="auto"/>
                <w:sz w:val="21"/>
                <w:highlight w:val="none"/>
              </w:rPr>
            </w:pPr>
          </w:p>
        </w:tc>
        <w:tc>
          <w:tcPr>
            <w:tcW w:w="599" w:type="dxa"/>
            <w:vAlign w:val="top"/>
          </w:tcPr>
          <w:p w14:paraId="190B2EB5">
            <w:pPr>
              <w:rPr>
                <w:rFonts w:hint="eastAsia" w:ascii="宋体" w:hAnsi="宋体" w:eastAsia="宋体" w:cs="宋体"/>
                <w:color w:val="auto"/>
                <w:sz w:val="21"/>
                <w:highlight w:val="none"/>
              </w:rPr>
            </w:pPr>
          </w:p>
        </w:tc>
        <w:tc>
          <w:tcPr>
            <w:tcW w:w="1558" w:type="dxa"/>
            <w:vAlign w:val="top"/>
          </w:tcPr>
          <w:p w14:paraId="3FD0E3E2">
            <w:pPr>
              <w:rPr>
                <w:rFonts w:hint="eastAsia" w:ascii="宋体" w:hAnsi="宋体" w:eastAsia="宋体" w:cs="宋体"/>
                <w:color w:val="auto"/>
                <w:sz w:val="21"/>
                <w:highlight w:val="none"/>
              </w:rPr>
            </w:pPr>
          </w:p>
        </w:tc>
        <w:tc>
          <w:tcPr>
            <w:tcW w:w="600" w:type="dxa"/>
            <w:vAlign w:val="top"/>
          </w:tcPr>
          <w:p w14:paraId="1D58DA92">
            <w:pPr>
              <w:rPr>
                <w:rFonts w:hint="eastAsia" w:ascii="宋体" w:hAnsi="宋体" w:eastAsia="宋体" w:cs="宋体"/>
                <w:color w:val="auto"/>
                <w:sz w:val="21"/>
                <w:highlight w:val="none"/>
              </w:rPr>
            </w:pPr>
          </w:p>
        </w:tc>
        <w:tc>
          <w:tcPr>
            <w:tcW w:w="623" w:type="dxa"/>
            <w:vAlign w:val="top"/>
          </w:tcPr>
          <w:p w14:paraId="024437D4">
            <w:pPr>
              <w:rPr>
                <w:rFonts w:hint="eastAsia" w:ascii="宋体" w:hAnsi="宋体" w:eastAsia="宋体" w:cs="宋体"/>
                <w:color w:val="auto"/>
                <w:sz w:val="21"/>
                <w:highlight w:val="none"/>
              </w:rPr>
            </w:pPr>
          </w:p>
        </w:tc>
        <w:tc>
          <w:tcPr>
            <w:tcW w:w="631" w:type="dxa"/>
            <w:vAlign w:val="top"/>
          </w:tcPr>
          <w:p w14:paraId="415CC494">
            <w:pPr>
              <w:rPr>
                <w:rFonts w:hint="eastAsia" w:ascii="宋体" w:hAnsi="宋体" w:eastAsia="宋体" w:cs="宋体"/>
                <w:color w:val="auto"/>
                <w:sz w:val="21"/>
                <w:highlight w:val="none"/>
              </w:rPr>
            </w:pPr>
          </w:p>
        </w:tc>
      </w:tr>
      <w:tr w14:paraId="610419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4" w:hRule="atLeast"/>
        </w:trPr>
        <w:tc>
          <w:tcPr>
            <w:tcW w:w="2844" w:type="dxa"/>
            <w:vAlign w:val="top"/>
          </w:tcPr>
          <w:p w14:paraId="0BF46EEA">
            <w:pPr>
              <w:spacing w:line="248" w:lineRule="auto"/>
              <w:rPr>
                <w:rFonts w:hint="eastAsia" w:ascii="宋体" w:hAnsi="宋体" w:eastAsia="宋体" w:cs="宋体"/>
                <w:color w:val="auto"/>
                <w:sz w:val="21"/>
                <w:highlight w:val="none"/>
              </w:rPr>
            </w:pPr>
          </w:p>
          <w:p w14:paraId="7D73776D">
            <w:pPr>
              <w:spacing w:before="63" w:line="68" w:lineRule="exact"/>
              <w:ind w:left="374"/>
              <w:rPr>
                <w:rFonts w:hint="eastAsia" w:ascii="宋体" w:hAnsi="宋体" w:eastAsia="宋体" w:cs="宋体"/>
                <w:color w:val="auto"/>
                <w:sz w:val="22"/>
                <w:szCs w:val="22"/>
                <w:highlight w:val="none"/>
              </w:rPr>
            </w:pPr>
            <w:r>
              <w:rPr>
                <w:rFonts w:hint="eastAsia" w:ascii="宋体" w:hAnsi="宋体" w:eastAsia="宋体" w:cs="宋体"/>
                <w:color w:val="auto"/>
                <w:position w:val="1"/>
                <w:sz w:val="22"/>
                <w:szCs w:val="22"/>
                <w:highlight w:val="none"/>
              </w:rPr>
              <w:t>……</w:t>
            </w:r>
          </w:p>
        </w:tc>
        <w:tc>
          <w:tcPr>
            <w:tcW w:w="394" w:type="dxa"/>
            <w:vAlign w:val="top"/>
          </w:tcPr>
          <w:p w14:paraId="24616278">
            <w:pPr>
              <w:rPr>
                <w:rFonts w:hint="eastAsia" w:ascii="宋体" w:hAnsi="宋体" w:eastAsia="宋体" w:cs="宋体"/>
                <w:color w:val="auto"/>
                <w:sz w:val="21"/>
                <w:highlight w:val="none"/>
              </w:rPr>
            </w:pPr>
          </w:p>
        </w:tc>
        <w:tc>
          <w:tcPr>
            <w:tcW w:w="396" w:type="dxa"/>
            <w:vAlign w:val="top"/>
          </w:tcPr>
          <w:p w14:paraId="2D1EBD1A">
            <w:pPr>
              <w:rPr>
                <w:rFonts w:hint="eastAsia" w:ascii="宋体" w:hAnsi="宋体" w:eastAsia="宋体" w:cs="宋体"/>
                <w:color w:val="auto"/>
                <w:sz w:val="21"/>
                <w:highlight w:val="none"/>
              </w:rPr>
            </w:pPr>
          </w:p>
        </w:tc>
        <w:tc>
          <w:tcPr>
            <w:tcW w:w="599" w:type="dxa"/>
            <w:vAlign w:val="top"/>
          </w:tcPr>
          <w:p w14:paraId="5729D6FF">
            <w:pPr>
              <w:rPr>
                <w:rFonts w:hint="eastAsia" w:ascii="宋体" w:hAnsi="宋体" w:eastAsia="宋体" w:cs="宋体"/>
                <w:color w:val="auto"/>
                <w:sz w:val="21"/>
                <w:highlight w:val="none"/>
              </w:rPr>
            </w:pPr>
          </w:p>
        </w:tc>
        <w:tc>
          <w:tcPr>
            <w:tcW w:w="599" w:type="dxa"/>
            <w:vAlign w:val="top"/>
          </w:tcPr>
          <w:p w14:paraId="7C7FF149">
            <w:pPr>
              <w:rPr>
                <w:rFonts w:hint="eastAsia" w:ascii="宋体" w:hAnsi="宋体" w:eastAsia="宋体" w:cs="宋体"/>
                <w:color w:val="auto"/>
                <w:sz w:val="21"/>
                <w:highlight w:val="none"/>
              </w:rPr>
            </w:pPr>
          </w:p>
        </w:tc>
        <w:tc>
          <w:tcPr>
            <w:tcW w:w="599" w:type="dxa"/>
            <w:vAlign w:val="top"/>
          </w:tcPr>
          <w:p w14:paraId="6121DB1F">
            <w:pPr>
              <w:rPr>
                <w:rFonts w:hint="eastAsia" w:ascii="宋体" w:hAnsi="宋体" w:eastAsia="宋体" w:cs="宋体"/>
                <w:color w:val="auto"/>
                <w:sz w:val="21"/>
                <w:highlight w:val="none"/>
              </w:rPr>
            </w:pPr>
          </w:p>
        </w:tc>
        <w:tc>
          <w:tcPr>
            <w:tcW w:w="1558" w:type="dxa"/>
            <w:vAlign w:val="top"/>
          </w:tcPr>
          <w:p w14:paraId="25911754">
            <w:pPr>
              <w:rPr>
                <w:rFonts w:hint="eastAsia" w:ascii="宋体" w:hAnsi="宋体" w:eastAsia="宋体" w:cs="宋体"/>
                <w:color w:val="auto"/>
                <w:sz w:val="21"/>
                <w:highlight w:val="none"/>
              </w:rPr>
            </w:pPr>
          </w:p>
        </w:tc>
        <w:tc>
          <w:tcPr>
            <w:tcW w:w="600" w:type="dxa"/>
            <w:vAlign w:val="top"/>
          </w:tcPr>
          <w:p w14:paraId="07FBFB5B">
            <w:pPr>
              <w:rPr>
                <w:rFonts w:hint="eastAsia" w:ascii="宋体" w:hAnsi="宋体" w:eastAsia="宋体" w:cs="宋体"/>
                <w:color w:val="auto"/>
                <w:sz w:val="21"/>
                <w:highlight w:val="none"/>
              </w:rPr>
            </w:pPr>
          </w:p>
        </w:tc>
        <w:tc>
          <w:tcPr>
            <w:tcW w:w="623" w:type="dxa"/>
            <w:vAlign w:val="top"/>
          </w:tcPr>
          <w:p w14:paraId="7CF34B99">
            <w:pPr>
              <w:rPr>
                <w:rFonts w:hint="eastAsia" w:ascii="宋体" w:hAnsi="宋体" w:eastAsia="宋体" w:cs="宋体"/>
                <w:color w:val="auto"/>
                <w:sz w:val="21"/>
                <w:highlight w:val="none"/>
              </w:rPr>
            </w:pPr>
          </w:p>
        </w:tc>
        <w:tc>
          <w:tcPr>
            <w:tcW w:w="631" w:type="dxa"/>
            <w:vAlign w:val="top"/>
          </w:tcPr>
          <w:p w14:paraId="492F65AA">
            <w:pPr>
              <w:rPr>
                <w:rFonts w:hint="eastAsia" w:ascii="宋体" w:hAnsi="宋体" w:eastAsia="宋体" w:cs="宋体"/>
                <w:color w:val="auto"/>
                <w:sz w:val="21"/>
                <w:highlight w:val="none"/>
              </w:rPr>
            </w:pPr>
          </w:p>
        </w:tc>
      </w:tr>
      <w:tr w14:paraId="652A59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2844" w:type="dxa"/>
            <w:vAlign w:val="top"/>
          </w:tcPr>
          <w:p w14:paraId="35D2F62E">
            <w:pPr>
              <w:pStyle w:val="25"/>
              <w:spacing w:before="142" w:line="212" w:lineRule="auto"/>
              <w:ind w:left="45"/>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二、生产及生活临时设施</w:t>
            </w:r>
          </w:p>
        </w:tc>
        <w:tc>
          <w:tcPr>
            <w:tcW w:w="394" w:type="dxa"/>
            <w:vAlign w:val="top"/>
          </w:tcPr>
          <w:p w14:paraId="61560130">
            <w:pPr>
              <w:rPr>
                <w:rFonts w:hint="eastAsia" w:ascii="宋体" w:hAnsi="宋体" w:eastAsia="宋体" w:cs="宋体"/>
                <w:color w:val="auto"/>
                <w:sz w:val="21"/>
                <w:highlight w:val="none"/>
              </w:rPr>
            </w:pPr>
          </w:p>
        </w:tc>
        <w:tc>
          <w:tcPr>
            <w:tcW w:w="396" w:type="dxa"/>
            <w:vAlign w:val="top"/>
          </w:tcPr>
          <w:p w14:paraId="680268A7">
            <w:pPr>
              <w:rPr>
                <w:rFonts w:hint="eastAsia" w:ascii="宋体" w:hAnsi="宋体" w:eastAsia="宋体" w:cs="宋体"/>
                <w:color w:val="auto"/>
                <w:sz w:val="21"/>
                <w:highlight w:val="none"/>
              </w:rPr>
            </w:pPr>
          </w:p>
        </w:tc>
        <w:tc>
          <w:tcPr>
            <w:tcW w:w="599" w:type="dxa"/>
            <w:vAlign w:val="top"/>
          </w:tcPr>
          <w:p w14:paraId="00C37FE8">
            <w:pPr>
              <w:rPr>
                <w:rFonts w:hint="eastAsia" w:ascii="宋体" w:hAnsi="宋体" w:eastAsia="宋体" w:cs="宋体"/>
                <w:color w:val="auto"/>
                <w:sz w:val="21"/>
                <w:highlight w:val="none"/>
              </w:rPr>
            </w:pPr>
          </w:p>
        </w:tc>
        <w:tc>
          <w:tcPr>
            <w:tcW w:w="599" w:type="dxa"/>
            <w:vAlign w:val="top"/>
          </w:tcPr>
          <w:p w14:paraId="5F5DB928">
            <w:pPr>
              <w:rPr>
                <w:rFonts w:hint="eastAsia" w:ascii="宋体" w:hAnsi="宋体" w:eastAsia="宋体" w:cs="宋体"/>
                <w:color w:val="auto"/>
                <w:sz w:val="21"/>
                <w:highlight w:val="none"/>
              </w:rPr>
            </w:pPr>
          </w:p>
        </w:tc>
        <w:tc>
          <w:tcPr>
            <w:tcW w:w="599" w:type="dxa"/>
            <w:vAlign w:val="top"/>
          </w:tcPr>
          <w:p w14:paraId="545F59CB">
            <w:pPr>
              <w:rPr>
                <w:rFonts w:hint="eastAsia" w:ascii="宋体" w:hAnsi="宋体" w:eastAsia="宋体" w:cs="宋体"/>
                <w:color w:val="auto"/>
                <w:sz w:val="21"/>
                <w:highlight w:val="none"/>
              </w:rPr>
            </w:pPr>
          </w:p>
        </w:tc>
        <w:tc>
          <w:tcPr>
            <w:tcW w:w="1558" w:type="dxa"/>
            <w:vAlign w:val="top"/>
          </w:tcPr>
          <w:p w14:paraId="2089F47A">
            <w:pPr>
              <w:rPr>
                <w:rFonts w:hint="eastAsia" w:ascii="宋体" w:hAnsi="宋体" w:eastAsia="宋体" w:cs="宋体"/>
                <w:color w:val="auto"/>
                <w:sz w:val="21"/>
                <w:highlight w:val="none"/>
              </w:rPr>
            </w:pPr>
          </w:p>
        </w:tc>
        <w:tc>
          <w:tcPr>
            <w:tcW w:w="600" w:type="dxa"/>
            <w:vAlign w:val="top"/>
          </w:tcPr>
          <w:p w14:paraId="35565DE0">
            <w:pPr>
              <w:rPr>
                <w:rFonts w:hint="eastAsia" w:ascii="宋体" w:hAnsi="宋体" w:eastAsia="宋体" w:cs="宋体"/>
                <w:color w:val="auto"/>
                <w:sz w:val="21"/>
                <w:highlight w:val="none"/>
              </w:rPr>
            </w:pPr>
          </w:p>
        </w:tc>
        <w:tc>
          <w:tcPr>
            <w:tcW w:w="623" w:type="dxa"/>
            <w:vAlign w:val="top"/>
          </w:tcPr>
          <w:p w14:paraId="184DC80A">
            <w:pPr>
              <w:rPr>
                <w:rFonts w:hint="eastAsia" w:ascii="宋体" w:hAnsi="宋体" w:eastAsia="宋体" w:cs="宋体"/>
                <w:color w:val="auto"/>
                <w:sz w:val="21"/>
                <w:highlight w:val="none"/>
              </w:rPr>
            </w:pPr>
          </w:p>
        </w:tc>
        <w:tc>
          <w:tcPr>
            <w:tcW w:w="631" w:type="dxa"/>
            <w:vAlign w:val="top"/>
          </w:tcPr>
          <w:p w14:paraId="517B6A10">
            <w:pPr>
              <w:rPr>
                <w:rFonts w:hint="eastAsia" w:ascii="宋体" w:hAnsi="宋体" w:eastAsia="宋体" w:cs="宋体"/>
                <w:color w:val="auto"/>
                <w:sz w:val="21"/>
                <w:highlight w:val="none"/>
              </w:rPr>
            </w:pPr>
          </w:p>
        </w:tc>
      </w:tr>
      <w:tr w14:paraId="5C8959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4" w:hRule="atLeast"/>
        </w:trPr>
        <w:tc>
          <w:tcPr>
            <w:tcW w:w="2844" w:type="dxa"/>
            <w:vAlign w:val="top"/>
          </w:tcPr>
          <w:p w14:paraId="17B7139C">
            <w:pPr>
              <w:pStyle w:val="25"/>
              <w:spacing w:before="143" w:line="210" w:lineRule="auto"/>
              <w:ind w:left="270"/>
              <w:rPr>
                <w:rFonts w:hint="eastAsia" w:ascii="宋体" w:hAnsi="宋体" w:eastAsia="宋体" w:cs="宋体"/>
                <w:color w:val="auto"/>
                <w:sz w:val="22"/>
                <w:szCs w:val="22"/>
                <w:highlight w:val="none"/>
              </w:rPr>
            </w:pPr>
            <w:r>
              <w:rPr>
                <w:rFonts w:hint="eastAsia" w:ascii="宋体" w:hAnsi="宋体" w:eastAsia="宋体" w:cs="宋体"/>
                <w:color w:val="auto"/>
                <w:spacing w:val="-5"/>
                <w:sz w:val="22"/>
                <w:szCs w:val="22"/>
                <w:highlight w:val="none"/>
              </w:rPr>
              <w:t>1.临时住房</w:t>
            </w:r>
          </w:p>
        </w:tc>
        <w:tc>
          <w:tcPr>
            <w:tcW w:w="394" w:type="dxa"/>
            <w:vAlign w:val="top"/>
          </w:tcPr>
          <w:p w14:paraId="423DF982">
            <w:pPr>
              <w:rPr>
                <w:rFonts w:hint="eastAsia" w:ascii="宋体" w:hAnsi="宋体" w:eastAsia="宋体" w:cs="宋体"/>
                <w:color w:val="auto"/>
                <w:sz w:val="21"/>
                <w:highlight w:val="none"/>
              </w:rPr>
            </w:pPr>
          </w:p>
        </w:tc>
        <w:tc>
          <w:tcPr>
            <w:tcW w:w="396" w:type="dxa"/>
            <w:vAlign w:val="top"/>
          </w:tcPr>
          <w:p w14:paraId="4D4C303C">
            <w:pPr>
              <w:rPr>
                <w:rFonts w:hint="eastAsia" w:ascii="宋体" w:hAnsi="宋体" w:eastAsia="宋体" w:cs="宋体"/>
                <w:color w:val="auto"/>
                <w:sz w:val="21"/>
                <w:highlight w:val="none"/>
              </w:rPr>
            </w:pPr>
          </w:p>
        </w:tc>
        <w:tc>
          <w:tcPr>
            <w:tcW w:w="599" w:type="dxa"/>
            <w:vAlign w:val="top"/>
          </w:tcPr>
          <w:p w14:paraId="517F305E">
            <w:pPr>
              <w:rPr>
                <w:rFonts w:hint="eastAsia" w:ascii="宋体" w:hAnsi="宋体" w:eastAsia="宋体" w:cs="宋体"/>
                <w:color w:val="auto"/>
                <w:sz w:val="21"/>
                <w:highlight w:val="none"/>
              </w:rPr>
            </w:pPr>
          </w:p>
        </w:tc>
        <w:tc>
          <w:tcPr>
            <w:tcW w:w="599" w:type="dxa"/>
            <w:vAlign w:val="top"/>
          </w:tcPr>
          <w:p w14:paraId="4B12C18D">
            <w:pPr>
              <w:rPr>
                <w:rFonts w:hint="eastAsia" w:ascii="宋体" w:hAnsi="宋体" w:eastAsia="宋体" w:cs="宋体"/>
                <w:color w:val="auto"/>
                <w:sz w:val="21"/>
                <w:highlight w:val="none"/>
              </w:rPr>
            </w:pPr>
          </w:p>
        </w:tc>
        <w:tc>
          <w:tcPr>
            <w:tcW w:w="599" w:type="dxa"/>
            <w:vAlign w:val="top"/>
          </w:tcPr>
          <w:p w14:paraId="731EBBBB">
            <w:pPr>
              <w:rPr>
                <w:rFonts w:hint="eastAsia" w:ascii="宋体" w:hAnsi="宋体" w:eastAsia="宋体" w:cs="宋体"/>
                <w:color w:val="auto"/>
                <w:sz w:val="21"/>
                <w:highlight w:val="none"/>
              </w:rPr>
            </w:pPr>
          </w:p>
        </w:tc>
        <w:tc>
          <w:tcPr>
            <w:tcW w:w="1558" w:type="dxa"/>
            <w:vAlign w:val="top"/>
          </w:tcPr>
          <w:p w14:paraId="6F609E19">
            <w:pPr>
              <w:rPr>
                <w:rFonts w:hint="eastAsia" w:ascii="宋体" w:hAnsi="宋体" w:eastAsia="宋体" w:cs="宋体"/>
                <w:color w:val="auto"/>
                <w:sz w:val="21"/>
                <w:highlight w:val="none"/>
              </w:rPr>
            </w:pPr>
          </w:p>
        </w:tc>
        <w:tc>
          <w:tcPr>
            <w:tcW w:w="600" w:type="dxa"/>
            <w:vAlign w:val="top"/>
          </w:tcPr>
          <w:p w14:paraId="1BA6251E">
            <w:pPr>
              <w:rPr>
                <w:rFonts w:hint="eastAsia" w:ascii="宋体" w:hAnsi="宋体" w:eastAsia="宋体" w:cs="宋体"/>
                <w:color w:val="auto"/>
                <w:sz w:val="21"/>
                <w:highlight w:val="none"/>
              </w:rPr>
            </w:pPr>
          </w:p>
        </w:tc>
        <w:tc>
          <w:tcPr>
            <w:tcW w:w="623" w:type="dxa"/>
            <w:vAlign w:val="top"/>
          </w:tcPr>
          <w:p w14:paraId="50329D53">
            <w:pPr>
              <w:rPr>
                <w:rFonts w:hint="eastAsia" w:ascii="宋体" w:hAnsi="宋体" w:eastAsia="宋体" w:cs="宋体"/>
                <w:color w:val="auto"/>
                <w:sz w:val="21"/>
                <w:highlight w:val="none"/>
              </w:rPr>
            </w:pPr>
          </w:p>
        </w:tc>
        <w:tc>
          <w:tcPr>
            <w:tcW w:w="631" w:type="dxa"/>
            <w:vAlign w:val="top"/>
          </w:tcPr>
          <w:p w14:paraId="7456E639">
            <w:pPr>
              <w:rPr>
                <w:rFonts w:hint="eastAsia" w:ascii="宋体" w:hAnsi="宋体" w:eastAsia="宋体" w:cs="宋体"/>
                <w:color w:val="auto"/>
                <w:sz w:val="21"/>
                <w:highlight w:val="none"/>
              </w:rPr>
            </w:pPr>
          </w:p>
        </w:tc>
      </w:tr>
      <w:tr w14:paraId="3BAA6C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2844" w:type="dxa"/>
            <w:vAlign w:val="top"/>
          </w:tcPr>
          <w:p w14:paraId="26898138">
            <w:pPr>
              <w:pStyle w:val="25"/>
              <w:spacing w:before="142" w:line="212" w:lineRule="auto"/>
              <w:ind w:left="248"/>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2.办公等公用房屋</w:t>
            </w:r>
          </w:p>
        </w:tc>
        <w:tc>
          <w:tcPr>
            <w:tcW w:w="394" w:type="dxa"/>
            <w:vAlign w:val="top"/>
          </w:tcPr>
          <w:p w14:paraId="0C630257">
            <w:pPr>
              <w:rPr>
                <w:rFonts w:hint="eastAsia" w:ascii="宋体" w:hAnsi="宋体" w:eastAsia="宋体" w:cs="宋体"/>
                <w:color w:val="auto"/>
                <w:sz w:val="21"/>
                <w:highlight w:val="none"/>
              </w:rPr>
            </w:pPr>
          </w:p>
        </w:tc>
        <w:tc>
          <w:tcPr>
            <w:tcW w:w="396" w:type="dxa"/>
            <w:vAlign w:val="top"/>
          </w:tcPr>
          <w:p w14:paraId="0449E161">
            <w:pPr>
              <w:rPr>
                <w:rFonts w:hint="eastAsia" w:ascii="宋体" w:hAnsi="宋体" w:eastAsia="宋体" w:cs="宋体"/>
                <w:color w:val="auto"/>
                <w:sz w:val="21"/>
                <w:highlight w:val="none"/>
              </w:rPr>
            </w:pPr>
          </w:p>
        </w:tc>
        <w:tc>
          <w:tcPr>
            <w:tcW w:w="599" w:type="dxa"/>
            <w:vAlign w:val="top"/>
          </w:tcPr>
          <w:p w14:paraId="3DE64FD7">
            <w:pPr>
              <w:rPr>
                <w:rFonts w:hint="eastAsia" w:ascii="宋体" w:hAnsi="宋体" w:eastAsia="宋体" w:cs="宋体"/>
                <w:color w:val="auto"/>
                <w:sz w:val="21"/>
                <w:highlight w:val="none"/>
              </w:rPr>
            </w:pPr>
          </w:p>
        </w:tc>
        <w:tc>
          <w:tcPr>
            <w:tcW w:w="599" w:type="dxa"/>
            <w:vAlign w:val="top"/>
          </w:tcPr>
          <w:p w14:paraId="6FF548CC">
            <w:pPr>
              <w:rPr>
                <w:rFonts w:hint="eastAsia" w:ascii="宋体" w:hAnsi="宋体" w:eastAsia="宋体" w:cs="宋体"/>
                <w:color w:val="auto"/>
                <w:sz w:val="21"/>
                <w:highlight w:val="none"/>
              </w:rPr>
            </w:pPr>
          </w:p>
        </w:tc>
        <w:tc>
          <w:tcPr>
            <w:tcW w:w="599" w:type="dxa"/>
            <w:vAlign w:val="top"/>
          </w:tcPr>
          <w:p w14:paraId="6BC1B72C">
            <w:pPr>
              <w:rPr>
                <w:rFonts w:hint="eastAsia" w:ascii="宋体" w:hAnsi="宋体" w:eastAsia="宋体" w:cs="宋体"/>
                <w:color w:val="auto"/>
                <w:sz w:val="21"/>
                <w:highlight w:val="none"/>
              </w:rPr>
            </w:pPr>
          </w:p>
        </w:tc>
        <w:tc>
          <w:tcPr>
            <w:tcW w:w="1558" w:type="dxa"/>
            <w:vAlign w:val="top"/>
          </w:tcPr>
          <w:p w14:paraId="38F65E65">
            <w:pPr>
              <w:rPr>
                <w:rFonts w:hint="eastAsia" w:ascii="宋体" w:hAnsi="宋体" w:eastAsia="宋体" w:cs="宋体"/>
                <w:color w:val="auto"/>
                <w:sz w:val="21"/>
                <w:highlight w:val="none"/>
              </w:rPr>
            </w:pPr>
          </w:p>
        </w:tc>
        <w:tc>
          <w:tcPr>
            <w:tcW w:w="600" w:type="dxa"/>
            <w:vAlign w:val="top"/>
          </w:tcPr>
          <w:p w14:paraId="7744CD3B">
            <w:pPr>
              <w:rPr>
                <w:rFonts w:hint="eastAsia" w:ascii="宋体" w:hAnsi="宋体" w:eastAsia="宋体" w:cs="宋体"/>
                <w:color w:val="auto"/>
                <w:sz w:val="21"/>
                <w:highlight w:val="none"/>
              </w:rPr>
            </w:pPr>
          </w:p>
        </w:tc>
        <w:tc>
          <w:tcPr>
            <w:tcW w:w="623" w:type="dxa"/>
            <w:vAlign w:val="top"/>
          </w:tcPr>
          <w:p w14:paraId="07DD0100">
            <w:pPr>
              <w:rPr>
                <w:rFonts w:hint="eastAsia" w:ascii="宋体" w:hAnsi="宋体" w:eastAsia="宋体" w:cs="宋体"/>
                <w:color w:val="auto"/>
                <w:sz w:val="21"/>
                <w:highlight w:val="none"/>
              </w:rPr>
            </w:pPr>
          </w:p>
        </w:tc>
        <w:tc>
          <w:tcPr>
            <w:tcW w:w="631" w:type="dxa"/>
            <w:vAlign w:val="top"/>
          </w:tcPr>
          <w:p w14:paraId="7716802F">
            <w:pPr>
              <w:rPr>
                <w:rFonts w:hint="eastAsia" w:ascii="宋体" w:hAnsi="宋体" w:eastAsia="宋体" w:cs="宋体"/>
                <w:color w:val="auto"/>
                <w:sz w:val="21"/>
                <w:highlight w:val="none"/>
              </w:rPr>
            </w:pPr>
          </w:p>
        </w:tc>
      </w:tr>
      <w:tr w14:paraId="394FA6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4" w:hRule="atLeast"/>
        </w:trPr>
        <w:tc>
          <w:tcPr>
            <w:tcW w:w="2844" w:type="dxa"/>
            <w:vAlign w:val="top"/>
          </w:tcPr>
          <w:p w14:paraId="23598260">
            <w:pPr>
              <w:pStyle w:val="25"/>
              <w:spacing w:before="142" w:line="211" w:lineRule="auto"/>
              <w:ind w:left="253"/>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3.料库</w:t>
            </w:r>
          </w:p>
        </w:tc>
        <w:tc>
          <w:tcPr>
            <w:tcW w:w="394" w:type="dxa"/>
            <w:vAlign w:val="top"/>
          </w:tcPr>
          <w:p w14:paraId="697EE475">
            <w:pPr>
              <w:rPr>
                <w:rFonts w:hint="eastAsia" w:ascii="宋体" w:hAnsi="宋体" w:eastAsia="宋体" w:cs="宋体"/>
                <w:color w:val="auto"/>
                <w:sz w:val="21"/>
                <w:highlight w:val="none"/>
              </w:rPr>
            </w:pPr>
          </w:p>
        </w:tc>
        <w:tc>
          <w:tcPr>
            <w:tcW w:w="396" w:type="dxa"/>
            <w:vAlign w:val="top"/>
          </w:tcPr>
          <w:p w14:paraId="72E77ED4">
            <w:pPr>
              <w:rPr>
                <w:rFonts w:hint="eastAsia" w:ascii="宋体" w:hAnsi="宋体" w:eastAsia="宋体" w:cs="宋体"/>
                <w:color w:val="auto"/>
                <w:sz w:val="21"/>
                <w:highlight w:val="none"/>
              </w:rPr>
            </w:pPr>
          </w:p>
        </w:tc>
        <w:tc>
          <w:tcPr>
            <w:tcW w:w="599" w:type="dxa"/>
            <w:vAlign w:val="top"/>
          </w:tcPr>
          <w:p w14:paraId="296410C9">
            <w:pPr>
              <w:rPr>
                <w:rFonts w:hint="eastAsia" w:ascii="宋体" w:hAnsi="宋体" w:eastAsia="宋体" w:cs="宋体"/>
                <w:color w:val="auto"/>
                <w:sz w:val="21"/>
                <w:highlight w:val="none"/>
              </w:rPr>
            </w:pPr>
          </w:p>
        </w:tc>
        <w:tc>
          <w:tcPr>
            <w:tcW w:w="599" w:type="dxa"/>
            <w:vAlign w:val="top"/>
          </w:tcPr>
          <w:p w14:paraId="6D130BF9">
            <w:pPr>
              <w:rPr>
                <w:rFonts w:hint="eastAsia" w:ascii="宋体" w:hAnsi="宋体" w:eastAsia="宋体" w:cs="宋体"/>
                <w:color w:val="auto"/>
                <w:sz w:val="21"/>
                <w:highlight w:val="none"/>
              </w:rPr>
            </w:pPr>
          </w:p>
        </w:tc>
        <w:tc>
          <w:tcPr>
            <w:tcW w:w="599" w:type="dxa"/>
            <w:vAlign w:val="top"/>
          </w:tcPr>
          <w:p w14:paraId="6046A837">
            <w:pPr>
              <w:rPr>
                <w:rFonts w:hint="eastAsia" w:ascii="宋体" w:hAnsi="宋体" w:eastAsia="宋体" w:cs="宋体"/>
                <w:color w:val="auto"/>
                <w:sz w:val="21"/>
                <w:highlight w:val="none"/>
              </w:rPr>
            </w:pPr>
          </w:p>
        </w:tc>
        <w:tc>
          <w:tcPr>
            <w:tcW w:w="1558" w:type="dxa"/>
            <w:vAlign w:val="top"/>
          </w:tcPr>
          <w:p w14:paraId="6FC35ED4">
            <w:pPr>
              <w:rPr>
                <w:rFonts w:hint="eastAsia" w:ascii="宋体" w:hAnsi="宋体" w:eastAsia="宋体" w:cs="宋体"/>
                <w:color w:val="auto"/>
                <w:sz w:val="21"/>
                <w:highlight w:val="none"/>
              </w:rPr>
            </w:pPr>
          </w:p>
        </w:tc>
        <w:tc>
          <w:tcPr>
            <w:tcW w:w="600" w:type="dxa"/>
            <w:vAlign w:val="top"/>
          </w:tcPr>
          <w:p w14:paraId="1E5C1FBB">
            <w:pPr>
              <w:rPr>
                <w:rFonts w:hint="eastAsia" w:ascii="宋体" w:hAnsi="宋体" w:eastAsia="宋体" w:cs="宋体"/>
                <w:color w:val="auto"/>
                <w:sz w:val="21"/>
                <w:highlight w:val="none"/>
              </w:rPr>
            </w:pPr>
          </w:p>
        </w:tc>
        <w:tc>
          <w:tcPr>
            <w:tcW w:w="623" w:type="dxa"/>
            <w:vAlign w:val="top"/>
          </w:tcPr>
          <w:p w14:paraId="04D2D788">
            <w:pPr>
              <w:rPr>
                <w:rFonts w:hint="eastAsia" w:ascii="宋体" w:hAnsi="宋体" w:eastAsia="宋体" w:cs="宋体"/>
                <w:color w:val="auto"/>
                <w:sz w:val="21"/>
                <w:highlight w:val="none"/>
              </w:rPr>
            </w:pPr>
          </w:p>
        </w:tc>
        <w:tc>
          <w:tcPr>
            <w:tcW w:w="631" w:type="dxa"/>
            <w:vAlign w:val="top"/>
          </w:tcPr>
          <w:p w14:paraId="0CAB7B1A">
            <w:pPr>
              <w:rPr>
                <w:rFonts w:hint="eastAsia" w:ascii="宋体" w:hAnsi="宋体" w:eastAsia="宋体" w:cs="宋体"/>
                <w:color w:val="auto"/>
                <w:sz w:val="21"/>
                <w:highlight w:val="none"/>
              </w:rPr>
            </w:pPr>
          </w:p>
        </w:tc>
      </w:tr>
      <w:tr w14:paraId="1938C3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2844" w:type="dxa"/>
            <w:vAlign w:val="top"/>
          </w:tcPr>
          <w:p w14:paraId="16EC6007">
            <w:pPr>
              <w:pStyle w:val="25"/>
              <w:spacing w:before="143" w:line="211" w:lineRule="auto"/>
              <w:ind w:left="247"/>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4.预制场</w:t>
            </w:r>
          </w:p>
        </w:tc>
        <w:tc>
          <w:tcPr>
            <w:tcW w:w="394" w:type="dxa"/>
            <w:vAlign w:val="top"/>
          </w:tcPr>
          <w:p w14:paraId="0CB8D288">
            <w:pPr>
              <w:rPr>
                <w:rFonts w:hint="eastAsia" w:ascii="宋体" w:hAnsi="宋体" w:eastAsia="宋体" w:cs="宋体"/>
                <w:color w:val="auto"/>
                <w:sz w:val="21"/>
                <w:highlight w:val="none"/>
              </w:rPr>
            </w:pPr>
          </w:p>
        </w:tc>
        <w:tc>
          <w:tcPr>
            <w:tcW w:w="396" w:type="dxa"/>
            <w:vAlign w:val="top"/>
          </w:tcPr>
          <w:p w14:paraId="21D758A5">
            <w:pPr>
              <w:rPr>
                <w:rFonts w:hint="eastAsia" w:ascii="宋体" w:hAnsi="宋体" w:eastAsia="宋体" w:cs="宋体"/>
                <w:color w:val="auto"/>
                <w:sz w:val="21"/>
                <w:highlight w:val="none"/>
              </w:rPr>
            </w:pPr>
          </w:p>
        </w:tc>
        <w:tc>
          <w:tcPr>
            <w:tcW w:w="599" w:type="dxa"/>
            <w:vAlign w:val="top"/>
          </w:tcPr>
          <w:p w14:paraId="0E73DCB1">
            <w:pPr>
              <w:rPr>
                <w:rFonts w:hint="eastAsia" w:ascii="宋体" w:hAnsi="宋体" w:eastAsia="宋体" w:cs="宋体"/>
                <w:color w:val="auto"/>
                <w:sz w:val="21"/>
                <w:highlight w:val="none"/>
              </w:rPr>
            </w:pPr>
          </w:p>
        </w:tc>
        <w:tc>
          <w:tcPr>
            <w:tcW w:w="599" w:type="dxa"/>
            <w:vAlign w:val="top"/>
          </w:tcPr>
          <w:p w14:paraId="230D70A7">
            <w:pPr>
              <w:rPr>
                <w:rFonts w:hint="eastAsia" w:ascii="宋体" w:hAnsi="宋体" w:eastAsia="宋体" w:cs="宋体"/>
                <w:color w:val="auto"/>
                <w:sz w:val="21"/>
                <w:highlight w:val="none"/>
              </w:rPr>
            </w:pPr>
          </w:p>
        </w:tc>
        <w:tc>
          <w:tcPr>
            <w:tcW w:w="599" w:type="dxa"/>
            <w:vAlign w:val="top"/>
          </w:tcPr>
          <w:p w14:paraId="708E977D">
            <w:pPr>
              <w:rPr>
                <w:rFonts w:hint="eastAsia" w:ascii="宋体" w:hAnsi="宋体" w:eastAsia="宋体" w:cs="宋体"/>
                <w:color w:val="auto"/>
                <w:sz w:val="21"/>
                <w:highlight w:val="none"/>
              </w:rPr>
            </w:pPr>
          </w:p>
        </w:tc>
        <w:tc>
          <w:tcPr>
            <w:tcW w:w="1558" w:type="dxa"/>
            <w:vAlign w:val="top"/>
          </w:tcPr>
          <w:p w14:paraId="69985548">
            <w:pPr>
              <w:rPr>
                <w:rFonts w:hint="eastAsia" w:ascii="宋体" w:hAnsi="宋体" w:eastAsia="宋体" w:cs="宋体"/>
                <w:color w:val="auto"/>
                <w:sz w:val="21"/>
                <w:highlight w:val="none"/>
              </w:rPr>
            </w:pPr>
          </w:p>
        </w:tc>
        <w:tc>
          <w:tcPr>
            <w:tcW w:w="600" w:type="dxa"/>
            <w:vAlign w:val="top"/>
          </w:tcPr>
          <w:p w14:paraId="6864EE1E">
            <w:pPr>
              <w:rPr>
                <w:rFonts w:hint="eastAsia" w:ascii="宋体" w:hAnsi="宋体" w:eastAsia="宋体" w:cs="宋体"/>
                <w:color w:val="auto"/>
                <w:sz w:val="21"/>
                <w:highlight w:val="none"/>
              </w:rPr>
            </w:pPr>
          </w:p>
        </w:tc>
        <w:tc>
          <w:tcPr>
            <w:tcW w:w="623" w:type="dxa"/>
            <w:vAlign w:val="top"/>
          </w:tcPr>
          <w:p w14:paraId="51A5F375">
            <w:pPr>
              <w:rPr>
                <w:rFonts w:hint="eastAsia" w:ascii="宋体" w:hAnsi="宋体" w:eastAsia="宋体" w:cs="宋体"/>
                <w:color w:val="auto"/>
                <w:sz w:val="21"/>
                <w:highlight w:val="none"/>
              </w:rPr>
            </w:pPr>
          </w:p>
        </w:tc>
        <w:tc>
          <w:tcPr>
            <w:tcW w:w="631" w:type="dxa"/>
            <w:vAlign w:val="top"/>
          </w:tcPr>
          <w:p w14:paraId="56289205">
            <w:pPr>
              <w:rPr>
                <w:rFonts w:hint="eastAsia" w:ascii="宋体" w:hAnsi="宋体" w:eastAsia="宋体" w:cs="宋体"/>
                <w:color w:val="auto"/>
                <w:sz w:val="21"/>
                <w:highlight w:val="none"/>
              </w:rPr>
            </w:pPr>
          </w:p>
        </w:tc>
      </w:tr>
      <w:tr w14:paraId="6C1E94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4" w:hRule="atLeast"/>
        </w:trPr>
        <w:tc>
          <w:tcPr>
            <w:tcW w:w="2844" w:type="dxa"/>
            <w:vAlign w:val="top"/>
          </w:tcPr>
          <w:p w14:paraId="1895A367">
            <w:pPr>
              <w:spacing w:line="252" w:lineRule="auto"/>
              <w:rPr>
                <w:rFonts w:hint="eastAsia" w:ascii="宋体" w:hAnsi="宋体" w:eastAsia="宋体" w:cs="宋体"/>
                <w:color w:val="auto"/>
                <w:sz w:val="21"/>
                <w:highlight w:val="none"/>
              </w:rPr>
            </w:pPr>
          </w:p>
          <w:p w14:paraId="0FE09BE9">
            <w:pPr>
              <w:spacing w:before="63" w:line="69" w:lineRule="exact"/>
              <w:ind w:left="268"/>
              <w:rPr>
                <w:rFonts w:hint="eastAsia" w:ascii="宋体" w:hAnsi="宋体" w:eastAsia="宋体" w:cs="宋体"/>
                <w:color w:val="auto"/>
                <w:sz w:val="22"/>
                <w:szCs w:val="22"/>
                <w:highlight w:val="none"/>
              </w:rPr>
            </w:pPr>
            <w:r>
              <w:rPr>
                <w:rFonts w:hint="eastAsia" w:ascii="宋体" w:hAnsi="宋体" w:eastAsia="宋体" w:cs="宋体"/>
                <w:color w:val="auto"/>
                <w:position w:val="1"/>
                <w:sz w:val="22"/>
                <w:szCs w:val="22"/>
                <w:highlight w:val="none"/>
              </w:rPr>
              <w:t>……</w:t>
            </w:r>
          </w:p>
        </w:tc>
        <w:tc>
          <w:tcPr>
            <w:tcW w:w="394" w:type="dxa"/>
            <w:vAlign w:val="top"/>
          </w:tcPr>
          <w:p w14:paraId="19E1FDA3">
            <w:pPr>
              <w:rPr>
                <w:rFonts w:hint="eastAsia" w:ascii="宋体" w:hAnsi="宋体" w:eastAsia="宋体" w:cs="宋体"/>
                <w:color w:val="auto"/>
                <w:sz w:val="21"/>
                <w:highlight w:val="none"/>
              </w:rPr>
            </w:pPr>
          </w:p>
        </w:tc>
        <w:tc>
          <w:tcPr>
            <w:tcW w:w="396" w:type="dxa"/>
            <w:vAlign w:val="top"/>
          </w:tcPr>
          <w:p w14:paraId="7376DA1B">
            <w:pPr>
              <w:rPr>
                <w:rFonts w:hint="eastAsia" w:ascii="宋体" w:hAnsi="宋体" w:eastAsia="宋体" w:cs="宋体"/>
                <w:color w:val="auto"/>
                <w:sz w:val="21"/>
                <w:highlight w:val="none"/>
              </w:rPr>
            </w:pPr>
          </w:p>
        </w:tc>
        <w:tc>
          <w:tcPr>
            <w:tcW w:w="599" w:type="dxa"/>
            <w:vAlign w:val="top"/>
          </w:tcPr>
          <w:p w14:paraId="3D9371C2">
            <w:pPr>
              <w:rPr>
                <w:rFonts w:hint="eastAsia" w:ascii="宋体" w:hAnsi="宋体" w:eastAsia="宋体" w:cs="宋体"/>
                <w:color w:val="auto"/>
                <w:sz w:val="21"/>
                <w:highlight w:val="none"/>
              </w:rPr>
            </w:pPr>
          </w:p>
        </w:tc>
        <w:tc>
          <w:tcPr>
            <w:tcW w:w="599" w:type="dxa"/>
            <w:vAlign w:val="top"/>
          </w:tcPr>
          <w:p w14:paraId="776D0303">
            <w:pPr>
              <w:rPr>
                <w:rFonts w:hint="eastAsia" w:ascii="宋体" w:hAnsi="宋体" w:eastAsia="宋体" w:cs="宋体"/>
                <w:color w:val="auto"/>
                <w:sz w:val="21"/>
                <w:highlight w:val="none"/>
              </w:rPr>
            </w:pPr>
          </w:p>
        </w:tc>
        <w:tc>
          <w:tcPr>
            <w:tcW w:w="599" w:type="dxa"/>
            <w:vAlign w:val="top"/>
          </w:tcPr>
          <w:p w14:paraId="43D92F33">
            <w:pPr>
              <w:rPr>
                <w:rFonts w:hint="eastAsia" w:ascii="宋体" w:hAnsi="宋体" w:eastAsia="宋体" w:cs="宋体"/>
                <w:color w:val="auto"/>
                <w:sz w:val="21"/>
                <w:highlight w:val="none"/>
              </w:rPr>
            </w:pPr>
          </w:p>
        </w:tc>
        <w:tc>
          <w:tcPr>
            <w:tcW w:w="1558" w:type="dxa"/>
            <w:vAlign w:val="top"/>
          </w:tcPr>
          <w:p w14:paraId="665A64F6">
            <w:pPr>
              <w:rPr>
                <w:rFonts w:hint="eastAsia" w:ascii="宋体" w:hAnsi="宋体" w:eastAsia="宋体" w:cs="宋体"/>
                <w:color w:val="auto"/>
                <w:sz w:val="21"/>
                <w:highlight w:val="none"/>
              </w:rPr>
            </w:pPr>
          </w:p>
        </w:tc>
        <w:tc>
          <w:tcPr>
            <w:tcW w:w="600" w:type="dxa"/>
            <w:vAlign w:val="top"/>
          </w:tcPr>
          <w:p w14:paraId="4D8D02C2">
            <w:pPr>
              <w:rPr>
                <w:rFonts w:hint="eastAsia" w:ascii="宋体" w:hAnsi="宋体" w:eastAsia="宋体" w:cs="宋体"/>
                <w:color w:val="auto"/>
                <w:sz w:val="21"/>
                <w:highlight w:val="none"/>
              </w:rPr>
            </w:pPr>
          </w:p>
        </w:tc>
        <w:tc>
          <w:tcPr>
            <w:tcW w:w="623" w:type="dxa"/>
            <w:vAlign w:val="top"/>
          </w:tcPr>
          <w:p w14:paraId="4773EA92">
            <w:pPr>
              <w:rPr>
                <w:rFonts w:hint="eastAsia" w:ascii="宋体" w:hAnsi="宋体" w:eastAsia="宋体" w:cs="宋体"/>
                <w:color w:val="auto"/>
                <w:sz w:val="21"/>
                <w:highlight w:val="none"/>
              </w:rPr>
            </w:pPr>
          </w:p>
        </w:tc>
        <w:tc>
          <w:tcPr>
            <w:tcW w:w="631" w:type="dxa"/>
            <w:vAlign w:val="top"/>
          </w:tcPr>
          <w:p w14:paraId="06DAAECE">
            <w:pPr>
              <w:rPr>
                <w:rFonts w:hint="eastAsia" w:ascii="宋体" w:hAnsi="宋体" w:eastAsia="宋体" w:cs="宋体"/>
                <w:color w:val="auto"/>
                <w:sz w:val="21"/>
                <w:highlight w:val="none"/>
              </w:rPr>
            </w:pPr>
          </w:p>
        </w:tc>
      </w:tr>
      <w:tr w14:paraId="209FEA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2844" w:type="dxa"/>
            <w:vAlign w:val="top"/>
          </w:tcPr>
          <w:p w14:paraId="640AFCEA">
            <w:pPr>
              <w:rPr>
                <w:rFonts w:hint="eastAsia" w:ascii="宋体" w:hAnsi="宋体" w:eastAsia="宋体" w:cs="宋体"/>
                <w:color w:val="auto"/>
                <w:sz w:val="21"/>
                <w:highlight w:val="none"/>
              </w:rPr>
            </w:pPr>
          </w:p>
        </w:tc>
        <w:tc>
          <w:tcPr>
            <w:tcW w:w="394" w:type="dxa"/>
            <w:vAlign w:val="top"/>
          </w:tcPr>
          <w:p w14:paraId="4DAFB707">
            <w:pPr>
              <w:rPr>
                <w:rFonts w:hint="eastAsia" w:ascii="宋体" w:hAnsi="宋体" w:eastAsia="宋体" w:cs="宋体"/>
                <w:color w:val="auto"/>
                <w:sz w:val="21"/>
                <w:highlight w:val="none"/>
              </w:rPr>
            </w:pPr>
          </w:p>
        </w:tc>
        <w:tc>
          <w:tcPr>
            <w:tcW w:w="396" w:type="dxa"/>
            <w:vAlign w:val="top"/>
          </w:tcPr>
          <w:p w14:paraId="2232FF86">
            <w:pPr>
              <w:rPr>
                <w:rFonts w:hint="eastAsia" w:ascii="宋体" w:hAnsi="宋体" w:eastAsia="宋体" w:cs="宋体"/>
                <w:color w:val="auto"/>
                <w:sz w:val="21"/>
                <w:highlight w:val="none"/>
              </w:rPr>
            </w:pPr>
          </w:p>
        </w:tc>
        <w:tc>
          <w:tcPr>
            <w:tcW w:w="599" w:type="dxa"/>
            <w:vAlign w:val="top"/>
          </w:tcPr>
          <w:p w14:paraId="1443B11F">
            <w:pPr>
              <w:rPr>
                <w:rFonts w:hint="eastAsia" w:ascii="宋体" w:hAnsi="宋体" w:eastAsia="宋体" w:cs="宋体"/>
                <w:color w:val="auto"/>
                <w:sz w:val="21"/>
                <w:highlight w:val="none"/>
              </w:rPr>
            </w:pPr>
          </w:p>
        </w:tc>
        <w:tc>
          <w:tcPr>
            <w:tcW w:w="599" w:type="dxa"/>
            <w:vAlign w:val="top"/>
          </w:tcPr>
          <w:p w14:paraId="5CA21613">
            <w:pPr>
              <w:rPr>
                <w:rFonts w:hint="eastAsia" w:ascii="宋体" w:hAnsi="宋体" w:eastAsia="宋体" w:cs="宋体"/>
                <w:color w:val="auto"/>
                <w:sz w:val="21"/>
                <w:highlight w:val="none"/>
              </w:rPr>
            </w:pPr>
          </w:p>
        </w:tc>
        <w:tc>
          <w:tcPr>
            <w:tcW w:w="599" w:type="dxa"/>
            <w:vAlign w:val="top"/>
          </w:tcPr>
          <w:p w14:paraId="160860B1">
            <w:pPr>
              <w:rPr>
                <w:rFonts w:hint="eastAsia" w:ascii="宋体" w:hAnsi="宋体" w:eastAsia="宋体" w:cs="宋体"/>
                <w:color w:val="auto"/>
                <w:sz w:val="21"/>
                <w:highlight w:val="none"/>
              </w:rPr>
            </w:pPr>
          </w:p>
        </w:tc>
        <w:tc>
          <w:tcPr>
            <w:tcW w:w="1558" w:type="dxa"/>
            <w:vAlign w:val="top"/>
          </w:tcPr>
          <w:p w14:paraId="44228839">
            <w:pPr>
              <w:rPr>
                <w:rFonts w:hint="eastAsia" w:ascii="宋体" w:hAnsi="宋体" w:eastAsia="宋体" w:cs="宋体"/>
                <w:color w:val="auto"/>
                <w:sz w:val="21"/>
                <w:highlight w:val="none"/>
              </w:rPr>
            </w:pPr>
          </w:p>
        </w:tc>
        <w:tc>
          <w:tcPr>
            <w:tcW w:w="600" w:type="dxa"/>
            <w:vAlign w:val="top"/>
          </w:tcPr>
          <w:p w14:paraId="2336E80B">
            <w:pPr>
              <w:rPr>
                <w:rFonts w:hint="eastAsia" w:ascii="宋体" w:hAnsi="宋体" w:eastAsia="宋体" w:cs="宋体"/>
                <w:color w:val="auto"/>
                <w:sz w:val="21"/>
                <w:highlight w:val="none"/>
              </w:rPr>
            </w:pPr>
          </w:p>
        </w:tc>
        <w:tc>
          <w:tcPr>
            <w:tcW w:w="623" w:type="dxa"/>
            <w:vAlign w:val="top"/>
          </w:tcPr>
          <w:p w14:paraId="3E3D24A2">
            <w:pPr>
              <w:rPr>
                <w:rFonts w:hint="eastAsia" w:ascii="宋体" w:hAnsi="宋体" w:eastAsia="宋体" w:cs="宋体"/>
                <w:color w:val="auto"/>
                <w:sz w:val="21"/>
                <w:highlight w:val="none"/>
              </w:rPr>
            </w:pPr>
          </w:p>
        </w:tc>
        <w:tc>
          <w:tcPr>
            <w:tcW w:w="631" w:type="dxa"/>
            <w:vAlign w:val="top"/>
          </w:tcPr>
          <w:p w14:paraId="1A2CBFEB">
            <w:pPr>
              <w:rPr>
                <w:rFonts w:hint="eastAsia" w:ascii="宋体" w:hAnsi="宋体" w:eastAsia="宋体" w:cs="宋体"/>
                <w:color w:val="auto"/>
                <w:sz w:val="21"/>
                <w:highlight w:val="none"/>
              </w:rPr>
            </w:pPr>
          </w:p>
        </w:tc>
      </w:tr>
      <w:tr w14:paraId="11D42A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4" w:hRule="atLeast"/>
        </w:trPr>
        <w:tc>
          <w:tcPr>
            <w:tcW w:w="2844" w:type="dxa"/>
            <w:vAlign w:val="top"/>
          </w:tcPr>
          <w:p w14:paraId="4392916B">
            <w:pPr>
              <w:rPr>
                <w:rFonts w:hint="eastAsia" w:ascii="宋体" w:hAnsi="宋体" w:eastAsia="宋体" w:cs="宋体"/>
                <w:color w:val="auto"/>
                <w:sz w:val="21"/>
                <w:highlight w:val="none"/>
              </w:rPr>
            </w:pPr>
          </w:p>
        </w:tc>
        <w:tc>
          <w:tcPr>
            <w:tcW w:w="394" w:type="dxa"/>
            <w:vAlign w:val="top"/>
          </w:tcPr>
          <w:p w14:paraId="021945D0">
            <w:pPr>
              <w:rPr>
                <w:rFonts w:hint="eastAsia" w:ascii="宋体" w:hAnsi="宋体" w:eastAsia="宋体" w:cs="宋体"/>
                <w:color w:val="auto"/>
                <w:sz w:val="21"/>
                <w:highlight w:val="none"/>
              </w:rPr>
            </w:pPr>
          </w:p>
        </w:tc>
        <w:tc>
          <w:tcPr>
            <w:tcW w:w="396" w:type="dxa"/>
            <w:vAlign w:val="top"/>
          </w:tcPr>
          <w:p w14:paraId="12F02BC3">
            <w:pPr>
              <w:rPr>
                <w:rFonts w:hint="eastAsia" w:ascii="宋体" w:hAnsi="宋体" w:eastAsia="宋体" w:cs="宋体"/>
                <w:color w:val="auto"/>
                <w:sz w:val="21"/>
                <w:highlight w:val="none"/>
              </w:rPr>
            </w:pPr>
          </w:p>
        </w:tc>
        <w:tc>
          <w:tcPr>
            <w:tcW w:w="599" w:type="dxa"/>
            <w:vAlign w:val="top"/>
          </w:tcPr>
          <w:p w14:paraId="5385963D">
            <w:pPr>
              <w:rPr>
                <w:rFonts w:hint="eastAsia" w:ascii="宋体" w:hAnsi="宋体" w:eastAsia="宋体" w:cs="宋体"/>
                <w:color w:val="auto"/>
                <w:sz w:val="21"/>
                <w:highlight w:val="none"/>
              </w:rPr>
            </w:pPr>
          </w:p>
        </w:tc>
        <w:tc>
          <w:tcPr>
            <w:tcW w:w="599" w:type="dxa"/>
            <w:vAlign w:val="top"/>
          </w:tcPr>
          <w:p w14:paraId="6FDEC3EE">
            <w:pPr>
              <w:rPr>
                <w:rFonts w:hint="eastAsia" w:ascii="宋体" w:hAnsi="宋体" w:eastAsia="宋体" w:cs="宋体"/>
                <w:color w:val="auto"/>
                <w:sz w:val="21"/>
                <w:highlight w:val="none"/>
              </w:rPr>
            </w:pPr>
          </w:p>
        </w:tc>
        <w:tc>
          <w:tcPr>
            <w:tcW w:w="599" w:type="dxa"/>
            <w:vAlign w:val="top"/>
          </w:tcPr>
          <w:p w14:paraId="2EDB1C08">
            <w:pPr>
              <w:rPr>
                <w:rFonts w:hint="eastAsia" w:ascii="宋体" w:hAnsi="宋体" w:eastAsia="宋体" w:cs="宋体"/>
                <w:color w:val="auto"/>
                <w:sz w:val="21"/>
                <w:highlight w:val="none"/>
              </w:rPr>
            </w:pPr>
          </w:p>
        </w:tc>
        <w:tc>
          <w:tcPr>
            <w:tcW w:w="1558" w:type="dxa"/>
            <w:vAlign w:val="top"/>
          </w:tcPr>
          <w:p w14:paraId="47B075E8">
            <w:pPr>
              <w:rPr>
                <w:rFonts w:hint="eastAsia" w:ascii="宋体" w:hAnsi="宋体" w:eastAsia="宋体" w:cs="宋体"/>
                <w:color w:val="auto"/>
                <w:sz w:val="21"/>
                <w:highlight w:val="none"/>
              </w:rPr>
            </w:pPr>
          </w:p>
        </w:tc>
        <w:tc>
          <w:tcPr>
            <w:tcW w:w="600" w:type="dxa"/>
            <w:vAlign w:val="top"/>
          </w:tcPr>
          <w:p w14:paraId="4AD16C50">
            <w:pPr>
              <w:rPr>
                <w:rFonts w:hint="eastAsia" w:ascii="宋体" w:hAnsi="宋体" w:eastAsia="宋体" w:cs="宋体"/>
                <w:color w:val="auto"/>
                <w:sz w:val="21"/>
                <w:highlight w:val="none"/>
              </w:rPr>
            </w:pPr>
          </w:p>
        </w:tc>
        <w:tc>
          <w:tcPr>
            <w:tcW w:w="623" w:type="dxa"/>
            <w:vAlign w:val="top"/>
          </w:tcPr>
          <w:p w14:paraId="5F0D8AEF">
            <w:pPr>
              <w:rPr>
                <w:rFonts w:hint="eastAsia" w:ascii="宋体" w:hAnsi="宋体" w:eastAsia="宋体" w:cs="宋体"/>
                <w:color w:val="auto"/>
                <w:sz w:val="21"/>
                <w:highlight w:val="none"/>
              </w:rPr>
            </w:pPr>
          </w:p>
        </w:tc>
        <w:tc>
          <w:tcPr>
            <w:tcW w:w="631" w:type="dxa"/>
            <w:vAlign w:val="top"/>
          </w:tcPr>
          <w:p w14:paraId="181F71AE">
            <w:pPr>
              <w:rPr>
                <w:rFonts w:hint="eastAsia" w:ascii="宋体" w:hAnsi="宋体" w:eastAsia="宋体" w:cs="宋体"/>
                <w:color w:val="auto"/>
                <w:sz w:val="21"/>
                <w:highlight w:val="none"/>
              </w:rPr>
            </w:pPr>
          </w:p>
        </w:tc>
      </w:tr>
      <w:tr w14:paraId="37DBF6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2844" w:type="dxa"/>
            <w:vAlign w:val="top"/>
          </w:tcPr>
          <w:p w14:paraId="351F3E67">
            <w:pPr>
              <w:rPr>
                <w:rFonts w:hint="eastAsia" w:ascii="宋体" w:hAnsi="宋体" w:eastAsia="宋体" w:cs="宋体"/>
                <w:color w:val="auto"/>
                <w:sz w:val="21"/>
                <w:highlight w:val="none"/>
              </w:rPr>
            </w:pPr>
          </w:p>
        </w:tc>
        <w:tc>
          <w:tcPr>
            <w:tcW w:w="394" w:type="dxa"/>
            <w:vAlign w:val="top"/>
          </w:tcPr>
          <w:p w14:paraId="79AE1121">
            <w:pPr>
              <w:rPr>
                <w:rFonts w:hint="eastAsia" w:ascii="宋体" w:hAnsi="宋体" w:eastAsia="宋体" w:cs="宋体"/>
                <w:color w:val="auto"/>
                <w:sz w:val="21"/>
                <w:highlight w:val="none"/>
              </w:rPr>
            </w:pPr>
          </w:p>
        </w:tc>
        <w:tc>
          <w:tcPr>
            <w:tcW w:w="396" w:type="dxa"/>
            <w:vAlign w:val="top"/>
          </w:tcPr>
          <w:p w14:paraId="1AAD0B30">
            <w:pPr>
              <w:rPr>
                <w:rFonts w:hint="eastAsia" w:ascii="宋体" w:hAnsi="宋体" w:eastAsia="宋体" w:cs="宋体"/>
                <w:color w:val="auto"/>
                <w:sz w:val="21"/>
                <w:highlight w:val="none"/>
              </w:rPr>
            </w:pPr>
          </w:p>
        </w:tc>
        <w:tc>
          <w:tcPr>
            <w:tcW w:w="599" w:type="dxa"/>
            <w:vAlign w:val="top"/>
          </w:tcPr>
          <w:p w14:paraId="222F5CC3">
            <w:pPr>
              <w:rPr>
                <w:rFonts w:hint="eastAsia" w:ascii="宋体" w:hAnsi="宋体" w:eastAsia="宋体" w:cs="宋体"/>
                <w:color w:val="auto"/>
                <w:sz w:val="21"/>
                <w:highlight w:val="none"/>
              </w:rPr>
            </w:pPr>
          </w:p>
        </w:tc>
        <w:tc>
          <w:tcPr>
            <w:tcW w:w="599" w:type="dxa"/>
            <w:vAlign w:val="top"/>
          </w:tcPr>
          <w:p w14:paraId="45DBB2C3">
            <w:pPr>
              <w:rPr>
                <w:rFonts w:hint="eastAsia" w:ascii="宋体" w:hAnsi="宋体" w:eastAsia="宋体" w:cs="宋体"/>
                <w:color w:val="auto"/>
                <w:sz w:val="21"/>
                <w:highlight w:val="none"/>
              </w:rPr>
            </w:pPr>
          </w:p>
        </w:tc>
        <w:tc>
          <w:tcPr>
            <w:tcW w:w="599" w:type="dxa"/>
            <w:vAlign w:val="top"/>
          </w:tcPr>
          <w:p w14:paraId="214ED097">
            <w:pPr>
              <w:rPr>
                <w:rFonts w:hint="eastAsia" w:ascii="宋体" w:hAnsi="宋体" w:eastAsia="宋体" w:cs="宋体"/>
                <w:color w:val="auto"/>
                <w:sz w:val="21"/>
                <w:highlight w:val="none"/>
              </w:rPr>
            </w:pPr>
          </w:p>
        </w:tc>
        <w:tc>
          <w:tcPr>
            <w:tcW w:w="1558" w:type="dxa"/>
            <w:vAlign w:val="top"/>
          </w:tcPr>
          <w:p w14:paraId="5DC015F4">
            <w:pPr>
              <w:rPr>
                <w:rFonts w:hint="eastAsia" w:ascii="宋体" w:hAnsi="宋体" w:eastAsia="宋体" w:cs="宋体"/>
                <w:color w:val="auto"/>
                <w:sz w:val="21"/>
                <w:highlight w:val="none"/>
              </w:rPr>
            </w:pPr>
          </w:p>
        </w:tc>
        <w:tc>
          <w:tcPr>
            <w:tcW w:w="600" w:type="dxa"/>
            <w:vAlign w:val="top"/>
          </w:tcPr>
          <w:p w14:paraId="7E512920">
            <w:pPr>
              <w:rPr>
                <w:rFonts w:hint="eastAsia" w:ascii="宋体" w:hAnsi="宋体" w:eastAsia="宋体" w:cs="宋体"/>
                <w:color w:val="auto"/>
                <w:sz w:val="21"/>
                <w:highlight w:val="none"/>
              </w:rPr>
            </w:pPr>
          </w:p>
        </w:tc>
        <w:tc>
          <w:tcPr>
            <w:tcW w:w="623" w:type="dxa"/>
            <w:vAlign w:val="top"/>
          </w:tcPr>
          <w:p w14:paraId="108424FF">
            <w:pPr>
              <w:rPr>
                <w:rFonts w:hint="eastAsia" w:ascii="宋体" w:hAnsi="宋体" w:eastAsia="宋体" w:cs="宋体"/>
                <w:color w:val="auto"/>
                <w:sz w:val="21"/>
                <w:highlight w:val="none"/>
              </w:rPr>
            </w:pPr>
          </w:p>
        </w:tc>
        <w:tc>
          <w:tcPr>
            <w:tcW w:w="631" w:type="dxa"/>
            <w:vAlign w:val="top"/>
          </w:tcPr>
          <w:p w14:paraId="3D558426">
            <w:pPr>
              <w:rPr>
                <w:rFonts w:hint="eastAsia" w:ascii="宋体" w:hAnsi="宋体" w:eastAsia="宋体" w:cs="宋体"/>
                <w:color w:val="auto"/>
                <w:sz w:val="21"/>
                <w:highlight w:val="none"/>
              </w:rPr>
            </w:pPr>
          </w:p>
        </w:tc>
      </w:tr>
      <w:tr w14:paraId="4B3D27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4" w:hRule="atLeast"/>
        </w:trPr>
        <w:tc>
          <w:tcPr>
            <w:tcW w:w="2844" w:type="dxa"/>
            <w:vAlign w:val="top"/>
          </w:tcPr>
          <w:p w14:paraId="3B45A84A">
            <w:pPr>
              <w:rPr>
                <w:rFonts w:hint="eastAsia" w:ascii="宋体" w:hAnsi="宋体" w:eastAsia="宋体" w:cs="宋体"/>
                <w:color w:val="auto"/>
                <w:sz w:val="21"/>
                <w:highlight w:val="none"/>
              </w:rPr>
            </w:pPr>
          </w:p>
        </w:tc>
        <w:tc>
          <w:tcPr>
            <w:tcW w:w="394" w:type="dxa"/>
            <w:vAlign w:val="top"/>
          </w:tcPr>
          <w:p w14:paraId="40237FE0">
            <w:pPr>
              <w:rPr>
                <w:rFonts w:hint="eastAsia" w:ascii="宋体" w:hAnsi="宋体" w:eastAsia="宋体" w:cs="宋体"/>
                <w:color w:val="auto"/>
                <w:sz w:val="21"/>
                <w:highlight w:val="none"/>
              </w:rPr>
            </w:pPr>
          </w:p>
        </w:tc>
        <w:tc>
          <w:tcPr>
            <w:tcW w:w="396" w:type="dxa"/>
            <w:vAlign w:val="top"/>
          </w:tcPr>
          <w:p w14:paraId="48CEBE89">
            <w:pPr>
              <w:rPr>
                <w:rFonts w:hint="eastAsia" w:ascii="宋体" w:hAnsi="宋体" w:eastAsia="宋体" w:cs="宋体"/>
                <w:color w:val="auto"/>
                <w:sz w:val="21"/>
                <w:highlight w:val="none"/>
              </w:rPr>
            </w:pPr>
          </w:p>
        </w:tc>
        <w:tc>
          <w:tcPr>
            <w:tcW w:w="599" w:type="dxa"/>
            <w:vAlign w:val="top"/>
          </w:tcPr>
          <w:p w14:paraId="46FB15DB">
            <w:pPr>
              <w:rPr>
                <w:rFonts w:hint="eastAsia" w:ascii="宋体" w:hAnsi="宋体" w:eastAsia="宋体" w:cs="宋体"/>
                <w:color w:val="auto"/>
                <w:sz w:val="21"/>
                <w:highlight w:val="none"/>
              </w:rPr>
            </w:pPr>
          </w:p>
        </w:tc>
        <w:tc>
          <w:tcPr>
            <w:tcW w:w="599" w:type="dxa"/>
            <w:vAlign w:val="top"/>
          </w:tcPr>
          <w:p w14:paraId="7C195692">
            <w:pPr>
              <w:rPr>
                <w:rFonts w:hint="eastAsia" w:ascii="宋体" w:hAnsi="宋体" w:eastAsia="宋体" w:cs="宋体"/>
                <w:color w:val="auto"/>
                <w:sz w:val="21"/>
                <w:highlight w:val="none"/>
              </w:rPr>
            </w:pPr>
          </w:p>
        </w:tc>
        <w:tc>
          <w:tcPr>
            <w:tcW w:w="599" w:type="dxa"/>
            <w:vAlign w:val="top"/>
          </w:tcPr>
          <w:p w14:paraId="6D191FD7">
            <w:pPr>
              <w:rPr>
                <w:rFonts w:hint="eastAsia" w:ascii="宋体" w:hAnsi="宋体" w:eastAsia="宋体" w:cs="宋体"/>
                <w:color w:val="auto"/>
                <w:sz w:val="21"/>
                <w:highlight w:val="none"/>
              </w:rPr>
            </w:pPr>
          </w:p>
        </w:tc>
        <w:tc>
          <w:tcPr>
            <w:tcW w:w="1558" w:type="dxa"/>
            <w:vAlign w:val="top"/>
          </w:tcPr>
          <w:p w14:paraId="07436192">
            <w:pPr>
              <w:rPr>
                <w:rFonts w:hint="eastAsia" w:ascii="宋体" w:hAnsi="宋体" w:eastAsia="宋体" w:cs="宋体"/>
                <w:color w:val="auto"/>
                <w:sz w:val="21"/>
                <w:highlight w:val="none"/>
              </w:rPr>
            </w:pPr>
          </w:p>
        </w:tc>
        <w:tc>
          <w:tcPr>
            <w:tcW w:w="600" w:type="dxa"/>
            <w:vAlign w:val="top"/>
          </w:tcPr>
          <w:p w14:paraId="519616E2">
            <w:pPr>
              <w:rPr>
                <w:rFonts w:hint="eastAsia" w:ascii="宋体" w:hAnsi="宋体" w:eastAsia="宋体" w:cs="宋体"/>
                <w:color w:val="auto"/>
                <w:sz w:val="21"/>
                <w:highlight w:val="none"/>
              </w:rPr>
            </w:pPr>
          </w:p>
        </w:tc>
        <w:tc>
          <w:tcPr>
            <w:tcW w:w="623" w:type="dxa"/>
            <w:vAlign w:val="top"/>
          </w:tcPr>
          <w:p w14:paraId="715479F6">
            <w:pPr>
              <w:rPr>
                <w:rFonts w:hint="eastAsia" w:ascii="宋体" w:hAnsi="宋体" w:eastAsia="宋体" w:cs="宋体"/>
                <w:color w:val="auto"/>
                <w:sz w:val="21"/>
                <w:highlight w:val="none"/>
              </w:rPr>
            </w:pPr>
          </w:p>
        </w:tc>
        <w:tc>
          <w:tcPr>
            <w:tcW w:w="631" w:type="dxa"/>
            <w:vAlign w:val="top"/>
          </w:tcPr>
          <w:p w14:paraId="55FB537F">
            <w:pPr>
              <w:rPr>
                <w:rFonts w:hint="eastAsia" w:ascii="宋体" w:hAnsi="宋体" w:eastAsia="宋体" w:cs="宋体"/>
                <w:color w:val="auto"/>
                <w:sz w:val="21"/>
                <w:highlight w:val="none"/>
              </w:rPr>
            </w:pPr>
          </w:p>
        </w:tc>
      </w:tr>
      <w:tr w14:paraId="161F50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2844" w:type="dxa"/>
            <w:vAlign w:val="top"/>
          </w:tcPr>
          <w:p w14:paraId="7B820C60">
            <w:pPr>
              <w:rPr>
                <w:rFonts w:hint="eastAsia" w:ascii="宋体" w:hAnsi="宋体" w:eastAsia="宋体" w:cs="宋体"/>
                <w:color w:val="auto"/>
                <w:sz w:val="21"/>
                <w:highlight w:val="none"/>
              </w:rPr>
            </w:pPr>
          </w:p>
        </w:tc>
        <w:tc>
          <w:tcPr>
            <w:tcW w:w="394" w:type="dxa"/>
            <w:vAlign w:val="top"/>
          </w:tcPr>
          <w:p w14:paraId="2805CF60">
            <w:pPr>
              <w:rPr>
                <w:rFonts w:hint="eastAsia" w:ascii="宋体" w:hAnsi="宋体" w:eastAsia="宋体" w:cs="宋体"/>
                <w:color w:val="auto"/>
                <w:sz w:val="21"/>
                <w:highlight w:val="none"/>
              </w:rPr>
            </w:pPr>
          </w:p>
        </w:tc>
        <w:tc>
          <w:tcPr>
            <w:tcW w:w="396" w:type="dxa"/>
            <w:vAlign w:val="top"/>
          </w:tcPr>
          <w:p w14:paraId="3F029803">
            <w:pPr>
              <w:rPr>
                <w:rFonts w:hint="eastAsia" w:ascii="宋体" w:hAnsi="宋体" w:eastAsia="宋体" w:cs="宋体"/>
                <w:color w:val="auto"/>
                <w:sz w:val="21"/>
                <w:highlight w:val="none"/>
              </w:rPr>
            </w:pPr>
          </w:p>
        </w:tc>
        <w:tc>
          <w:tcPr>
            <w:tcW w:w="599" w:type="dxa"/>
            <w:vAlign w:val="top"/>
          </w:tcPr>
          <w:p w14:paraId="017ABD25">
            <w:pPr>
              <w:rPr>
                <w:rFonts w:hint="eastAsia" w:ascii="宋体" w:hAnsi="宋体" w:eastAsia="宋体" w:cs="宋体"/>
                <w:color w:val="auto"/>
                <w:sz w:val="21"/>
                <w:highlight w:val="none"/>
              </w:rPr>
            </w:pPr>
          </w:p>
        </w:tc>
        <w:tc>
          <w:tcPr>
            <w:tcW w:w="599" w:type="dxa"/>
            <w:vAlign w:val="top"/>
          </w:tcPr>
          <w:p w14:paraId="2C783F45">
            <w:pPr>
              <w:rPr>
                <w:rFonts w:hint="eastAsia" w:ascii="宋体" w:hAnsi="宋体" w:eastAsia="宋体" w:cs="宋体"/>
                <w:color w:val="auto"/>
                <w:sz w:val="21"/>
                <w:highlight w:val="none"/>
              </w:rPr>
            </w:pPr>
          </w:p>
        </w:tc>
        <w:tc>
          <w:tcPr>
            <w:tcW w:w="599" w:type="dxa"/>
            <w:vAlign w:val="top"/>
          </w:tcPr>
          <w:p w14:paraId="76814995">
            <w:pPr>
              <w:rPr>
                <w:rFonts w:hint="eastAsia" w:ascii="宋体" w:hAnsi="宋体" w:eastAsia="宋体" w:cs="宋体"/>
                <w:color w:val="auto"/>
                <w:sz w:val="21"/>
                <w:highlight w:val="none"/>
              </w:rPr>
            </w:pPr>
          </w:p>
        </w:tc>
        <w:tc>
          <w:tcPr>
            <w:tcW w:w="1558" w:type="dxa"/>
            <w:vAlign w:val="top"/>
          </w:tcPr>
          <w:p w14:paraId="6D5E5CBB">
            <w:pPr>
              <w:rPr>
                <w:rFonts w:hint="eastAsia" w:ascii="宋体" w:hAnsi="宋体" w:eastAsia="宋体" w:cs="宋体"/>
                <w:color w:val="auto"/>
                <w:sz w:val="21"/>
                <w:highlight w:val="none"/>
              </w:rPr>
            </w:pPr>
          </w:p>
        </w:tc>
        <w:tc>
          <w:tcPr>
            <w:tcW w:w="600" w:type="dxa"/>
            <w:vAlign w:val="top"/>
          </w:tcPr>
          <w:p w14:paraId="0800079E">
            <w:pPr>
              <w:rPr>
                <w:rFonts w:hint="eastAsia" w:ascii="宋体" w:hAnsi="宋体" w:eastAsia="宋体" w:cs="宋体"/>
                <w:color w:val="auto"/>
                <w:sz w:val="21"/>
                <w:highlight w:val="none"/>
              </w:rPr>
            </w:pPr>
          </w:p>
        </w:tc>
        <w:tc>
          <w:tcPr>
            <w:tcW w:w="623" w:type="dxa"/>
            <w:vAlign w:val="top"/>
          </w:tcPr>
          <w:p w14:paraId="56144E0F">
            <w:pPr>
              <w:rPr>
                <w:rFonts w:hint="eastAsia" w:ascii="宋体" w:hAnsi="宋体" w:eastAsia="宋体" w:cs="宋体"/>
                <w:color w:val="auto"/>
                <w:sz w:val="21"/>
                <w:highlight w:val="none"/>
              </w:rPr>
            </w:pPr>
          </w:p>
        </w:tc>
        <w:tc>
          <w:tcPr>
            <w:tcW w:w="631" w:type="dxa"/>
            <w:vAlign w:val="top"/>
          </w:tcPr>
          <w:p w14:paraId="6F4DAB54">
            <w:pPr>
              <w:rPr>
                <w:rFonts w:hint="eastAsia" w:ascii="宋体" w:hAnsi="宋体" w:eastAsia="宋体" w:cs="宋体"/>
                <w:color w:val="auto"/>
                <w:sz w:val="21"/>
                <w:highlight w:val="none"/>
              </w:rPr>
            </w:pPr>
          </w:p>
        </w:tc>
      </w:tr>
      <w:tr w14:paraId="45E266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4" w:hRule="atLeast"/>
        </w:trPr>
        <w:tc>
          <w:tcPr>
            <w:tcW w:w="2844" w:type="dxa"/>
            <w:vAlign w:val="top"/>
          </w:tcPr>
          <w:p w14:paraId="377B649D">
            <w:pPr>
              <w:rPr>
                <w:rFonts w:hint="eastAsia" w:ascii="宋体" w:hAnsi="宋体" w:eastAsia="宋体" w:cs="宋体"/>
                <w:color w:val="auto"/>
                <w:sz w:val="21"/>
                <w:highlight w:val="none"/>
              </w:rPr>
            </w:pPr>
          </w:p>
        </w:tc>
        <w:tc>
          <w:tcPr>
            <w:tcW w:w="394" w:type="dxa"/>
            <w:vAlign w:val="top"/>
          </w:tcPr>
          <w:p w14:paraId="1F901473">
            <w:pPr>
              <w:rPr>
                <w:rFonts w:hint="eastAsia" w:ascii="宋体" w:hAnsi="宋体" w:eastAsia="宋体" w:cs="宋体"/>
                <w:color w:val="auto"/>
                <w:sz w:val="21"/>
                <w:highlight w:val="none"/>
              </w:rPr>
            </w:pPr>
          </w:p>
        </w:tc>
        <w:tc>
          <w:tcPr>
            <w:tcW w:w="396" w:type="dxa"/>
            <w:vAlign w:val="top"/>
          </w:tcPr>
          <w:p w14:paraId="6EEAB828">
            <w:pPr>
              <w:rPr>
                <w:rFonts w:hint="eastAsia" w:ascii="宋体" w:hAnsi="宋体" w:eastAsia="宋体" w:cs="宋体"/>
                <w:color w:val="auto"/>
                <w:sz w:val="21"/>
                <w:highlight w:val="none"/>
              </w:rPr>
            </w:pPr>
          </w:p>
        </w:tc>
        <w:tc>
          <w:tcPr>
            <w:tcW w:w="599" w:type="dxa"/>
            <w:vAlign w:val="top"/>
          </w:tcPr>
          <w:p w14:paraId="72A9FCD9">
            <w:pPr>
              <w:rPr>
                <w:rFonts w:hint="eastAsia" w:ascii="宋体" w:hAnsi="宋体" w:eastAsia="宋体" w:cs="宋体"/>
                <w:color w:val="auto"/>
                <w:sz w:val="21"/>
                <w:highlight w:val="none"/>
              </w:rPr>
            </w:pPr>
          </w:p>
        </w:tc>
        <w:tc>
          <w:tcPr>
            <w:tcW w:w="599" w:type="dxa"/>
            <w:vAlign w:val="top"/>
          </w:tcPr>
          <w:p w14:paraId="16A870D0">
            <w:pPr>
              <w:rPr>
                <w:rFonts w:hint="eastAsia" w:ascii="宋体" w:hAnsi="宋体" w:eastAsia="宋体" w:cs="宋体"/>
                <w:color w:val="auto"/>
                <w:sz w:val="21"/>
                <w:highlight w:val="none"/>
              </w:rPr>
            </w:pPr>
          </w:p>
        </w:tc>
        <w:tc>
          <w:tcPr>
            <w:tcW w:w="599" w:type="dxa"/>
            <w:vAlign w:val="top"/>
          </w:tcPr>
          <w:p w14:paraId="2726D812">
            <w:pPr>
              <w:rPr>
                <w:rFonts w:hint="eastAsia" w:ascii="宋体" w:hAnsi="宋体" w:eastAsia="宋体" w:cs="宋体"/>
                <w:color w:val="auto"/>
                <w:sz w:val="21"/>
                <w:highlight w:val="none"/>
              </w:rPr>
            </w:pPr>
          </w:p>
        </w:tc>
        <w:tc>
          <w:tcPr>
            <w:tcW w:w="1558" w:type="dxa"/>
            <w:vAlign w:val="top"/>
          </w:tcPr>
          <w:p w14:paraId="14FC8B46">
            <w:pPr>
              <w:rPr>
                <w:rFonts w:hint="eastAsia" w:ascii="宋体" w:hAnsi="宋体" w:eastAsia="宋体" w:cs="宋体"/>
                <w:color w:val="auto"/>
                <w:sz w:val="21"/>
                <w:highlight w:val="none"/>
              </w:rPr>
            </w:pPr>
          </w:p>
        </w:tc>
        <w:tc>
          <w:tcPr>
            <w:tcW w:w="600" w:type="dxa"/>
            <w:vAlign w:val="top"/>
          </w:tcPr>
          <w:p w14:paraId="2CAC6C4B">
            <w:pPr>
              <w:rPr>
                <w:rFonts w:hint="eastAsia" w:ascii="宋体" w:hAnsi="宋体" w:eastAsia="宋体" w:cs="宋体"/>
                <w:color w:val="auto"/>
                <w:sz w:val="21"/>
                <w:highlight w:val="none"/>
              </w:rPr>
            </w:pPr>
          </w:p>
        </w:tc>
        <w:tc>
          <w:tcPr>
            <w:tcW w:w="623" w:type="dxa"/>
            <w:vAlign w:val="top"/>
          </w:tcPr>
          <w:p w14:paraId="6EA99516">
            <w:pPr>
              <w:rPr>
                <w:rFonts w:hint="eastAsia" w:ascii="宋体" w:hAnsi="宋体" w:eastAsia="宋体" w:cs="宋体"/>
                <w:color w:val="auto"/>
                <w:sz w:val="21"/>
                <w:highlight w:val="none"/>
              </w:rPr>
            </w:pPr>
          </w:p>
        </w:tc>
        <w:tc>
          <w:tcPr>
            <w:tcW w:w="631" w:type="dxa"/>
            <w:vAlign w:val="top"/>
          </w:tcPr>
          <w:p w14:paraId="54412B4C">
            <w:pPr>
              <w:rPr>
                <w:rFonts w:hint="eastAsia" w:ascii="宋体" w:hAnsi="宋体" w:eastAsia="宋体" w:cs="宋体"/>
                <w:color w:val="auto"/>
                <w:sz w:val="21"/>
                <w:highlight w:val="none"/>
              </w:rPr>
            </w:pPr>
          </w:p>
        </w:tc>
      </w:tr>
      <w:tr w14:paraId="09AC1D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2844" w:type="dxa"/>
            <w:vAlign w:val="top"/>
          </w:tcPr>
          <w:p w14:paraId="19C71965">
            <w:pPr>
              <w:rPr>
                <w:rFonts w:hint="eastAsia" w:ascii="宋体" w:hAnsi="宋体" w:eastAsia="宋体" w:cs="宋体"/>
                <w:color w:val="auto"/>
                <w:sz w:val="21"/>
                <w:highlight w:val="none"/>
              </w:rPr>
            </w:pPr>
          </w:p>
        </w:tc>
        <w:tc>
          <w:tcPr>
            <w:tcW w:w="394" w:type="dxa"/>
            <w:vAlign w:val="top"/>
          </w:tcPr>
          <w:p w14:paraId="54F0D190">
            <w:pPr>
              <w:rPr>
                <w:rFonts w:hint="eastAsia" w:ascii="宋体" w:hAnsi="宋体" w:eastAsia="宋体" w:cs="宋体"/>
                <w:color w:val="auto"/>
                <w:sz w:val="21"/>
                <w:highlight w:val="none"/>
              </w:rPr>
            </w:pPr>
          </w:p>
        </w:tc>
        <w:tc>
          <w:tcPr>
            <w:tcW w:w="396" w:type="dxa"/>
            <w:vAlign w:val="top"/>
          </w:tcPr>
          <w:p w14:paraId="0DD31B28">
            <w:pPr>
              <w:rPr>
                <w:rFonts w:hint="eastAsia" w:ascii="宋体" w:hAnsi="宋体" w:eastAsia="宋体" w:cs="宋体"/>
                <w:color w:val="auto"/>
                <w:sz w:val="21"/>
                <w:highlight w:val="none"/>
              </w:rPr>
            </w:pPr>
          </w:p>
        </w:tc>
        <w:tc>
          <w:tcPr>
            <w:tcW w:w="599" w:type="dxa"/>
            <w:vAlign w:val="top"/>
          </w:tcPr>
          <w:p w14:paraId="5FFC6363">
            <w:pPr>
              <w:rPr>
                <w:rFonts w:hint="eastAsia" w:ascii="宋体" w:hAnsi="宋体" w:eastAsia="宋体" w:cs="宋体"/>
                <w:color w:val="auto"/>
                <w:sz w:val="21"/>
                <w:highlight w:val="none"/>
              </w:rPr>
            </w:pPr>
          </w:p>
        </w:tc>
        <w:tc>
          <w:tcPr>
            <w:tcW w:w="599" w:type="dxa"/>
            <w:vAlign w:val="top"/>
          </w:tcPr>
          <w:p w14:paraId="34667773">
            <w:pPr>
              <w:rPr>
                <w:rFonts w:hint="eastAsia" w:ascii="宋体" w:hAnsi="宋体" w:eastAsia="宋体" w:cs="宋体"/>
                <w:color w:val="auto"/>
                <w:sz w:val="21"/>
                <w:highlight w:val="none"/>
              </w:rPr>
            </w:pPr>
          </w:p>
        </w:tc>
        <w:tc>
          <w:tcPr>
            <w:tcW w:w="599" w:type="dxa"/>
            <w:vAlign w:val="top"/>
          </w:tcPr>
          <w:p w14:paraId="444F79A5">
            <w:pPr>
              <w:rPr>
                <w:rFonts w:hint="eastAsia" w:ascii="宋体" w:hAnsi="宋体" w:eastAsia="宋体" w:cs="宋体"/>
                <w:color w:val="auto"/>
                <w:sz w:val="21"/>
                <w:highlight w:val="none"/>
              </w:rPr>
            </w:pPr>
          </w:p>
        </w:tc>
        <w:tc>
          <w:tcPr>
            <w:tcW w:w="1558" w:type="dxa"/>
            <w:vAlign w:val="top"/>
          </w:tcPr>
          <w:p w14:paraId="1EDF96D1">
            <w:pPr>
              <w:rPr>
                <w:rFonts w:hint="eastAsia" w:ascii="宋体" w:hAnsi="宋体" w:eastAsia="宋体" w:cs="宋体"/>
                <w:color w:val="auto"/>
                <w:sz w:val="21"/>
                <w:highlight w:val="none"/>
              </w:rPr>
            </w:pPr>
          </w:p>
        </w:tc>
        <w:tc>
          <w:tcPr>
            <w:tcW w:w="600" w:type="dxa"/>
            <w:vAlign w:val="top"/>
          </w:tcPr>
          <w:p w14:paraId="3442BA67">
            <w:pPr>
              <w:rPr>
                <w:rFonts w:hint="eastAsia" w:ascii="宋体" w:hAnsi="宋体" w:eastAsia="宋体" w:cs="宋体"/>
                <w:color w:val="auto"/>
                <w:sz w:val="21"/>
                <w:highlight w:val="none"/>
              </w:rPr>
            </w:pPr>
          </w:p>
        </w:tc>
        <w:tc>
          <w:tcPr>
            <w:tcW w:w="623" w:type="dxa"/>
            <w:vAlign w:val="top"/>
          </w:tcPr>
          <w:p w14:paraId="1458801D">
            <w:pPr>
              <w:rPr>
                <w:rFonts w:hint="eastAsia" w:ascii="宋体" w:hAnsi="宋体" w:eastAsia="宋体" w:cs="宋体"/>
                <w:color w:val="auto"/>
                <w:sz w:val="21"/>
                <w:highlight w:val="none"/>
              </w:rPr>
            </w:pPr>
          </w:p>
        </w:tc>
        <w:tc>
          <w:tcPr>
            <w:tcW w:w="631" w:type="dxa"/>
            <w:vAlign w:val="top"/>
          </w:tcPr>
          <w:p w14:paraId="6C4E9FA3">
            <w:pPr>
              <w:rPr>
                <w:rFonts w:hint="eastAsia" w:ascii="宋体" w:hAnsi="宋体" w:eastAsia="宋体" w:cs="宋体"/>
                <w:color w:val="auto"/>
                <w:sz w:val="21"/>
                <w:highlight w:val="none"/>
              </w:rPr>
            </w:pPr>
          </w:p>
        </w:tc>
      </w:tr>
      <w:tr w14:paraId="5C8A23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2844" w:type="dxa"/>
            <w:vAlign w:val="top"/>
          </w:tcPr>
          <w:p w14:paraId="79E57483">
            <w:pPr>
              <w:rPr>
                <w:rFonts w:hint="eastAsia" w:ascii="宋体" w:hAnsi="宋体" w:eastAsia="宋体" w:cs="宋体"/>
                <w:color w:val="auto"/>
                <w:sz w:val="21"/>
                <w:highlight w:val="none"/>
              </w:rPr>
            </w:pPr>
          </w:p>
        </w:tc>
        <w:tc>
          <w:tcPr>
            <w:tcW w:w="394" w:type="dxa"/>
            <w:vAlign w:val="top"/>
          </w:tcPr>
          <w:p w14:paraId="5A5E61CB">
            <w:pPr>
              <w:rPr>
                <w:rFonts w:hint="eastAsia" w:ascii="宋体" w:hAnsi="宋体" w:eastAsia="宋体" w:cs="宋体"/>
                <w:color w:val="auto"/>
                <w:sz w:val="21"/>
                <w:highlight w:val="none"/>
              </w:rPr>
            </w:pPr>
          </w:p>
        </w:tc>
        <w:tc>
          <w:tcPr>
            <w:tcW w:w="396" w:type="dxa"/>
            <w:vAlign w:val="top"/>
          </w:tcPr>
          <w:p w14:paraId="6521FD80">
            <w:pPr>
              <w:rPr>
                <w:rFonts w:hint="eastAsia" w:ascii="宋体" w:hAnsi="宋体" w:eastAsia="宋体" w:cs="宋体"/>
                <w:color w:val="auto"/>
                <w:sz w:val="21"/>
                <w:highlight w:val="none"/>
              </w:rPr>
            </w:pPr>
          </w:p>
        </w:tc>
        <w:tc>
          <w:tcPr>
            <w:tcW w:w="599" w:type="dxa"/>
            <w:vAlign w:val="top"/>
          </w:tcPr>
          <w:p w14:paraId="1DC218DD">
            <w:pPr>
              <w:rPr>
                <w:rFonts w:hint="eastAsia" w:ascii="宋体" w:hAnsi="宋体" w:eastAsia="宋体" w:cs="宋体"/>
                <w:color w:val="auto"/>
                <w:sz w:val="21"/>
                <w:highlight w:val="none"/>
              </w:rPr>
            </w:pPr>
          </w:p>
        </w:tc>
        <w:tc>
          <w:tcPr>
            <w:tcW w:w="599" w:type="dxa"/>
            <w:vAlign w:val="top"/>
          </w:tcPr>
          <w:p w14:paraId="59688221">
            <w:pPr>
              <w:rPr>
                <w:rFonts w:hint="eastAsia" w:ascii="宋体" w:hAnsi="宋体" w:eastAsia="宋体" w:cs="宋体"/>
                <w:color w:val="auto"/>
                <w:sz w:val="21"/>
                <w:highlight w:val="none"/>
              </w:rPr>
            </w:pPr>
          </w:p>
        </w:tc>
        <w:tc>
          <w:tcPr>
            <w:tcW w:w="599" w:type="dxa"/>
            <w:vAlign w:val="top"/>
          </w:tcPr>
          <w:p w14:paraId="48A9938E">
            <w:pPr>
              <w:rPr>
                <w:rFonts w:hint="eastAsia" w:ascii="宋体" w:hAnsi="宋体" w:eastAsia="宋体" w:cs="宋体"/>
                <w:color w:val="auto"/>
                <w:sz w:val="21"/>
                <w:highlight w:val="none"/>
              </w:rPr>
            </w:pPr>
          </w:p>
        </w:tc>
        <w:tc>
          <w:tcPr>
            <w:tcW w:w="1558" w:type="dxa"/>
            <w:vAlign w:val="top"/>
          </w:tcPr>
          <w:p w14:paraId="2EFDFCB3">
            <w:pPr>
              <w:rPr>
                <w:rFonts w:hint="eastAsia" w:ascii="宋体" w:hAnsi="宋体" w:eastAsia="宋体" w:cs="宋体"/>
                <w:color w:val="auto"/>
                <w:sz w:val="21"/>
                <w:highlight w:val="none"/>
              </w:rPr>
            </w:pPr>
          </w:p>
        </w:tc>
        <w:tc>
          <w:tcPr>
            <w:tcW w:w="600" w:type="dxa"/>
            <w:vAlign w:val="top"/>
          </w:tcPr>
          <w:p w14:paraId="00B12E6C">
            <w:pPr>
              <w:rPr>
                <w:rFonts w:hint="eastAsia" w:ascii="宋体" w:hAnsi="宋体" w:eastAsia="宋体" w:cs="宋体"/>
                <w:color w:val="auto"/>
                <w:sz w:val="21"/>
                <w:highlight w:val="none"/>
              </w:rPr>
            </w:pPr>
          </w:p>
        </w:tc>
        <w:tc>
          <w:tcPr>
            <w:tcW w:w="623" w:type="dxa"/>
            <w:vAlign w:val="top"/>
          </w:tcPr>
          <w:p w14:paraId="14069FA9">
            <w:pPr>
              <w:rPr>
                <w:rFonts w:hint="eastAsia" w:ascii="宋体" w:hAnsi="宋体" w:eastAsia="宋体" w:cs="宋体"/>
                <w:color w:val="auto"/>
                <w:sz w:val="21"/>
                <w:highlight w:val="none"/>
              </w:rPr>
            </w:pPr>
          </w:p>
        </w:tc>
        <w:tc>
          <w:tcPr>
            <w:tcW w:w="631" w:type="dxa"/>
            <w:vAlign w:val="top"/>
          </w:tcPr>
          <w:p w14:paraId="29DF057B">
            <w:pPr>
              <w:rPr>
                <w:rFonts w:hint="eastAsia" w:ascii="宋体" w:hAnsi="宋体" w:eastAsia="宋体" w:cs="宋体"/>
                <w:color w:val="auto"/>
                <w:sz w:val="21"/>
                <w:highlight w:val="none"/>
              </w:rPr>
            </w:pPr>
          </w:p>
        </w:tc>
      </w:tr>
      <w:tr w14:paraId="554388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2844" w:type="dxa"/>
            <w:vAlign w:val="top"/>
          </w:tcPr>
          <w:p w14:paraId="7A24727A">
            <w:pPr>
              <w:rPr>
                <w:rFonts w:hint="eastAsia" w:ascii="宋体" w:hAnsi="宋体" w:eastAsia="宋体" w:cs="宋体"/>
                <w:color w:val="auto"/>
                <w:sz w:val="21"/>
                <w:highlight w:val="none"/>
              </w:rPr>
            </w:pPr>
          </w:p>
        </w:tc>
        <w:tc>
          <w:tcPr>
            <w:tcW w:w="394" w:type="dxa"/>
            <w:vAlign w:val="top"/>
          </w:tcPr>
          <w:p w14:paraId="0FDF4CF4">
            <w:pPr>
              <w:rPr>
                <w:rFonts w:hint="eastAsia" w:ascii="宋体" w:hAnsi="宋体" w:eastAsia="宋体" w:cs="宋体"/>
                <w:color w:val="auto"/>
                <w:sz w:val="21"/>
                <w:highlight w:val="none"/>
              </w:rPr>
            </w:pPr>
          </w:p>
        </w:tc>
        <w:tc>
          <w:tcPr>
            <w:tcW w:w="396" w:type="dxa"/>
            <w:vAlign w:val="top"/>
          </w:tcPr>
          <w:p w14:paraId="16C5219B">
            <w:pPr>
              <w:rPr>
                <w:rFonts w:hint="eastAsia" w:ascii="宋体" w:hAnsi="宋体" w:eastAsia="宋体" w:cs="宋体"/>
                <w:color w:val="auto"/>
                <w:sz w:val="21"/>
                <w:highlight w:val="none"/>
              </w:rPr>
            </w:pPr>
          </w:p>
        </w:tc>
        <w:tc>
          <w:tcPr>
            <w:tcW w:w="599" w:type="dxa"/>
            <w:vAlign w:val="top"/>
          </w:tcPr>
          <w:p w14:paraId="6C0509EE">
            <w:pPr>
              <w:rPr>
                <w:rFonts w:hint="eastAsia" w:ascii="宋体" w:hAnsi="宋体" w:eastAsia="宋体" w:cs="宋体"/>
                <w:color w:val="auto"/>
                <w:sz w:val="21"/>
                <w:highlight w:val="none"/>
              </w:rPr>
            </w:pPr>
          </w:p>
        </w:tc>
        <w:tc>
          <w:tcPr>
            <w:tcW w:w="599" w:type="dxa"/>
            <w:vAlign w:val="top"/>
          </w:tcPr>
          <w:p w14:paraId="2F0658A2">
            <w:pPr>
              <w:rPr>
                <w:rFonts w:hint="eastAsia" w:ascii="宋体" w:hAnsi="宋体" w:eastAsia="宋体" w:cs="宋体"/>
                <w:color w:val="auto"/>
                <w:sz w:val="21"/>
                <w:highlight w:val="none"/>
              </w:rPr>
            </w:pPr>
          </w:p>
        </w:tc>
        <w:tc>
          <w:tcPr>
            <w:tcW w:w="599" w:type="dxa"/>
            <w:vAlign w:val="top"/>
          </w:tcPr>
          <w:p w14:paraId="7BB33451">
            <w:pPr>
              <w:rPr>
                <w:rFonts w:hint="eastAsia" w:ascii="宋体" w:hAnsi="宋体" w:eastAsia="宋体" w:cs="宋体"/>
                <w:color w:val="auto"/>
                <w:sz w:val="21"/>
                <w:highlight w:val="none"/>
              </w:rPr>
            </w:pPr>
          </w:p>
        </w:tc>
        <w:tc>
          <w:tcPr>
            <w:tcW w:w="1558" w:type="dxa"/>
            <w:vAlign w:val="top"/>
          </w:tcPr>
          <w:p w14:paraId="597EE2B4">
            <w:pPr>
              <w:rPr>
                <w:rFonts w:hint="eastAsia" w:ascii="宋体" w:hAnsi="宋体" w:eastAsia="宋体" w:cs="宋体"/>
                <w:color w:val="auto"/>
                <w:sz w:val="21"/>
                <w:highlight w:val="none"/>
              </w:rPr>
            </w:pPr>
          </w:p>
        </w:tc>
        <w:tc>
          <w:tcPr>
            <w:tcW w:w="600" w:type="dxa"/>
            <w:vAlign w:val="top"/>
          </w:tcPr>
          <w:p w14:paraId="2301D164">
            <w:pPr>
              <w:rPr>
                <w:rFonts w:hint="eastAsia" w:ascii="宋体" w:hAnsi="宋体" w:eastAsia="宋体" w:cs="宋体"/>
                <w:color w:val="auto"/>
                <w:sz w:val="21"/>
                <w:highlight w:val="none"/>
              </w:rPr>
            </w:pPr>
          </w:p>
        </w:tc>
        <w:tc>
          <w:tcPr>
            <w:tcW w:w="623" w:type="dxa"/>
            <w:vAlign w:val="top"/>
          </w:tcPr>
          <w:p w14:paraId="15026CB8">
            <w:pPr>
              <w:rPr>
                <w:rFonts w:hint="eastAsia" w:ascii="宋体" w:hAnsi="宋体" w:eastAsia="宋体" w:cs="宋体"/>
                <w:color w:val="auto"/>
                <w:sz w:val="21"/>
                <w:highlight w:val="none"/>
              </w:rPr>
            </w:pPr>
          </w:p>
        </w:tc>
        <w:tc>
          <w:tcPr>
            <w:tcW w:w="631" w:type="dxa"/>
            <w:vAlign w:val="top"/>
          </w:tcPr>
          <w:p w14:paraId="6E30732A">
            <w:pPr>
              <w:rPr>
                <w:rFonts w:hint="eastAsia" w:ascii="宋体" w:hAnsi="宋体" w:eastAsia="宋体" w:cs="宋体"/>
                <w:color w:val="auto"/>
                <w:sz w:val="21"/>
                <w:highlight w:val="none"/>
              </w:rPr>
            </w:pPr>
          </w:p>
        </w:tc>
      </w:tr>
      <w:tr w14:paraId="7BCC51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2844" w:type="dxa"/>
            <w:vAlign w:val="top"/>
          </w:tcPr>
          <w:p w14:paraId="5E324F3F">
            <w:pPr>
              <w:rPr>
                <w:rFonts w:hint="eastAsia" w:ascii="宋体" w:hAnsi="宋体" w:eastAsia="宋体" w:cs="宋体"/>
                <w:color w:val="auto"/>
                <w:sz w:val="21"/>
                <w:highlight w:val="none"/>
              </w:rPr>
            </w:pPr>
          </w:p>
        </w:tc>
        <w:tc>
          <w:tcPr>
            <w:tcW w:w="394" w:type="dxa"/>
            <w:vAlign w:val="top"/>
          </w:tcPr>
          <w:p w14:paraId="4EBB8710">
            <w:pPr>
              <w:rPr>
                <w:rFonts w:hint="eastAsia" w:ascii="宋体" w:hAnsi="宋体" w:eastAsia="宋体" w:cs="宋体"/>
                <w:color w:val="auto"/>
                <w:sz w:val="21"/>
                <w:highlight w:val="none"/>
              </w:rPr>
            </w:pPr>
          </w:p>
        </w:tc>
        <w:tc>
          <w:tcPr>
            <w:tcW w:w="396" w:type="dxa"/>
            <w:vAlign w:val="top"/>
          </w:tcPr>
          <w:p w14:paraId="1D0E590F">
            <w:pPr>
              <w:rPr>
                <w:rFonts w:hint="eastAsia" w:ascii="宋体" w:hAnsi="宋体" w:eastAsia="宋体" w:cs="宋体"/>
                <w:color w:val="auto"/>
                <w:sz w:val="21"/>
                <w:highlight w:val="none"/>
              </w:rPr>
            </w:pPr>
          </w:p>
        </w:tc>
        <w:tc>
          <w:tcPr>
            <w:tcW w:w="599" w:type="dxa"/>
            <w:vAlign w:val="top"/>
          </w:tcPr>
          <w:p w14:paraId="6200EB2E">
            <w:pPr>
              <w:rPr>
                <w:rFonts w:hint="eastAsia" w:ascii="宋体" w:hAnsi="宋体" w:eastAsia="宋体" w:cs="宋体"/>
                <w:color w:val="auto"/>
                <w:sz w:val="21"/>
                <w:highlight w:val="none"/>
              </w:rPr>
            </w:pPr>
          </w:p>
        </w:tc>
        <w:tc>
          <w:tcPr>
            <w:tcW w:w="599" w:type="dxa"/>
            <w:vAlign w:val="top"/>
          </w:tcPr>
          <w:p w14:paraId="05DBF721">
            <w:pPr>
              <w:rPr>
                <w:rFonts w:hint="eastAsia" w:ascii="宋体" w:hAnsi="宋体" w:eastAsia="宋体" w:cs="宋体"/>
                <w:color w:val="auto"/>
                <w:sz w:val="21"/>
                <w:highlight w:val="none"/>
              </w:rPr>
            </w:pPr>
          </w:p>
        </w:tc>
        <w:tc>
          <w:tcPr>
            <w:tcW w:w="599" w:type="dxa"/>
            <w:vAlign w:val="top"/>
          </w:tcPr>
          <w:p w14:paraId="226A49ED">
            <w:pPr>
              <w:rPr>
                <w:rFonts w:hint="eastAsia" w:ascii="宋体" w:hAnsi="宋体" w:eastAsia="宋体" w:cs="宋体"/>
                <w:color w:val="auto"/>
                <w:sz w:val="21"/>
                <w:highlight w:val="none"/>
              </w:rPr>
            </w:pPr>
          </w:p>
        </w:tc>
        <w:tc>
          <w:tcPr>
            <w:tcW w:w="1558" w:type="dxa"/>
            <w:vAlign w:val="top"/>
          </w:tcPr>
          <w:p w14:paraId="4C117504">
            <w:pPr>
              <w:rPr>
                <w:rFonts w:hint="eastAsia" w:ascii="宋体" w:hAnsi="宋体" w:eastAsia="宋体" w:cs="宋体"/>
                <w:color w:val="auto"/>
                <w:sz w:val="21"/>
                <w:highlight w:val="none"/>
              </w:rPr>
            </w:pPr>
          </w:p>
        </w:tc>
        <w:tc>
          <w:tcPr>
            <w:tcW w:w="600" w:type="dxa"/>
            <w:vAlign w:val="top"/>
          </w:tcPr>
          <w:p w14:paraId="0069ED2B">
            <w:pPr>
              <w:rPr>
                <w:rFonts w:hint="eastAsia" w:ascii="宋体" w:hAnsi="宋体" w:eastAsia="宋体" w:cs="宋体"/>
                <w:color w:val="auto"/>
                <w:sz w:val="21"/>
                <w:highlight w:val="none"/>
              </w:rPr>
            </w:pPr>
          </w:p>
        </w:tc>
        <w:tc>
          <w:tcPr>
            <w:tcW w:w="623" w:type="dxa"/>
            <w:vAlign w:val="top"/>
          </w:tcPr>
          <w:p w14:paraId="5ED0ECCF">
            <w:pPr>
              <w:rPr>
                <w:rFonts w:hint="eastAsia" w:ascii="宋体" w:hAnsi="宋体" w:eastAsia="宋体" w:cs="宋体"/>
                <w:color w:val="auto"/>
                <w:sz w:val="21"/>
                <w:highlight w:val="none"/>
              </w:rPr>
            </w:pPr>
          </w:p>
        </w:tc>
        <w:tc>
          <w:tcPr>
            <w:tcW w:w="631" w:type="dxa"/>
            <w:vAlign w:val="top"/>
          </w:tcPr>
          <w:p w14:paraId="203DEE8C">
            <w:pPr>
              <w:rPr>
                <w:rFonts w:hint="eastAsia" w:ascii="宋体" w:hAnsi="宋体" w:eastAsia="宋体" w:cs="宋体"/>
                <w:color w:val="auto"/>
                <w:sz w:val="21"/>
                <w:highlight w:val="none"/>
              </w:rPr>
            </w:pPr>
          </w:p>
        </w:tc>
      </w:tr>
      <w:tr w14:paraId="32BBD7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2844" w:type="dxa"/>
            <w:vAlign w:val="top"/>
          </w:tcPr>
          <w:p w14:paraId="074B0AB2">
            <w:pPr>
              <w:rPr>
                <w:rFonts w:hint="eastAsia" w:ascii="宋体" w:hAnsi="宋体" w:eastAsia="宋体" w:cs="宋体"/>
                <w:color w:val="auto"/>
                <w:sz w:val="21"/>
                <w:highlight w:val="none"/>
              </w:rPr>
            </w:pPr>
          </w:p>
        </w:tc>
        <w:tc>
          <w:tcPr>
            <w:tcW w:w="394" w:type="dxa"/>
            <w:vAlign w:val="top"/>
          </w:tcPr>
          <w:p w14:paraId="22CB0FD6">
            <w:pPr>
              <w:rPr>
                <w:rFonts w:hint="eastAsia" w:ascii="宋体" w:hAnsi="宋体" w:eastAsia="宋体" w:cs="宋体"/>
                <w:color w:val="auto"/>
                <w:sz w:val="21"/>
                <w:highlight w:val="none"/>
              </w:rPr>
            </w:pPr>
          </w:p>
        </w:tc>
        <w:tc>
          <w:tcPr>
            <w:tcW w:w="396" w:type="dxa"/>
            <w:vAlign w:val="top"/>
          </w:tcPr>
          <w:p w14:paraId="1AB6E3B1">
            <w:pPr>
              <w:rPr>
                <w:rFonts w:hint="eastAsia" w:ascii="宋体" w:hAnsi="宋体" w:eastAsia="宋体" w:cs="宋体"/>
                <w:color w:val="auto"/>
                <w:sz w:val="21"/>
                <w:highlight w:val="none"/>
              </w:rPr>
            </w:pPr>
          </w:p>
        </w:tc>
        <w:tc>
          <w:tcPr>
            <w:tcW w:w="599" w:type="dxa"/>
            <w:vAlign w:val="top"/>
          </w:tcPr>
          <w:p w14:paraId="24F08F95">
            <w:pPr>
              <w:rPr>
                <w:rFonts w:hint="eastAsia" w:ascii="宋体" w:hAnsi="宋体" w:eastAsia="宋体" w:cs="宋体"/>
                <w:color w:val="auto"/>
                <w:sz w:val="21"/>
                <w:highlight w:val="none"/>
              </w:rPr>
            </w:pPr>
          </w:p>
        </w:tc>
        <w:tc>
          <w:tcPr>
            <w:tcW w:w="599" w:type="dxa"/>
            <w:vAlign w:val="top"/>
          </w:tcPr>
          <w:p w14:paraId="1EA7969B">
            <w:pPr>
              <w:rPr>
                <w:rFonts w:hint="eastAsia" w:ascii="宋体" w:hAnsi="宋体" w:eastAsia="宋体" w:cs="宋体"/>
                <w:color w:val="auto"/>
                <w:sz w:val="21"/>
                <w:highlight w:val="none"/>
              </w:rPr>
            </w:pPr>
          </w:p>
        </w:tc>
        <w:tc>
          <w:tcPr>
            <w:tcW w:w="599" w:type="dxa"/>
            <w:vAlign w:val="top"/>
          </w:tcPr>
          <w:p w14:paraId="6CA12378">
            <w:pPr>
              <w:rPr>
                <w:rFonts w:hint="eastAsia" w:ascii="宋体" w:hAnsi="宋体" w:eastAsia="宋体" w:cs="宋体"/>
                <w:color w:val="auto"/>
                <w:sz w:val="21"/>
                <w:highlight w:val="none"/>
              </w:rPr>
            </w:pPr>
          </w:p>
        </w:tc>
        <w:tc>
          <w:tcPr>
            <w:tcW w:w="1558" w:type="dxa"/>
            <w:vAlign w:val="top"/>
          </w:tcPr>
          <w:p w14:paraId="1C3CCBA4">
            <w:pPr>
              <w:rPr>
                <w:rFonts w:hint="eastAsia" w:ascii="宋体" w:hAnsi="宋体" w:eastAsia="宋体" w:cs="宋体"/>
                <w:color w:val="auto"/>
                <w:sz w:val="21"/>
                <w:highlight w:val="none"/>
              </w:rPr>
            </w:pPr>
          </w:p>
        </w:tc>
        <w:tc>
          <w:tcPr>
            <w:tcW w:w="600" w:type="dxa"/>
            <w:vAlign w:val="top"/>
          </w:tcPr>
          <w:p w14:paraId="18ADAB0E">
            <w:pPr>
              <w:rPr>
                <w:rFonts w:hint="eastAsia" w:ascii="宋体" w:hAnsi="宋体" w:eastAsia="宋体" w:cs="宋体"/>
                <w:color w:val="auto"/>
                <w:sz w:val="21"/>
                <w:highlight w:val="none"/>
              </w:rPr>
            </w:pPr>
          </w:p>
        </w:tc>
        <w:tc>
          <w:tcPr>
            <w:tcW w:w="623" w:type="dxa"/>
            <w:vAlign w:val="top"/>
          </w:tcPr>
          <w:p w14:paraId="34E7A530">
            <w:pPr>
              <w:rPr>
                <w:rFonts w:hint="eastAsia" w:ascii="宋体" w:hAnsi="宋体" w:eastAsia="宋体" w:cs="宋体"/>
                <w:color w:val="auto"/>
                <w:sz w:val="21"/>
                <w:highlight w:val="none"/>
              </w:rPr>
            </w:pPr>
          </w:p>
        </w:tc>
        <w:tc>
          <w:tcPr>
            <w:tcW w:w="631" w:type="dxa"/>
            <w:vAlign w:val="top"/>
          </w:tcPr>
          <w:p w14:paraId="1284103E">
            <w:pPr>
              <w:rPr>
                <w:rFonts w:hint="eastAsia" w:ascii="宋体" w:hAnsi="宋体" w:eastAsia="宋体" w:cs="宋体"/>
                <w:color w:val="auto"/>
                <w:sz w:val="21"/>
                <w:highlight w:val="none"/>
              </w:rPr>
            </w:pPr>
          </w:p>
        </w:tc>
      </w:tr>
      <w:tr w14:paraId="658030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2844" w:type="dxa"/>
            <w:vAlign w:val="top"/>
          </w:tcPr>
          <w:p w14:paraId="30B6A577">
            <w:pPr>
              <w:rPr>
                <w:rFonts w:hint="eastAsia" w:ascii="宋体" w:hAnsi="宋体" w:eastAsia="宋体" w:cs="宋体"/>
                <w:color w:val="auto"/>
                <w:sz w:val="21"/>
                <w:highlight w:val="none"/>
              </w:rPr>
            </w:pPr>
          </w:p>
        </w:tc>
        <w:tc>
          <w:tcPr>
            <w:tcW w:w="394" w:type="dxa"/>
            <w:vAlign w:val="top"/>
          </w:tcPr>
          <w:p w14:paraId="43F52749">
            <w:pPr>
              <w:rPr>
                <w:rFonts w:hint="eastAsia" w:ascii="宋体" w:hAnsi="宋体" w:eastAsia="宋体" w:cs="宋体"/>
                <w:color w:val="auto"/>
                <w:sz w:val="21"/>
                <w:highlight w:val="none"/>
              </w:rPr>
            </w:pPr>
          </w:p>
        </w:tc>
        <w:tc>
          <w:tcPr>
            <w:tcW w:w="396" w:type="dxa"/>
            <w:vAlign w:val="top"/>
          </w:tcPr>
          <w:p w14:paraId="1A63206D">
            <w:pPr>
              <w:rPr>
                <w:rFonts w:hint="eastAsia" w:ascii="宋体" w:hAnsi="宋体" w:eastAsia="宋体" w:cs="宋体"/>
                <w:color w:val="auto"/>
                <w:sz w:val="21"/>
                <w:highlight w:val="none"/>
              </w:rPr>
            </w:pPr>
          </w:p>
        </w:tc>
        <w:tc>
          <w:tcPr>
            <w:tcW w:w="599" w:type="dxa"/>
            <w:vAlign w:val="top"/>
          </w:tcPr>
          <w:p w14:paraId="7D252E95">
            <w:pPr>
              <w:rPr>
                <w:rFonts w:hint="eastAsia" w:ascii="宋体" w:hAnsi="宋体" w:eastAsia="宋体" w:cs="宋体"/>
                <w:color w:val="auto"/>
                <w:sz w:val="21"/>
                <w:highlight w:val="none"/>
              </w:rPr>
            </w:pPr>
          </w:p>
        </w:tc>
        <w:tc>
          <w:tcPr>
            <w:tcW w:w="599" w:type="dxa"/>
            <w:vAlign w:val="top"/>
          </w:tcPr>
          <w:p w14:paraId="16B3CF87">
            <w:pPr>
              <w:rPr>
                <w:rFonts w:hint="eastAsia" w:ascii="宋体" w:hAnsi="宋体" w:eastAsia="宋体" w:cs="宋体"/>
                <w:color w:val="auto"/>
                <w:sz w:val="21"/>
                <w:highlight w:val="none"/>
              </w:rPr>
            </w:pPr>
          </w:p>
        </w:tc>
        <w:tc>
          <w:tcPr>
            <w:tcW w:w="599" w:type="dxa"/>
            <w:vAlign w:val="top"/>
          </w:tcPr>
          <w:p w14:paraId="270DB95C">
            <w:pPr>
              <w:rPr>
                <w:rFonts w:hint="eastAsia" w:ascii="宋体" w:hAnsi="宋体" w:eastAsia="宋体" w:cs="宋体"/>
                <w:color w:val="auto"/>
                <w:sz w:val="21"/>
                <w:highlight w:val="none"/>
              </w:rPr>
            </w:pPr>
          </w:p>
        </w:tc>
        <w:tc>
          <w:tcPr>
            <w:tcW w:w="1558" w:type="dxa"/>
            <w:vAlign w:val="top"/>
          </w:tcPr>
          <w:p w14:paraId="674369BC">
            <w:pPr>
              <w:rPr>
                <w:rFonts w:hint="eastAsia" w:ascii="宋体" w:hAnsi="宋体" w:eastAsia="宋体" w:cs="宋体"/>
                <w:color w:val="auto"/>
                <w:sz w:val="21"/>
                <w:highlight w:val="none"/>
              </w:rPr>
            </w:pPr>
          </w:p>
        </w:tc>
        <w:tc>
          <w:tcPr>
            <w:tcW w:w="600" w:type="dxa"/>
            <w:vAlign w:val="top"/>
          </w:tcPr>
          <w:p w14:paraId="6B2C8E50">
            <w:pPr>
              <w:rPr>
                <w:rFonts w:hint="eastAsia" w:ascii="宋体" w:hAnsi="宋体" w:eastAsia="宋体" w:cs="宋体"/>
                <w:color w:val="auto"/>
                <w:sz w:val="21"/>
                <w:highlight w:val="none"/>
              </w:rPr>
            </w:pPr>
          </w:p>
        </w:tc>
        <w:tc>
          <w:tcPr>
            <w:tcW w:w="623" w:type="dxa"/>
            <w:vAlign w:val="top"/>
          </w:tcPr>
          <w:p w14:paraId="03DAF3E2">
            <w:pPr>
              <w:rPr>
                <w:rFonts w:hint="eastAsia" w:ascii="宋体" w:hAnsi="宋体" w:eastAsia="宋体" w:cs="宋体"/>
                <w:color w:val="auto"/>
                <w:sz w:val="21"/>
                <w:highlight w:val="none"/>
              </w:rPr>
            </w:pPr>
          </w:p>
        </w:tc>
        <w:tc>
          <w:tcPr>
            <w:tcW w:w="631" w:type="dxa"/>
            <w:vAlign w:val="top"/>
          </w:tcPr>
          <w:p w14:paraId="02B5263A">
            <w:pPr>
              <w:rPr>
                <w:rFonts w:hint="eastAsia" w:ascii="宋体" w:hAnsi="宋体" w:eastAsia="宋体" w:cs="宋体"/>
                <w:color w:val="auto"/>
                <w:sz w:val="21"/>
                <w:highlight w:val="none"/>
              </w:rPr>
            </w:pPr>
          </w:p>
        </w:tc>
      </w:tr>
      <w:tr w14:paraId="44B3AA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2844" w:type="dxa"/>
            <w:vAlign w:val="top"/>
          </w:tcPr>
          <w:p w14:paraId="5D4C9FFF">
            <w:pPr>
              <w:rPr>
                <w:rFonts w:hint="eastAsia" w:ascii="宋体" w:hAnsi="宋体" w:eastAsia="宋体" w:cs="宋体"/>
                <w:color w:val="auto"/>
                <w:sz w:val="21"/>
                <w:highlight w:val="none"/>
              </w:rPr>
            </w:pPr>
          </w:p>
        </w:tc>
        <w:tc>
          <w:tcPr>
            <w:tcW w:w="394" w:type="dxa"/>
            <w:vAlign w:val="top"/>
          </w:tcPr>
          <w:p w14:paraId="7CBFCF57">
            <w:pPr>
              <w:rPr>
                <w:rFonts w:hint="eastAsia" w:ascii="宋体" w:hAnsi="宋体" w:eastAsia="宋体" w:cs="宋体"/>
                <w:color w:val="auto"/>
                <w:sz w:val="21"/>
                <w:highlight w:val="none"/>
              </w:rPr>
            </w:pPr>
          </w:p>
        </w:tc>
        <w:tc>
          <w:tcPr>
            <w:tcW w:w="396" w:type="dxa"/>
            <w:vAlign w:val="top"/>
          </w:tcPr>
          <w:p w14:paraId="78256574">
            <w:pPr>
              <w:rPr>
                <w:rFonts w:hint="eastAsia" w:ascii="宋体" w:hAnsi="宋体" w:eastAsia="宋体" w:cs="宋体"/>
                <w:color w:val="auto"/>
                <w:sz w:val="21"/>
                <w:highlight w:val="none"/>
              </w:rPr>
            </w:pPr>
          </w:p>
        </w:tc>
        <w:tc>
          <w:tcPr>
            <w:tcW w:w="599" w:type="dxa"/>
            <w:vAlign w:val="top"/>
          </w:tcPr>
          <w:p w14:paraId="500512BC">
            <w:pPr>
              <w:rPr>
                <w:rFonts w:hint="eastAsia" w:ascii="宋体" w:hAnsi="宋体" w:eastAsia="宋体" w:cs="宋体"/>
                <w:color w:val="auto"/>
                <w:sz w:val="21"/>
                <w:highlight w:val="none"/>
              </w:rPr>
            </w:pPr>
          </w:p>
        </w:tc>
        <w:tc>
          <w:tcPr>
            <w:tcW w:w="599" w:type="dxa"/>
            <w:vAlign w:val="top"/>
          </w:tcPr>
          <w:p w14:paraId="28B47246">
            <w:pPr>
              <w:rPr>
                <w:rFonts w:hint="eastAsia" w:ascii="宋体" w:hAnsi="宋体" w:eastAsia="宋体" w:cs="宋体"/>
                <w:color w:val="auto"/>
                <w:sz w:val="21"/>
                <w:highlight w:val="none"/>
              </w:rPr>
            </w:pPr>
          </w:p>
        </w:tc>
        <w:tc>
          <w:tcPr>
            <w:tcW w:w="599" w:type="dxa"/>
            <w:vAlign w:val="top"/>
          </w:tcPr>
          <w:p w14:paraId="61F6C728">
            <w:pPr>
              <w:rPr>
                <w:rFonts w:hint="eastAsia" w:ascii="宋体" w:hAnsi="宋体" w:eastAsia="宋体" w:cs="宋体"/>
                <w:color w:val="auto"/>
                <w:sz w:val="21"/>
                <w:highlight w:val="none"/>
              </w:rPr>
            </w:pPr>
          </w:p>
        </w:tc>
        <w:tc>
          <w:tcPr>
            <w:tcW w:w="1558" w:type="dxa"/>
            <w:vAlign w:val="top"/>
          </w:tcPr>
          <w:p w14:paraId="0BAAF1BB">
            <w:pPr>
              <w:rPr>
                <w:rFonts w:hint="eastAsia" w:ascii="宋体" w:hAnsi="宋体" w:eastAsia="宋体" w:cs="宋体"/>
                <w:color w:val="auto"/>
                <w:sz w:val="21"/>
                <w:highlight w:val="none"/>
              </w:rPr>
            </w:pPr>
          </w:p>
        </w:tc>
        <w:tc>
          <w:tcPr>
            <w:tcW w:w="600" w:type="dxa"/>
            <w:vAlign w:val="top"/>
          </w:tcPr>
          <w:p w14:paraId="36ACF3DA">
            <w:pPr>
              <w:rPr>
                <w:rFonts w:hint="eastAsia" w:ascii="宋体" w:hAnsi="宋体" w:eastAsia="宋体" w:cs="宋体"/>
                <w:color w:val="auto"/>
                <w:sz w:val="21"/>
                <w:highlight w:val="none"/>
              </w:rPr>
            </w:pPr>
          </w:p>
        </w:tc>
        <w:tc>
          <w:tcPr>
            <w:tcW w:w="623" w:type="dxa"/>
            <w:vAlign w:val="top"/>
          </w:tcPr>
          <w:p w14:paraId="6A7731A6">
            <w:pPr>
              <w:rPr>
                <w:rFonts w:hint="eastAsia" w:ascii="宋体" w:hAnsi="宋体" w:eastAsia="宋体" w:cs="宋体"/>
                <w:color w:val="auto"/>
                <w:sz w:val="21"/>
                <w:highlight w:val="none"/>
              </w:rPr>
            </w:pPr>
          </w:p>
        </w:tc>
        <w:tc>
          <w:tcPr>
            <w:tcW w:w="631" w:type="dxa"/>
            <w:vAlign w:val="top"/>
          </w:tcPr>
          <w:p w14:paraId="7D883163">
            <w:pPr>
              <w:rPr>
                <w:rFonts w:hint="eastAsia" w:ascii="宋体" w:hAnsi="宋体" w:eastAsia="宋体" w:cs="宋体"/>
                <w:color w:val="auto"/>
                <w:sz w:val="21"/>
                <w:highlight w:val="none"/>
              </w:rPr>
            </w:pPr>
          </w:p>
        </w:tc>
      </w:tr>
      <w:tr w14:paraId="717562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2844" w:type="dxa"/>
            <w:vAlign w:val="top"/>
          </w:tcPr>
          <w:p w14:paraId="010C6FB3">
            <w:pPr>
              <w:pStyle w:val="25"/>
              <w:spacing w:before="148" w:line="213" w:lineRule="auto"/>
              <w:ind w:left="43"/>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租用面积合计</w:t>
            </w:r>
          </w:p>
        </w:tc>
        <w:tc>
          <w:tcPr>
            <w:tcW w:w="394" w:type="dxa"/>
            <w:vAlign w:val="top"/>
          </w:tcPr>
          <w:p w14:paraId="23F87C3F">
            <w:pPr>
              <w:rPr>
                <w:rFonts w:hint="eastAsia" w:ascii="宋体" w:hAnsi="宋体" w:eastAsia="宋体" w:cs="宋体"/>
                <w:color w:val="auto"/>
                <w:sz w:val="21"/>
                <w:highlight w:val="none"/>
              </w:rPr>
            </w:pPr>
          </w:p>
        </w:tc>
        <w:tc>
          <w:tcPr>
            <w:tcW w:w="396" w:type="dxa"/>
            <w:vAlign w:val="top"/>
          </w:tcPr>
          <w:p w14:paraId="24F03D05">
            <w:pPr>
              <w:rPr>
                <w:rFonts w:hint="eastAsia" w:ascii="宋体" w:hAnsi="宋体" w:eastAsia="宋体" w:cs="宋体"/>
                <w:color w:val="auto"/>
                <w:sz w:val="21"/>
                <w:highlight w:val="none"/>
              </w:rPr>
            </w:pPr>
          </w:p>
        </w:tc>
        <w:tc>
          <w:tcPr>
            <w:tcW w:w="599" w:type="dxa"/>
            <w:vAlign w:val="top"/>
          </w:tcPr>
          <w:p w14:paraId="5905F234">
            <w:pPr>
              <w:rPr>
                <w:rFonts w:hint="eastAsia" w:ascii="宋体" w:hAnsi="宋体" w:eastAsia="宋体" w:cs="宋体"/>
                <w:color w:val="auto"/>
                <w:sz w:val="21"/>
                <w:highlight w:val="none"/>
              </w:rPr>
            </w:pPr>
          </w:p>
        </w:tc>
        <w:tc>
          <w:tcPr>
            <w:tcW w:w="599" w:type="dxa"/>
            <w:vAlign w:val="top"/>
          </w:tcPr>
          <w:p w14:paraId="7B52C745">
            <w:pPr>
              <w:rPr>
                <w:rFonts w:hint="eastAsia" w:ascii="宋体" w:hAnsi="宋体" w:eastAsia="宋体" w:cs="宋体"/>
                <w:color w:val="auto"/>
                <w:sz w:val="21"/>
                <w:highlight w:val="none"/>
              </w:rPr>
            </w:pPr>
          </w:p>
        </w:tc>
        <w:tc>
          <w:tcPr>
            <w:tcW w:w="599" w:type="dxa"/>
            <w:vAlign w:val="top"/>
          </w:tcPr>
          <w:p w14:paraId="73A84917">
            <w:pPr>
              <w:rPr>
                <w:rFonts w:hint="eastAsia" w:ascii="宋体" w:hAnsi="宋体" w:eastAsia="宋体" w:cs="宋体"/>
                <w:color w:val="auto"/>
                <w:sz w:val="21"/>
                <w:highlight w:val="none"/>
              </w:rPr>
            </w:pPr>
          </w:p>
        </w:tc>
        <w:tc>
          <w:tcPr>
            <w:tcW w:w="1558" w:type="dxa"/>
            <w:vAlign w:val="top"/>
          </w:tcPr>
          <w:p w14:paraId="1C0F4BEB">
            <w:pPr>
              <w:rPr>
                <w:rFonts w:hint="eastAsia" w:ascii="宋体" w:hAnsi="宋体" w:eastAsia="宋体" w:cs="宋体"/>
                <w:color w:val="auto"/>
                <w:sz w:val="21"/>
                <w:highlight w:val="none"/>
              </w:rPr>
            </w:pPr>
          </w:p>
        </w:tc>
        <w:tc>
          <w:tcPr>
            <w:tcW w:w="600" w:type="dxa"/>
            <w:vAlign w:val="top"/>
          </w:tcPr>
          <w:p w14:paraId="25453716">
            <w:pPr>
              <w:rPr>
                <w:rFonts w:hint="eastAsia" w:ascii="宋体" w:hAnsi="宋体" w:eastAsia="宋体" w:cs="宋体"/>
                <w:color w:val="auto"/>
                <w:sz w:val="21"/>
                <w:highlight w:val="none"/>
              </w:rPr>
            </w:pPr>
          </w:p>
        </w:tc>
        <w:tc>
          <w:tcPr>
            <w:tcW w:w="623" w:type="dxa"/>
            <w:vAlign w:val="top"/>
          </w:tcPr>
          <w:p w14:paraId="1839E8B9">
            <w:pPr>
              <w:rPr>
                <w:rFonts w:hint="eastAsia" w:ascii="宋体" w:hAnsi="宋体" w:eastAsia="宋体" w:cs="宋体"/>
                <w:color w:val="auto"/>
                <w:sz w:val="21"/>
                <w:highlight w:val="none"/>
              </w:rPr>
            </w:pPr>
          </w:p>
        </w:tc>
        <w:tc>
          <w:tcPr>
            <w:tcW w:w="631" w:type="dxa"/>
            <w:vAlign w:val="top"/>
          </w:tcPr>
          <w:p w14:paraId="14018192">
            <w:pPr>
              <w:rPr>
                <w:rFonts w:hint="eastAsia" w:ascii="宋体" w:hAnsi="宋体" w:eastAsia="宋体" w:cs="宋体"/>
                <w:color w:val="auto"/>
                <w:sz w:val="21"/>
                <w:highlight w:val="none"/>
              </w:rPr>
            </w:pPr>
          </w:p>
        </w:tc>
      </w:tr>
    </w:tbl>
    <w:p w14:paraId="116FCDE0">
      <w:pPr>
        <w:pStyle w:val="4"/>
        <w:rPr>
          <w:rFonts w:hint="eastAsia" w:ascii="宋体" w:hAnsi="宋体" w:eastAsia="宋体" w:cs="宋体"/>
          <w:color w:val="auto"/>
          <w:highlight w:val="none"/>
        </w:rPr>
      </w:pPr>
    </w:p>
    <w:p w14:paraId="29E9E3CD">
      <w:pPr>
        <w:rPr>
          <w:rFonts w:hint="eastAsia" w:ascii="宋体" w:hAnsi="宋体" w:eastAsia="宋体" w:cs="宋体"/>
          <w:color w:val="auto"/>
          <w:highlight w:val="none"/>
        </w:rPr>
        <w:sectPr>
          <w:headerReference r:id="rId259" w:type="default"/>
          <w:footerReference r:id="rId260" w:type="default"/>
          <w:pgSz w:w="11907" w:h="16840"/>
          <w:pgMar w:top="1182" w:right="1087" w:bottom="1014" w:left="1786" w:header="849" w:footer="852" w:gutter="0"/>
          <w:pgNumType w:fmt="decimal"/>
          <w:cols w:space="720" w:num="1"/>
        </w:sectPr>
      </w:pPr>
    </w:p>
    <w:p w14:paraId="739A07FB">
      <w:pPr>
        <w:pStyle w:val="4"/>
        <w:spacing w:line="311" w:lineRule="auto"/>
        <w:rPr>
          <w:rFonts w:hint="eastAsia" w:ascii="宋体" w:hAnsi="宋体" w:eastAsia="宋体" w:cs="宋体"/>
          <w:color w:val="auto"/>
          <w:highlight w:val="none"/>
        </w:rPr>
      </w:pPr>
    </w:p>
    <w:p w14:paraId="64134B9F">
      <w:pPr>
        <w:pStyle w:val="4"/>
        <w:spacing w:line="312" w:lineRule="auto"/>
        <w:rPr>
          <w:rFonts w:hint="eastAsia" w:ascii="宋体" w:hAnsi="宋体" w:eastAsia="宋体" w:cs="宋体"/>
          <w:color w:val="auto"/>
          <w:highlight w:val="none"/>
        </w:rPr>
      </w:pPr>
    </w:p>
    <w:p w14:paraId="7269E881">
      <w:pPr>
        <w:spacing w:before="91" w:line="222" w:lineRule="auto"/>
        <w:ind w:left="304"/>
        <w:outlineLvl w:val="2"/>
        <w:rPr>
          <w:rFonts w:hint="eastAsia" w:ascii="宋体" w:hAnsi="宋体" w:eastAsia="宋体" w:cs="宋体"/>
          <w:color w:val="auto"/>
          <w:sz w:val="28"/>
          <w:szCs w:val="28"/>
          <w:highlight w:val="none"/>
        </w:rPr>
      </w:pPr>
      <w:bookmarkStart w:id="915" w:name="_Toc1265"/>
      <w:bookmarkStart w:id="916" w:name="_Toc8144"/>
      <w:bookmarkStart w:id="917" w:name="_Toc132"/>
      <w:bookmarkStart w:id="918" w:name="_Toc30860"/>
      <w:bookmarkStart w:id="919" w:name="_Toc14803"/>
      <w:r>
        <w:rPr>
          <w:rFonts w:hint="eastAsia" w:ascii="宋体" w:hAnsi="宋体" w:eastAsia="宋体" w:cs="宋体"/>
          <w:color w:val="auto"/>
          <w:spacing w:val="-2"/>
          <w:sz w:val="28"/>
          <w:szCs w:val="28"/>
          <w:highlight w:val="none"/>
        </w:rPr>
        <w:t>附表八外供电力需求计划表</w:t>
      </w:r>
      <w:bookmarkEnd w:id="915"/>
      <w:bookmarkEnd w:id="916"/>
      <w:bookmarkEnd w:id="917"/>
      <w:bookmarkEnd w:id="918"/>
      <w:bookmarkEnd w:id="919"/>
    </w:p>
    <w:p w14:paraId="0FCB0B96">
      <w:pPr>
        <w:spacing w:before="151"/>
        <w:rPr>
          <w:rFonts w:hint="eastAsia" w:ascii="宋体" w:hAnsi="宋体" w:eastAsia="宋体" w:cs="宋体"/>
          <w:color w:val="auto"/>
          <w:highlight w:val="none"/>
        </w:rPr>
      </w:pPr>
    </w:p>
    <w:tbl>
      <w:tblPr>
        <w:tblStyle w:val="24"/>
        <w:tblW w:w="8788" w:type="dxa"/>
        <w:tblInd w:w="11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45"/>
        <w:gridCol w:w="992"/>
        <w:gridCol w:w="1383"/>
        <w:gridCol w:w="1224"/>
        <w:gridCol w:w="2363"/>
        <w:gridCol w:w="1781"/>
      </w:tblGrid>
      <w:tr w14:paraId="55108C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2" w:hRule="atLeast"/>
        </w:trPr>
        <w:tc>
          <w:tcPr>
            <w:tcW w:w="2037" w:type="dxa"/>
            <w:gridSpan w:val="2"/>
            <w:vAlign w:val="top"/>
          </w:tcPr>
          <w:p w14:paraId="189BBF42">
            <w:pPr>
              <w:pStyle w:val="25"/>
              <w:spacing w:before="103" w:line="222" w:lineRule="auto"/>
              <w:ind w:left="461"/>
              <w:rPr>
                <w:rFonts w:hint="eastAsia" w:ascii="宋体" w:hAnsi="宋体" w:eastAsia="宋体" w:cs="宋体"/>
                <w:color w:val="auto"/>
                <w:sz w:val="22"/>
                <w:szCs w:val="22"/>
                <w:highlight w:val="none"/>
              </w:rPr>
            </w:pPr>
            <w:r>
              <w:rPr>
                <w:rFonts w:hint="eastAsia" w:ascii="宋体" w:hAnsi="宋体" w:eastAsia="宋体" w:cs="宋体"/>
                <w:color w:val="auto"/>
                <w:spacing w:val="-13"/>
                <w:sz w:val="22"/>
                <w:szCs w:val="22"/>
                <w:highlight w:val="none"/>
              </w:rPr>
              <w:t>用电位置</w:t>
            </w:r>
          </w:p>
        </w:tc>
        <w:tc>
          <w:tcPr>
            <w:tcW w:w="1383" w:type="dxa"/>
            <w:vMerge w:val="restart"/>
            <w:tcBorders>
              <w:bottom w:val="nil"/>
            </w:tcBorders>
            <w:vAlign w:val="top"/>
          </w:tcPr>
          <w:p w14:paraId="0874E769">
            <w:pPr>
              <w:pStyle w:val="25"/>
              <w:spacing w:before="122" w:line="222" w:lineRule="auto"/>
              <w:ind w:left="287"/>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计划用</w:t>
            </w:r>
          </w:p>
          <w:p w14:paraId="79E3B436">
            <w:pPr>
              <w:pStyle w:val="25"/>
              <w:spacing w:before="117" w:line="220" w:lineRule="auto"/>
              <w:ind w:left="313"/>
              <w:rPr>
                <w:rFonts w:hint="eastAsia" w:ascii="宋体" w:hAnsi="宋体" w:eastAsia="宋体" w:cs="宋体"/>
                <w:color w:val="auto"/>
                <w:sz w:val="22"/>
                <w:szCs w:val="22"/>
                <w:highlight w:val="none"/>
              </w:rPr>
            </w:pPr>
            <w:r>
              <w:rPr>
                <w:rFonts w:hint="eastAsia" w:ascii="宋体" w:hAnsi="宋体" w:eastAsia="宋体" w:cs="宋体"/>
                <w:color w:val="auto"/>
                <w:spacing w:val="-11"/>
                <w:sz w:val="22"/>
                <w:szCs w:val="22"/>
                <w:highlight w:val="none"/>
              </w:rPr>
              <w:t>电数量</w:t>
            </w:r>
          </w:p>
          <w:p w14:paraId="6AF37ED3">
            <w:pPr>
              <w:pStyle w:val="25"/>
              <w:spacing w:before="111" w:line="199" w:lineRule="auto"/>
              <w:ind w:left="279"/>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（kW.h）</w:t>
            </w:r>
          </w:p>
        </w:tc>
        <w:tc>
          <w:tcPr>
            <w:tcW w:w="1224" w:type="dxa"/>
            <w:vMerge w:val="restart"/>
            <w:tcBorders>
              <w:bottom w:val="nil"/>
            </w:tcBorders>
            <w:vAlign w:val="top"/>
          </w:tcPr>
          <w:p w14:paraId="7A872E97">
            <w:pPr>
              <w:spacing w:line="420" w:lineRule="auto"/>
              <w:rPr>
                <w:rFonts w:hint="eastAsia" w:ascii="宋体" w:hAnsi="宋体" w:eastAsia="宋体" w:cs="宋体"/>
                <w:color w:val="auto"/>
                <w:sz w:val="21"/>
                <w:highlight w:val="none"/>
              </w:rPr>
            </w:pPr>
          </w:p>
          <w:p w14:paraId="45DEB372">
            <w:pPr>
              <w:pStyle w:val="25"/>
              <w:spacing w:before="72" w:line="222" w:lineRule="auto"/>
              <w:ind w:left="317"/>
              <w:rPr>
                <w:rFonts w:hint="eastAsia" w:ascii="宋体" w:hAnsi="宋体" w:eastAsia="宋体" w:cs="宋体"/>
                <w:color w:val="auto"/>
                <w:sz w:val="22"/>
                <w:szCs w:val="22"/>
                <w:highlight w:val="none"/>
              </w:rPr>
            </w:pPr>
            <w:r>
              <w:rPr>
                <w:rFonts w:hint="eastAsia" w:ascii="宋体" w:hAnsi="宋体" w:eastAsia="宋体" w:cs="宋体"/>
                <w:color w:val="auto"/>
                <w:spacing w:val="-5"/>
                <w:sz w:val="22"/>
                <w:szCs w:val="22"/>
                <w:highlight w:val="none"/>
              </w:rPr>
              <w:t>用途</w:t>
            </w:r>
          </w:p>
        </w:tc>
        <w:tc>
          <w:tcPr>
            <w:tcW w:w="2363" w:type="dxa"/>
            <w:vMerge w:val="restart"/>
            <w:tcBorders>
              <w:bottom w:val="nil"/>
            </w:tcBorders>
            <w:vAlign w:val="top"/>
          </w:tcPr>
          <w:p w14:paraId="193FF1A8">
            <w:pPr>
              <w:pStyle w:val="25"/>
              <w:spacing w:before="147" w:line="221" w:lineRule="auto"/>
              <w:ind w:left="937"/>
              <w:rPr>
                <w:rFonts w:hint="eastAsia" w:ascii="宋体" w:hAnsi="宋体" w:eastAsia="宋体" w:cs="宋体"/>
                <w:color w:val="auto"/>
                <w:sz w:val="22"/>
                <w:szCs w:val="22"/>
                <w:highlight w:val="none"/>
              </w:rPr>
            </w:pPr>
            <w:r>
              <w:rPr>
                <w:rFonts w:hint="eastAsia" w:ascii="宋体" w:hAnsi="宋体" w:eastAsia="宋体" w:cs="宋体"/>
                <w:color w:val="auto"/>
                <w:spacing w:val="-5"/>
                <w:sz w:val="22"/>
                <w:szCs w:val="22"/>
                <w:highlight w:val="none"/>
              </w:rPr>
              <w:t>需用时间</w:t>
            </w:r>
          </w:p>
          <w:p w14:paraId="239B0DB1">
            <w:pPr>
              <w:pStyle w:val="25"/>
              <w:tabs>
                <w:tab w:val="left" w:pos="349"/>
              </w:tabs>
              <w:spacing w:before="149" w:line="220" w:lineRule="auto"/>
              <w:ind w:left="33"/>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u w:val="single" w:color="auto"/>
              </w:rPr>
              <w:tab/>
            </w:r>
            <w:r>
              <w:rPr>
                <w:rFonts w:hint="eastAsia" w:ascii="宋体" w:hAnsi="宋体" w:eastAsia="宋体" w:cs="宋体"/>
                <w:color w:val="auto"/>
                <w:spacing w:val="-8"/>
                <w:sz w:val="22"/>
                <w:szCs w:val="22"/>
                <w:highlight w:val="none"/>
              </w:rPr>
              <w:t>年月至年月</w:t>
            </w:r>
          </w:p>
        </w:tc>
        <w:tc>
          <w:tcPr>
            <w:tcW w:w="1781" w:type="dxa"/>
            <w:vMerge w:val="restart"/>
            <w:tcBorders>
              <w:bottom w:val="nil"/>
            </w:tcBorders>
            <w:vAlign w:val="top"/>
          </w:tcPr>
          <w:p w14:paraId="2B215A7E">
            <w:pPr>
              <w:spacing w:line="420" w:lineRule="auto"/>
              <w:rPr>
                <w:rFonts w:hint="eastAsia" w:ascii="宋体" w:hAnsi="宋体" w:eastAsia="宋体" w:cs="宋体"/>
                <w:color w:val="auto"/>
                <w:sz w:val="21"/>
                <w:highlight w:val="none"/>
              </w:rPr>
            </w:pPr>
          </w:p>
          <w:p w14:paraId="7CFF546D">
            <w:pPr>
              <w:pStyle w:val="25"/>
              <w:spacing w:before="72" w:line="222" w:lineRule="auto"/>
              <w:ind w:left="595"/>
              <w:rPr>
                <w:rFonts w:hint="eastAsia" w:ascii="宋体" w:hAnsi="宋体" w:eastAsia="宋体" w:cs="宋体"/>
                <w:color w:val="auto"/>
                <w:sz w:val="22"/>
                <w:szCs w:val="22"/>
                <w:highlight w:val="none"/>
              </w:rPr>
            </w:pPr>
            <w:r>
              <w:rPr>
                <w:rFonts w:hint="eastAsia" w:ascii="宋体" w:hAnsi="宋体" w:eastAsia="宋体" w:cs="宋体"/>
                <w:color w:val="auto"/>
                <w:spacing w:val="-6"/>
                <w:sz w:val="22"/>
                <w:szCs w:val="22"/>
                <w:highlight w:val="none"/>
              </w:rPr>
              <w:t>备注</w:t>
            </w:r>
          </w:p>
        </w:tc>
      </w:tr>
      <w:tr w14:paraId="073156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4" w:hRule="atLeast"/>
        </w:trPr>
        <w:tc>
          <w:tcPr>
            <w:tcW w:w="1045" w:type="dxa"/>
            <w:vAlign w:val="top"/>
          </w:tcPr>
          <w:p w14:paraId="1AB577E0">
            <w:pPr>
              <w:pStyle w:val="25"/>
              <w:spacing w:before="299" w:line="220" w:lineRule="auto"/>
              <w:ind w:left="221"/>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桩号</w:t>
            </w:r>
          </w:p>
        </w:tc>
        <w:tc>
          <w:tcPr>
            <w:tcW w:w="992" w:type="dxa"/>
            <w:vAlign w:val="top"/>
          </w:tcPr>
          <w:p w14:paraId="7A24F647">
            <w:pPr>
              <w:pStyle w:val="25"/>
              <w:spacing w:before="116" w:line="224" w:lineRule="auto"/>
              <w:ind w:left="196"/>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左或右</w:t>
            </w:r>
          </w:p>
          <w:p w14:paraId="70B05145">
            <w:pPr>
              <w:pStyle w:val="25"/>
              <w:spacing w:before="88" w:line="203" w:lineRule="auto"/>
              <w:ind w:left="224"/>
              <w:rPr>
                <w:rFonts w:hint="eastAsia" w:ascii="宋体" w:hAnsi="宋体" w:eastAsia="宋体" w:cs="宋体"/>
                <w:color w:val="auto"/>
                <w:sz w:val="22"/>
                <w:szCs w:val="22"/>
                <w:highlight w:val="none"/>
              </w:rPr>
            </w:pPr>
            <w:r>
              <w:rPr>
                <w:rFonts w:hint="eastAsia" w:ascii="宋体" w:hAnsi="宋体" w:eastAsia="宋体" w:cs="宋体"/>
                <w:color w:val="auto"/>
                <w:spacing w:val="-6"/>
                <w:sz w:val="22"/>
                <w:szCs w:val="22"/>
                <w:highlight w:val="none"/>
              </w:rPr>
              <w:t>（m）</w:t>
            </w:r>
          </w:p>
        </w:tc>
        <w:tc>
          <w:tcPr>
            <w:tcW w:w="1383" w:type="dxa"/>
            <w:vMerge w:val="continue"/>
            <w:tcBorders>
              <w:top w:val="nil"/>
            </w:tcBorders>
            <w:vAlign w:val="top"/>
          </w:tcPr>
          <w:p w14:paraId="71AB493F">
            <w:pPr>
              <w:rPr>
                <w:rFonts w:hint="eastAsia" w:ascii="宋体" w:hAnsi="宋体" w:eastAsia="宋体" w:cs="宋体"/>
                <w:color w:val="auto"/>
                <w:sz w:val="21"/>
                <w:highlight w:val="none"/>
              </w:rPr>
            </w:pPr>
          </w:p>
        </w:tc>
        <w:tc>
          <w:tcPr>
            <w:tcW w:w="1224" w:type="dxa"/>
            <w:vMerge w:val="continue"/>
            <w:tcBorders>
              <w:top w:val="nil"/>
            </w:tcBorders>
            <w:vAlign w:val="top"/>
          </w:tcPr>
          <w:p w14:paraId="6FBDD8CB">
            <w:pPr>
              <w:rPr>
                <w:rFonts w:hint="eastAsia" w:ascii="宋体" w:hAnsi="宋体" w:eastAsia="宋体" w:cs="宋体"/>
                <w:color w:val="auto"/>
                <w:sz w:val="21"/>
                <w:highlight w:val="none"/>
              </w:rPr>
            </w:pPr>
          </w:p>
        </w:tc>
        <w:tc>
          <w:tcPr>
            <w:tcW w:w="2363" w:type="dxa"/>
            <w:vMerge w:val="continue"/>
            <w:tcBorders>
              <w:top w:val="nil"/>
            </w:tcBorders>
            <w:vAlign w:val="top"/>
          </w:tcPr>
          <w:p w14:paraId="55CE5090">
            <w:pPr>
              <w:rPr>
                <w:rFonts w:hint="eastAsia" w:ascii="宋体" w:hAnsi="宋体" w:eastAsia="宋体" w:cs="宋体"/>
                <w:color w:val="auto"/>
                <w:sz w:val="21"/>
                <w:highlight w:val="none"/>
              </w:rPr>
            </w:pPr>
          </w:p>
        </w:tc>
        <w:tc>
          <w:tcPr>
            <w:tcW w:w="1781" w:type="dxa"/>
            <w:vMerge w:val="continue"/>
            <w:tcBorders>
              <w:top w:val="nil"/>
            </w:tcBorders>
            <w:vAlign w:val="top"/>
          </w:tcPr>
          <w:p w14:paraId="307D88DF">
            <w:pPr>
              <w:rPr>
                <w:rFonts w:hint="eastAsia" w:ascii="宋体" w:hAnsi="宋体" w:eastAsia="宋体" w:cs="宋体"/>
                <w:color w:val="auto"/>
                <w:sz w:val="21"/>
                <w:highlight w:val="none"/>
              </w:rPr>
            </w:pPr>
          </w:p>
        </w:tc>
      </w:tr>
      <w:tr w14:paraId="7CAF31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4" w:hRule="atLeast"/>
        </w:trPr>
        <w:tc>
          <w:tcPr>
            <w:tcW w:w="1045" w:type="dxa"/>
            <w:vAlign w:val="top"/>
          </w:tcPr>
          <w:p w14:paraId="53DAAE54">
            <w:pPr>
              <w:rPr>
                <w:rFonts w:hint="eastAsia" w:ascii="宋体" w:hAnsi="宋体" w:eastAsia="宋体" w:cs="宋体"/>
                <w:color w:val="auto"/>
                <w:sz w:val="21"/>
                <w:highlight w:val="none"/>
              </w:rPr>
            </w:pPr>
          </w:p>
        </w:tc>
        <w:tc>
          <w:tcPr>
            <w:tcW w:w="992" w:type="dxa"/>
            <w:vAlign w:val="top"/>
          </w:tcPr>
          <w:p w14:paraId="791B8A4B">
            <w:pPr>
              <w:rPr>
                <w:rFonts w:hint="eastAsia" w:ascii="宋体" w:hAnsi="宋体" w:eastAsia="宋体" w:cs="宋体"/>
                <w:color w:val="auto"/>
                <w:sz w:val="21"/>
                <w:highlight w:val="none"/>
              </w:rPr>
            </w:pPr>
          </w:p>
        </w:tc>
        <w:tc>
          <w:tcPr>
            <w:tcW w:w="1383" w:type="dxa"/>
            <w:vAlign w:val="top"/>
          </w:tcPr>
          <w:p w14:paraId="7A4CF795">
            <w:pPr>
              <w:rPr>
                <w:rFonts w:hint="eastAsia" w:ascii="宋体" w:hAnsi="宋体" w:eastAsia="宋体" w:cs="宋体"/>
                <w:color w:val="auto"/>
                <w:sz w:val="21"/>
                <w:highlight w:val="none"/>
              </w:rPr>
            </w:pPr>
          </w:p>
        </w:tc>
        <w:tc>
          <w:tcPr>
            <w:tcW w:w="1224" w:type="dxa"/>
            <w:vAlign w:val="top"/>
          </w:tcPr>
          <w:p w14:paraId="6C8F4B75">
            <w:pPr>
              <w:rPr>
                <w:rFonts w:hint="eastAsia" w:ascii="宋体" w:hAnsi="宋体" w:eastAsia="宋体" w:cs="宋体"/>
                <w:color w:val="auto"/>
                <w:sz w:val="21"/>
                <w:highlight w:val="none"/>
              </w:rPr>
            </w:pPr>
          </w:p>
        </w:tc>
        <w:tc>
          <w:tcPr>
            <w:tcW w:w="2363" w:type="dxa"/>
            <w:vAlign w:val="top"/>
          </w:tcPr>
          <w:p w14:paraId="7923A2D8">
            <w:pPr>
              <w:rPr>
                <w:rFonts w:hint="eastAsia" w:ascii="宋体" w:hAnsi="宋体" w:eastAsia="宋体" w:cs="宋体"/>
                <w:color w:val="auto"/>
                <w:sz w:val="21"/>
                <w:highlight w:val="none"/>
              </w:rPr>
            </w:pPr>
          </w:p>
        </w:tc>
        <w:tc>
          <w:tcPr>
            <w:tcW w:w="1781" w:type="dxa"/>
            <w:vAlign w:val="top"/>
          </w:tcPr>
          <w:p w14:paraId="05899D0A">
            <w:pPr>
              <w:rPr>
                <w:rFonts w:hint="eastAsia" w:ascii="宋体" w:hAnsi="宋体" w:eastAsia="宋体" w:cs="宋体"/>
                <w:color w:val="auto"/>
                <w:sz w:val="21"/>
                <w:highlight w:val="none"/>
              </w:rPr>
            </w:pPr>
          </w:p>
        </w:tc>
      </w:tr>
      <w:tr w14:paraId="6BF9D5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5" w:hRule="atLeast"/>
        </w:trPr>
        <w:tc>
          <w:tcPr>
            <w:tcW w:w="1045" w:type="dxa"/>
            <w:vAlign w:val="top"/>
          </w:tcPr>
          <w:p w14:paraId="311BAD10">
            <w:pPr>
              <w:rPr>
                <w:rFonts w:hint="eastAsia" w:ascii="宋体" w:hAnsi="宋体" w:eastAsia="宋体" w:cs="宋体"/>
                <w:color w:val="auto"/>
                <w:sz w:val="21"/>
                <w:highlight w:val="none"/>
              </w:rPr>
            </w:pPr>
          </w:p>
        </w:tc>
        <w:tc>
          <w:tcPr>
            <w:tcW w:w="992" w:type="dxa"/>
            <w:vAlign w:val="top"/>
          </w:tcPr>
          <w:p w14:paraId="1D027117">
            <w:pPr>
              <w:rPr>
                <w:rFonts w:hint="eastAsia" w:ascii="宋体" w:hAnsi="宋体" w:eastAsia="宋体" w:cs="宋体"/>
                <w:color w:val="auto"/>
                <w:sz w:val="21"/>
                <w:highlight w:val="none"/>
              </w:rPr>
            </w:pPr>
          </w:p>
        </w:tc>
        <w:tc>
          <w:tcPr>
            <w:tcW w:w="1383" w:type="dxa"/>
            <w:vAlign w:val="top"/>
          </w:tcPr>
          <w:p w14:paraId="413C88D6">
            <w:pPr>
              <w:rPr>
                <w:rFonts w:hint="eastAsia" w:ascii="宋体" w:hAnsi="宋体" w:eastAsia="宋体" w:cs="宋体"/>
                <w:color w:val="auto"/>
                <w:sz w:val="21"/>
                <w:highlight w:val="none"/>
              </w:rPr>
            </w:pPr>
          </w:p>
        </w:tc>
        <w:tc>
          <w:tcPr>
            <w:tcW w:w="1224" w:type="dxa"/>
            <w:vAlign w:val="top"/>
          </w:tcPr>
          <w:p w14:paraId="79BE5538">
            <w:pPr>
              <w:rPr>
                <w:rFonts w:hint="eastAsia" w:ascii="宋体" w:hAnsi="宋体" w:eastAsia="宋体" w:cs="宋体"/>
                <w:color w:val="auto"/>
                <w:sz w:val="21"/>
                <w:highlight w:val="none"/>
              </w:rPr>
            </w:pPr>
          </w:p>
        </w:tc>
        <w:tc>
          <w:tcPr>
            <w:tcW w:w="2363" w:type="dxa"/>
            <w:vAlign w:val="top"/>
          </w:tcPr>
          <w:p w14:paraId="59B91E6E">
            <w:pPr>
              <w:rPr>
                <w:rFonts w:hint="eastAsia" w:ascii="宋体" w:hAnsi="宋体" w:eastAsia="宋体" w:cs="宋体"/>
                <w:color w:val="auto"/>
                <w:sz w:val="21"/>
                <w:highlight w:val="none"/>
              </w:rPr>
            </w:pPr>
          </w:p>
        </w:tc>
        <w:tc>
          <w:tcPr>
            <w:tcW w:w="1781" w:type="dxa"/>
            <w:vAlign w:val="top"/>
          </w:tcPr>
          <w:p w14:paraId="30A287AC">
            <w:pPr>
              <w:rPr>
                <w:rFonts w:hint="eastAsia" w:ascii="宋体" w:hAnsi="宋体" w:eastAsia="宋体" w:cs="宋体"/>
                <w:color w:val="auto"/>
                <w:sz w:val="21"/>
                <w:highlight w:val="none"/>
              </w:rPr>
            </w:pPr>
          </w:p>
        </w:tc>
      </w:tr>
      <w:tr w14:paraId="48BBB4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atLeast"/>
        </w:trPr>
        <w:tc>
          <w:tcPr>
            <w:tcW w:w="1045" w:type="dxa"/>
            <w:vAlign w:val="top"/>
          </w:tcPr>
          <w:p w14:paraId="18BFB15E">
            <w:pPr>
              <w:rPr>
                <w:rFonts w:hint="eastAsia" w:ascii="宋体" w:hAnsi="宋体" w:eastAsia="宋体" w:cs="宋体"/>
                <w:color w:val="auto"/>
                <w:sz w:val="21"/>
                <w:highlight w:val="none"/>
              </w:rPr>
            </w:pPr>
          </w:p>
        </w:tc>
        <w:tc>
          <w:tcPr>
            <w:tcW w:w="992" w:type="dxa"/>
            <w:vAlign w:val="top"/>
          </w:tcPr>
          <w:p w14:paraId="5890132D">
            <w:pPr>
              <w:rPr>
                <w:rFonts w:hint="eastAsia" w:ascii="宋体" w:hAnsi="宋体" w:eastAsia="宋体" w:cs="宋体"/>
                <w:color w:val="auto"/>
                <w:sz w:val="21"/>
                <w:highlight w:val="none"/>
              </w:rPr>
            </w:pPr>
          </w:p>
        </w:tc>
        <w:tc>
          <w:tcPr>
            <w:tcW w:w="1383" w:type="dxa"/>
            <w:vAlign w:val="top"/>
          </w:tcPr>
          <w:p w14:paraId="72623DCD">
            <w:pPr>
              <w:rPr>
                <w:rFonts w:hint="eastAsia" w:ascii="宋体" w:hAnsi="宋体" w:eastAsia="宋体" w:cs="宋体"/>
                <w:color w:val="auto"/>
                <w:sz w:val="21"/>
                <w:highlight w:val="none"/>
              </w:rPr>
            </w:pPr>
          </w:p>
        </w:tc>
        <w:tc>
          <w:tcPr>
            <w:tcW w:w="1224" w:type="dxa"/>
            <w:vAlign w:val="top"/>
          </w:tcPr>
          <w:p w14:paraId="348FD122">
            <w:pPr>
              <w:rPr>
                <w:rFonts w:hint="eastAsia" w:ascii="宋体" w:hAnsi="宋体" w:eastAsia="宋体" w:cs="宋体"/>
                <w:color w:val="auto"/>
                <w:sz w:val="21"/>
                <w:highlight w:val="none"/>
              </w:rPr>
            </w:pPr>
          </w:p>
        </w:tc>
        <w:tc>
          <w:tcPr>
            <w:tcW w:w="2363" w:type="dxa"/>
            <w:vAlign w:val="top"/>
          </w:tcPr>
          <w:p w14:paraId="3E72E6CE">
            <w:pPr>
              <w:rPr>
                <w:rFonts w:hint="eastAsia" w:ascii="宋体" w:hAnsi="宋体" w:eastAsia="宋体" w:cs="宋体"/>
                <w:color w:val="auto"/>
                <w:sz w:val="21"/>
                <w:highlight w:val="none"/>
              </w:rPr>
            </w:pPr>
          </w:p>
        </w:tc>
        <w:tc>
          <w:tcPr>
            <w:tcW w:w="1781" w:type="dxa"/>
            <w:vAlign w:val="top"/>
          </w:tcPr>
          <w:p w14:paraId="24819158">
            <w:pPr>
              <w:rPr>
                <w:rFonts w:hint="eastAsia" w:ascii="宋体" w:hAnsi="宋体" w:eastAsia="宋体" w:cs="宋体"/>
                <w:color w:val="auto"/>
                <w:sz w:val="21"/>
                <w:highlight w:val="none"/>
              </w:rPr>
            </w:pPr>
          </w:p>
        </w:tc>
      </w:tr>
      <w:tr w14:paraId="586749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atLeast"/>
        </w:trPr>
        <w:tc>
          <w:tcPr>
            <w:tcW w:w="1045" w:type="dxa"/>
            <w:vAlign w:val="top"/>
          </w:tcPr>
          <w:p w14:paraId="7F4D0A54">
            <w:pPr>
              <w:rPr>
                <w:rFonts w:hint="eastAsia" w:ascii="宋体" w:hAnsi="宋体" w:eastAsia="宋体" w:cs="宋体"/>
                <w:color w:val="auto"/>
                <w:sz w:val="21"/>
                <w:highlight w:val="none"/>
              </w:rPr>
            </w:pPr>
          </w:p>
        </w:tc>
        <w:tc>
          <w:tcPr>
            <w:tcW w:w="992" w:type="dxa"/>
            <w:vAlign w:val="top"/>
          </w:tcPr>
          <w:p w14:paraId="2C908068">
            <w:pPr>
              <w:rPr>
                <w:rFonts w:hint="eastAsia" w:ascii="宋体" w:hAnsi="宋体" w:eastAsia="宋体" w:cs="宋体"/>
                <w:color w:val="auto"/>
                <w:sz w:val="21"/>
                <w:highlight w:val="none"/>
              </w:rPr>
            </w:pPr>
          </w:p>
        </w:tc>
        <w:tc>
          <w:tcPr>
            <w:tcW w:w="1383" w:type="dxa"/>
            <w:vAlign w:val="top"/>
          </w:tcPr>
          <w:p w14:paraId="4750E1B8">
            <w:pPr>
              <w:rPr>
                <w:rFonts w:hint="eastAsia" w:ascii="宋体" w:hAnsi="宋体" w:eastAsia="宋体" w:cs="宋体"/>
                <w:color w:val="auto"/>
                <w:sz w:val="21"/>
                <w:highlight w:val="none"/>
              </w:rPr>
            </w:pPr>
          </w:p>
        </w:tc>
        <w:tc>
          <w:tcPr>
            <w:tcW w:w="1224" w:type="dxa"/>
            <w:vAlign w:val="top"/>
          </w:tcPr>
          <w:p w14:paraId="5CEA74D0">
            <w:pPr>
              <w:rPr>
                <w:rFonts w:hint="eastAsia" w:ascii="宋体" w:hAnsi="宋体" w:eastAsia="宋体" w:cs="宋体"/>
                <w:color w:val="auto"/>
                <w:sz w:val="21"/>
                <w:highlight w:val="none"/>
              </w:rPr>
            </w:pPr>
          </w:p>
        </w:tc>
        <w:tc>
          <w:tcPr>
            <w:tcW w:w="2363" w:type="dxa"/>
            <w:vAlign w:val="top"/>
          </w:tcPr>
          <w:p w14:paraId="24122BD6">
            <w:pPr>
              <w:rPr>
                <w:rFonts w:hint="eastAsia" w:ascii="宋体" w:hAnsi="宋体" w:eastAsia="宋体" w:cs="宋体"/>
                <w:color w:val="auto"/>
                <w:sz w:val="21"/>
                <w:highlight w:val="none"/>
              </w:rPr>
            </w:pPr>
          </w:p>
        </w:tc>
        <w:tc>
          <w:tcPr>
            <w:tcW w:w="1781" w:type="dxa"/>
            <w:vAlign w:val="top"/>
          </w:tcPr>
          <w:p w14:paraId="723B2477">
            <w:pPr>
              <w:rPr>
                <w:rFonts w:hint="eastAsia" w:ascii="宋体" w:hAnsi="宋体" w:eastAsia="宋体" w:cs="宋体"/>
                <w:color w:val="auto"/>
                <w:sz w:val="21"/>
                <w:highlight w:val="none"/>
              </w:rPr>
            </w:pPr>
          </w:p>
        </w:tc>
      </w:tr>
      <w:tr w14:paraId="3FF6F9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atLeast"/>
        </w:trPr>
        <w:tc>
          <w:tcPr>
            <w:tcW w:w="1045" w:type="dxa"/>
            <w:vAlign w:val="top"/>
          </w:tcPr>
          <w:p w14:paraId="35CCBFAD">
            <w:pPr>
              <w:rPr>
                <w:rFonts w:hint="eastAsia" w:ascii="宋体" w:hAnsi="宋体" w:eastAsia="宋体" w:cs="宋体"/>
                <w:color w:val="auto"/>
                <w:sz w:val="21"/>
                <w:highlight w:val="none"/>
              </w:rPr>
            </w:pPr>
          </w:p>
        </w:tc>
        <w:tc>
          <w:tcPr>
            <w:tcW w:w="992" w:type="dxa"/>
            <w:vAlign w:val="top"/>
          </w:tcPr>
          <w:p w14:paraId="4C56D0CD">
            <w:pPr>
              <w:rPr>
                <w:rFonts w:hint="eastAsia" w:ascii="宋体" w:hAnsi="宋体" w:eastAsia="宋体" w:cs="宋体"/>
                <w:color w:val="auto"/>
                <w:sz w:val="21"/>
                <w:highlight w:val="none"/>
              </w:rPr>
            </w:pPr>
          </w:p>
        </w:tc>
        <w:tc>
          <w:tcPr>
            <w:tcW w:w="1383" w:type="dxa"/>
            <w:vAlign w:val="top"/>
          </w:tcPr>
          <w:p w14:paraId="0E6DC802">
            <w:pPr>
              <w:rPr>
                <w:rFonts w:hint="eastAsia" w:ascii="宋体" w:hAnsi="宋体" w:eastAsia="宋体" w:cs="宋体"/>
                <w:color w:val="auto"/>
                <w:sz w:val="21"/>
                <w:highlight w:val="none"/>
              </w:rPr>
            </w:pPr>
          </w:p>
        </w:tc>
        <w:tc>
          <w:tcPr>
            <w:tcW w:w="1224" w:type="dxa"/>
            <w:vAlign w:val="top"/>
          </w:tcPr>
          <w:p w14:paraId="5F2C01D3">
            <w:pPr>
              <w:rPr>
                <w:rFonts w:hint="eastAsia" w:ascii="宋体" w:hAnsi="宋体" w:eastAsia="宋体" w:cs="宋体"/>
                <w:color w:val="auto"/>
                <w:sz w:val="21"/>
                <w:highlight w:val="none"/>
              </w:rPr>
            </w:pPr>
          </w:p>
        </w:tc>
        <w:tc>
          <w:tcPr>
            <w:tcW w:w="2363" w:type="dxa"/>
            <w:vAlign w:val="top"/>
          </w:tcPr>
          <w:p w14:paraId="278B4B7F">
            <w:pPr>
              <w:rPr>
                <w:rFonts w:hint="eastAsia" w:ascii="宋体" w:hAnsi="宋体" w:eastAsia="宋体" w:cs="宋体"/>
                <w:color w:val="auto"/>
                <w:sz w:val="21"/>
                <w:highlight w:val="none"/>
              </w:rPr>
            </w:pPr>
          </w:p>
        </w:tc>
        <w:tc>
          <w:tcPr>
            <w:tcW w:w="1781" w:type="dxa"/>
            <w:vAlign w:val="top"/>
          </w:tcPr>
          <w:p w14:paraId="7818D5BB">
            <w:pPr>
              <w:rPr>
                <w:rFonts w:hint="eastAsia" w:ascii="宋体" w:hAnsi="宋体" w:eastAsia="宋体" w:cs="宋体"/>
                <w:color w:val="auto"/>
                <w:sz w:val="21"/>
                <w:highlight w:val="none"/>
              </w:rPr>
            </w:pPr>
          </w:p>
        </w:tc>
      </w:tr>
      <w:tr w14:paraId="7E109D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5" w:hRule="atLeast"/>
        </w:trPr>
        <w:tc>
          <w:tcPr>
            <w:tcW w:w="1045" w:type="dxa"/>
            <w:vAlign w:val="top"/>
          </w:tcPr>
          <w:p w14:paraId="521523C7">
            <w:pPr>
              <w:rPr>
                <w:rFonts w:hint="eastAsia" w:ascii="宋体" w:hAnsi="宋体" w:eastAsia="宋体" w:cs="宋体"/>
                <w:color w:val="auto"/>
                <w:sz w:val="21"/>
                <w:highlight w:val="none"/>
              </w:rPr>
            </w:pPr>
          </w:p>
        </w:tc>
        <w:tc>
          <w:tcPr>
            <w:tcW w:w="992" w:type="dxa"/>
            <w:vAlign w:val="top"/>
          </w:tcPr>
          <w:p w14:paraId="701343B6">
            <w:pPr>
              <w:rPr>
                <w:rFonts w:hint="eastAsia" w:ascii="宋体" w:hAnsi="宋体" w:eastAsia="宋体" w:cs="宋体"/>
                <w:color w:val="auto"/>
                <w:sz w:val="21"/>
                <w:highlight w:val="none"/>
              </w:rPr>
            </w:pPr>
          </w:p>
        </w:tc>
        <w:tc>
          <w:tcPr>
            <w:tcW w:w="1383" w:type="dxa"/>
            <w:vAlign w:val="top"/>
          </w:tcPr>
          <w:p w14:paraId="667DDFDA">
            <w:pPr>
              <w:rPr>
                <w:rFonts w:hint="eastAsia" w:ascii="宋体" w:hAnsi="宋体" w:eastAsia="宋体" w:cs="宋体"/>
                <w:color w:val="auto"/>
                <w:sz w:val="21"/>
                <w:highlight w:val="none"/>
              </w:rPr>
            </w:pPr>
          </w:p>
        </w:tc>
        <w:tc>
          <w:tcPr>
            <w:tcW w:w="1224" w:type="dxa"/>
            <w:vAlign w:val="top"/>
          </w:tcPr>
          <w:p w14:paraId="4E92CF3F">
            <w:pPr>
              <w:rPr>
                <w:rFonts w:hint="eastAsia" w:ascii="宋体" w:hAnsi="宋体" w:eastAsia="宋体" w:cs="宋体"/>
                <w:color w:val="auto"/>
                <w:sz w:val="21"/>
                <w:highlight w:val="none"/>
              </w:rPr>
            </w:pPr>
          </w:p>
        </w:tc>
        <w:tc>
          <w:tcPr>
            <w:tcW w:w="2363" w:type="dxa"/>
            <w:vAlign w:val="top"/>
          </w:tcPr>
          <w:p w14:paraId="49ACE68D">
            <w:pPr>
              <w:rPr>
                <w:rFonts w:hint="eastAsia" w:ascii="宋体" w:hAnsi="宋体" w:eastAsia="宋体" w:cs="宋体"/>
                <w:color w:val="auto"/>
                <w:sz w:val="21"/>
                <w:highlight w:val="none"/>
              </w:rPr>
            </w:pPr>
          </w:p>
        </w:tc>
        <w:tc>
          <w:tcPr>
            <w:tcW w:w="1781" w:type="dxa"/>
            <w:vAlign w:val="top"/>
          </w:tcPr>
          <w:p w14:paraId="7E14EFDB">
            <w:pPr>
              <w:rPr>
                <w:rFonts w:hint="eastAsia" w:ascii="宋体" w:hAnsi="宋体" w:eastAsia="宋体" w:cs="宋体"/>
                <w:color w:val="auto"/>
                <w:sz w:val="21"/>
                <w:highlight w:val="none"/>
              </w:rPr>
            </w:pPr>
          </w:p>
        </w:tc>
      </w:tr>
      <w:tr w14:paraId="3BB741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atLeast"/>
        </w:trPr>
        <w:tc>
          <w:tcPr>
            <w:tcW w:w="1045" w:type="dxa"/>
            <w:vAlign w:val="top"/>
          </w:tcPr>
          <w:p w14:paraId="0C4543AA">
            <w:pPr>
              <w:rPr>
                <w:rFonts w:hint="eastAsia" w:ascii="宋体" w:hAnsi="宋体" w:eastAsia="宋体" w:cs="宋体"/>
                <w:color w:val="auto"/>
                <w:sz w:val="21"/>
                <w:highlight w:val="none"/>
              </w:rPr>
            </w:pPr>
          </w:p>
        </w:tc>
        <w:tc>
          <w:tcPr>
            <w:tcW w:w="992" w:type="dxa"/>
            <w:vAlign w:val="top"/>
          </w:tcPr>
          <w:p w14:paraId="43AD86BB">
            <w:pPr>
              <w:rPr>
                <w:rFonts w:hint="eastAsia" w:ascii="宋体" w:hAnsi="宋体" w:eastAsia="宋体" w:cs="宋体"/>
                <w:color w:val="auto"/>
                <w:sz w:val="21"/>
                <w:highlight w:val="none"/>
              </w:rPr>
            </w:pPr>
          </w:p>
        </w:tc>
        <w:tc>
          <w:tcPr>
            <w:tcW w:w="1383" w:type="dxa"/>
            <w:vAlign w:val="top"/>
          </w:tcPr>
          <w:p w14:paraId="45B227D7">
            <w:pPr>
              <w:rPr>
                <w:rFonts w:hint="eastAsia" w:ascii="宋体" w:hAnsi="宋体" w:eastAsia="宋体" w:cs="宋体"/>
                <w:color w:val="auto"/>
                <w:sz w:val="21"/>
                <w:highlight w:val="none"/>
              </w:rPr>
            </w:pPr>
          </w:p>
        </w:tc>
        <w:tc>
          <w:tcPr>
            <w:tcW w:w="1224" w:type="dxa"/>
            <w:vAlign w:val="top"/>
          </w:tcPr>
          <w:p w14:paraId="01F4C571">
            <w:pPr>
              <w:rPr>
                <w:rFonts w:hint="eastAsia" w:ascii="宋体" w:hAnsi="宋体" w:eastAsia="宋体" w:cs="宋体"/>
                <w:color w:val="auto"/>
                <w:sz w:val="21"/>
                <w:highlight w:val="none"/>
              </w:rPr>
            </w:pPr>
          </w:p>
        </w:tc>
        <w:tc>
          <w:tcPr>
            <w:tcW w:w="2363" w:type="dxa"/>
            <w:vAlign w:val="top"/>
          </w:tcPr>
          <w:p w14:paraId="75A6861C">
            <w:pPr>
              <w:rPr>
                <w:rFonts w:hint="eastAsia" w:ascii="宋体" w:hAnsi="宋体" w:eastAsia="宋体" w:cs="宋体"/>
                <w:color w:val="auto"/>
                <w:sz w:val="21"/>
                <w:highlight w:val="none"/>
              </w:rPr>
            </w:pPr>
          </w:p>
        </w:tc>
        <w:tc>
          <w:tcPr>
            <w:tcW w:w="1781" w:type="dxa"/>
            <w:vAlign w:val="top"/>
          </w:tcPr>
          <w:p w14:paraId="1E952E88">
            <w:pPr>
              <w:rPr>
                <w:rFonts w:hint="eastAsia" w:ascii="宋体" w:hAnsi="宋体" w:eastAsia="宋体" w:cs="宋体"/>
                <w:color w:val="auto"/>
                <w:sz w:val="21"/>
                <w:highlight w:val="none"/>
              </w:rPr>
            </w:pPr>
          </w:p>
        </w:tc>
      </w:tr>
      <w:tr w14:paraId="786F71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atLeast"/>
        </w:trPr>
        <w:tc>
          <w:tcPr>
            <w:tcW w:w="1045" w:type="dxa"/>
            <w:vAlign w:val="top"/>
          </w:tcPr>
          <w:p w14:paraId="205EE430">
            <w:pPr>
              <w:rPr>
                <w:rFonts w:hint="eastAsia" w:ascii="宋体" w:hAnsi="宋体" w:eastAsia="宋体" w:cs="宋体"/>
                <w:color w:val="auto"/>
                <w:sz w:val="21"/>
                <w:highlight w:val="none"/>
              </w:rPr>
            </w:pPr>
          </w:p>
        </w:tc>
        <w:tc>
          <w:tcPr>
            <w:tcW w:w="992" w:type="dxa"/>
            <w:vAlign w:val="top"/>
          </w:tcPr>
          <w:p w14:paraId="045C9FA9">
            <w:pPr>
              <w:rPr>
                <w:rFonts w:hint="eastAsia" w:ascii="宋体" w:hAnsi="宋体" w:eastAsia="宋体" w:cs="宋体"/>
                <w:color w:val="auto"/>
                <w:sz w:val="21"/>
                <w:highlight w:val="none"/>
              </w:rPr>
            </w:pPr>
          </w:p>
        </w:tc>
        <w:tc>
          <w:tcPr>
            <w:tcW w:w="1383" w:type="dxa"/>
            <w:vAlign w:val="top"/>
          </w:tcPr>
          <w:p w14:paraId="3B3FB079">
            <w:pPr>
              <w:rPr>
                <w:rFonts w:hint="eastAsia" w:ascii="宋体" w:hAnsi="宋体" w:eastAsia="宋体" w:cs="宋体"/>
                <w:color w:val="auto"/>
                <w:sz w:val="21"/>
                <w:highlight w:val="none"/>
              </w:rPr>
            </w:pPr>
          </w:p>
        </w:tc>
        <w:tc>
          <w:tcPr>
            <w:tcW w:w="1224" w:type="dxa"/>
            <w:vAlign w:val="top"/>
          </w:tcPr>
          <w:p w14:paraId="6B7BBE93">
            <w:pPr>
              <w:rPr>
                <w:rFonts w:hint="eastAsia" w:ascii="宋体" w:hAnsi="宋体" w:eastAsia="宋体" w:cs="宋体"/>
                <w:color w:val="auto"/>
                <w:sz w:val="21"/>
                <w:highlight w:val="none"/>
              </w:rPr>
            </w:pPr>
          </w:p>
        </w:tc>
        <w:tc>
          <w:tcPr>
            <w:tcW w:w="2363" w:type="dxa"/>
            <w:vAlign w:val="top"/>
          </w:tcPr>
          <w:p w14:paraId="127DA096">
            <w:pPr>
              <w:rPr>
                <w:rFonts w:hint="eastAsia" w:ascii="宋体" w:hAnsi="宋体" w:eastAsia="宋体" w:cs="宋体"/>
                <w:color w:val="auto"/>
                <w:sz w:val="21"/>
                <w:highlight w:val="none"/>
              </w:rPr>
            </w:pPr>
          </w:p>
        </w:tc>
        <w:tc>
          <w:tcPr>
            <w:tcW w:w="1781" w:type="dxa"/>
            <w:vAlign w:val="top"/>
          </w:tcPr>
          <w:p w14:paraId="01D989C8">
            <w:pPr>
              <w:rPr>
                <w:rFonts w:hint="eastAsia" w:ascii="宋体" w:hAnsi="宋体" w:eastAsia="宋体" w:cs="宋体"/>
                <w:color w:val="auto"/>
                <w:sz w:val="21"/>
                <w:highlight w:val="none"/>
              </w:rPr>
            </w:pPr>
          </w:p>
        </w:tc>
      </w:tr>
      <w:tr w14:paraId="34571C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atLeast"/>
        </w:trPr>
        <w:tc>
          <w:tcPr>
            <w:tcW w:w="1045" w:type="dxa"/>
            <w:vAlign w:val="top"/>
          </w:tcPr>
          <w:p w14:paraId="1823FFA9">
            <w:pPr>
              <w:rPr>
                <w:rFonts w:hint="eastAsia" w:ascii="宋体" w:hAnsi="宋体" w:eastAsia="宋体" w:cs="宋体"/>
                <w:color w:val="auto"/>
                <w:sz w:val="21"/>
                <w:highlight w:val="none"/>
              </w:rPr>
            </w:pPr>
          </w:p>
        </w:tc>
        <w:tc>
          <w:tcPr>
            <w:tcW w:w="992" w:type="dxa"/>
            <w:vAlign w:val="top"/>
          </w:tcPr>
          <w:p w14:paraId="5C0DB6C4">
            <w:pPr>
              <w:rPr>
                <w:rFonts w:hint="eastAsia" w:ascii="宋体" w:hAnsi="宋体" w:eastAsia="宋体" w:cs="宋体"/>
                <w:color w:val="auto"/>
                <w:sz w:val="21"/>
                <w:highlight w:val="none"/>
              </w:rPr>
            </w:pPr>
          </w:p>
        </w:tc>
        <w:tc>
          <w:tcPr>
            <w:tcW w:w="1383" w:type="dxa"/>
            <w:vAlign w:val="top"/>
          </w:tcPr>
          <w:p w14:paraId="1C4284D5">
            <w:pPr>
              <w:rPr>
                <w:rFonts w:hint="eastAsia" w:ascii="宋体" w:hAnsi="宋体" w:eastAsia="宋体" w:cs="宋体"/>
                <w:color w:val="auto"/>
                <w:sz w:val="21"/>
                <w:highlight w:val="none"/>
              </w:rPr>
            </w:pPr>
          </w:p>
        </w:tc>
        <w:tc>
          <w:tcPr>
            <w:tcW w:w="1224" w:type="dxa"/>
            <w:vAlign w:val="top"/>
          </w:tcPr>
          <w:p w14:paraId="11E3A945">
            <w:pPr>
              <w:rPr>
                <w:rFonts w:hint="eastAsia" w:ascii="宋体" w:hAnsi="宋体" w:eastAsia="宋体" w:cs="宋体"/>
                <w:color w:val="auto"/>
                <w:sz w:val="21"/>
                <w:highlight w:val="none"/>
              </w:rPr>
            </w:pPr>
          </w:p>
        </w:tc>
        <w:tc>
          <w:tcPr>
            <w:tcW w:w="2363" w:type="dxa"/>
            <w:vAlign w:val="top"/>
          </w:tcPr>
          <w:p w14:paraId="46571AB6">
            <w:pPr>
              <w:rPr>
                <w:rFonts w:hint="eastAsia" w:ascii="宋体" w:hAnsi="宋体" w:eastAsia="宋体" w:cs="宋体"/>
                <w:color w:val="auto"/>
                <w:sz w:val="21"/>
                <w:highlight w:val="none"/>
              </w:rPr>
            </w:pPr>
          </w:p>
        </w:tc>
        <w:tc>
          <w:tcPr>
            <w:tcW w:w="1781" w:type="dxa"/>
            <w:vAlign w:val="top"/>
          </w:tcPr>
          <w:p w14:paraId="7AEB9439">
            <w:pPr>
              <w:rPr>
                <w:rFonts w:hint="eastAsia" w:ascii="宋体" w:hAnsi="宋体" w:eastAsia="宋体" w:cs="宋体"/>
                <w:color w:val="auto"/>
                <w:sz w:val="21"/>
                <w:highlight w:val="none"/>
              </w:rPr>
            </w:pPr>
          </w:p>
        </w:tc>
      </w:tr>
      <w:tr w14:paraId="681149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5" w:hRule="atLeast"/>
        </w:trPr>
        <w:tc>
          <w:tcPr>
            <w:tcW w:w="1045" w:type="dxa"/>
            <w:vAlign w:val="top"/>
          </w:tcPr>
          <w:p w14:paraId="5EB2228E">
            <w:pPr>
              <w:rPr>
                <w:rFonts w:hint="eastAsia" w:ascii="宋体" w:hAnsi="宋体" w:eastAsia="宋体" w:cs="宋体"/>
                <w:color w:val="auto"/>
                <w:sz w:val="21"/>
                <w:highlight w:val="none"/>
              </w:rPr>
            </w:pPr>
          </w:p>
        </w:tc>
        <w:tc>
          <w:tcPr>
            <w:tcW w:w="992" w:type="dxa"/>
            <w:vAlign w:val="top"/>
          </w:tcPr>
          <w:p w14:paraId="0F26F5EA">
            <w:pPr>
              <w:rPr>
                <w:rFonts w:hint="eastAsia" w:ascii="宋体" w:hAnsi="宋体" w:eastAsia="宋体" w:cs="宋体"/>
                <w:color w:val="auto"/>
                <w:sz w:val="21"/>
                <w:highlight w:val="none"/>
              </w:rPr>
            </w:pPr>
          </w:p>
        </w:tc>
        <w:tc>
          <w:tcPr>
            <w:tcW w:w="1383" w:type="dxa"/>
            <w:vAlign w:val="top"/>
          </w:tcPr>
          <w:p w14:paraId="280C0E09">
            <w:pPr>
              <w:rPr>
                <w:rFonts w:hint="eastAsia" w:ascii="宋体" w:hAnsi="宋体" w:eastAsia="宋体" w:cs="宋体"/>
                <w:color w:val="auto"/>
                <w:sz w:val="21"/>
                <w:highlight w:val="none"/>
              </w:rPr>
            </w:pPr>
          </w:p>
        </w:tc>
        <w:tc>
          <w:tcPr>
            <w:tcW w:w="1224" w:type="dxa"/>
            <w:vAlign w:val="top"/>
          </w:tcPr>
          <w:p w14:paraId="7B442CEE">
            <w:pPr>
              <w:rPr>
                <w:rFonts w:hint="eastAsia" w:ascii="宋体" w:hAnsi="宋体" w:eastAsia="宋体" w:cs="宋体"/>
                <w:color w:val="auto"/>
                <w:sz w:val="21"/>
                <w:highlight w:val="none"/>
              </w:rPr>
            </w:pPr>
          </w:p>
        </w:tc>
        <w:tc>
          <w:tcPr>
            <w:tcW w:w="2363" w:type="dxa"/>
            <w:vAlign w:val="top"/>
          </w:tcPr>
          <w:p w14:paraId="10D85CF7">
            <w:pPr>
              <w:rPr>
                <w:rFonts w:hint="eastAsia" w:ascii="宋体" w:hAnsi="宋体" w:eastAsia="宋体" w:cs="宋体"/>
                <w:color w:val="auto"/>
                <w:sz w:val="21"/>
                <w:highlight w:val="none"/>
              </w:rPr>
            </w:pPr>
          </w:p>
        </w:tc>
        <w:tc>
          <w:tcPr>
            <w:tcW w:w="1781" w:type="dxa"/>
            <w:vAlign w:val="top"/>
          </w:tcPr>
          <w:p w14:paraId="081A622D">
            <w:pPr>
              <w:rPr>
                <w:rFonts w:hint="eastAsia" w:ascii="宋体" w:hAnsi="宋体" w:eastAsia="宋体" w:cs="宋体"/>
                <w:color w:val="auto"/>
                <w:sz w:val="21"/>
                <w:highlight w:val="none"/>
              </w:rPr>
            </w:pPr>
          </w:p>
        </w:tc>
      </w:tr>
      <w:tr w14:paraId="4E358E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atLeast"/>
        </w:trPr>
        <w:tc>
          <w:tcPr>
            <w:tcW w:w="1045" w:type="dxa"/>
            <w:vAlign w:val="top"/>
          </w:tcPr>
          <w:p w14:paraId="3A7557EA">
            <w:pPr>
              <w:rPr>
                <w:rFonts w:hint="eastAsia" w:ascii="宋体" w:hAnsi="宋体" w:eastAsia="宋体" w:cs="宋体"/>
                <w:color w:val="auto"/>
                <w:sz w:val="21"/>
                <w:highlight w:val="none"/>
              </w:rPr>
            </w:pPr>
          </w:p>
        </w:tc>
        <w:tc>
          <w:tcPr>
            <w:tcW w:w="992" w:type="dxa"/>
            <w:vAlign w:val="top"/>
          </w:tcPr>
          <w:p w14:paraId="44A44474">
            <w:pPr>
              <w:rPr>
                <w:rFonts w:hint="eastAsia" w:ascii="宋体" w:hAnsi="宋体" w:eastAsia="宋体" w:cs="宋体"/>
                <w:color w:val="auto"/>
                <w:sz w:val="21"/>
                <w:highlight w:val="none"/>
              </w:rPr>
            </w:pPr>
          </w:p>
        </w:tc>
        <w:tc>
          <w:tcPr>
            <w:tcW w:w="1383" w:type="dxa"/>
            <w:vAlign w:val="top"/>
          </w:tcPr>
          <w:p w14:paraId="3F99AB7B">
            <w:pPr>
              <w:rPr>
                <w:rFonts w:hint="eastAsia" w:ascii="宋体" w:hAnsi="宋体" w:eastAsia="宋体" w:cs="宋体"/>
                <w:color w:val="auto"/>
                <w:sz w:val="21"/>
                <w:highlight w:val="none"/>
              </w:rPr>
            </w:pPr>
          </w:p>
        </w:tc>
        <w:tc>
          <w:tcPr>
            <w:tcW w:w="1224" w:type="dxa"/>
            <w:vAlign w:val="top"/>
          </w:tcPr>
          <w:p w14:paraId="7B4B2B81">
            <w:pPr>
              <w:rPr>
                <w:rFonts w:hint="eastAsia" w:ascii="宋体" w:hAnsi="宋体" w:eastAsia="宋体" w:cs="宋体"/>
                <w:color w:val="auto"/>
                <w:sz w:val="21"/>
                <w:highlight w:val="none"/>
              </w:rPr>
            </w:pPr>
          </w:p>
        </w:tc>
        <w:tc>
          <w:tcPr>
            <w:tcW w:w="2363" w:type="dxa"/>
            <w:vAlign w:val="top"/>
          </w:tcPr>
          <w:p w14:paraId="187BD1F3">
            <w:pPr>
              <w:rPr>
                <w:rFonts w:hint="eastAsia" w:ascii="宋体" w:hAnsi="宋体" w:eastAsia="宋体" w:cs="宋体"/>
                <w:color w:val="auto"/>
                <w:sz w:val="21"/>
                <w:highlight w:val="none"/>
              </w:rPr>
            </w:pPr>
          </w:p>
        </w:tc>
        <w:tc>
          <w:tcPr>
            <w:tcW w:w="1781" w:type="dxa"/>
            <w:vAlign w:val="top"/>
          </w:tcPr>
          <w:p w14:paraId="60F81714">
            <w:pPr>
              <w:rPr>
                <w:rFonts w:hint="eastAsia" w:ascii="宋体" w:hAnsi="宋体" w:eastAsia="宋体" w:cs="宋体"/>
                <w:color w:val="auto"/>
                <w:sz w:val="21"/>
                <w:highlight w:val="none"/>
              </w:rPr>
            </w:pPr>
          </w:p>
        </w:tc>
      </w:tr>
      <w:tr w14:paraId="2AC2D0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atLeast"/>
        </w:trPr>
        <w:tc>
          <w:tcPr>
            <w:tcW w:w="1045" w:type="dxa"/>
            <w:vAlign w:val="top"/>
          </w:tcPr>
          <w:p w14:paraId="5A55A053">
            <w:pPr>
              <w:rPr>
                <w:rFonts w:hint="eastAsia" w:ascii="宋体" w:hAnsi="宋体" w:eastAsia="宋体" w:cs="宋体"/>
                <w:color w:val="auto"/>
                <w:sz w:val="21"/>
                <w:highlight w:val="none"/>
              </w:rPr>
            </w:pPr>
          </w:p>
        </w:tc>
        <w:tc>
          <w:tcPr>
            <w:tcW w:w="992" w:type="dxa"/>
            <w:vAlign w:val="top"/>
          </w:tcPr>
          <w:p w14:paraId="4B64747E">
            <w:pPr>
              <w:rPr>
                <w:rFonts w:hint="eastAsia" w:ascii="宋体" w:hAnsi="宋体" w:eastAsia="宋体" w:cs="宋体"/>
                <w:color w:val="auto"/>
                <w:sz w:val="21"/>
                <w:highlight w:val="none"/>
              </w:rPr>
            </w:pPr>
          </w:p>
        </w:tc>
        <w:tc>
          <w:tcPr>
            <w:tcW w:w="1383" w:type="dxa"/>
            <w:vAlign w:val="top"/>
          </w:tcPr>
          <w:p w14:paraId="7B57757D">
            <w:pPr>
              <w:rPr>
                <w:rFonts w:hint="eastAsia" w:ascii="宋体" w:hAnsi="宋体" w:eastAsia="宋体" w:cs="宋体"/>
                <w:color w:val="auto"/>
                <w:sz w:val="21"/>
                <w:highlight w:val="none"/>
              </w:rPr>
            </w:pPr>
          </w:p>
        </w:tc>
        <w:tc>
          <w:tcPr>
            <w:tcW w:w="1224" w:type="dxa"/>
            <w:vAlign w:val="top"/>
          </w:tcPr>
          <w:p w14:paraId="7BD85C72">
            <w:pPr>
              <w:rPr>
                <w:rFonts w:hint="eastAsia" w:ascii="宋体" w:hAnsi="宋体" w:eastAsia="宋体" w:cs="宋体"/>
                <w:color w:val="auto"/>
                <w:sz w:val="21"/>
                <w:highlight w:val="none"/>
              </w:rPr>
            </w:pPr>
          </w:p>
        </w:tc>
        <w:tc>
          <w:tcPr>
            <w:tcW w:w="2363" w:type="dxa"/>
            <w:vAlign w:val="top"/>
          </w:tcPr>
          <w:p w14:paraId="33A5B1AA">
            <w:pPr>
              <w:rPr>
                <w:rFonts w:hint="eastAsia" w:ascii="宋体" w:hAnsi="宋体" w:eastAsia="宋体" w:cs="宋体"/>
                <w:color w:val="auto"/>
                <w:sz w:val="21"/>
                <w:highlight w:val="none"/>
              </w:rPr>
            </w:pPr>
          </w:p>
        </w:tc>
        <w:tc>
          <w:tcPr>
            <w:tcW w:w="1781" w:type="dxa"/>
            <w:vAlign w:val="top"/>
          </w:tcPr>
          <w:p w14:paraId="21D08C1B">
            <w:pPr>
              <w:rPr>
                <w:rFonts w:hint="eastAsia" w:ascii="宋体" w:hAnsi="宋体" w:eastAsia="宋体" w:cs="宋体"/>
                <w:color w:val="auto"/>
                <w:sz w:val="21"/>
                <w:highlight w:val="none"/>
              </w:rPr>
            </w:pPr>
          </w:p>
        </w:tc>
      </w:tr>
      <w:tr w14:paraId="5B4752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atLeast"/>
        </w:trPr>
        <w:tc>
          <w:tcPr>
            <w:tcW w:w="1045" w:type="dxa"/>
            <w:vAlign w:val="top"/>
          </w:tcPr>
          <w:p w14:paraId="6780423D">
            <w:pPr>
              <w:rPr>
                <w:rFonts w:hint="eastAsia" w:ascii="宋体" w:hAnsi="宋体" w:eastAsia="宋体" w:cs="宋体"/>
                <w:color w:val="auto"/>
                <w:sz w:val="21"/>
                <w:highlight w:val="none"/>
              </w:rPr>
            </w:pPr>
          </w:p>
        </w:tc>
        <w:tc>
          <w:tcPr>
            <w:tcW w:w="992" w:type="dxa"/>
            <w:vAlign w:val="top"/>
          </w:tcPr>
          <w:p w14:paraId="14ABB560">
            <w:pPr>
              <w:rPr>
                <w:rFonts w:hint="eastAsia" w:ascii="宋体" w:hAnsi="宋体" w:eastAsia="宋体" w:cs="宋体"/>
                <w:color w:val="auto"/>
                <w:sz w:val="21"/>
                <w:highlight w:val="none"/>
              </w:rPr>
            </w:pPr>
          </w:p>
        </w:tc>
        <w:tc>
          <w:tcPr>
            <w:tcW w:w="1383" w:type="dxa"/>
            <w:vAlign w:val="top"/>
          </w:tcPr>
          <w:p w14:paraId="31563355">
            <w:pPr>
              <w:rPr>
                <w:rFonts w:hint="eastAsia" w:ascii="宋体" w:hAnsi="宋体" w:eastAsia="宋体" w:cs="宋体"/>
                <w:color w:val="auto"/>
                <w:sz w:val="21"/>
                <w:highlight w:val="none"/>
              </w:rPr>
            </w:pPr>
          </w:p>
        </w:tc>
        <w:tc>
          <w:tcPr>
            <w:tcW w:w="1224" w:type="dxa"/>
            <w:vAlign w:val="top"/>
          </w:tcPr>
          <w:p w14:paraId="1CB1CF2C">
            <w:pPr>
              <w:rPr>
                <w:rFonts w:hint="eastAsia" w:ascii="宋体" w:hAnsi="宋体" w:eastAsia="宋体" w:cs="宋体"/>
                <w:color w:val="auto"/>
                <w:sz w:val="21"/>
                <w:highlight w:val="none"/>
              </w:rPr>
            </w:pPr>
          </w:p>
        </w:tc>
        <w:tc>
          <w:tcPr>
            <w:tcW w:w="2363" w:type="dxa"/>
            <w:vAlign w:val="top"/>
          </w:tcPr>
          <w:p w14:paraId="64F00789">
            <w:pPr>
              <w:rPr>
                <w:rFonts w:hint="eastAsia" w:ascii="宋体" w:hAnsi="宋体" w:eastAsia="宋体" w:cs="宋体"/>
                <w:color w:val="auto"/>
                <w:sz w:val="21"/>
                <w:highlight w:val="none"/>
              </w:rPr>
            </w:pPr>
          </w:p>
        </w:tc>
        <w:tc>
          <w:tcPr>
            <w:tcW w:w="1781" w:type="dxa"/>
            <w:vAlign w:val="top"/>
          </w:tcPr>
          <w:p w14:paraId="3F35F1C2">
            <w:pPr>
              <w:rPr>
                <w:rFonts w:hint="eastAsia" w:ascii="宋体" w:hAnsi="宋体" w:eastAsia="宋体" w:cs="宋体"/>
                <w:color w:val="auto"/>
                <w:sz w:val="21"/>
                <w:highlight w:val="none"/>
              </w:rPr>
            </w:pPr>
          </w:p>
        </w:tc>
      </w:tr>
      <w:tr w14:paraId="6650A7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5" w:hRule="atLeast"/>
        </w:trPr>
        <w:tc>
          <w:tcPr>
            <w:tcW w:w="1045" w:type="dxa"/>
            <w:vAlign w:val="top"/>
          </w:tcPr>
          <w:p w14:paraId="26C1F359">
            <w:pPr>
              <w:rPr>
                <w:rFonts w:hint="eastAsia" w:ascii="宋体" w:hAnsi="宋体" w:eastAsia="宋体" w:cs="宋体"/>
                <w:color w:val="auto"/>
                <w:sz w:val="21"/>
                <w:highlight w:val="none"/>
              </w:rPr>
            </w:pPr>
          </w:p>
        </w:tc>
        <w:tc>
          <w:tcPr>
            <w:tcW w:w="992" w:type="dxa"/>
            <w:vAlign w:val="top"/>
          </w:tcPr>
          <w:p w14:paraId="6434873C">
            <w:pPr>
              <w:rPr>
                <w:rFonts w:hint="eastAsia" w:ascii="宋体" w:hAnsi="宋体" w:eastAsia="宋体" w:cs="宋体"/>
                <w:color w:val="auto"/>
                <w:sz w:val="21"/>
                <w:highlight w:val="none"/>
              </w:rPr>
            </w:pPr>
          </w:p>
        </w:tc>
        <w:tc>
          <w:tcPr>
            <w:tcW w:w="1383" w:type="dxa"/>
            <w:vAlign w:val="top"/>
          </w:tcPr>
          <w:p w14:paraId="75A4DE54">
            <w:pPr>
              <w:rPr>
                <w:rFonts w:hint="eastAsia" w:ascii="宋体" w:hAnsi="宋体" w:eastAsia="宋体" w:cs="宋体"/>
                <w:color w:val="auto"/>
                <w:sz w:val="21"/>
                <w:highlight w:val="none"/>
              </w:rPr>
            </w:pPr>
          </w:p>
        </w:tc>
        <w:tc>
          <w:tcPr>
            <w:tcW w:w="1224" w:type="dxa"/>
            <w:vAlign w:val="top"/>
          </w:tcPr>
          <w:p w14:paraId="1C58F46D">
            <w:pPr>
              <w:rPr>
                <w:rFonts w:hint="eastAsia" w:ascii="宋体" w:hAnsi="宋体" w:eastAsia="宋体" w:cs="宋体"/>
                <w:color w:val="auto"/>
                <w:sz w:val="21"/>
                <w:highlight w:val="none"/>
              </w:rPr>
            </w:pPr>
          </w:p>
        </w:tc>
        <w:tc>
          <w:tcPr>
            <w:tcW w:w="2363" w:type="dxa"/>
            <w:vAlign w:val="top"/>
          </w:tcPr>
          <w:p w14:paraId="2FF87E17">
            <w:pPr>
              <w:rPr>
                <w:rFonts w:hint="eastAsia" w:ascii="宋体" w:hAnsi="宋体" w:eastAsia="宋体" w:cs="宋体"/>
                <w:color w:val="auto"/>
                <w:sz w:val="21"/>
                <w:highlight w:val="none"/>
              </w:rPr>
            </w:pPr>
          </w:p>
        </w:tc>
        <w:tc>
          <w:tcPr>
            <w:tcW w:w="1781" w:type="dxa"/>
            <w:vAlign w:val="top"/>
          </w:tcPr>
          <w:p w14:paraId="71795ACE">
            <w:pPr>
              <w:rPr>
                <w:rFonts w:hint="eastAsia" w:ascii="宋体" w:hAnsi="宋体" w:eastAsia="宋体" w:cs="宋体"/>
                <w:color w:val="auto"/>
                <w:sz w:val="21"/>
                <w:highlight w:val="none"/>
              </w:rPr>
            </w:pPr>
          </w:p>
        </w:tc>
      </w:tr>
      <w:tr w14:paraId="01B429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atLeast"/>
        </w:trPr>
        <w:tc>
          <w:tcPr>
            <w:tcW w:w="1045" w:type="dxa"/>
            <w:vAlign w:val="top"/>
          </w:tcPr>
          <w:p w14:paraId="36FE5984">
            <w:pPr>
              <w:rPr>
                <w:rFonts w:hint="eastAsia" w:ascii="宋体" w:hAnsi="宋体" w:eastAsia="宋体" w:cs="宋体"/>
                <w:color w:val="auto"/>
                <w:sz w:val="21"/>
                <w:highlight w:val="none"/>
              </w:rPr>
            </w:pPr>
          </w:p>
        </w:tc>
        <w:tc>
          <w:tcPr>
            <w:tcW w:w="992" w:type="dxa"/>
            <w:vAlign w:val="top"/>
          </w:tcPr>
          <w:p w14:paraId="444D45E6">
            <w:pPr>
              <w:rPr>
                <w:rFonts w:hint="eastAsia" w:ascii="宋体" w:hAnsi="宋体" w:eastAsia="宋体" w:cs="宋体"/>
                <w:color w:val="auto"/>
                <w:sz w:val="21"/>
                <w:highlight w:val="none"/>
              </w:rPr>
            </w:pPr>
          </w:p>
        </w:tc>
        <w:tc>
          <w:tcPr>
            <w:tcW w:w="1383" w:type="dxa"/>
            <w:vAlign w:val="top"/>
          </w:tcPr>
          <w:p w14:paraId="339619C4">
            <w:pPr>
              <w:rPr>
                <w:rFonts w:hint="eastAsia" w:ascii="宋体" w:hAnsi="宋体" w:eastAsia="宋体" w:cs="宋体"/>
                <w:color w:val="auto"/>
                <w:sz w:val="21"/>
                <w:highlight w:val="none"/>
              </w:rPr>
            </w:pPr>
          </w:p>
        </w:tc>
        <w:tc>
          <w:tcPr>
            <w:tcW w:w="1224" w:type="dxa"/>
            <w:vAlign w:val="top"/>
          </w:tcPr>
          <w:p w14:paraId="267C6ACA">
            <w:pPr>
              <w:rPr>
                <w:rFonts w:hint="eastAsia" w:ascii="宋体" w:hAnsi="宋体" w:eastAsia="宋体" w:cs="宋体"/>
                <w:color w:val="auto"/>
                <w:sz w:val="21"/>
                <w:highlight w:val="none"/>
              </w:rPr>
            </w:pPr>
          </w:p>
        </w:tc>
        <w:tc>
          <w:tcPr>
            <w:tcW w:w="2363" w:type="dxa"/>
            <w:vAlign w:val="top"/>
          </w:tcPr>
          <w:p w14:paraId="0D6A4F9D">
            <w:pPr>
              <w:rPr>
                <w:rFonts w:hint="eastAsia" w:ascii="宋体" w:hAnsi="宋体" w:eastAsia="宋体" w:cs="宋体"/>
                <w:color w:val="auto"/>
                <w:sz w:val="21"/>
                <w:highlight w:val="none"/>
              </w:rPr>
            </w:pPr>
          </w:p>
        </w:tc>
        <w:tc>
          <w:tcPr>
            <w:tcW w:w="1781" w:type="dxa"/>
            <w:vAlign w:val="top"/>
          </w:tcPr>
          <w:p w14:paraId="25E5D8FC">
            <w:pPr>
              <w:rPr>
                <w:rFonts w:hint="eastAsia" w:ascii="宋体" w:hAnsi="宋体" w:eastAsia="宋体" w:cs="宋体"/>
                <w:color w:val="auto"/>
                <w:sz w:val="21"/>
                <w:highlight w:val="none"/>
              </w:rPr>
            </w:pPr>
          </w:p>
        </w:tc>
      </w:tr>
      <w:tr w14:paraId="417563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atLeast"/>
        </w:trPr>
        <w:tc>
          <w:tcPr>
            <w:tcW w:w="1045" w:type="dxa"/>
            <w:vAlign w:val="top"/>
          </w:tcPr>
          <w:p w14:paraId="1C7C47AB">
            <w:pPr>
              <w:rPr>
                <w:rFonts w:hint="eastAsia" w:ascii="宋体" w:hAnsi="宋体" w:eastAsia="宋体" w:cs="宋体"/>
                <w:color w:val="auto"/>
                <w:sz w:val="21"/>
                <w:highlight w:val="none"/>
              </w:rPr>
            </w:pPr>
          </w:p>
        </w:tc>
        <w:tc>
          <w:tcPr>
            <w:tcW w:w="992" w:type="dxa"/>
            <w:vAlign w:val="top"/>
          </w:tcPr>
          <w:p w14:paraId="6B3B427A">
            <w:pPr>
              <w:rPr>
                <w:rFonts w:hint="eastAsia" w:ascii="宋体" w:hAnsi="宋体" w:eastAsia="宋体" w:cs="宋体"/>
                <w:color w:val="auto"/>
                <w:sz w:val="21"/>
                <w:highlight w:val="none"/>
              </w:rPr>
            </w:pPr>
          </w:p>
        </w:tc>
        <w:tc>
          <w:tcPr>
            <w:tcW w:w="1383" w:type="dxa"/>
            <w:vAlign w:val="top"/>
          </w:tcPr>
          <w:p w14:paraId="33A36F9F">
            <w:pPr>
              <w:rPr>
                <w:rFonts w:hint="eastAsia" w:ascii="宋体" w:hAnsi="宋体" w:eastAsia="宋体" w:cs="宋体"/>
                <w:color w:val="auto"/>
                <w:sz w:val="21"/>
                <w:highlight w:val="none"/>
              </w:rPr>
            </w:pPr>
          </w:p>
        </w:tc>
        <w:tc>
          <w:tcPr>
            <w:tcW w:w="1224" w:type="dxa"/>
            <w:vAlign w:val="top"/>
          </w:tcPr>
          <w:p w14:paraId="04D4DB1F">
            <w:pPr>
              <w:rPr>
                <w:rFonts w:hint="eastAsia" w:ascii="宋体" w:hAnsi="宋体" w:eastAsia="宋体" w:cs="宋体"/>
                <w:color w:val="auto"/>
                <w:sz w:val="21"/>
                <w:highlight w:val="none"/>
              </w:rPr>
            </w:pPr>
          </w:p>
        </w:tc>
        <w:tc>
          <w:tcPr>
            <w:tcW w:w="2363" w:type="dxa"/>
            <w:vAlign w:val="top"/>
          </w:tcPr>
          <w:p w14:paraId="712A9002">
            <w:pPr>
              <w:rPr>
                <w:rFonts w:hint="eastAsia" w:ascii="宋体" w:hAnsi="宋体" w:eastAsia="宋体" w:cs="宋体"/>
                <w:color w:val="auto"/>
                <w:sz w:val="21"/>
                <w:highlight w:val="none"/>
              </w:rPr>
            </w:pPr>
          </w:p>
        </w:tc>
        <w:tc>
          <w:tcPr>
            <w:tcW w:w="1781" w:type="dxa"/>
            <w:vAlign w:val="top"/>
          </w:tcPr>
          <w:p w14:paraId="383ECB23">
            <w:pPr>
              <w:rPr>
                <w:rFonts w:hint="eastAsia" w:ascii="宋体" w:hAnsi="宋体" w:eastAsia="宋体" w:cs="宋体"/>
                <w:color w:val="auto"/>
                <w:sz w:val="21"/>
                <w:highlight w:val="none"/>
              </w:rPr>
            </w:pPr>
          </w:p>
        </w:tc>
      </w:tr>
      <w:tr w14:paraId="357930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atLeast"/>
        </w:trPr>
        <w:tc>
          <w:tcPr>
            <w:tcW w:w="1045" w:type="dxa"/>
            <w:vAlign w:val="top"/>
          </w:tcPr>
          <w:p w14:paraId="149B465C">
            <w:pPr>
              <w:rPr>
                <w:rFonts w:hint="eastAsia" w:ascii="宋体" w:hAnsi="宋体" w:eastAsia="宋体" w:cs="宋体"/>
                <w:color w:val="auto"/>
                <w:sz w:val="21"/>
                <w:highlight w:val="none"/>
              </w:rPr>
            </w:pPr>
          </w:p>
        </w:tc>
        <w:tc>
          <w:tcPr>
            <w:tcW w:w="992" w:type="dxa"/>
            <w:vAlign w:val="top"/>
          </w:tcPr>
          <w:p w14:paraId="46F3F586">
            <w:pPr>
              <w:rPr>
                <w:rFonts w:hint="eastAsia" w:ascii="宋体" w:hAnsi="宋体" w:eastAsia="宋体" w:cs="宋体"/>
                <w:color w:val="auto"/>
                <w:sz w:val="21"/>
                <w:highlight w:val="none"/>
              </w:rPr>
            </w:pPr>
          </w:p>
        </w:tc>
        <w:tc>
          <w:tcPr>
            <w:tcW w:w="1383" w:type="dxa"/>
            <w:vAlign w:val="top"/>
          </w:tcPr>
          <w:p w14:paraId="48F03B2B">
            <w:pPr>
              <w:rPr>
                <w:rFonts w:hint="eastAsia" w:ascii="宋体" w:hAnsi="宋体" w:eastAsia="宋体" w:cs="宋体"/>
                <w:color w:val="auto"/>
                <w:sz w:val="21"/>
                <w:highlight w:val="none"/>
              </w:rPr>
            </w:pPr>
          </w:p>
        </w:tc>
        <w:tc>
          <w:tcPr>
            <w:tcW w:w="1224" w:type="dxa"/>
            <w:vAlign w:val="top"/>
          </w:tcPr>
          <w:p w14:paraId="2D9C8429">
            <w:pPr>
              <w:rPr>
                <w:rFonts w:hint="eastAsia" w:ascii="宋体" w:hAnsi="宋体" w:eastAsia="宋体" w:cs="宋体"/>
                <w:color w:val="auto"/>
                <w:sz w:val="21"/>
                <w:highlight w:val="none"/>
              </w:rPr>
            </w:pPr>
          </w:p>
        </w:tc>
        <w:tc>
          <w:tcPr>
            <w:tcW w:w="2363" w:type="dxa"/>
            <w:vAlign w:val="top"/>
          </w:tcPr>
          <w:p w14:paraId="3298004B">
            <w:pPr>
              <w:rPr>
                <w:rFonts w:hint="eastAsia" w:ascii="宋体" w:hAnsi="宋体" w:eastAsia="宋体" w:cs="宋体"/>
                <w:color w:val="auto"/>
                <w:sz w:val="21"/>
                <w:highlight w:val="none"/>
              </w:rPr>
            </w:pPr>
          </w:p>
        </w:tc>
        <w:tc>
          <w:tcPr>
            <w:tcW w:w="1781" w:type="dxa"/>
            <w:vAlign w:val="top"/>
          </w:tcPr>
          <w:p w14:paraId="11547192">
            <w:pPr>
              <w:rPr>
                <w:rFonts w:hint="eastAsia" w:ascii="宋体" w:hAnsi="宋体" w:eastAsia="宋体" w:cs="宋体"/>
                <w:color w:val="auto"/>
                <w:sz w:val="21"/>
                <w:highlight w:val="none"/>
              </w:rPr>
            </w:pPr>
          </w:p>
        </w:tc>
      </w:tr>
      <w:tr w14:paraId="65B01F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5" w:hRule="atLeast"/>
        </w:trPr>
        <w:tc>
          <w:tcPr>
            <w:tcW w:w="1045" w:type="dxa"/>
            <w:vAlign w:val="top"/>
          </w:tcPr>
          <w:p w14:paraId="425DEB68">
            <w:pPr>
              <w:rPr>
                <w:rFonts w:hint="eastAsia" w:ascii="宋体" w:hAnsi="宋体" w:eastAsia="宋体" w:cs="宋体"/>
                <w:color w:val="auto"/>
                <w:sz w:val="21"/>
                <w:highlight w:val="none"/>
              </w:rPr>
            </w:pPr>
          </w:p>
        </w:tc>
        <w:tc>
          <w:tcPr>
            <w:tcW w:w="992" w:type="dxa"/>
            <w:vAlign w:val="top"/>
          </w:tcPr>
          <w:p w14:paraId="344B5AD5">
            <w:pPr>
              <w:rPr>
                <w:rFonts w:hint="eastAsia" w:ascii="宋体" w:hAnsi="宋体" w:eastAsia="宋体" w:cs="宋体"/>
                <w:color w:val="auto"/>
                <w:sz w:val="21"/>
                <w:highlight w:val="none"/>
              </w:rPr>
            </w:pPr>
          </w:p>
        </w:tc>
        <w:tc>
          <w:tcPr>
            <w:tcW w:w="1383" w:type="dxa"/>
            <w:vAlign w:val="top"/>
          </w:tcPr>
          <w:p w14:paraId="797B8169">
            <w:pPr>
              <w:rPr>
                <w:rFonts w:hint="eastAsia" w:ascii="宋体" w:hAnsi="宋体" w:eastAsia="宋体" w:cs="宋体"/>
                <w:color w:val="auto"/>
                <w:sz w:val="21"/>
                <w:highlight w:val="none"/>
              </w:rPr>
            </w:pPr>
          </w:p>
        </w:tc>
        <w:tc>
          <w:tcPr>
            <w:tcW w:w="1224" w:type="dxa"/>
            <w:vAlign w:val="top"/>
          </w:tcPr>
          <w:p w14:paraId="27317ABA">
            <w:pPr>
              <w:rPr>
                <w:rFonts w:hint="eastAsia" w:ascii="宋体" w:hAnsi="宋体" w:eastAsia="宋体" w:cs="宋体"/>
                <w:color w:val="auto"/>
                <w:sz w:val="21"/>
                <w:highlight w:val="none"/>
              </w:rPr>
            </w:pPr>
          </w:p>
        </w:tc>
        <w:tc>
          <w:tcPr>
            <w:tcW w:w="2363" w:type="dxa"/>
            <w:vAlign w:val="top"/>
          </w:tcPr>
          <w:p w14:paraId="64E4B6D7">
            <w:pPr>
              <w:rPr>
                <w:rFonts w:hint="eastAsia" w:ascii="宋体" w:hAnsi="宋体" w:eastAsia="宋体" w:cs="宋体"/>
                <w:color w:val="auto"/>
                <w:sz w:val="21"/>
                <w:highlight w:val="none"/>
              </w:rPr>
            </w:pPr>
          </w:p>
        </w:tc>
        <w:tc>
          <w:tcPr>
            <w:tcW w:w="1781" w:type="dxa"/>
            <w:vAlign w:val="top"/>
          </w:tcPr>
          <w:p w14:paraId="692BFFFF">
            <w:pPr>
              <w:rPr>
                <w:rFonts w:hint="eastAsia" w:ascii="宋体" w:hAnsi="宋体" w:eastAsia="宋体" w:cs="宋体"/>
                <w:color w:val="auto"/>
                <w:sz w:val="21"/>
                <w:highlight w:val="none"/>
              </w:rPr>
            </w:pPr>
          </w:p>
        </w:tc>
      </w:tr>
      <w:tr w14:paraId="4ADE67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atLeast"/>
        </w:trPr>
        <w:tc>
          <w:tcPr>
            <w:tcW w:w="1045" w:type="dxa"/>
            <w:vAlign w:val="top"/>
          </w:tcPr>
          <w:p w14:paraId="29640279">
            <w:pPr>
              <w:rPr>
                <w:rFonts w:hint="eastAsia" w:ascii="宋体" w:hAnsi="宋体" w:eastAsia="宋体" w:cs="宋体"/>
                <w:color w:val="auto"/>
                <w:sz w:val="21"/>
                <w:highlight w:val="none"/>
              </w:rPr>
            </w:pPr>
          </w:p>
        </w:tc>
        <w:tc>
          <w:tcPr>
            <w:tcW w:w="992" w:type="dxa"/>
            <w:vAlign w:val="top"/>
          </w:tcPr>
          <w:p w14:paraId="05AAC2CC">
            <w:pPr>
              <w:rPr>
                <w:rFonts w:hint="eastAsia" w:ascii="宋体" w:hAnsi="宋体" w:eastAsia="宋体" w:cs="宋体"/>
                <w:color w:val="auto"/>
                <w:sz w:val="21"/>
                <w:highlight w:val="none"/>
              </w:rPr>
            </w:pPr>
          </w:p>
        </w:tc>
        <w:tc>
          <w:tcPr>
            <w:tcW w:w="1383" w:type="dxa"/>
            <w:vAlign w:val="top"/>
          </w:tcPr>
          <w:p w14:paraId="6ADB9FAF">
            <w:pPr>
              <w:rPr>
                <w:rFonts w:hint="eastAsia" w:ascii="宋体" w:hAnsi="宋体" w:eastAsia="宋体" w:cs="宋体"/>
                <w:color w:val="auto"/>
                <w:sz w:val="21"/>
                <w:highlight w:val="none"/>
              </w:rPr>
            </w:pPr>
          </w:p>
        </w:tc>
        <w:tc>
          <w:tcPr>
            <w:tcW w:w="1224" w:type="dxa"/>
            <w:vAlign w:val="top"/>
          </w:tcPr>
          <w:p w14:paraId="2913F85C">
            <w:pPr>
              <w:rPr>
                <w:rFonts w:hint="eastAsia" w:ascii="宋体" w:hAnsi="宋体" w:eastAsia="宋体" w:cs="宋体"/>
                <w:color w:val="auto"/>
                <w:sz w:val="21"/>
                <w:highlight w:val="none"/>
              </w:rPr>
            </w:pPr>
          </w:p>
        </w:tc>
        <w:tc>
          <w:tcPr>
            <w:tcW w:w="2363" w:type="dxa"/>
            <w:vAlign w:val="top"/>
          </w:tcPr>
          <w:p w14:paraId="1CFF5511">
            <w:pPr>
              <w:rPr>
                <w:rFonts w:hint="eastAsia" w:ascii="宋体" w:hAnsi="宋体" w:eastAsia="宋体" w:cs="宋体"/>
                <w:color w:val="auto"/>
                <w:sz w:val="21"/>
                <w:highlight w:val="none"/>
              </w:rPr>
            </w:pPr>
          </w:p>
        </w:tc>
        <w:tc>
          <w:tcPr>
            <w:tcW w:w="1781" w:type="dxa"/>
            <w:vAlign w:val="top"/>
          </w:tcPr>
          <w:p w14:paraId="060E01F3">
            <w:pPr>
              <w:rPr>
                <w:rFonts w:hint="eastAsia" w:ascii="宋体" w:hAnsi="宋体" w:eastAsia="宋体" w:cs="宋体"/>
                <w:color w:val="auto"/>
                <w:sz w:val="21"/>
                <w:highlight w:val="none"/>
              </w:rPr>
            </w:pPr>
          </w:p>
        </w:tc>
      </w:tr>
      <w:tr w14:paraId="04FFBF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5" w:hRule="atLeast"/>
        </w:trPr>
        <w:tc>
          <w:tcPr>
            <w:tcW w:w="1045" w:type="dxa"/>
            <w:vAlign w:val="top"/>
          </w:tcPr>
          <w:p w14:paraId="617551F3">
            <w:pPr>
              <w:rPr>
                <w:rFonts w:hint="eastAsia" w:ascii="宋体" w:hAnsi="宋体" w:eastAsia="宋体" w:cs="宋体"/>
                <w:color w:val="auto"/>
                <w:sz w:val="21"/>
                <w:highlight w:val="none"/>
              </w:rPr>
            </w:pPr>
          </w:p>
        </w:tc>
        <w:tc>
          <w:tcPr>
            <w:tcW w:w="992" w:type="dxa"/>
            <w:vAlign w:val="top"/>
          </w:tcPr>
          <w:p w14:paraId="54BF6EDD">
            <w:pPr>
              <w:rPr>
                <w:rFonts w:hint="eastAsia" w:ascii="宋体" w:hAnsi="宋体" w:eastAsia="宋体" w:cs="宋体"/>
                <w:color w:val="auto"/>
                <w:sz w:val="21"/>
                <w:highlight w:val="none"/>
              </w:rPr>
            </w:pPr>
          </w:p>
        </w:tc>
        <w:tc>
          <w:tcPr>
            <w:tcW w:w="1383" w:type="dxa"/>
            <w:vAlign w:val="top"/>
          </w:tcPr>
          <w:p w14:paraId="0BB38A5B">
            <w:pPr>
              <w:rPr>
                <w:rFonts w:hint="eastAsia" w:ascii="宋体" w:hAnsi="宋体" w:eastAsia="宋体" w:cs="宋体"/>
                <w:color w:val="auto"/>
                <w:sz w:val="21"/>
                <w:highlight w:val="none"/>
              </w:rPr>
            </w:pPr>
          </w:p>
        </w:tc>
        <w:tc>
          <w:tcPr>
            <w:tcW w:w="1224" w:type="dxa"/>
            <w:vAlign w:val="top"/>
          </w:tcPr>
          <w:p w14:paraId="543A671B">
            <w:pPr>
              <w:rPr>
                <w:rFonts w:hint="eastAsia" w:ascii="宋体" w:hAnsi="宋体" w:eastAsia="宋体" w:cs="宋体"/>
                <w:color w:val="auto"/>
                <w:sz w:val="21"/>
                <w:highlight w:val="none"/>
              </w:rPr>
            </w:pPr>
          </w:p>
        </w:tc>
        <w:tc>
          <w:tcPr>
            <w:tcW w:w="2363" w:type="dxa"/>
            <w:vAlign w:val="top"/>
          </w:tcPr>
          <w:p w14:paraId="5D3D895F">
            <w:pPr>
              <w:rPr>
                <w:rFonts w:hint="eastAsia" w:ascii="宋体" w:hAnsi="宋体" w:eastAsia="宋体" w:cs="宋体"/>
                <w:color w:val="auto"/>
                <w:sz w:val="21"/>
                <w:highlight w:val="none"/>
              </w:rPr>
            </w:pPr>
          </w:p>
        </w:tc>
        <w:tc>
          <w:tcPr>
            <w:tcW w:w="1781" w:type="dxa"/>
            <w:vAlign w:val="top"/>
          </w:tcPr>
          <w:p w14:paraId="544E301B">
            <w:pPr>
              <w:rPr>
                <w:rFonts w:hint="eastAsia" w:ascii="宋体" w:hAnsi="宋体" w:eastAsia="宋体" w:cs="宋体"/>
                <w:color w:val="auto"/>
                <w:sz w:val="21"/>
                <w:highlight w:val="none"/>
              </w:rPr>
            </w:pPr>
          </w:p>
        </w:tc>
      </w:tr>
      <w:tr w14:paraId="252F9F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3" w:hRule="atLeast"/>
        </w:trPr>
        <w:tc>
          <w:tcPr>
            <w:tcW w:w="1045" w:type="dxa"/>
            <w:vAlign w:val="top"/>
          </w:tcPr>
          <w:p w14:paraId="303C2C1C">
            <w:pPr>
              <w:rPr>
                <w:rFonts w:hint="eastAsia" w:ascii="宋体" w:hAnsi="宋体" w:eastAsia="宋体" w:cs="宋体"/>
                <w:color w:val="auto"/>
                <w:sz w:val="21"/>
                <w:highlight w:val="none"/>
              </w:rPr>
            </w:pPr>
          </w:p>
        </w:tc>
        <w:tc>
          <w:tcPr>
            <w:tcW w:w="992" w:type="dxa"/>
            <w:vAlign w:val="top"/>
          </w:tcPr>
          <w:p w14:paraId="01854F79">
            <w:pPr>
              <w:rPr>
                <w:rFonts w:hint="eastAsia" w:ascii="宋体" w:hAnsi="宋体" w:eastAsia="宋体" w:cs="宋体"/>
                <w:color w:val="auto"/>
                <w:sz w:val="21"/>
                <w:highlight w:val="none"/>
              </w:rPr>
            </w:pPr>
          </w:p>
        </w:tc>
        <w:tc>
          <w:tcPr>
            <w:tcW w:w="1383" w:type="dxa"/>
            <w:vAlign w:val="top"/>
          </w:tcPr>
          <w:p w14:paraId="58FCEFB0">
            <w:pPr>
              <w:rPr>
                <w:rFonts w:hint="eastAsia" w:ascii="宋体" w:hAnsi="宋体" w:eastAsia="宋体" w:cs="宋体"/>
                <w:color w:val="auto"/>
                <w:sz w:val="21"/>
                <w:highlight w:val="none"/>
              </w:rPr>
            </w:pPr>
          </w:p>
        </w:tc>
        <w:tc>
          <w:tcPr>
            <w:tcW w:w="1224" w:type="dxa"/>
            <w:vAlign w:val="top"/>
          </w:tcPr>
          <w:p w14:paraId="230A1F30">
            <w:pPr>
              <w:rPr>
                <w:rFonts w:hint="eastAsia" w:ascii="宋体" w:hAnsi="宋体" w:eastAsia="宋体" w:cs="宋体"/>
                <w:color w:val="auto"/>
                <w:sz w:val="21"/>
                <w:highlight w:val="none"/>
              </w:rPr>
            </w:pPr>
          </w:p>
        </w:tc>
        <w:tc>
          <w:tcPr>
            <w:tcW w:w="2363" w:type="dxa"/>
            <w:vAlign w:val="top"/>
          </w:tcPr>
          <w:p w14:paraId="6DA8A5AF">
            <w:pPr>
              <w:rPr>
                <w:rFonts w:hint="eastAsia" w:ascii="宋体" w:hAnsi="宋体" w:eastAsia="宋体" w:cs="宋体"/>
                <w:color w:val="auto"/>
                <w:sz w:val="21"/>
                <w:highlight w:val="none"/>
              </w:rPr>
            </w:pPr>
          </w:p>
        </w:tc>
        <w:tc>
          <w:tcPr>
            <w:tcW w:w="1781" w:type="dxa"/>
            <w:vAlign w:val="top"/>
          </w:tcPr>
          <w:p w14:paraId="2817D0C3">
            <w:pPr>
              <w:rPr>
                <w:rFonts w:hint="eastAsia" w:ascii="宋体" w:hAnsi="宋体" w:eastAsia="宋体" w:cs="宋体"/>
                <w:color w:val="auto"/>
                <w:sz w:val="21"/>
                <w:highlight w:val="none"/>
              </w:rPr>
            </w:pPr>
          </w:p>
        </w:tc>
      </w:tr>
      <w:tr w14:paraId="703D96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1045" w:type="dxa"/>
            <w:vAlign w:val="top"/>
          </w:tcPr>
          <w:p w14:paraId="612D5783">
            <w:pPr>
              <w:rPr>
                <w:rFonts w:hint="eastAsia" w:ascii="宋体" w:hAnsi="宋体" w:eastAsia="宋体" w:cs="宋体"/>
                <w:color w:val="auto"/>
                <w:sz w:val="21"/>
                <w:highlight w:val="none"/>
              </w:rPr>
            </w:pPr>
          </w:p>
        </w:tc>
        <w:tc>
          <w:tcPr>
            <w:tcW w:w="992" w:type="dxa"/>
            <w:vAlign w:val="top"/>
          </w:tcPr>
          <w:p w14:paraId="40D701C2">
            <w:pPr>
              <w:rPr>
                <w:rFonts w:hint="eastAsia" w:ascii="宋体" w:hAnsi="宋体" w:eastAsia="宋体" w:cs="宋体"/>
                <w:color w:val="auto"/>
                <w:sz w:val="21"/>
                <w:highlight w:val="none"/>
              </w:rPr>
            </w:pPr>
          </w:p>
        </w:tc>
        <w:tc>
          <w:tcPr>
            <w:tcW w:w="1383" w:type="dxa"/>
            <w:vAlign w:val="top"/>
          </w:tcPr>
          <w:p w14:paraId="01BBC4D4">
            <w:pPr>
              <w:rPr>
                <w:rFonts w:hint="eastAsia" w:ascii="宋体" w:hAnsi="宋体" w:eastAsia="宋体" w:cs="宋体"/>
                <w:color w:val="auto"/>
                <w:sz w:val="21"/>
                <w:highlight w:val="none"/>
              </w:rPr>
            </w:pPr>
          </w:p>
        </w:tc>
        <w:tc>
          <w:tcPr>
            <w:tcW w:w="1224" w:type="dxa"/>
            <w:vAlign w:val="top"/>
          </w:tcPr>
          <w:p w14:paraId="30CC62ED">
            <w:pPr>
              <w:rPr>
                <w:rFonts w:hint="eastAsia" w:ascii="宋体" w:hAnsi="宋体" w:eastAsia="宋体" w:cs="宋体"/>
                <w:color w:val="auto"/>
                <w:sz w:val="21"/>
                <w:highlight w:val="none"/>
              </w:rPr>
            </w:pPr>
          </w:p>
        </w:tc>
        <w:tc>
          <w:tcPr>
            <w:tcW w:w="2363" w:type="dxa"/>
            <w:vAlign w:val="top"/>
          </w:tcPr>
          <w:p w14:paraId="43318D13">
            <w:pPr>
              <w:rPr>
                <w:rFonts w:hint="eastAsia" w:ascii="宋体" w:hAnsi="宋体" w:eastAsia="宋体" w:cs="宋体"/>
                <w:color w:val="auto"/>
                <w:sz w:val="21"/>
                <w:highlight w:val="none"/>
              </w:rPr>
            </w:pPr>
          </w:p>
        </w:tc>
        <w:tc>
          <w:tcPr>
            <w:tcW w:w="1781" w:type="dxa"/>
            <w:vAlign w:val="top"/>
          </w:tcPr>
          <w:p w14:paraId="2319B526">
            <w:pPr>
              <w:rPr>
                <w:rFonts w:hint="eastAsia" w:ascii="宋体" w:hAnsi="宋体" w:eastAsia="宋体" w:cs="宋体"/>
                <w:color w:val="auto"/>
                <w:sz w:val="21"/>
                <w:highlight w:val="none"/>
              </w:rPr>
            </w:pPr>
          </w:p>
        </w:tc>
      </w:tr>
      <w:tr w14:paraId="0A038D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3" w:hRule="atLeast"/>
        </w:trPr>
        <w:tc>
          <w:tcPr>
            <w:tcW w:w="1045" w:type="dxa"/>
            <w:vAlign w:val="top"/>
          </w:tcPr>
          <w:p w14:paraId="7A67AC1F">
            <w:pPr>
              <w:rPr>
                <w:rFonts w:hint="eastAsia" w:ascii="宋体" w:hAnsi="宋体" w:eastAsia="宋体" w:cs="宋体"/>
                <w:color w:val="auto"/>
                <w:sz w:val="21"/>
                <w:highlight w:val="none"/>
              </w:rPr>
            </w:pPr>
          </w:p>
        </w:tc>
        <w:tc>
          <w:tcPr>
            <w:tcW w:w="992" w:type="dxa"/>
            <w:vAlign w:val="top"/>
          </w:tcPr>
          <w:p w14:paraId="098AC775">
            <w:pPr>
              <w:rPr>
                <w:rFonts w:hint="eastAsia" w:ascii="宋体" w:hAnsi="宋体" w:eastAsia="宋体" w:cs="宋体"/>
                <w:color w:val="auto"/>
                <w:sz w:val="21"/>
                <w:highlight w:val="none"/>
              </w:rPr>
            </w:pPr>
          </w:p>
        </w:tc>
        <w:tc>
          <w:tcPr>
            <w:tcW w:w="1383" w:type="dxa"/>
            <w:vAlign w:val="top"/>
          </w:tcPr>
          <w:p w14:paraId="63016B8B">
            <w:pPr>
              <w:rPr>
                <w:rFonts w:hint="eastAsia" w:ascii="宋体" w:hAnsi="宋体" w:eastAsia="宋体" w:cs="宋体"/>
                <w:color w:val="auto"/>
                <w:sz w:val="21"/>
                <w:highlight w:val="none"/>
              </w:rPr>
            </w:pPr>
          </w:p>
        </w:tc>
        <w:tc>
          <w:tcPr>
            <w:tcW w:w="1224" w:type="dxa"/>
            <w:vAlign w:val="top"/>
          </w:tcPr>
          <w:p w14:paraId="252EA1A3">
            <w:pPr>
              <w:rPr>
                <w:rFonts w:hint="eastAsia" w:ascii="宋体" w:hAnsi="宋体" w:eastAsia="宋体" w:cs="宋体"/>
                <w:color w:val="auto"/>
                <w:sz w:val="21"/>
                <w:highlight w:val="none"/>
              </w:rPr>
            </w:pPr>
          </w:p>
        </w:tc>
        <w:tc>
          <w:tcPr>
            <w:tcW w:w="2363" w:type="dxa"/>
            <w:vAlign w:val="top"/>
          </w:tcPr>
          <w:p w14:paraId="3948AF84">
            <w:pPr>
              <w:rPr>
                <w:rFonts w:hint="eastAsia" w:ascii="宋体" w:hAnsi="宋体" w:eastAsia="宋体" w:cs="宋体"/>
                <w:color w:val="auto"/>
                <w:sz w:val="21"/>
                <w:highlight w:val="none"/>
              </w:rPr>
            </w:pPr>
          </w:p>
        </w:tc>
        <w:tc>
          <w:tcPr>
            <w:tcW w:w="1781" w:type="dxa"/>
            <w:vAlign w:val="top"/>
          </w:tcPr>
          <w:p w14:paraId="7DC2ABD6">
            <w:pPr>
              <w:rPr>
                <w:rFonts w:hint="eastAsia" w:ascii="宋体" w:hAnsi="宋体" w:eastAsia="宋体" w:cs="宋体"/>
                <w:color w:val="auto"/>
                <w:sz w:val="21"/>
                <w:highlight w:val="none"/>
              </w:rPr>
            </w:pPr>
          </w:p>
        </w:tc>
      </w:tr>
      <w:tr w14:paraId="65915F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atLeast"/>
        </w:trPr>
        <w:tc>
          <w:tcPr>
            <w:tcW w:w="1045" w:type="dxa"/>
            <w:vAlign w:val="top"/>
          </w:tcPr>
          <w:p w14:paraId="327E902C">
            <w:pPr>
              <w:rPr>
                <w:rFonts w:hint="eastAsia" w:ascii="宋体" w:hAnsi="宋体" w:eastAsia="宋体" w:cs="宋体"/>
                <w:color w:val="auto"/>
                <w:sz w:val="21"/>
                <w:highlight w:val="none"/>
              </w:rPr>
            </w:pPr>
          </w:p>
        </w:tc>
        <w:tc>
          <w:tcPr>
            <w:tcW w:w="992" w:type="dxa"/>
            <w:vAlign w:val="top"/>
          </w:tcPr>
          <w:p w14:paraId="4BCF782F">
            <w:pPr>
              <w:rPr>
                <w:rFonts w:hint="eastAsia" w:ascii="宋体" w:hAnsi="宋体" w:eastAsia="宋体" w:cs="宋体"/>
                <w:color w:val="auto"/>
                <w:sz w:val="21"/>
                <w:highlight w:val="none"/>
              </w:rPr>
            </w:pPr>
          </w:p>
        </w:tc>
        <w:tc>
          <w:tcPr>
            <w:tcW w:w="1383" w:type="dxa"/>
            <w:vAlign w:val="top"/>
          </w:tcPr>
          <w:p w14:paraId="252721F2">
            <w:pPr>
              <w:rPr>
                <w:rFonts w:hint="eastAsia" w:ascii="宋体" w:hAnsi="宋体" w:eastAsia="宋体" w:cs="宋体"/>
                <w:color w:val="auto"/>
                <w:sz w:val="21"/>
                <w:highlight w:val="none"/>
              </w:rPr>
            </w:pPr>
          </w:p>
        </w:tc>
        <w:tc>
          <w:tcPr>
            <w:tcW w:w="1224" w:type="dxa"/>
            <w:vAlign w:val="top"/>
          </w:tcPr>
          <w:p w14:paraId="1DD37F15">
            <w:pPr>
              <w:rPr>
                <w:rFonts w:hint="eastAsia" w:ascii="宋体" w:hAnsi="宋体" w:eastAsia="宋体" w:cs="宋体"/>
                <w:color w:val="auto"/>
                <w:sz w:val="21"/>
                <w:highlight w:val="none"/>
              </w:rPr>
            </w:pPr>
          </w:p>
        </w:tc>
        <w:tc>
          <w:tcPr>
            <w:tcW w:w="2363" w:type="dxa"/>
            <w:vAlign w:val="top"/>
          </w:tcPr>
          <w:p w14:paraId="7913691A">
            <w:pPr>
              <w:rPr>
                <w:rFonts w:hint="eastAsia" w:ascii="宋体" w:hAnsi="宋体" w:eastAsia="宋体" w:cs="宋体"/>
                <w:color w:val="auto"/>
                <w:sz w:val="21"/>
                <w:highlight w:val="none"/>
              </w:rPr>
            </w:pPr>
          </w:p>
        </w:tc>
        <w:tc>
          <w:tcPr>
            <w:tcW w:w="1781" w:type="dxa"/>
            <w:vAlign w:val="top"/>
          </w:tcPr>
          <w:p w14:paraId="667960D0">
            <w:pPr>
              <w:rPr>
                <w:rFonts w:hint="eastAsia" w:ascii="宋体" w:hAnsi="宋体" w:eastAsia="宋体" w:cs="宋体"/>
                <w:color w:val="auto"/>
                <w:sz w:val="21"/>
                <w:highlight w:val="none"/>
              </w:rPr>
            </w:pPr>
          </w:p>
        </w:tc>
      </w:tr>
      <w:tr w14:paraId="34A80B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atLeast"/>
        </w:trPr>
        <w:tc>
          <w:tcPr>
            <w:tcW w:w="1045" w:type="dxa"/>
            <w:vAlign w:val="top"/>
          </w:tcPr>
          <w:p w14:paraId="5965517F">
            <w:pPr>
              <w:rPr>
                <w:rFonts w:hint="eastAsia" w:ascii="宋体" w:hAnsi="宋体" w:eastAsia="宋体" w:cs="宋体"/>
                <w:color w:val="auto"/>
                <w:sz w:val="21"/>
                <w:highlight w:val="none"/>
              </w:rPr>
            </w:pPr>
          </w:p>
        </w:tc>
        <w:tc>
          <w:tcPr>
            <w:tcW w:w="992" w:type="dxa"/>
            <w:vAlign w:val="top"/>
          </w:tcPr>
          <w:p w14:paraId="2D27410A">
            <w:pPr>
              <w:rPr>
                <w:rFonts w:hint="eastAsia" w:ascii="宋体" w:hAnsi="宋体" w:eastAsia="宋体" w:cs="宋体"/>
                <w:color w:val="auto"/>
                <w:sz w:val="21"/>
                <w:highlight w:val="none"/>
              </w:rPr>
            </w:pPr>
          </w:p>
        </w:tc>
        <w:tc>
          <w:tcPr>
            <w:tcW w:w="1383" w:type="dxa"/>
            <w:vAlign w:val="top"/>
          </w:tcPr>
          <w:p w14:paraId="2E755955">
            <w:pPr>
              <w:rPr>
                <w:rFonts w:hint="eastAsia" w:ascii="宋体" w:hAnsi="宋体" w:eastAsia="宋体" w:cs="宋体"/>
                <w:color w:val="auto"/>
                <w:sz w:val="21"/>
                <w:highlight w:val="none"/>
              </w:rPr>
            </w:pPr>
          </w:p>
        </w:tc>
        <w:tc>
          <w:tcPr>
            <w:tcW w:w="1224" w:type="dxa"/>
            <w:vAlign w:val="top"/>
          </w:tcPr>
          <w:p w14:paraId="017F966D">
            <w:pPr>
              <w:rPr>
                <w:rFonts w:hint="eastAsia" w:ascii="宋体" w:hAnsi="宋体" w:eastAsia="宋体" w:cs="宋体"/>
                <w:color w:val="auto"/>
                <w:sz w:val="21"/>
                <w:highlight w:val="none"/>
              </w:rPr>
            </w:pPr>
          </w:p>
        </w:tc>
        <w:tc>
          <w:tcPr>
            <w:tcW w:w="2363" w:type="dxa"/>
            <w:vAlign w:val="top"/>
          </w:tcPr>
          <w:p w14:paraId="099727B2">
            <w:pPr>
              <w:rPr>
                <w:rFonts w:hint="eastAsia" w:ascii="宋体" w:hAnsi="宋体" w:eastAsia="宋体" w:cs="宋体"/>
                <w:color w:val="auto"/>
                <w:sz w:val="21"/>
                <w:highlight w:val="none"/>
              </w:rPr>
            </w:pPr>
          </w:p>
        </w:tc>
        <w:tc>
          <w:tcPr>
            <w:tcW w:w="1781" w:type="dxa"/>
            <w:vAlign w:val="top"/>
          </w:tcPr>
          <w:p w14:paraId="39486B07">
            <w:pPr>
              <w:rPr>
                <w:rFonts w:hint="eastAsia" w:ascii="宋体" w:hAnsi="宋体" w:eastAsia="宋体" w:cs="宋体"/>
                <w:color w:val="auto"/>
                <w:sz w:val="21"/>
                <w:highlight w:val="none"/>
              </w:rPr>
            </w:pPr>
          </w:p>
        </w:tc>
      </w:tr>
      <w:tr w14:paraId="1FF2D6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5" w:hRule="atLeast"/>
        </w:trPr>
        <w:tc>
          <w:tcPr>
            <w:tcW w:w="1045" w:type="dxa"/>
            <w:vAlign w:val="top"/>
          </w:tcPr>
          <w:p w14:paraId="70BFB36C">
            <w:pPr>
              <w:rPr>
                <w:rFonts w:hint="eastAsia" w:ascii="宋体" w:hAnsi="宋体" w:eastAsia="宋体" w:cs="宋体"/>
                <w:color w:val="auto"/>
                <w:sz w:val="21"/>
                <w:highlight w:val="none"/>
              </w:rPr>
            </w:pPr>
          </w:p>
        </w:tc>
        <w:tc>
          <w:tcPr>
            <w:tcW w:w="992" w:type="dxa"/>
            <w:vAlign w:val="top"/>
          </w:tcPr>
          <w:p w14:paraId="6D1454DC">
            <w:pPr>
              <w:rPr>
                <w:rFonts w:hint="eastAsia" w:ascii="宋体" w:hAnsi="宋体" w:eastAsia="宋体" w:cs="宋体"/>
                <w:color w:val="auto"/>
                <w:sz w:val="21"/>
                <w:highlight w:val="none"/>
              </w:rPr>
            </w:pPr>
          </w:p>
        </w:tc>
        <w:tc>
          <w:tcPr>
            <w:tcW w:w="1383" w:type="dxa"/>
            <w:vAlign w:val="top"/>
          </w:tcPr>
          <w:p w14:paraId="2D7888C9">
            <w:pPr>
              <w:rPr>
                <w:rFonts w:hint="eastAsia" w:ascii="宋体" w:hAnsi="宋体" w:eastAsia="宋体" w:cs="宋体"/>
                <w:color w:val="auto"/>
                <w:sz w:val="21"/>
                <w:highlight w:val="none"/>
              </w:rPr>
            </w:pPr>
          </w:p>
        </w:tc>
        <w:tc>
          <w:tcPr>
            <w:tcW w:w="1224" w:type="dxa"/>
            <w:vAlign w:val="top"/>
          </w:tcPr>
          <w:p w14:paraId="31E609CD">
            <w:pPr>
              <w:rPr>
                <w:rFonts w:hint="eastAsia" w:ascii="宋体" w:hAnsi="宋体" w:eastAsia="宋体" w:cs="宋体"/>
                <w:color w:val="auto"/>
                <w:sz w:val="21"/>
                <w:highlight w:val="none"/>
              </w:rPr>
            </w:pPr>
          </w:p>
        </w:tc>
        <w:tc>
          <w:tcPr>
            <w:tcW w:w="2363" w:type="dxa"/>
            <w:vAlign w:val="top"/>
          </w:tcPr>
          <w:p w14:paraId="6E80B5FD">
            <w:pPr>
              <w:rPr>
                <w:rFonts w:hint="eastAsia" w:ascii="宋体" w:hAnsi="宋体" w:eastAsia="宋体" w:cs="宋体"/>
                <w:color w:val="auto"/>
                <w:sz w:val="21"/>
                <w:highlight w:val="none"/>
              </w:rPr>
            </w:pPr>
          </w:p>
        </w:tc>
        <w:tc>
          <w:tcPr>
            <w:tcW w:w="1781" w:type="dxa"/>
            <w:vAlign w:val="top"/>
          </w:tcPr>
          <w:p w14:paraId="06821124">
            <w:pPr>
              <w:rPr>
                <w:rFonts w:hint="eastAsia" w:ascii="宋体" w:hAnsi="宋体" w:eastAsia="宋体" w:cs="宋体"/>
                <w:color w:val="auto"/>
                <w:sz w:val="21"/>
                <w:highlight w:val="none"/>
              </w:rPr>
            </w:pPr>
          </w:p>
        </w:tc>
      </w:tr>
      <w:tr w14:paraId="2434C7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atLeast"/>
        </w:trPr>
        <w:tc>
          <w:tcPr>
            <w:tcW w:w="1045" w:type="dxa"/>
            <w:vAlign w:val="top"/>
          </w:tcPr>
          <w:p w14:paraId="5FDFA389">
            <w:pPr>
              <w:rPr>
                <w:rFonts w:hint="eastAsia" w:ascii="宋体" w:hAnsi="宋体" w:eastAsia="宋体" w:cs="宋体"/>
                <w:color w:val="auto"/>
                <w:sz w:val="21"/>
                <w:highlight w:val="none"/>
              </w:rPr>
            </w:pPr>
          </w:p>
        </w:tc>
        <w:tc>
          <w:tcPr>
            <w:tcW w:w="992" w:type="dxa"/>
            <w:vAlign w:val="top"/>
          </w:tcPr>
          <w:p w14:paraId="00B8E56E">
            <w:pPr>
              <w:rPr>
                <w:rFonts w:hint="eastAsia" w:ascii="宋体" w:hAnsi="宋体" w:eastAsia="宋体" w:cs="宋体"/>
                <w:color w:val="auto"/>
                <w:sz w:val="21"/>
                <w:highlight w:val="none"/>
              </w:rPr>
            </w:pPr>
          </w:p>
        </w:tc>
        <w:tc>
          <w:tcPr>
            <w:tcW w:w="1383" w:type="dxa"/>
            <w:vAlign w:val="top"/>
          </w:tcPr>
          <w:p w14:paraId="50367A59">
            <w:pPr>
              <w:rPr>
                <w:rFonts w:hint="eastAsia" w:ascii="宋体" w:hAnsi="宋体" w:eastAsia="宋体" w:cs="宋体"/>
                <w:color w:val="auto"/>
                <w:sz w:val="21"/>
                <w:highlight w:val="none"/>
              </w:rPr>
            </w:pPr>
          </w:p>
        </w:tc>
        <w:tc>
          <w:tcPr>
            <w:tcW w:w="1224" w:type="dxa"/>
            <w:vAlign w:val="top"/>
          </w:tcPr>
          <w:p w14:paraId="18EEF567">
            <w:pPr>
              <w:rPr>
                <w:rFonts w:hint="eastAsia" w:ascii="宋体" w:hAnsi="宋体" w:eastAsia="宋体" w:cs="宋体"/>
                <w:color w:val="auto"/>
                <w:sz w:val="21"/>
                <w:highlight w:val="none"/>
              </w:rPr>
            </w:pPr>
          </w:p>
        </w:tc>
        <w:tc>
          <w:tcPr>
            <w:tcW w:w="2363" w:type="dxa"/>
            <w:vAlign w:val="top"/>
          </w:tcPr>
          <w:p w14:paraId="2039443A">
            <w:pPr>
              <w:rPr>
                <w:rFonts w:hint="eastAsia" w:ascii="宋体" w:hAnsi="宋体" w:eastAsia="宋体" w:cs="宋体"/>
                <w:color w:val="auto"/>
                <w:sz w:val="21"/>
                <w:highlight w:val="none"/>
              </w:rPr>
            </w:pPr>
          </w:p>
        </w:tc>
        <w:tc>
          <w:tcPr>
            <w:tcW w:w="1781" w:type="dxa"/>
            <w:vAlign w:val="top"/>
          </w:tcPr>
          <w:p w14:paraId="30650173">
            <w:pPr>
              <w:rPr>
                <w:rFonts w:hint="eastAsia" w:ascii="宋体" w:hAnsi="宋体" w:eastAsia="宋体" w:cs="宋体"/>
                <w:color w:val="auto"/>
                <w:sz w:val="21"/>
                <w:highlight w:val="none"/>
              </w:rPr>
            </w:pPr>
          </w:p>
        </w:tc>
      </w:tr>
      <w:tr w14:paraId="4332A8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1" w:hRule="atLeast"/>
        </w:trPr>
        <w:tc>
          <w:tcPr>
            <w:tcW w:w="1045" w:type="dxa"/>
            <w:vAlign w:val="top"/>
          </w:tcPr>
          <w:p w14:paraId="525C57EE">
            <w:pPr>
              <w:rPr>
                <w:rFonts w:hint="eastAsia" w:ascii="宋体" w:hAnsi="宋体" w:eastAsia="宋体" w:cs="宋体"/>
                <w:color w:val="auto"/>
                <w:sz w:val="21"/>
                <w:highlight w:val="none"/>
              </w:rPr>
            </w:pPr>
          </w:p>
        </w:tc>
        <w:tc>
          <w:tcPr>
            <w:tcW w:w="992" w:type="dxa"/>
            <w:vAlign w:val="top"/>
          </w:tcPr>
          <w:p w14:paraId="4BF48816">
            <w:pPr>
              <w:rPr>
                <w:rFonts w:hint="eastAsia" w:ascii="宋体" w:hAnsi="宋体" w:eastAsia="宋体" w:cs="宋体"/>
                <w:color w:val="auto"/>
                <w:sz w:val="21"/>
                <w:highlight w:val="none"/>
              </w:rPr>
            </w:pPr>
          </w:p>
        </w:tc>
        <w:tc>
          <w:tcPr>
            <w:tcW w:w="1383" w:type="dxa"/>
            <w:vAlign w:val="top"/>
          </w:tcPr>
          <w:p w14:paraId="4263E945">
            <w:pPr>
              <w:rPr>
                <w:rFonts w:hint="eastAsia" w:ascii="宋体" w:hAnsi="宋体" w:eastAsia="宋体" w:cs="宋体"/>
                <w:color w:val="auto"/>
                <w:sz w:val="21"/>
                <w:highlight w:val="none"/>
              </w:rPr>
            </w:pPr>
          </w:p>
        </w:tc>
        <w:tc>
          <w:tcPr>
            <w:tcW w:w="1224" w:type="dxa"/>
            <w:vAlign w:val="top"/>
          </w:tcPr>
          <w:p w14:paraId="6C5951F3">
            <w:pPr>
              <w:rPr>
                <w:rFonts w:hint="eastAsia" w:ascii="宋体" w:hAnsi="宋体" w:eastAsia="宋体" w:cs="宋体"/>
                <w:color w:val="auto"/>
                <w:sz w:val="21"/>
                <w:highlight w:val="none"/>
              </w:rPr>
            </w:pPr>
          </w:p>
        </w:tc>
        <w:tc>
          <w:tcPr>
            <w:tcW w:w="2363" w:type="dxa"/>
            <w:vAlign w:val="top"/>
          </w:tcPr>
          <w:p w14:paraId="62591497">
            <w:pPr>
              <w:rPr>
                <w:rFonts w:hint="eastAsia" w:ascii="宋体" w:hAnsi="宋体" w:eastAsia="宋体" w:cs="宋体"/>
                <w:color w:val="auto"/>
                <w:sz w:val="21"/>
                <w:highlight w:val="none"/>
              </w:rPr>
            </w:pPr>
          </w:p>
        </w:tc>
        <w:tc>
          <w:tcPr>
            <w:tcW w:w="1781" w:type="dxa"/>
            <w:vAlign w:val="top"/>
          </w:tcPr>
          <w:p w14:paraId="7B20FA1C">
            <w:pPr>
              <w:rPr>
                <w:rFonts w:hint="eastAsia" w:ascii="宋体" w:hAnsi="宋体" w:eastAsia="宋体" w:cs="宋体"/>
                <w:color w:val="auto"/>
                <w:sz w:val="21"/>
                <w:highlight w:val="none"/>
              </w:rPr>
            </w:pPr>
          </w:p>
        </w:tc>
      </w:tr>
    </w:tbl>
    <w:p w14:paraId="50003AB9">
      <w:pPr>
        <w:pStyle w:val="4"/>
        <w:rPr>
          <w:rFonts w:hint="eastAsia" w:ascii="宋体" w:hAnsi="宋体" w:eastAsia="宋体" w:cs="宋体"/>
          <w:color w:val="auto"/>
          <w:highlight w:val="none"/>
        </w:rPr>
      </w:pPr>
    </w:p>
    <w:p w14:paraId="400B60CB">
      <w:pPr>
        <w:rPr>
          <w:rFonts w:hint="eastAsia" w:ascii="宋体" w:hAnsi="宋体" w:eastAsia="宋体" w:cs="宋体"/>
          <w:color w:val="auto"/>
          <w:highlight w:val="none"/>
        </w:rPr>
        <w:sectPr>
          <w:headerReference r:id="rId261" w:type="default"/>
          <w:footerReference r:id="rId262" w:type="default"/>
          <w:pgSz w:w="11907" w:h="16840"/>
          <w:pgMar w:top="1182" w:right="1207" w:bottom="1014" w:left="1786" w:header="849" w:footer="852" w:gutter="0"/>
          <w:pgNumType w:fmt="decimal"/>
          <w:cols w:space="720" w:num="1"/>
        </w:sectPr>
      </w:pPr>
    </w:p>
    <w:p w14:paraId="3336D19D">
      <w:pPr>
        <w:pStyle w:val="4"/>
        <w:spacing w:line="270" w:lineRule="auto"/>
        <w:rPr>
          <w:rFonts w:hint="eastAsia" w:ascii="宋体" w:hAnsi="宋体" w:eastAsia="宋体" w:cs="宋体"/>
          <w:color w:val="auto"/>
          <w:highlight w:val="none"/>
        </w:rPr>
      </w:pPr>
    </w:p>
    <w:p w14:paraId="198625E3">
      <w:pPr>
        <w:pStyle w:val="4"/>
        <w:spacing w:line="270" w:lineRule="auto"/>
        <w:rPr>
          <w:rFonts w:hint="eastAsia" w:ascii="宋体" w:hAnsi="宋体" w:eastAsia="宋体" w:cs="宋体"/>
          <w:color w:val="auto"/>
          <w:highlight w:val="none"/>
        </w:rPr>
      </w:pPr>
    </w:p>
    <w:p w14:paraId="3CC5894E">
      <w:pPr>
        <w:spacing w:before="91" w:line="222" w:lineRule="auto"/>
        <w:ind w:left="3232"/>
        <w:outlineLvl w:val="1"/>
        <w:rPr>
          <w:rFonts w:hint="eastAsia" w:ascii="宋体" w:hAnsi="宋体" w:eastAsia="宋体" w:cs="宋体"/>
          <w:color w:val="auto"/>
          <w:sz w:val="28"/>
          <w:szCs w:val="28"/>
          <w:highlight w:val="none"/>
        </w:rPr>
      </w:pPr>
      <w:bookmarkStart w:id="920" w:name="_Toc3543"/>
      <w:bookmarkStart w:id="921" w:name="_Toc11121"/>
      <w:bookmarkStart w:id="922" w:name="_Toc27976"/>
      <w:bookmarkStart w:id="923" w:name="_Toc16567"/>
      <w:bookmarkStart w:id="924" w:name="_Toc9113"/>
      <w:r>
        <w:rPr>
          <w:rFonts w:hint="eastAsia" w:ascii="宋体" w:hAnsi="宋体" w:eastAsia="宋体" w:cs="宋体"/>
          <w:color w:val="auto"/>
          <w:spacing w:val="-3"/>
          <w:sz w:val="28"/>
          <w:szCs w:val="28"/>
          <w:highlight w:val="none"/>
        </w:rPr>
        <w:t>六、项目管理机构</w:t>
      </w:r>
      <w:bookmarkEnd w:id="920"/>
      <w:bookmarkEnd w:id="921"/>
      <w:bookmarkEnd w:id="922"/>
      <w:bookmarkEnd w:id="923"/>
      <w:bookmarkEnd w:id="924"/>
    </w:p>
    <w:p w14:paraId="5EACDB06">
      <w:pPr>
        <w:spacing w:before="5"/>
        <w:rPr>
          <w:rFonts w:hint="eastAsia" w:ascii="宋体" w:hAnsi="宋体" w:eastAsia="宋体" w:cs="宋体"/>
          <w:color w:val="auto"/>
          <w:highlight w:val="none"/>
        </w:rPr>
      </w:pPr>
    </w:p>
    <w:p w14:paraId="604945B2">
      <w:pPr>
        <w:spacing w:before="5"/>
        <w:rPr>
          <w:rFonts w:hint="eastAsia" w:ascii="宋体" w:hAnsi="宋体" w:eastAsia="宋体" w:cs="宋体"/>
          <w:color w:val="auto"/>
          <w:highlight w:val="none"/>
        </w:rPr>
      </w:pPr>
    </w:p>
    <w:p w14:paraId="761C9C82">
      <w:pPr>
        <w:spacing w:before="5"/>
        <w:rPr>
          <w:rFonts w:hint="eastAsia" w:ascii="宋体" w:hAnsi="宋体" w:eastAsia="宋体" w:cs="宋体"/>
          <w:color w:val="auto"/>
          <w:highlight w:val="none"/>
        </w:rPr>
      </w:pPr>
    </w:p>
    <w:tbl>
      <w:tblPr>
        <w:tblStyle w:val="24"/>
        <w:tblW w:w="8730" w:type="dxa"/>
        <w:tblInd w:w="2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30"/>
      </w:tblGrid>
      <w:tr w14:paraId="09819A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74" w:hRule="atLeast"/>
        </w:trPr>
        <w:tc>
          <w:tcPr>
            <w:tcW w:w="8730" w:type="dxa"/>
            <w:vAlign w:val="top"/>
          </w:tcPr>
          <w:p w14:paraId="5A391AA4">
            <w:pPr>
              <w:spacing w:line="246" w:lineRule="auto"/>
              <w:rPr>
                <w:rFonts w:hint="eastAsia" w:ascii="宋体" w:hAnsi="宋体" w:eastAsia="宋体" w:cs="宋体"/>
                <w:color w:val="auto"/>
                <w:sz w:val="21"/>
                <w:highlight w:val="none"/>
              </w:rPr>
            </w:pPr>
          </w:p>
          <w:p w14:paraId="5AB5F1D4">
            <w:pPr>
              <w:spacing w:line="246" w:lineRule="auto"/>
              <w:rPr>
                <w:rFonts w:hint="eastAsia" w:ascii="宋体" w:hAnsi="宋体" w:eastAsia="宋体" w:cs="宋体"/>
                <w:color w:val="auto"/>
                <w:sz w:val="21"/>
                <w:highlight w:val="none"/>
              </w:rPr>
            </w:pPr>
          </w:p>
          <w:p w14:paraId="300CDC6B">
            <w:pPr>
              <w:spacing w:line="247" w:lineRule="auto"/>
              <w:rPr>
                <w:rFonts w:hint="eastAsia" w:ascii="宋体" w:hAnsi="宋体" w:eastAsia="宋体" w:cs="宋体"/>
                <w:color w:val="auto"/>
                <w:sz w:val="21"/>
                <w:highlight w:val="none"/>
              </w:rPr>
            </w:pPr>
          </w:p>
          <w:p w14:paraId="08587EFA">
            <w:pPr>
              <w:pStyle w:val="25"/>
              <w:spacing w:before="72" w:line="219" w:lineRule="auto"/>
              <w:ind w:left="390"/>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拟为承包本标段工程设立的组织机构以框图方式表示。</w:t>
            </w:r>
          </w:p>
        </w:tc>
      </w:tr>
      <w:tr w14:paraId="5F278B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6" w:hRule="atLeast"/>
        </w:trPr>
        <w:tc>
          <w:tcPr>
            <w:tcW w:w="8730" w:type="dxa"/>
            <w:vAlign w:val="top"/>
          </w:tcPr>
          <w:p w14:paraId="6779EDF9">
            <w:pPr>
              <w:pStyle w:val="25"/>
              <w:spacing w:before="289" w:line="220" w:lineRule="auto"/>
              <w:ind w:left="392"/>
              <w:rPr>
                <w:rFonts w:hint="eastAsia" w:ascii="宋体" w:hAnsi="宋体" w:eastAsia="宋体" w:cs="宋体"/>
                <w:color w:val="auto"/>
                <w:sz w:val="22"/>
                <w:szCs w:val="22"/>
                <w:highlight w:val="none"/>
              </w:rPr>
            </w:pPr>
            <w:r>
              <w:rPr>
                <w:rFonts w:hint="eastAsia" w:ascii="宋体" w:hAnsi="宋体" w:eastAsia="宋体" w:cs="宋体"/>
                <w:color w:val="auto"/>
                <w:spacing w:val="-5"/>
                <w:sz w:val="22"/>
                <w:szCs w:val="22"/>
                <w:highlight w:val="none"/>
              </w:rPr>
              <w:t>说明</w:t>
            </w:r>
          </w:p>
        </w:tc>
      </w:tr>
    </w:tbl>
    <w:p w14:paraId="6670D956">
      <w:pPr>
        <w:pStyle w:val="4"/>
        <w:rPr>
          <w:rFonts w:hint="eastAsia" w:ascii="宋体" w:hAnsi="宋体" w:eastAsia="宋体" w:cs="宋体"/>
          <w:color w:val="auto"/>
          <w:highlight w:val="none"/>
        </w:rPr>
      </w:pPr>
    </w:p>
    <w:p w14:paraId="0773A069">
      <w:pPr>
        <w:rPr>
          <w:rFonts w:hint="eastAsia" w:ascii="宋体" w:hAnsi="宋体" w:eastAsia="宋体" w:cs="宋体"/>
          <w:color w:val="auto"/>
          <w:highlight w:val="none"/>
        </w:rPr>
        <w:sectPr>
          <w:headerReference r:id="rId263" w:type="default"/>
          <w:footerReference r:id="rId264" w:type="default"/>
          <w:pgSz w:w="11907" w:h="16840"/>
          <w:pgMar w:top="1182" w:right="1119" w:bottom="1014" w:left="1786" w:header="849" w:footer="852" w:gutter="0"/>
          <w:pgNumType w:fmt="decimal"/>
          <w:cols w:space="720" w:num="1"/>
        </w:sectPr>
      </w:pPr>
    </w:p>
    <w:p w14:paraId="0746F2D0">
      <w:pPr>
        <w:pStyle w:val="4"/>
        <w:spacing w:line="358" w:lineRule="auto"/>
        <w:rPr>
          <w:rFonts w:hint="eastAsia" w:ascii="宋体" w:hAnsi="宋体" w:eastAsia="宋体" w:cs="宋体"/>
          <w:color w:val="auto"/>
          <w:highlight w:val="none"/>
        </w:rPr>
      </w:pPr>
    </w:p>
    <w:p w14:paraId="00F56631">
      <w:pPr>
        <w:pStyle w:val="4"/>
        <w:spacing w:line="358" w:lineRule="auto"/>
        <w:rPr>
          <w:rFonts w:hint="eastAsia" w:ascii="宋体" w:hAnsi="宋体" w:eastAsia="宋体" w:cs="宋体"/>
          <w:color w:val="auto"/>
          <w:highlight w:val="none"/>
        </w:rPr>
      </w:pPr>
    </w:p>
    <w:p w14:paraId="52E8DAE8">
      <w:pPr>
        <w:spacing w:before="91" w:line="222" w:lineRule="auto"/>
        <w:ind w:left="2942"/>
        <w:outlineLvl w:val="1"/>
        <w:rPr>
          <w:rFonts w:hint="eastAsia" w:ascii="宋体" w:hAnsi="宋体" w:eastAsia="宋体" w:cs="宋体"/>
          <w:color w:val="auto"/>
          <w:sz w:val="28"/>
          <w:szCs w:val="28"/>
          <w:highlight w:val="none"/>
        </w:rPr>
      </w:pPr>
      <w:bookmarkStart w:id="925" w:name="_Toc32133"/>
      <w:bookmarkStart w:id="926" w:name="_Toc25578"/>
      <w:bookmarkStart w:id="927" w:name="_Toc9739"/>
      <w:bookmarkStart w:id="928" w:name="_Toc3794"/>
      <w:bookmarkStart w:id="929" w:name="_Toc22861"/>
      <w:r>
        <w:rPr>
          <w:rFonts w:hint="eastAsia" w:ascii="宋体" w:hAnsi="宋体" w:eastAsia="宋体" w:cs="宋体"/>
          <w:color w:val="auto"/>
          <w:spacing w:val="-1"/>
          <w:sz w:val="28"/>
          <w:szCs w:val="28"/>
          <w:highlight w:val="none"/>
        </w:rPr>
        <w:t>七、拟分包项目情况表</w:t>
      </w:r>
      <w:bookmarkEnd w:id="925"/>
      <w:bookmarkEnd w:id="926"/>
      <w:bookmarkEnd w:id="927"/>
      <w:bookmarkEnd w:id="928"/>
      <w:bookmarkEnd w:id="929"/>
    </w:p>
    <w:p w14:paraId="04855752">
      <w:pPr>
        <w:spacing w:before="194"/>
        <w:rPr>
          <w:rFonts w:hint="eastAsia" w:ascii="宋体" w:hAnsi="宋体" w:eastAsia="宋体" w:cs="宋体"/>
          <w:color w:val="auto"/>
          <w:highlight w:val="none"/>
        </w:rPr>
      </w:pPr>
    </w:p>
    <w:tbl>
      <w:tblPr>
        <w:tblStyle w:val="24"/>
        <w:tblW w:w="8898" w:type="dxa"/>
        <w:tblInd w:w="15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94"/>
        <w:gridCol w:w="2454"/>
        <w:gridCol w:w="1864"/>
        <w:gridCol w:w="2586"/>
      </w:tblGrid>
      <w:tr w14:paraId="5D0263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994" w:type="dxa"/>
            <w:vAlign w:val="top"/>
          </w:tcPr>
          <w:p w14:paraId="5070C50B">
            <w:pPr>
              <w:pStyle w:val="25"/>
              <w:spacing w:before="178" w:line="217" w:lineRule="auto"/>
              <w:ind w:left="165"/>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拟分包的工程项目</w:t>
            </w:r>
          </w:p>
        </w:tc>
        <w:tc>
          <w:tcPr>
            <w:tcW w:w="2454" w:type="dxa"/>
            <w:vAlign w:val="top"/>
          </w:tcPr>
          <w:p w14:paraId="1BD4F0FD">
            <w:pPr>
              <w:pStyle w:val="25"/>
              <w:spacing w:before="178" w:line="217" w:lineRule="auto"/>
              <w:ind w:left="608"/>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主要工程内容</w:t>
            </w:r>
          </w:p>
        </w:tc>
        <w:tc>
          <w:tcPr>
            <w:tcW w:w="1864" w:type="dxa"/>
            <w:vAlign w:val="top"/>
          </w:tcPr>
          <w:p w14:paraId="2235C148">
            <w:pPr>
              <w:pStyle w:val="25"/>
              <w:spacing w:before="178" w:line="217" w:lineRule="auto"/>
              <w:jc w:val="right"/>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预计造价（万元）</w:t>
            </w:r>
          </w:p>
        </w:tc>
        <w:tc>
          <w:tcPr>
            <w:tcW w:w="2586" w:type="dxa"/>
            <w:vAlign w:val="top"/>
          </w:tcPr>
          <w:p w14:paraId="033A32B1">
            <w:pPr>
              <w:pStyle w:val="25"/>
              <w:spacing w:before="178" w:line="217" w:lineRule="auto"/>
              <w:ind w:left="1031"/>
              <w:rPr>
                <w:rFonts w:hint="eastAsia" w:ascii="宋体" w:hAnsi="宋体" w:eastAsia="宋体" w:cs="宋体"/>
                <w:color w:val="auto"/>
                <w:sz w:val="22"/>
                <w:szCs w:val="22"/>
                <w:highlight w:val="none"/>
              </w:rPr>
            </w:pPr>
            <w:r>
              <w:rPr>
                <w:rFonts w:hint="eastAsia" w:ascii="宋体" w:hAnsi="宋体" w:eastAsia="宋体" w:cs="宋体"/>
                <w:color w:val="auto"/>
                <w:spacing w:val="-6"/>
                <w:sz w:val="22"/>
                <w:szCs w:val="22"/>
                <w:highlight w:val="none"/>
              </w:rPr>
              <w:t>备注</w:t>
            </w:r>
          </w:p>
        </w:tc>
      </w:tr>
      <w:tr w14:paraId="2D3E5D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94" w:type="dxa"/>
            <w:vAlign w:val="top"/>
          </w:tcPr>
          <w:p w14:paraId="389F14E5">
            <w:pPr>
              <w:rPr>
                <w:rFonts w:hint="eastAsia" w:ascii="宋体" w:hAnsi="宋体" w:eastAsia="宋体" w:cs="宋体"/>
                <w:color w:val="auto"/>
                <w:sz w:val="21"/>
                <w:highlight w:val="none"/>
              </w:rPr>
            </w:pPr>
          </w:p>
        </w:tc>
        <w:tc>
          <w:tcPr>
            <w:tcW w:w="2454" w:type="dxa"/>
            <w:vAlign w:val="top"/>
          </w:tcPr>
          <w:p w14:paraId="49326FBE">
            <w:pPr>
              <w:rPr>
                <w:rFonts w:hint="eastAsia" w:ascii="宋体" w:hAnsi="宋体" w:eastAsia="宋体" w:cs="宋体"/>
                <w:color w:val="auto"/>
                <w:sz w:val="21"/>
                <w:highlight w:val="none"/>
              </w:rPr>
            </w:pPr>
          </w:p>
        </w:tc>
        <w:tc>
          <w:tcPr>
            <w:tcW w:w="1864" w:type="dxa"/>
            <w:vAlign w:val="top"/>
          </w:tcPr>
          <w:p w14:paraId="579421C8">
            <w:pPr>
              <w:rPr>
                <w:rFonts w:hint="eastAsia" w:ascii="宋体" w:hAnsi="宋体" w:eastAsia="宋体" w:cs="宋体"/>
                <w:color w:val="auto"/>
                <w:sz w:val="21"/>
                <w:highlight w:val="none"/>
              </w:rPr>
            </w:pPr>
          </w:p>
        </w:tc>
        <w:tc>
          <w:tcPr>
            <w:tcW w:w="2586" w:type="dxa"/>
            <w:vMerge w:val="restart"/>
            <w:tcBorders>
              <w:bottom w:val="nil"/>
            </w:tcBorders>
            <w:vAlign w:val="top"/>
          </w:tcPr>
          <w:p w14:paraId="42A75423">
            <w:pPr>
              <w:spacing w:line="244" w:lineRule="auto"/>
              <w:rPr>
                <w:rFonts w:hint="eastAsia" w:ascii="宋体" w:hAnsi="宋体" w:eastAsia="宋体" w:cs="宋体"/>
                <w:color w:val="auto"/>
                <w:sz w:val="21"/>
                <w:highlight w:val="none"/>
              </w:rPr>
            </w:pPr>
          </w:p>
          <w:p w14:paraId="1A727F6C">
            <w:pPr>
              <w:spacing w:line="244" w:lineRule="auto"/>
              <w:rPr>
                <w:rFonts w:hint="eastAsia" w:ascii="宋体" w:hAnsi="宋体" w:eastAsia="宋体" w:cs="宋体"/>
                <w:color w:val="auto"/>
                <w:sz w:val="21"/>
                <w:highlight w:val="none"/>
              </w:rPr>
            </w:pPr>
          </w:p>
          <w:p w14:paraId="59989896">
            <w:pPr>
              <w:spacing w:line="244" w:lineRule="auto"/>
              <w:rPr>
                <w:rFonts w:hint="eastAsia" w:ascii="宋体" w:hAnsi="宋体" w:eastAsia="宋体" w:cs="宋体"/>
                <w:color w:val="auto"/>
                <w:sz w:val="21"/>
                <w:highlight w:val="none"/>
              </w:rPr>
            </w:pPr>
          </w:p>
          <w:p w14:paraId="146FB12C">
            <w:pPr>
              <w:spacing w:line="244" w:lineRule="auto"/>
              <w:rPr>
                <w:rFonts w:hint="eastAsia" w:ascii="宋体" w:hAnsi="宋体" w:eastAsia="宋体" w:cs="宋体"/>
                <w:color w:val="auto"/>
                <w:sz w:val="21"/>
                <w:highlight w:val="none"/>
              </w:rPr>
            </w:pPr>
          </w:p>
          <w:p w14:paraId="6EA409E4">
            <w:pPr>
              <w:spacing w:line="244" w:lineRule="auto"/>
              <w:rPr>
                <w:rFonts w:hint="eastAsia" w:ascii="宋体" w:hAnsi="宋体" w:eastAsia="宋体" w:cs="宋体"/>
                <w:color w:val="auto"/>
                <w:sz w:val="21"/>
                <w:highlight w:val="none"/>
              </w:rPr>
            </w:pPr>
          </w:p>
          <w:p w14:paraId="292F8659">
            <w:pPr>
              <w:spacing w:line="244" w:lineRule="auto"/>
              <w:rPr>
                <w:rFonts w:hint="eastAsia" w:ascii="宋体" w:hAnsi="宋体" w:eastAsia="宋体" w:cs="宋体"/>
                <w:color w:val="auto"/>
                <w:sz w:val="21"/>
                <w:highlight w:val="none"/>
              </w:rPr>
            </w:pPr>
          </w:p>
          <w:p w14:paraId="584776DD">
            <w:pPr>
              <w:spacing w:line="244" w:lineRule="auto"/>
              <w:rPr>
                <w:rFonts w:hint="eastAsia" w:ascii="宋体" w:hAnsi="宋体" w:eastAsia="宋体" w:cs="宋体"/>
                <w:color w:val="auto"/>
                <w:sz w:val="21"/>
                <w:highlight w:val="none"/>
              </w:rPr>
            </w:pPr>
          </w:p>
          <w:p w14:paraId="49FE5169">
            <w:pPr>
              <w:spacing w:line="244" w:lineRule="auto"/>
              <w:rPr>
                <w:rFonts w:hint="eastAsia" w:ascii="宋体" w:hAnsi="宋体" w:eastAsia="宋体" w:cs="宋体"/>
                <w:color w:val="auto"/>
                <w:sz w:val="21"/>
                <w:highlight w:val="none"/>
              </w:rPr>
            </w:pPr>
          </w:p>
          <w:p w14:paraId="0EC596C4">
            <w:pPr>
              <w:spacing w:line="244" w:lineRule="auto"/>
              <w:rPr>
                <w:rFonts w:hint="eastAsia" w:ascii="宋体" w:hAnsi="宋体" w:eastAsia="宋体" w:cs="宋体"/>
                <w:color w:val="auto"/>
                <w:sz w:val="21"/>
                <w:highlight w:val="none"/>
              </w:rPr>
            </w:pPr>
          </w:p>
          <w:p w14:paraId="7A76C283">
            <w:pPr>
              <w:spacing w:line="244" w:lineRule="auto"/>
              <w:rPr>
                <w:rFonts w:hint="eastAsia" w:ascii="宋体" w:hAnsi="宋体" w:eastAsia="宋体" w:cs="宋体"/>
                <w:color w:val="auto"/>
                <w:sz w:val="21"/>
                <w:highlight w:val="none"/>
              </w:rPr>
            </w:pPr>
          </w:p>
          <w:p w14:paraId="21EDB5E5">
            <w:pPr>
              <w:spacing w:line="244" w:lineRule="auto"/>
              <w:rPr>
                <w:rFonts w:hint="eastAsia" w:ascii="宋体" w:hAnsi="宋体" w:eastAsia="宋体" w:cs="宋体"/>
                <w:color w:val="auto"/>
                <w:sz w:val="21"/>
                <w:highlight w:val="none"/>
              </w:rPr>
            </w:pPr>
          </w:p>
          <w:p w14:paraId="2A5F3B5A">
            <w:pPr>
              <w:spacing w:line="245" w:lineRule="auto"/>
              <w:rPr>
                <w:rFonts w:hint="eastAsia" w:ascii="宋体" w:hAnsi="宋体" w:eastAsia="宋体" w:cs="宋体"/>
                <w:color w:val="auto"/>
                <w:sz w:val="21"/>
                <w:highlight w:val="none"/>
              </w:rPr>
            </w:pPr>
          </w:p>
          <w:p w14:paraId="23ABB38B">
            <w:pPr>
              <w:spacing w:line="245" w:lineRule="auto"/>
              <w:rPr>
                <w:rFonts w:hint="eastAsia" w:ascii="宋体" w:hAnsi="宋体" w:eastAsia="宋体" w:cs="宋体"/>
                <w:color w:val="auto"/>
                <w:sz w:val="21"/>
                <w:highlight w:val="none"/>
              </w:rPr>
            </w:pPr>
          </w:p>
          <w:p w14:paraId="2D2687BB">
            <w:pPr>
              <w:spacing w:line="245" w:lineRule="auto"/>
              <w:rPr>
                <w:rFonts w:hint="eastAsia" w:ascii="宋体" w:hAnsi="宋体" w:eastAsia="宋体" w:cs="宋体"/>
                <w:color w:val="auto"/>
                <w:sz w:val="21"/>
                <w:highlight w:val="none"/>
              </w:rPr>
            </w:pPr>
          </w:p>
          <w:p w14:paraId="22642892">
            <w:pPr>
              <w:spacing w:line="245" w:lineRule="auto"/>
              <w:rPr>
                <w:rFonts w:hint="eastAsia" w:ascii="宋体" w:hAnsi="宋体" w:eastAsia="宋体" w:cs="宋体"/>
                <w:color w:val="auto"/>
                <w:sz w:val="21"/>
                <w:highlight w:val="none"/>
              </w:rPr>
            </w:pPr>
          </w:p>
          <w:p w14:paraId="20C5E21B">
            <w:pPr>
              <w:spacing w:line="245" w:lineRule="auto"/>
              <w:rPr>
                <w:rFonts w:hint="eastAsia" w:ascii="宋体" w:hAnsi="宋体" w:eastAsia="宋体" w:cs="宋体"/>
                <w:color w:val="auto"/>
                <w:sz w:val="21"/>
                <w:highlight w:val="none"/>
              </w:rPr>
            </w:pPr>
          </w:p>
          <w:p w14:paraId="0D7AE26D">
            <w:pPr>
              <w:spacing w:line="245" w:lineRule="auto"/>
              <w:rPr>
                <w:rFonts w:hint="eastAsia" w:ascii="宋体" w:hAnsi="宋体" w:eastAsia="宋体" w:cs="宋体"/>
                <w:color w:val="auto"/>
                <w:sz w:val="21"/>
                <w:highlight w:val="none"/>
              </w:rPr>
            </w:pPr>
          </w:p>
          <w:p w14:paraId="36AC733D">
            <w:pPr>
              <w:spacing w:line="245" w:lineRule="auto"/>
              <w:rPr>
                <w:rFonts w:hint="eastAsia" w:ascii="宋体" w:hAnsi="宋体" w:eastAsia="宋体" w:cs="宋体"/>
                <w:color w:val="auto"/>
                <w:sz w:val="21"/>
                <w:highlight w:val="none"/>
              </w:rPr>
            </w:pPr>
          </w:p>
          <w:p w14:paraId="1C76F8F7">
            <w:pPr>
              <w:pStyle w:val="25"/>
              <w:spacing w:before="72" w:line="392" w:lineRule="auto"/>
              <w:ind w:left="119" w:right="96"/>
              <w:rPr>
                <w:rFonts w:hint="eastAsia" w:ascii="宋体" w:hAnsi="宋体" w:eastAsia="宋体" w:cs="宋体"/>
                <w:color w:val="auto"/>
                <w:sz w:val="22"/>
                <w:szCs w:val="22"/>
                <w:highlight w:val="none"/>
              </w:rPr>
            </w:pPr>
            <w:r>
              <w:rPr>
                <w:rFonts w:hint="eastAsia" w:ascii="宋体" w:hAnsi="宋体" w:eastAsia="宋体" w:cs="宋体"/>
                <w:color w:val="auto"/>
                <w:spacing w:val="-5"/>
                <w:sz w:val="22"/>
                <w:szCs w:val="22"/>
                <w:highlight w:val="none"/>
              </w:rPr>
              <w:t>注：若无分包计划，则投</w:t>
            </w:r>
            <w:r>
              <w:rPr>
                <w:rFonts w:hint="eastAsia" w:ascii="宋体" w:hAnsi="宋体" w:eastAsia="宋体" w:cs="宋体"/>
                <w:color w:val="auto"/>
                <w:spacing w:val="3"/>
                <w:sz w:val="22"/>
                <w:szCs w:val="22"/>
                <w:highlight w:val="none"/>
              </w:rPr>
              <w:t>标人应在本表填写“无”</w:t>
            </w:r>
          </w:p>
        </w:tc>
      </w:tr>
      <w:tr w14:paraId="6DFACA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1994" w:type="dxa"/>
            <w:vAlign w:val="top"/>
          </w:tcPr>
          <w:p w14:paraId="2A63C8B9">
            <w:pPr>
              <w:rPr>
                <w:rFonts w:hint="eastAsia" w:ascii="宋体" w:hAnsi="宋体" w:eastAsia="宋体" w:cs="宋体"/>
                <w:color w:val="auto"/>
                <w:sz w:val="21"/>
                <w:highlight w:val="none"/>
              </w:rPr>
            </w:pPr>
          </w:p>
        </w:tc>
        <w:tc>
          <w:tcPr>
            <w:tcW w:w="2454" w:type="dxa"/>
            <w:vAlign w:val="top"/>
          </w:tcPr>
          <w:p w14:paraId="2F6C9A45">
            <w:pPr>
              <w:rPr>
                <w:rFonts w:hint="eastAsia" w:ascii="宋体" w:hAnsi="宋体" w:eastAsia="宋体" w:cs="宋体"/>
                <w:color w:val="auto"/>
                <w:sz w:val="21"/>
                <w:highlight w:val="none"/>
              </w:rPr>
            </w:pPr>
          </w:p>
        </w:tc>
        <w:tc>
          <w:tcPr>
            <w:tcW w:w="1864" w:type="dxa"/>
            <w:vAlign w:val="top"/>
          </w:tcPr>
          <w:p w14:paraId="736AAACA">
            <w:pPr>
              <w:rPr>
                <w:rFonts w:hint="eastAsia" w:ascii="宋体" w:hAnsi="宋体" w:eastAsia="宋体" w:cs="宋体"/>
                <w:color w:val="auto"/>
                <w:sz w:val="21"/>
                <w:highlight w:val="none"/>
              </w:rPr>
            </w:pPr>
          </w:p>
        </w:tc>
        <w:tc>
          <w:tcPr>
            <w:tcW w:w="2586" w:type="dxa"/>
            <w:vMerge w:val="continue"/>
            <w:tcBorders>
              <w:top w:val="nil"/>
              <w:bottom w:val="nil"/>
            </w:tcBorders>
            <w:vAlign w:val="top"/>
          </w:tcPr>
          <w:p w14:paraId="09E0CAF9">
            <w:pPr>
              <w:rPr>
                <w:rFonts w:hint="eastAsia" w:ascii="宋体" w:hAnsi="宋体" w:eastAsia="宋体" w:cs="宋体"/>
                <w:color w:val="auto"/>
                <w:sz w:val="21"/>
                <w:highlight w:val="none"/>
              </w:rPr>
            </w:pPr>
          </w:p>
        </w:tc>
      </w:tr>
      <w:tr w14:paraId="353D17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994" w:type="dxa"/>
            <w:vAlign w:val="top"/>
          </w:tcPr>
          <w:p w14:paraId="24CE6C79">
            <w:pPr>
              <w:rPr>
                <w:rFonts w:hint="eastAsia" w:ascii="宋体" w:hAnsi="宋体" w:eastAsia="宋体" w:cs="宋体"/>
                <w:color w:val="auto"/>
                <w:sz w:val="21"/>
                <w:highlight w:val="none"/>
              </w:rPr>
            </w:pPr>
          </w:p>
        </w:tc>
        <w:tc>
          <w:tcPr>
            <w:tcW w:w="2454" w:type="dxa"/>
            <w:vAlign w:val="top"/>
          </w:tcPr>
          <w:p w14:paraId="56D73002">
            <w:pPr>
              <w:rPr>
                <w:rFonts w:hint="eastAsia" w:ascii="宋体" w:hAnsi="宋体" w:eastAsia="宋体" w:cs="宋体"/>
                <w:color w:val="auto"/>
                <w:sz w:val="21"/>
                <w:highlight w:val="none"/>
              </w:rPr>
            </w:pPr>
          </w:p>
        </w:tc>
        <w:tc>
          <w:tcPr>
            <w:tcW w:w="1864" w:type="dxa"/>
            <w:vAlign w:val="top"/>
          </w:tcPr>
          <w:p w14:paraId="465D7767">
            <w:pPr>
              <w:rPr>
                <w:rFonts w:hint="eastAsia" w:ascii="宋体" w:hAnsi="宋体" w:eastAsia="宋体" w:cs="宋体"/>
                <w:color w:val="auto"/>
                <w:sz w:val="21"/>
                <w:highlight w:val="none"/>
              </w:rPr>
            </w:pPr>
          </w:p>
        </w:tc>
        <w:tc>
          <w:tcPr>
            <w:tcW w:w="2586" w:type="dxa"/>
            <w:vMerge w:val="continue"/>
            <w:tcBorders>
              <w:top w:val="nil"/>
              <w:bottom w:val="nil"/>
            </w:tcBorders>
            <w:vAlign w:val="top"/>
          </w:tcPr>
          <w:p w14:paraId="27D7696A">
            <w:pPr>
              <w:rPr>
                <w:rFonts w:hint="eastAsia" w:ascii="宋体" w:hAnsi="宋体" w:eastAsia="宋体" w:cs="宋体"/>
                <w:color w:val="auto"/>
                <w:sz w:val="21"/>
                <w:highlight w:val="none"/>
              </w:rPr>
            </w:pPr>
          </w:p>
        </w:tc>
      </w:tr>
      <w:tr w14:paraId="37149C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1994" w:type="dxa"/>
            <w:vAlign w:val="top"/>
          </w:tcPr>
          <w:p w14:paraId="2D5AFD83">
            <w:pPr>
              <w:rPr>
                <w:rFonts w:hint="eastAsia" w:ascii="宋体" w:hAnsi="宋体" w:eastAsia="宋体" w:cs="宋体"/>
                <w:color w:val="auto"/>
                <w:sz w:val="21"/>
                <w:highlight w:val="none"/>
              </w:rPr>
            </w:pPr>
          </w:p>
        </w:tc>
        <w:tc>
          <w:tcPr>
            <w:tcW w:w="2454" w:type="dxa"/>
            <w:vAlign w:val="top"/>
          </w:tcPr>
          <w:p w14:paraId="4A14C58C">
            <w:pPr>
              <w:rPr>
                <w:rFonts w:hint="eastAsia" w:ascii="宋体" w:hAnsi="宋体" w:eastAsia="宋体" w:cs="宋体"/>
                <w:color w:val="auto"/>
                <w:sz w:val="21"/>
                <w:highlight w:val="none"/>
              </w:rPr>
            </w:pPr>
          </w:p>
        </w:tc>
        <w:tc>
          <w:tcPr>
            <w:tcW w:w="1864" w:type="dxa"/>
            <w:vAlign w:val="top"/>
          </w:tcPr>
          <w:p w14:paraId="2847D9D7">
            <w:pPr>
              <w:rPr>
                <w:rFonts w:hint="eastAsia" w:ascii="宋体" w:hAnsi="宋体" w:eastAsia="宋体" w:cs="宋体"/>
                <w:color w:val="auto"/>
                <w:sz w:val="21"/>
                <w:highlight w:val="none"/>
              </w:rPr>
            </w:pPr>
          </w:p>
        </w:tc>
        <w:tc>
          <w:tcPr>
            <w:tcW w:w="2586" w:type="dxa"/>
            <w:vMerge w:val="continue"/>
            <w:tcBorders>
              <w:top w:val="nil"/>
              <w:bottom w:val="nil"/>
            </w:tcBorders>
            <w:vAlign w:val="top"/>
          </w:tcPr>
          <w:p w14:paraId="7D467DA2">
            <w:pPr>
              <w:rPr>
                <w:rFonts w:hint="eastAsia" w:ascii="宋体" w:hAnsi="宋体" w:eastAsia="宋体" w:cs="宋体"/>
                <w:color w:val="auto"/>
                <w:sz w:val="21"/>
                <w:highlight w:val="none"/>
              </w:rPr>
            </w:pPr>
          </w:p>
        </w:tc>
      </w:tr>
      <w:tr w14:paraId="137471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4" w:hRule="atLeast"/>
        </w:trPr>
        <w:tc>
          <w:tcPr>
            <w:tcW w:w="1994" w:type="dxa"/>
            <w:vAlign w:val="top"/>
          </w:tcPr>
          <w:p w14:paraId="445C8670">
            <w:pPr>
              <w:rPr>
                <w:rFonts w:hint="eastAsia" w:ascii="宋体" w:hAnsi="宋体" w:eastAsia="宋体" w:cs="宋体"/>
                <w:color w:val="auto"/>
                <w:sz w:val="21"/>
                <w:highlight w:val="none"/>
              </w:rPr>
            </w:pPr>
          </w:p>
        </w:tc>
        <w:tc>
          <w:tcPr>
            <w:tcW w:w="2454" w:type="dxa"/>
            <w:vAlign w:val="top"/>
          </w:tcPr>
          <w:p w14:paraId="2DA82AE2">
            <w:pPr>
              <w:rPr>
                <w:rFonts w:hint="eastAsia" w:ascii="宋体" w:hAnsi="宋体" w:eastAsia="宋体" w:cs="宋体"/>
                <w:color w:val="auto"/>
                <w:sz w:val="21"/>
                <w:highlight w:val="none"/>
              </w:rPr>
            </w:pPr>
          </w:p>
        </w:tc>
        <w:tc>
          <w:tcPr>
            <w:tcW w:w="1864" w:type="dxa"/>
            <w:vAlign w:val="top"/>
          </w:tcPr>
          <w:p w14:paraId="0336EFA1">
            <w:pPr>
              <w:rPr>
                <w:rFonts w:hint="eastAsia" w:ascii="宋体" w:hAnsi="宋体" w:eastAsia="宋体" w:cs="宋体"/>
                <w:color w:val="auto"/>
                <w:sz w:val="21"/>
                <w:highlight w:val="none"/>
              </w:rPr>
            </w:pPr>
          </w:p>
        </w:tc>
        <w:tc>
          <w:tcPr>
            <w:tcW w:w="2586" w:type="dxa"/>
            <w:vMerge w:val="continue"/>
            <w:tcBorders>
              <w:top w:val="nil"/>
              <w:bottom w:val="nil"/>
            </w:tcBorders>
            <w:vAlign w:val="top"/>
          </w:tcPr>
          <w:p w14:paraId="5863DC6B">
            <w:pPr>
              <w:rPr>
                <w:rFonts w:hint="eastAsia" w:ascii="宋体" w:hAnsi="宋体" w:eastAsia="宋体" w:cs="宋体"/>
                <w:color w:val="auto"/>
                <w:sz w:val="21"/>
                <w:highlight w:val="none"/>
              </w:rPr>
            </w:pPr>
          </w:p>
        </w:tc>
      </w:tr>
      <w:tr w14:paraId="5E98F3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994" w:type="dxa"/>
            <w:vAlign w:val="top"/>
          </w:tcPr>
          <w:p w14:paraId="0D8C683E">
            <w:pPr>
              <w:rPr>
                <w:rFonts w:hint="eastAsia" w:ascii="宋体" w:hAnsi="宋体" w:eastAsia="宋体" w:cs="宋体"/>
                <w:color w:val="auto"/>
                <w:sz w:val="21"/>
                <w:highlight w:val="none"/>
              </w:rPr>
            </w:pPr>
          </w:p>
        </w:tc>
        <w:tc>
          <w:tcPr>
            <w:tcW w:w="2454" w:type="dxa"/>
            <w:vAlign w:val="top"/>
          </w:tcPr>
          <w:p w14:paraId="3A5EFCD8">
            <w:pPr>
              <w:rPr>
                <w:rFonts w:hint="eastAsia" w:ascii="宋体" w:hAnsi="宋体" w:eastAsia="宋体" w:cs="宋体"/>
                <w:color w:val="auto"/>
                <w:sz w:val="21"/>
                <w:highlight w:val="none"/>
              </w:rPr>
            </w:pPr>
          </w:p>
        </w:tc>
        <w:tc>
          <w:tcPr>
            <w:tcW w:w="1864" w:type="dxa"/>
            <w:vAlign w:val="top"/>
          </w:tcPr>
          <w:p w14:paraId="47677491">
            <w:pPr>
              <w:rPr>
                <w:rFonts w:hint="eastAsia" w:ascii="宋体" w:hAnsi="宋体" w:eastAsia="宋体" w:cs="宋体"/>
                <w:color w:val="auto"/>
                <w:sz w:val="21"/>
                <w:highlight w:val="none"/>
              </w:rPr>
            </w:pPr>
          </w:p>
        </w:tc>
        <w:tc>
          <w:tcPr>
            <w:tcW w:w="2586" w:type="dxa"/>
            <w:vMerge w:val="continue"/>
            <w:tcBorders>
              <w:top w:val="nil"/>
              <w:bottom w:val="nil"/>
            </w:tcBorders>
            <w:vAlign w:val="top"/>
          </w:tcPr>
          <w:p w14:paraId="21B2DEA2">
            <w:pPr>
              <w:rPr>
                <w:rFonts w:hint="eastAsia" w:ascii="宋体" w:hAnsi="宋体" w:eastAsia="宋体" w:cs="宋体"/>
                <w:color w:val="auto"/>
                <w:sz w:val="21"/>
                <w:highlight w:val="none"/>
              </w:rPr>
            </w:pPr>
          </w:p>
        </w:tc>
      </w:tr>
      <w:tr w14:paraId="65CE67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994" w:type="dxa"/>
            <w:vAlign w:val="top"/>
          </w:tcPr>
          <w:p w14:paraId="541E2E24">
            <w:pPr>
              <w:rPr>
                <w:rFonts w:hint="eastAsia" w:ascii="宋体" w:hAnsi="宋体" w:eastAsia="宋体" w:cs="宋体"/>
                <w:color w:val="auto"/>
                <w:sz w:val="21"/>
                <w:highlight w:val="none"/>
              </w:rPr>
            </w:pPr>
          </w:p>
        </w:tc>
        <w:tc>
          <w:tcPr>
            <w:tcW w:w="2454" w:type="dxa"/>
            <w:vAlign w:val="top"/>
          </w:tcPr>
          <w:p w14:paraId="5FC8E047">
            <w:pPr>
              <w:rPr>
                <w:rFonts w:hint="eastAsia" w:ascii="宋体" w:hAnsi="宋体" w:eastAsia="宋体" w:cs="宋体"/>
                <w:color w:val="auto"/>
                <w:sz w:val="21"/>
                <w:highlight w:val="none"/>
              </w:rPr>
            </w:pPr>
          </w:p>
        </w:tc>
        <w:tc>
          <w:tcPr>
            <w:tcW w:w="1864" w:type="dxa"/>
            <w:vAlign w:val="top"/>
          </w:tcPr>
          <w:p w14:paraId="0E13879B">
            <w:pPr>
              <w:rPr>
                <w:rFonts w:hint="eastAsia" w:ascii="宋体" w:hAnsi="宋体" w:eastAsia="宋体" w:cs="宋体"/>
                <w:color w:val="auto"/>
                <w:sz w:val="21"/>
                <w:highlight w:val="none"/>
              </w:rPr>
            </w:pPr>
          </w:p>
        </w:tc>
        <w:tc>
          <w:tcPr>
            <w:tcW w:w="2586" w:type="dxa"/>
            <w:vMerge w:val="continue"/>
            <w:tcBorders>
              <w:top w:val="nil"/>
              <w:bottom w:val="nil"/>
            </w:tcBorders>
            <w:vAlign w:val="top"/>
          </w:tcPr>
          <w:p w14:paraId="0007DF8B">
            <w:pPr>
              <w:rPr>
                <w:rFonts w:hint="eastAsia" w:ascii="宋体" w:hAnsi="宋体" w:eastAsia="宋体" w:cs="宋体"/>
                <w:color w:val="auto"/>
                <w:sz w:val="21"/>
                <w:highlight w:val="none"/>
              </w:rPr>
            </w:pPr>
          </w:p>
        </w:tc>
      </w:tr>
      <w:tr w14:paraId="62FA48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994" w:type="dxa"/>
            <w:vAlign w:val="top"/>
          </w:tcPr>
          <w:p w14:paraId="63D5B565">
            <w:pPr>
              <w:rPr>
                <w:rFonts w:hint="eastAsia" w:ascii="宋体" w:hAnsi="宋体" w:eastAsia="宋体" w:cs="宋体"/>
                <w:color w:val="auto"/>
                <w:sz w:val="21"/>
                <w:highlight w:val="none"/>
              </w:rPr>
            </w:pPr>
          </w:p>
        </w:tc>
        <w:tc>
          <w:tcPr>
            <w:tcW w:w="2454" w:type="dxa"/>
            <w:vAlign w:val="top"/>
          </w:tcPr>
          <w:p w14:paraId="446F9E42">
            <w:pPr>
              <w:rPr>
                <w:rFonts w:hint="eastAsia" w:ascii="宋体" w:hAnsi="宋体" w:eastAsia="宋体" w:cs="宋体"/>
                <w:color w:val="auto"/>
                <w:sz w:val="21"/>
                <w:highlight w:val="none"/>
              </w:rPr>
            </w:pPr>
          </w:p>
        </w:tc>
        <w:tc>
          <w:tcPr>
            <w:tcW w:w="1864" w:type="dxa"/>
            <w:vAlign w:val="top"/>
          </w:tcPr>
          <w:p w14:paraId="3E700E2A">
            <w:pPr>
              <w:rPr>
                <w:rFonts w:hint="eastAsia" w:ascii="宋体" w:hAnsi="宋体" w:eastAsia="宋体" w:cs="宋体"/>
                <w:color w:val="auto"/>
                <w:sz w:val="21"/>
                <w:highlight w:val="none"/>
              </w:rPr>
            </w:pPr>
          </w:p>
        </w:tc>
        <w:tc>
          <w:tcPr>
            <w:tcW w:w="2586" w:type="dxa"/>
            <w:vMerge w:val="continue"/>
            <w:tcBorders>
              <w:top w:val="nil"/>
              <w:bottom w:val="nil"/>
            </w:tcBorders>
            <w:vAlign w:val="top"/>
          </w:tcPr>
          <w:p w14:paraId="04EEC2F2">
            <w:pPr>
              <w:rPr>
                <w:rFonts w:hint="eastAsia" w:ascii="宋体" w:hAnsi="宋体" w:eastAsia="宋体" w:cs="宋体"/>
                <w:color w:val="auto"/>
                <w:sz w:val="21"/>
                <w:highlight w:val="none"/>
              </w:rPr>
            </w:pPr>
          </w:p>
        </w:tc>
      </w:tr>
      <w:tr w14:paraId="0AE0F9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994" w:type="dxa"/>
            <w:vAlign w:val="top"/>
          </w:tcPr>
          <w:p w14:paraId="73CE37C8">
            <w:pPr>
              <w:rPr>
                <w:rFonts w:hint="eastAsia" w:ascii="宋体" w:hAnsi="宋体" w:eastAsia="宋体" w:cs="宋体"/>
                <w:color w:val="auto"/>
                <w:sz w:val="21"/>
                <w:highlight w:val="none"/>
              </w:rPr>
            </w:pPr>
          </w:p>
        </w:tc>
        <w:tc>
          <w:tcPr>
            <w:tcW w:w="2454" w:type="dxa"/>
            <w:vAlign w:val="top"/>
          </w:tcPr>
          <w:p w14:paraId="427D6AF3">
            <w:pPr>
              <w:rPr>
                <w:rFonts w:hint="eastAsia" w:ascii="宋体" w:hAnsi="宋体" w:eastAsia="宋体" w:cs="宋体"/>
                <w:color w:val="auto"/>
                <w:sz w:val="21"/>
                <w:highlight w:val="none"/>
              </w:rPr>
            </w:pPr>
          </w:p>
        </w:tc>
        <w:tc>
          <w:tcPr>
            <w:tcW w:w="1864" w:type="dxa"/>
            <w:vAlign w:val="top"/>
          </w:tcPr>
          <w:p w14:paraId="7E5CFA76">
            <w:pPr>
              <w:rPr>
                <w:rFonts w:hint="eastAsia" w:ascii="宋体" w:hAnsi="宋体" w:eastAsia="宋体" w:cs="宋体"/>
                <w:color w:val="auto"/>
                <w:sz w:val="21"/>
                <w:highlight w:val="none"/>
              </w:rPr>
            </w:pPr>
          </w:p>
        </w:tc>
        <w:tc>
          <w:tcPr>
            <w:tcW w:w="2586" w:type="dxa"/>
            <w:vMerge w:val="continue"/>
            <w:tcBorders>
              <w:top w:val="nil"/>
              <w:bottom w:val="nil"/>
            </w:tcBorders>
            <w:vAlign w:val="top"/>
          </w:tcPr>
          <w:p w14:paraId="48055CF5">
            <w:pPr>
              <w:rPr>
                <w:rFonts w:hint="eastAsia" w:ascii="宋体" w:hAnsi="宋体" w:eastAsia="宋体" w:cs="宋体"/>
                <w:color w:val="auto"/>
                <w:sz w:val="21"/>
                <w:highlight w:val="none"/>
              </w:rPr>
            </w:pPr>
          </w:p>
        </w:tc>
      </w:tr>
      <w:tr w14:paraId="770466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994" w:type="dxa"/>
            <w:vAlign w:val="top"/>
          </w:tcPr>
          <w:p w14:paraId="540310A0">
            <w:pPr>
              <w:rPr>
                <w:rFonts w:hint="eastAsia" w:ascii="宋体" w:hAnsi="宋体" w:eastAsia="宋体" w:cs="宋体"/>
                <w:color w:val="auto"/>
                <w:sz w:val="21"/>
                <w:highlight w:val="none"/>
              </w:rPr>
            </w:pPr>
          </w:p>
        </w:tc>
        <w:tc>
          <w:tcPr>
            <w:tcW w:w="2454" w:type="dxa"/>
            <w:vAlign w:val="top"/>
          </w:tcPr>
          <w:p w14:paraId="617C8D02">
            <w:pPr>
              <w:rPr>
                <w:rFonts w:hint="eastAsia" w:ascii="宋体" w:hAnsi="宋体" w:eastAsia="宋体" w:cs="宋体"/>
                <w:color w:val="auto"/>
                <w:sz w:val="21"/>
                <w:highlight w:val="none"/>
              </w:rPr>
            </w:pPr>
          </w:p>
        </w:tc>
        <w:tc>
          <w:tcPr>
            <w:tcW w:w="1864" w:type="dxa"/>
            <w:vAlign w:val="top"/>
          </w:tcPr>
          <w:p w14:paraId="201F576C">
            <w:pPr>
              <w:rPr>
                <w:rFonts w:hint="eastAsia" w:ascii="宋体" w:hAnsi="宋体" w:eastAsia="宋体" w:cs="宋体"/>
                <w:color w:val="auto"/>
                <w:sz w:val="21"/>
                <w:highlight w:val="none"/>
              </w:rPr>
            </w:pPr>
          </w:p>
        </w:tc>
        <w:tc>
          <w:tcPr>
            <w:tcW w:w="2586" w:type="dxa"/>
            <w:vMerge w:val="continue"/>
            <w:tcBorders>
              <w:top w:val="nil"/>
              <w:bottom w:val="nil"/>
            </w:tcBorders>
            <w:vAlign w:val="top"/>
          </w:tcPr>
          <w:p w14:paraId="2DE144C8">
            <w:pPr>
              <w:rPr>
                <w:rFonts w:hint="eastAsia" w:ascii="宋体" w:hAnsi="宋体" w:eastAsia="宋体" w:cs="宋体"/>
                <w:color w:val="auto"/>
                <w:sz w:val="21"/>
                <w:highlight w:val="none"/>
              </w:rPr>
            </w:pPr>
          </w:p>
        </w:tc>
      </w:tr>
      <w:tr w14:paraId="35AF5F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994" w:type="dxa"/>
            <w:vAlign w:val="top"/>
          </w:tcPr>
          <w:p w14:paraId="7343634E">
            <w:pPr>
              <w:rPr>
                <w:rFonts w:hint="eastAsia" w:ascii="宋体" w:hAnsi="宋体" w:eastAsia="宋体" w:cs="宋体"/>
                <w:color w:val="auto"/>
                <w:sz w:val="21"/>
                <w:highlight w:val="none"/>
              </w:rPr>
            </w:pPr>
          </w:p>
        </w:tc>
        <w:tc>
          <w:tcPr>
            <w:tcW w:w="2454" w:type="dxa"/>
            <w:vAlign w:val="top"/>
          </w:tcPr>
          <w:p w14:paraId="0B08E81F">
            <w:pPr>
              <w:rPr>
                <w:rFonts w:hint="eastAsia" w:ascii="宋体" w:hAnsi="宋体" w:eastAsia="宋体" w:cs="宋体"/>
                <w:color w:val="auto"/>
                <w:sz w:val="21"/>
                <w:highlight w:val="none"/>
              </w:rPr>
            </w:pPr>
          </w:p>
        </w:tc>
        <w:tc>
          <w:tcPr>
            <w:tcW w:w="1864" w:type="dxa"/>
            <w:vAlign w:val="top"/>
          </w:tcPr>
          <w:p w14:paraId="54572898">
            <w:pPr>
              <w:rPr>
                <w:rFonts w:hint="eastAsia" w:ascii="宋体" w:hAnsi="宋体" w:eastAsia="宋体" w:cs="宋体"/>
                <w:color w:val="auto"/>
                <w:sz w:val="21"/>
                <w:highlight w:val="none"/>
              </w:rPr>
            </w:pPr>
          </w:p>
        </w:tc>
        <w:tc>
          <w:tcPr>
            <w:tcW w:w="2586" w:type="dxa"/>
            <w:vMerge w:val="continue"/>
            <w:tcBorders>
              <w:top w:val="nil"/>
              <w:bottom w:val="nil"/>
            </w:tcBorders>
            <w:vAlign w:val="top"/>
          </w:tcPr>
          <w:p w14:paraId="57883F3D">
            <w:pPr>
              <w:rPr>
                <w:rFonts w:hint="eastAsia" w:ascii="宋体" w:hAnsi="宋体" w:eastAsia="宋体" w:cs="宋体"/>
                <w:color w:val="auto"/>
                <w:sz w:val="21"/>
                <w:highlight w:val="none"/>
              </w:rPr>
            </w:pPr>
          </w:p>
        </w:tc>
      </w:tr>
      <w:tr w14:paraId="41F1BF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994" w:type="dxa"/>
            <w:vAlign w:val="top"/>
          </w:tcPr>
          <w:p w14:paraId="532B11EB">
            <w:pPr>
              <w:rPr>
                <w:rFonts w:hint="eastAsia" w:ascii="宋体" w:hAnsi="宋体" w:eastAsia="宋体" w:cs="宋体"/>
                <w:color w:val="auto"/>
                <w:sz w:val="21"/>
                <w:highlight w:val="none"/>
              </w:rPr>
            </w:pPr>
          </w:p>
        </w:tc>
        <w:tc>
          <w:tcPr>
            <w:tcW w:w="2454" w:type="dxa"/>
            <w:vAlign w:val="top"/>
          </w:tcPr>
          <w:p w14:paraId="1077B756">
            <w:pPr>
              <w:rPr>
                <w:rFonts w:hint="eastAsia" w:ascii="宋体" w:hAnsi="宋体" w:eastAsia="宋体" w:cs="宋体"/>
                <w:color w:val="auto"/>
                <w:sz w:val="21"/>
                <w:highlight w:val="none"/>
              </w:rPr>
            </w:pPr>
          </w:p>
        </w:tc>
        <w:tc>
          <w:tcPr>
            <w:tcW w:w="1864" w:type="dxa"/>
            <w:vAlign w:val="top"/>
          </w:tcPr>
          <w:p w14:paraId="056EECFB">
            <w:pPr>
              <w:rPr>
                <w:rFonts w:hint="eastAsia" w:ascii="宋体" w:hAnsi="宋体" w:eastAsia="宋体" w:cs="宋体"/>
                <w:color w:val="auto"/>
                <w:sz w:val="21"/>
                <w:highlight w:val="none"/>
              </w:rPr>
            </w:pPr>
          </w:p>
        </w:tc>
        <w:tc>
          <w:tcPr>
            <w:tcW w:w="2586" w:type="dxa"/>
            <w:vMerge w:val="continue"/>
            <w:tcBorders>
              <w:top w:val="nil"/>
              <w:bottom w:val="nil"/>
            </w:tcBorders>
            <w:vAlign w:val="top"/>
          </w:tcPr>
          <w:p w14:paraId="0930B858">
            <w:pPr>
              <w:rPr>
                <w:rFonts w:hint="eastAsia" w:ascii="宋体" w:hAnsi="宋体" w:eastAsia="宋体" w:cs="宋体"/>
                <w:color w:val="auto"/>
                <w:sz w:val="21"/>
                <w:highlight w:val="none"/>
              </w:rPr>
            </w:pPr>
          </w:p>
        </w:tc>
      </w:tr>
      <w:tr w14:paraId="3D482B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994" w:type="dxa"/>
            <w:vAlign w:val="top"/>
          </w:tcPr>
          <w:p w14:paraId="1C259833">
            <w:pPr>
              <w:rPr>
                <w:rFonts w:hint="eastAsia" w:ascii="宋体" w:hAnsi="宋体" w:eastAsia="宋体" w:cs="宋体"/>
                <w:color w:val="auto"/>
                <w:sz w:val="21"/>
                <w:highlight w:val="none"/>
              </w:rPr>
            </w:pPr>
          </w:p>
        </w:tc>
        <w:tc>
          <w:tcPr>
            <w:tcW w:w="2454" w:type="dxa"/>
            <w:vAlign w:val="top"/>
          </w:tcPr>
          <w:p w14:paraId="02F264AD">
            <w:pPr>
              <w:rPr>
                <w:rFonts w:hint="eastAsia" w:ascii="宋体" w:hAnsi="宋体" w:eastAsia="宋体" w:cs="宋体"/>
                <w:color w:val="auto"/>
                <w:sz w:val="21"/>
                <w:highlight w:val="none"/>
              </w:rPr>
            </w:pPr>
          </w:p>
        </w:tc>
        <w:tc>
          <w:tcPr>
            <w:tcW w:w="1864" w:type="dxa"/>
            <w:vAlign w:val="top"/>
          </w:tcPr>
          <w:p w14:paraId="714C894A">
            <w:pPr>
              <w:rPr>
                <w:rFonts w:hint="eastAsia" w:ascii="宋体" w:hAnsi="宋体" w:eastAsia="宋体" w:cs="宋体"/>
                <w:color w:val="auto"/>
                <w:sz w:val="21"/>
                <w:highlight w:val="none"/>
              </w:rPr>
            </w:pPr>
          </w:p>
        </w:tc>
        <w:tc>
          <w:tcPr>
            <w:tcW w:w="2586" w:type="dxa"/>
            <w:vMerge w:val="continue"/>
            <w:tcBorders>
              <w:top w:val="nil"/>
              <w:bottom w:val="nil"/>
            </w:tcBorders>
            <w:vAlign w:val="top"/>
          </w:tcPr>
          <w:p w14:paraId="1AF70D66">
            <w:pPr>
              <w:rPr>
                <w:rFonts w:hint="eastAsia" w:ascii="宋体" w:hAnsi="宋体" w:eastAsia="宋体" w:cs="宋体"/>
                <w:color w:val="auto"/>
                <w:sz w:val="21"/>
                <w:highlight w:val="none"/>
              </w:rPr>
            </w:pPr>
          </w:p>
        </w:tc>
      </w:tr>
      <w:tr w14:paraId="4E1AE9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994" w:type="dxa"/>
            <w:vAlign w:val="top"/>
          </w:tcPr>
          <w:p w14:paraId="1ECD77E2">
            <w:pPr>
              <w:rPr>
                <w:rFonts w:hint="eastAsia" w:ascii="宋体" w:hAnsi="宋体" w:eastAsia="宋体" w:cs="宋体"/>
                <w:color w:val="auto"/>
                <w:sz w:val="21"/>
                <w:highlight w:val="none"/>
              </w:rPr>
            </w:pPr>
          </w:p>
        </w:tc>
        <w:tc>
          <w:tcPr>
            <w:tcW w:w="2454" w:type="dxa"/>
            <w:vAlign w:val="top"/>
          </w:tcPr>
          <w:p w14:paraId="52FE90D4">
            <w:pPr>
              <w:rPr>
                <w:rFonts w:hint="eastAsia" w:ascii="宋体" w:hAnsi="宋体" w:eastAsia="宋体" w:cs="宋体"/>
                <w:color w:val="auto"/>
                <w:sz w:val="21"/>
                <w:highlight w:val="none"/>
              </w:rPr>
            </w:pPr>
          </w:p>
        </w:tc>
        <w:tc>
          <w:tcPr>
            <w:tcW w:w="1864" w:type="dxa"/>
            <w:vAlign w:val="top"/>
          </w:tcPr>
          <w:p w14:paraId="49C912DF">
            <w:pPr>
              <w:rPr>
                <w:rFonts w:hint="eastAsia" w:ascii="宋体" w:hAnsi="宋体" w:eastAsia="宋体" w:cs="宋体"/>
                <w:color w:val="auto"/>
                <w:sz w:val="21"/>
                <w:highlight w:val="none"/>
              </w:rPr>
            </w:pPr>
          </w:p>
        </w:tc>
        <w:tc>
          <w:tcPr>
            <w:tcW w:w="2586" w:type="dxa"/>
            <w:vMerge w:val="continue"/>
            <w:tcBorders>
              <w:top w:val="nil"/>
              <w:bottom w:val="nil"/>
            </w:tcBorders>
            <w:vAlign w:val="top"/>
          </w:tcPr>
          <w:p w14:paraId="0B7AB983">
            <w:pPr>
              <w:rPr>
                <w:rFonts w:hint="eastAsia" w:ascii="宋体" w:hAnsi="宋体" w:eastAsia="宋体" w:cs="宋体"/>
                <w:color w:val="auto"/>
                <w:sz w:val="21"/>
                <w:highlight w:val="none"/>
              </w:rPr>
            </w:pPr>
          </w:p>
        </w:tc>
      </w:tr>
      <w:tr w14:paraId="6229A3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994" w:type="dxa"/>
            <w:vAlign w:val="top"/>
          </w:tcPr>
          <w:p w14:paraId="45E9B9E3">
            <w:pPr>
              <w:rPr>
                <w:rFonts w:hint="eastAsia" w:ascii="宋体" w:hAnsi="宋体" w:eastAsia="宋体" w:cs="宋体"/>
                <w:color w:val="auto"/>
                <w:sz w:val="21"/>
                <w:highlight w:val="none"/>
              </w:rPr>
            </w:pPr>
          </w:p>
        </w:tc>
        <w:tc>
          <w:tcPr>
            <w:tcW w:w="2454" w:type="dxa"/>
            <w:vAlign w:val="top"/>
          </w:tcPr>
          <w:p w14:paraId="19D4014C">
            <w:pPr>
              <w:rPr>
                <w:rFonts w:hint="eastAsia" w:ascii="宋体" w:hAnsi="宋体" w:eastAsia="宋体" w:cs="宋体"/>
                <w:color w:val="auto"/>
                <w:sz w:val="21"/>
                <w:highlight w:val="none"/>
              </w:rPr>
            </w:pPr>
          </w:p>
        </w:tc>
        <w:tc>
          <w:tcPr>
            <w:tcW w:w="1864" w:type="dxa"/>
            <w:vAlign w:val="top"/>
          </w:tcPr>
          <w:p w14:paraId="6041D360">
            <w:pPr>
              <w:rPr>
                <w:rFonts w:hint="eastAsia" w:ascii="宋体" w:hAnsi="宋体" w:eastAsia="宋体" w:cs="宋体"/>
                <w:color w:val="auto"/>
                <w:sz w:val="21"/>
                <w:highlight w:val="none"/>
              </w:rPr>
            </w:pPr>
          </w:p>
        </w:tc>
        <w:tc>
          <w:tcPr>
            <w:tcW w:w="2586" w:type="dxa"/>
            <w:vMerge w:val="continue"/>
            <w:tcBorders>
              <w:top w:val="nil"/>
              <w:bottom w:val="nil"/>
            </w:tcBorders>
            <w:vAlign w:val="top"/>
          </w:tcPr>
          <w:p w14:paraId="44513B1A">
            <w:pPr>
              <w:rPr>
                <w:rFonts w:hint="eastAsia" w:ascii="宋体" w:hAnsi="宋体" w:eastAsia="宋体" w:cs="宋体"/>
                <w:color w:val="auto"/>
                <w:sz w:val="21"/>
                <w:highlight w:val="none"/>
              </w:rPr>
            </w:pPr>
          </w:p>
        </w:tc>
      </w:tr>
      <w:tr w14:paraId="43C097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994" w:type="dxa"/>
            <w:vAlign w:val="top"/>
          </w:tcPr>
          <w:p w14:paraId="06173A7F">
            <w:pPr>
              <w:rPr>
                <w:rFonts w:hint="eastAsia" w:ascii="宋体" w:hAnsi="宋体" w:eastAsia="宋体" w:cs="宋体"/>
                <w:color w:val="auto"/>
                <w:sz w:val="21"/>
                <w:highlight w:val="none"/>
              </w:rPr>
            </w:pPr>
          </w:p>
        </w:tc>
        <w:tc>
          <w:tcPr>
            <w:tcW w:w="2454" w:type="dxa"/>
            <w:vAlign w:val="top"/>
          </w:tcPr>
          <w:p w14:paraId="4812BF39">
            <w:pPr>
              <w:rPr>
                <w:rFonts w:hint="eastAsia" w:ascii="宋体" w:hAnsi="宋体" w:eastAsia="宋体" w:cs="宋体"/>
                <w:color w:val="auto"/>
                <w:sz w:val="21"/>
                <w:highlight w:val="none"/>
              </w:rPr>
            </w:pPr>
          </w:p>
        </w:tc>
        <w:tc>
          <w:tcPr>
            <w:tcW w:w="1864" w:type="dxa"/>
            <w:vAlign w:val="top"/>
          </w:tcPr>
          <w:p w14:paraId="06C96717">
            <w:pPr>
              <w:rPr>
                <w:rFonts w:hint="eastAsia" w:ascii="宋体" w:hAnsi="宋体" w:eastAsia="宋体" w:cs="宋体"/>
                <w:color w:val="auto"/>
                <w:sz w:val="21"/>
                <w:highlight w:val="none"/>
              </w:rPr>
            </w:pPr>
          </w:p>
        </w:tc>
        <w:tc>
          <w:tcPr>
            <w:tcW w:w="2586" w:type="dxa"/>
            <w:vMerge w:val="continue"/>
            <w:tcBorders>
              <w:top w:val="nil"/>
              <w:bottom w:val="nil"/>
            </w:tcBorders>
            <w:vAlign w:val="top"/>
          </w:tcPr>
          <w:p w14:paraId="50250CB2">
            <w:pPr>
              <w:rPr>
                <w:rFonts w:hint="eastAsia" w:ascii="宋体" w:hAnsi="宋体" w:eastAsia="宋体" w:cs="宋体"/>
                <w:color w:val="auto"/>
                <w:sz w:val="21"/>
                <w:highlight w:val="none"/>
              </w:rPr>
            </w:pPr>
          </w:p>
        </w:tc>
      </w:tr>
      <w:tr w14:paraId="6AE992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994" w:type="dxa"/>
            <w:vAlign w:val="top"/>
          </w:tcPr>
          <w:p w14:paraId="5589F99C">
            <w:pPr>
              <w:rPr>
                <w:rFonts w:hint="eastAsia" w:ascii="宋体" w:hAnsi="宋体" w:eastAsia="宋体" w:cs="宋体"/>
                <w:color w:val="auto"/>
                <w:sz w:val="21"/>
                <w:highlight w:val="none"/>
              </w:rPr>
            </w:pPr>
          </w:p>
        </w:tc>
        <w:tc>
          <w:tcPr>
            <w:tcW w:w="2454" w:type="dxa"/>
            <w:vAlign w:val="top"/>
          </w:tcPr>
          <w:p w14:paraId="2A5082D1">
            <w:pPr>
              <w:rPr>
                <w:rFonts w:hint="eastAsia" w:ascii="宋体" w:hAnsi="宋体" w:eastAsia="宋体" w:cs="宋体"/>
                <w:color w:val="auto"/>
                <w:sz w:val="21"/>
                <w:highlight w:val="none"/>
              </w:rPr>
            </w:pPr>
          </w:p>
        </w:tc>
        <w:tc>
          <w:tcPr>
            <w:tcW w:w="1864" w:type="dxa"/>
            <w:vAlign w:val="top"/>
          </w:tcPr>
          <w:p w14:paraId="7A39D8CD">
            <w:pPr>
              <w:rPr>
                <w:rFonts w:hint="eastAsia" w:ascii="宋体" w:hAnsi="宋体" w:eastAsia="宋体" w:cs="宋体"/>
                <w:color w:val="auto"/>
                <w:sz w:val="21"/>
                <w:highlight w:val="none"/>
              </w:rPr>
            </w:pPr>
          </w:p>
        </w:tc>
        <w:tc>
          <w:tcPr>
            <w:tcW w:w="2586" w:type="dxa"/>
            <w:vMerge w:val="continue"/>
            <w:tcBorders>
              <w:top w:val="nil"/>
              <w:bottom w:val="nil"/>
            </w:tcBorders>
            <w:vAlign w:val="top"/>
          </w:tcPr>
          <w:p w14:paraId="5ED31614">
            <w:pPr>
              <w:rPr>
                <w:rFonts w:hint="eastAsia" w:ascii="宋体" w:hAnsi="宋体" w:eastAsia="宋体" w:cs="宋体"/>
                <w:color w:val="auto"/>
                <w:sz w:val="21"/>
                <w:highlight w:val="none"/>
              </w:rPr>
            </w:pPr>
          </w:p>
        </w:tc>
      </w:tr>
      <w:tr w14:paraId="4C82F3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994" w:type="dxa"/>
            <w:vAlign w:val="top"/>
          </w:tcPr>
          <w:p w14:paraId="4AF7F05F">
            <w:pPr>
              <w:rPr>
                <w:rFonts w:hint="eastAsia" w:ascii="宋体" w:hAnsi="宋体" w:eastAsia="宋体" w:cs="宋体"/>
                <w:color w:val="auto"/>
                <w:sz w:val="21"/>
                <w:highlight w:val="none"/>
              </w:rPr>
            </w:pPr>
          </w:p>
        </w:tc>
        <w:tc>
          <w:tcPr>
            <w:tcW w:w="2454" w:type="dxa"/>
            <w:vAlign w:val="top"/>
          </w:tcPr>
          <w:p w14:paraId="3CF84E61">
            <w:pPr>
              <w:rPr>
                <w:rFonts w:hint="eastAsia" w:ascii="宋体" w:hAnsi="宋体" w:eastAsia="宋体" w:cs="宋体"/>
                <w:color w:val="auto"/>
                <w:sz w:val="21"/>
                <w:highlight w:val="none"/>
              </w:rPr>
            </w:pPr>
          </w:p>
        </w:tc>
        <w:tc>
          <w:tcPr>
            <w:tcW w:w="1864" w:type="dxa"/>
            <w:vAlign w:val="top"/>
          </w:tcPr>
          <w:p w14:paraId="15527957">
            <w:pPr>
              <w:rPr>
                <w:rFonts w:hint="eastAsia" w:ascii="宋体" w:hAnsi="宋体" w:eastAsia="宋体" w:cs="宋体"/>
                <w:color w:val="auto"/>
                <w:sz w:val="21"/>
                <w:highlight w:val="none"/>
              </w:rPr>
            </w:pPr>
          </w:p>
        </w:tc>
        <w:tc>
          <w:tcPr>
            <w:tcW w:w="2586" w:type="dxa"/>
            <w:vMerge w:val="continue"/>
            <w:tcBorders>
              <w:top w:val="nil"/>
              <w:bottom w:val="nil"/>
            </w:tcBorders>
            <w:vAlign w:val="top"/>
          </w:tcPr>
          <w:p w14:paraId="30B6A309">
            <w:pPr>
              <w:rPr>
                <w:rFonts w:hint="eastAsia" w:ascii="宋体" w:hAnsi="宋体" w:eastAsia="宋体" w:cs="宋体"/>
                <w:color w:val="auto"/>
                <w:sz w:val="21"/>
                <w:highlight w:val="none"/>
              </w:rPr>
            </w:pPr>
          </w:p>
        </w:tc>
      </w:tr>
      <w:tr w14:paraId="49F97F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994" w:type="dxa"/>
            <w:vAlign w:val="top"/>
          </w:tcPr>
          <w:p w14:paraId="1CB4254E">
            <w:pPr>
              <w:rPr>
                <w:rFonts w:hint="eastAsia" w:ascii="宋体" w:hAnsi="宋体" w:eastAsia="宋体" w:cs="宋体"/>
                <w:color w:val="auto"/>
                <w:sz w:val="21"/>
                <w:highlight w:val="none"/>
              </w:rPr>
            </w:pPr>
          </w:p>
        </w:tc>
        <w:tc>
          <w:tcPr>
            <w:tcW w:w="2454" w:type="dxa"/>
            <w:vAlign w:val="top"/>
          </w:tcPr>
          <w:p w14:paraId="2C43DD6B">
            <w:pPr>
              <w:rPr>
                <w:rFonts w:hint="eastAsia" w:ascii="宋体" w:hAnsi="宋体" w:eastAsia="宋体" w:cs="宋体"/>
                <w:color w:val="auto"/>
                <w:sz w:val="21"/>
                <w:highlight w:val="none"/>
              </w:rPr>
            </w:pPr>
          </w:p>
        </w:tc>
        <w:tc>
          <w:tcPr>
            <w:tcW w:w="1864" w:type="dxa"/>
            <w:vAlign w:val="top"/>
          </w:tcPr>
          <w:p w14:paraId="17FFB972">
            <w:pPr>
              <w:rPr>
                <w:rFonts w:hint="eastAsia" w:ascii="宋体" w:hAnsi="宋体" w:eastAsia="宋体" w:cs="宋体"/>
                <w:color w:val="auto"/>
                <w:sz w:val="21"/>
                <w:highlight w:val="none"/>
              </w:rPr>
            </w:pPr>
          </w:p>
        </w:tc>
        <w:tc>
          <w:tcPr>
            <w:tcW w:w="2586" w:type="dxa"/>
            <w:vMerge w:val="continue"/>
            <w:tcBorders>
              <w:top w:val="nil"/>
              <w:bottom w:val="nil"/>
            </w:tcBorders>
            <w:vAlign w:val="top"/>
          </w:tcPr>
          <w:p w14:paraId="37101D8B">
            <w:pPr>
              <w:rPr>
                <w:rFonts w:hint="eastAsia" w:ascii="宋体" w:hAnsi="宋体" w:eastAsia="宋体" w:cs="宋体"/>
                <w:color w:val="auto"/>
                <w:sz w:val="21"/>
                <w:highlight w:val="none"/>
              </w:rPr>
            </w:pPr>
          </w:p>
        </w:tc>
      </w:tr>
      <w:tr w14:paraId="5B01E0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4448" w:type="dxa"/>
            <w:gridSpan w:val="2"/>
            <w:vAlign w:val="top"/>
          </w:tcPr>
          <w:p w14:paraId="6CB8CC85">
            <w:pPr>
              <w:pStyle w:val="25"/>
              <w:spacing w:before="183" w:line="219" w:lineRule="auto"/>
              <w:ind w:left="868"/>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拟分包工程造价合计（万元）</w:t>
            </w:r>
          </w:p>
        </w:tc>
        <w:tc>
          <w:tcPr>
            <w:tcW w:w="1864" w:type="dxa"/>
            <w:vAlign w:val="top"/>
          </w:tcPr>
          <w:p w14:paraId="655C4F56">
            <w:pPr>
              <w:rPr>
                <w:rFonts w:hint="eastAsia" w:ascii="宋体" w:hAnsi="宋体" w:eastAsia="宋体" w:cs="宋体"/>
                <w:color w:val="auto"/>
                <w:sz w:val="21"/>
                <w:highlight w:val="none"/>
              </w:rPr>
            </w:pPr>
          </w:p>
        </w:tc>
        <w:tc>
          <w:tcPr>
            <w:tcW w:w="2586" w:type="dxa"/>
            <w:vMerge w:val="continue"/>
            <w:tcBorders>
              <w:top w:val="nil"/>
            </w:tcBorders>
            <w:vAlign w:val="top"/>
          </w:tcPr>
          <w:p w14:paraId="73172E13">
            <w:pPr>
              <w:rPr>
                <w:rFonts w:hint="eastAsia" w:ascii="宋体" w:hAnsi="宋体" w:eastAsia="宋体" w:cs="宋体"/>
                <w:color w:val="auto"/>
                <w:sz w:val="21"/>
                <w:highlight w:val="none"/>
              </w:rPr>
            </w:pPr>
          </w:p>
        </w:tc>
      </w:tr>
    </w:tbl>
    <w:p w14:paraId="26AFDC48">
      <w:pPr>
        <w:pStyle w:val="4"/>
        <w:rPr>
          <w:rFonts w:hint="eastAsia" w:ascii="宋体" w:hAnsi="宋体" w:eastAsia="宋体" w:cs="宋体"/>
          <w:color w:val="auto"/>
          <w:highlight w:val="none"/>
        </w:rPr>
      </w:pPr>
    </w:p>
    <w:p w14:paraId="64D66558">
      <w:pPr>
        <w:rPr>
          <w:rFonts w:hint="eastAsia" w:ascii="宋体" w:hAnsi="宋体" w:eastAsia="宋体" w:cs="宋体"/>
          <w:color w:val="auto"/>
          <w:highlight w:val="none"/>
        </w:rPr>
        <w:sectPr>
          <w:headerReference r:id="rId265" w:type="default"/>
          <w:footerReference r:id="rId266" w:type="default"/>
          <w:pgSz w:w="11907" w:h="16840"/>
          <w:pgMar w:top="1182" w:right="1060" w:bottom="1014" w:left="1786" w:header="849" w:footer="852" w:gutter="0"/>
          <w:pgNumType w:fmt="decimal"/>
          <w:cols w:space="720" w:num="1"/>
        </w:sectPr>
      </w:pPr>
    </w:p>
    <w:p w14:paraId="388210A1">
      <w:pPr>
        <w:pStyle w:val="4"/>
        <w:spacing w:line="267" w:lineRule="auto"/>
        <w:rPr>
          <w:rFonts w:hint="eastAsia" w:ascii="宋体" w:hAnsi="宋体" w:eastAsia="宋体" w:cs="宋体"/>
          <w:color w:val="auto"/>
          <w:highlight w:val="none"/>
        </w:rPr>
      </w:pPr>
    </w:p>
    <w:p w14:paraId="64452224">
      <w:pPr>
        <w:pStyle w:val="4"/>
        <w:spacing w:line="268" w:lineRule="auto"/>
        <w:rPr>
          <w:rFonts w:hint="eastAsia" w:ascii="宋体" w:hAnsi="宋体" w:eastAsia="宋体" w:cs="宋体"/>
          <w:color w:val="auto"/>
          <w:highlight w:val="none"/>
        </w:rPr>
      </w:pPr>
    </w:p>
    <w:p w14:paraId="57779CED">
      <w:pPr>
        <w:spacing w:before="91" w:line="222" w:lineRule="auto"/>
        <w:ind w:left="1683"/>
        <w:outlineLvl w:val="1"/>
        <w:rPr>
          <w:rFonts w:hint="eastAsia" w:ascii="宋体" w:hAnsi="宋体" w:eastAsia="宋体" w:cs="宋体"/>
          <w:color w:val="auto"/>
          <w:sz w:val="28"/>
          <w:szCs w:val="28"/>
          <w:highlight w:val="none"/>
        </w:rPr>
      </w:pPr>
      <w:bookmarkStart w:id="930" w:name="_Toc8057"/>
      <w:bookmarkStart w:id="931" w:name="_Toc17369"/>
      <w:bookmarkStart w:id="932" w:name="_Toc11177"/>
      <w:bookmarkStart w:id="933" w:name="_Toc12992"/>
      <w:bookmarkStart w:id="934" w:name="_Toc3694"/>
      <w:r>
        <w:rPr>
          <w:rFonts w:hint="eastAsia" w:ascii="宋体" w:hAnsi="宋体" w:eastAsia="宋体" w:cs="宋体"/>
          <w:color w:val="auto"/>
          <w:spacing w:val="-1"/>
          <w:sz w:val="28"/>
          <w:szCs w:val="28"/>
          <w:highlight w:val="none"/>
        </w:rPr>
        <w:t>八、资格审查资料（适用于已进行资格预审的）</w:t>
      </w:r>
      <w:bookmarkEnd w:id="930"/>
      <w:bookmarkEnd w:id="931"/>
      <w:bookmarkEnd w:id="932"/>
      <w:bookmarkEnd w:id="933"/>
      <w:bookmarkEnd w:id="934"/>
    </w:p>
    <w:p w14:paraId="4C8FF572">
      <w:pPr>
        <w:pStyle w:val="4"/>
        <w:spacing w:line="307" w:lineRule="auto"/>
        <w:rPr>
          <w:rFonts w:hint="eastAsia" w:ascii="宋体" w:hAnsi="宋体" w:eastAsia="宋体" w:cs="宋体"/>
          <w:color w:val="auto"/>
          <w:highlight w:val="none"/>
        </w:rPr>
      </w:pPr>
    </w:p>
    <w:p w14:paraId="6A6F682A">
      <w:pPr>
        <w:spacing w:before="72" w:line="242" w:lineRule="auto"/>
        <w:ind w:left="18" w:right="1" w:firstLine="4"/>
        <w:rPr>
          <w:rFonts w:hint="eastAsia" w:ascii="宋体" w:hAnsi="宋体" w:eastAsia="宋体" w:cs="宋体"/>
          <w:color w:val="auto"/>
          <w:sz w:val="22"/>
          <w:szCs w:val="22"/>
          <w:highlight w:val="none"/>
        </w:rPr>
      </w:pPr>
      <w:r>
        <w:rPr>
          <w:rFonts w:hint="eastAsia" w:ascii="宋体" w:hAnsi="宋体" w:eastAsia="宋体" w:cs="宋体"/>
          <w:color w:val="auto"/>
          <w:spacing w:val="-5"/>
          <w:sz w:val="22"/>
          <w:szCs w:val="22"/>
          <w:highlight w:val="none"/>
        </w:rPr>
        <w:t>投标人应按通过资格预审后的新情况及第二章“投标人须知”第3.5.1项的规定对资格预审申</w:t>
      </w:r>
      <w:r>
        <w:rPr>
          <w:rFonts w:hint="eastAsia" w:ascii="宋体" w:hAnsi="宋体" w:eastAsia="宋体" w:cs="宋体"/>
          <w:color w:val="auto"/>
          <w:spacing w:val="-1"/>
          <w:sz w:val="22"/>
          <w:szCs w:val="22"/>
          <w:highlight w:val="none"/>
        </w:rPr>
        <w:t>请文件进行更新或补充，表格格式同资格预审文件规定。</w:t>
      </w:r>
    </w:p>
    <w:p w14:paraId="36588D71">
      <w:pPr>
        <w:spacing w:line="242" w:lineRule="auto"/>
        <w:rPr>
          <w:rFonts w:hint="eastAsia" w:ascii="宋体" w:hAnsi="宋体" w:eastAsia="宋体" w:cs="宋体"/>
          <w:color w:val="auto"/>
          <w:sz w:val="22"/>
          <w:szCs w:val="22"/>
          <w:highlight w:val="none"/>
        </w:rPr>
        <w:sectPr>
          <w:headerReference r:id="rId267" w:type="default"/>
          <w:footerReference r:id="rId268" w:type="default"/>
          <w:pgSz w:w="11907" w:h="16840"/>
          <w:pgMar w:top="1182" w:right="1290" w:bottom="1014" w:left="1786" w:header="849" w:footer="852" w:gutter="0"/>
          <w:pgNumType w:fmt="decimal"/>
          <w:cols w:space="720" w:num="1"/>
        </w:sectPr>
      </w:pPr>
    </w:p>
    <w:p w14:paraId="5723DCDB">
      <w:pPr>
        <w:pStyle w:val="4"/>
        <w:spacing w:line="267" w:lineRule="auto"/>
        <w:rPr>
          <w:rFonts w:hint="eastAsia" w:ascii="宋体" w:hAnsi="宋体" w:eastAsia="宋体" w:cs="宋体"/>
          <w:color w:val="auto"/>
          <w:highlight w:val="none"/>
        </w:rPr>
      </w:pPr>
    </w:p>
    <w:p w14:paraId="5FE33BCB">
      <w:pPr>
        <w:pStyle w:val="4"/>
        <w:spacing w:line="268" w:lineRule="auto"/>
        <w:rPr>
          <w:rFonts w:hint="eastAsia" w:ascii="宋体" w:hAnsi="宋体" w:eastAsia="宋体" w:cs="宋体"/>
          <w:color w:val="auto"/>
          <w:highlight w:val="none"/>
        </w:rPr>
      </w:pPr>
    </w:p>
    <w:p w14:paraId="7736F1FC">
      <w:pPr>
        <w:spacing w:before="91" w:line="222" w:lineRule="auto"/>
        <w:ind w:left="1404"/>
        <w:outlineLvl w:val="1"/>
        <w:rPr>
          <w:rFonts w:hint="eastAsia" w:ascii="宋体" w:hAnsi="宋体" w:eastAsia="宋体" w:cs="宋体"/>
          <w:color w:val="auto"/>
          <w:sz w:val="28"/>
          <w:szCs w:val="28"/>
          <w:highlight w:val="none"/>
        </w:rPr>
      </w:pPr>
      <w:bookmarkStart w:id="935" w:name="_Toc31272"/>
      <w:bookmarkStart w:id="936" w:name="_Toc31197"/>
      <w:bookmarkStart w:id="937" w:name="_Toc19365"/>
      <w:bookmarkStart w:id="938" w:name="_Toc28953"/>
      <w:bookmarkStart w:id="939" w:name="_Toc4723"/>
      <w:r>
        <w:rPr>
          <w:rFonts w:hint="eastAsia" w:ascii="宋体" w:hAnsi="宋体" w:eastAsia="宋体" w:cs="宋体"/>
          <w:color w:val="auto"/>
          <w:spacing w:val="-1"/>
          <w:sz w:val="28"/>
          <w:szCs w:val="28"/>
          <w:highlight w:val="none"/>
        </w:rPr>
        <w:t>八、资格审查资料（适用于未进行资格预审的）</w:t>
      </w:r>
      <w:bookmarkEnd w:id="935"/>
      <w:bookmarkEnd w:id="936"/>
      <w:bookmarkEnd w:id="937"/>
      <w:bookmarkEnd w:id="938"/>
      <w:bookmarkEnd w:id="939"/>
    </w:p>
    <w:p w14:paraId="6CFAD070">
      <w:pPr>
        <w:spacing w:before="21" w:line="216" w:lineRule="auto"/>
        <w:ind w:left="3039"/>
        <w:outlineLvl w:val="2"/>
        <w:rPr>
          <w:rFonts w:hint="eastAsia" w:ascii="宋体" w:hAnsi="宋体" w:eastAsia="宋体" w:cs="宋体"/>
          <w:color w:val="auto"/>
          <w:sz w:val="24"/>
          <w:szCs w:val="24"/>
          <w:highlight w:val="none"/>
        </w:rPr>
      </w:pPr>
      <w:bookmarkStart w:id="940" w:name="_Toc12919"/>
      <w:bookmarkStart w:id="941" w:name="_Toc8714"/>
      <w:bookmarkStart w:id="942" w:name="_Toc12422"/>
      <w:bookmarkStart w:id="943" w:name="_Toc26219"/>
      <w:bookmarkStart w:id="944" w:name="_Toc15764"/>
      <w:r>
        <w:rPr>
          <w:rFonts w:hint="eastAsia" w:ascii="宋体" w:hAnsi="宋体" w:eastAsia="宋体" w:cs="宋体"/>
          <w:color w:val="auto"/>
          <w:spacing w:val="-3"/>
          <w:sz w:val="24"/>
          <w:szCs w:val="24"/>
          <w:highlight w:val="none"/>
        </w:rPr>
        <w:t>（一）投标人基本情况表</w:t>
      </w:r>
      <w:bookmarkEnd w:id="940"/>
      <w:bookmarkEnd w:id="941"/>
      <w:bookmarkEnd w:id="942"/>
      <w:bookmarkEnd w:id="943"/>
      <w:bookmarkEnd w:id="944"/>
    </w:p>
    <w:tbl>
      <w:tblPr>
        <w:tblStyle w:val="24"/>
        <w:tblW w:w="8933" w:type="dxa"/>
        <w:tblInd w:w="15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12"/>
        <w:gridCol w:w="900"/>
        <w:gridCol w:w="1079"/>
        <w:gridCol w:w="528"/>
        <w:gridCol w:w="732"/>
        <w:gridCol w:w="1076"/>
        <w:gridCol w:w="182"/>
        <w:gridCol w:w="899"/>
        <w:gridCol w:w="1625"/>
      </w:tblGrid>
      <w:tr w14:paraId="52D0E1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912" w:type="dxa"/>
            <w:vAlign w:val="top"/>
          </w:tcPr>
          <w:p w14:paraId="7AFD42D7">
            <w:pPr>
              <w:pStyle w:val="25"/>
              <w:spacing w:before="179" w:line="216" w:lineRule="auto"/>
              <w:ind w:left="441"/>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投标人名称</w:t>
            </w:r>
          </w:p>
        </w:tc>
        <w:tc>
          <w:tcPr>
            <w:tcW w:w="7021" w:type="dxa"/>
            <w:gridSpan w:val="8"/>
            <w:vAlign w:val="top"/>
          </w:tcPr>
          <w:p w14:paraId="3CD5C86A">
            <w:pPr>
              <w:rPr>
                <w:rFonts w:hint="eastAsia" w:ascii="宋体" w:hAnsi="宋体" w:eastAsia="宋体" w:cs="宋体"/>
                <w:color w:val="auto"/>
                <w:sz w:val="21"/>
                <w:highlight w:val="none"/>
              </w:rPr>
            </w:pPr>
          </w:p>
        </w:tc>
      </w:tr>
      <w:tr w14:paraId="1136EE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2" w:type="dxa"/>
            <w:vAlign w:val="top"/>
          </w:tcPr>
          <w:p w14:paraId="47ED1E18">
            <w:pPr>
              <w:pStyle w:val="25"/>
              <w:spacing w:before="173" w:line="220" w:lineRule="auto"/>
              <w:ind w:left="544"/>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注册地址</w:t>
            </w:r>
          </w:p>
        </w:tc>
        <w:tc>
          <w:tcPr>
            <w:tcW w:w="3239" w:type="dxa"/>
            <w:gridSpan w:val="4"/>
            <w:vAlign w:val="top"/>
          </w:tcPr>
          <w:p w14:paraId="25FE2D94">
            <w:pPr>
              <w:rPr>
                <w:rFonts w:hint="eastAsia" w:ascii="宋体" w:hAnsi="宋体" w:eastAsia="宋体" w:cs="宋体"/>
                <w:color w:val="auto"/>
                <w:sz w:val="21"/>
                <w:highlight w:val="none"/>
              </w:rPr>
            </w:pPr>
          </w:p>
        </w:tc>
        <w:tc>
          <w:tcPr>
            <w:tcW w:w="1076" w:type="dxa"/>
            <w:vAlign w:val="top"/>
          </w:tcPr>
          <w:p w14:paraId="247A0B8F">
            <w:pPr>
              <w:pStyle w:val="25"/>
              <w:spacing w:before="173" w:line="220" w:lineRule="auto"/>
              <w:ind w:left="125"/>
              <w:rPr>
                <w:rFonts w:hint="eastAsia" w:ascii="宋体" w:hAnsi="宋体" w:eastAsia="宋体" w:cs="宋体"/>
                <w:color w:val="auto"/>
                <w:sz w:val="22"/>
                <w:szCs w:val="22"/>
                <w:highlight w:val="none"/>
              </w:rPr>
            </w:pPr>
            <w:r>
              <w:rPr>
                <w:rFonts w:hint="eastAsia" w:ascii="宋体" w:hAnsi="宋体" w:eastAsia="宋体" w:cs="宋体"/>
                <w:color w:val="auto"/>
                <w:spacing w:val="-6"/>
                <w:sz w:val="22"/>
                <w:szCs w:val="22"/>
                <w:highlight w:val="none"/>
              </w:rPr>
              <w:t>邮政编码</w:t>
            </w:r>
          </w:p>
        </w:tc>
        <w:tc>
          <w:tcPr>
            <w:tcW w:w="2706" w:type="dxa"/>
            <w:gridSpan w:val="3"/>
            <w:vAlign w:val="top"/>
          </w:tcPr>
          <w:p w14:paraId="62FAB874">
            <w:pPr>
              <w:rPr>
                <w:rFonts w:hint="eastAsia" w:ascii="宋体" w:hAnsi="宋体" w:eastAsia="宋体" w:cs="宋体"/>
                <w:color w:val="auto"/>
                <w:sz w:val="21"/>
                <w:highlight w:val="none"/>
              </w:rPr>
            </w:pPr>
          </w:p>
        </w:tc>
      </w:tr>
      <w:tr w14:paraId="5969A9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1912" w:type="dxa"/>
            <w:vMerge w:val="restart"/>
            <w:tcBorders>
              <w:bottom w:val="nil"/>
            </w:tcBorders>
            <w:vAlign w:val="top"/>
          </w:tcPr>
          <w:p w14:paraId="59B15DDB">
            <w:pPr>
              <w:spacing w:line="330" w:lineRule="auto"/>
              <w:rPr>
                <w:rFonts w:hint="eastAsia" w:ascii="宋体" w:hAnsi="宋体" w:eastAsia="宋体" w:cs="宋体"/>
                <w:color w:val="auto"/>
                <w:sz w:val="21"/>
                <w:highlight w:val="none"/>
              </w:rPr>
            </w:pPr>
          </w:p>
          <w:p w14:paraId="5AA886F2">
            <w:pPr>
              <w:pStyle w:val="25"/>
              <w:spacing w:before="72" w:line="222" w:lineRule="auto"/>
              <w:ind w:left="545"/>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联系方式</w:t>
            </w:r>
          </w:p>
        </w:tc>
        <w:tc>
          <w:tcPr>
            <w:tcW w:w="900" w:type="dxa"/>
            <w:vAlign w:val="top"/>
          </w:tcPr>
          <w:p w14:paraId="7CABAEF4">
            <w:pPr>
              <w:pStyle w:val="25"/>
              <w:spacing w:before="174" w:line="217" w:lineRule="auto"/>
              <w:ind w:left="130"/>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联系人</w:t>
            </w:r>
          </w:p>
        </w:tc>
        <w:tc>
          <w:tcPr>
            <w:tcW w:w="2339" w:type="dxa"/>
            <w:gridSpan w:val="3"/>
            <w:vAlign w:val="top"/>
          </w:tcPr>
          <w:p w14:paraId="54FF233B">
            <w:pPr>
              <w:rPr>
                <w:rFonts w:hint="eastAsia" w:ascii="宋体" w:hAnsi="宋体" w:eastAsia="宋体" w:cs="宋体"/>
                <w:color w:val="auto"/>
                <w:sz w:val="21"/>
                <w:highlight w:val="none"/>
              </w:rPr>
            </w:pPr>
          </w:p>
        </w:tc>
        <w:tc>
          <w:tcPr>
            <w:tcW w:w="1076" w:type="dxa"/>
            <w:vAlign w:val="top"/>
          </w:tcPr>
          <w:p w14:paraId="43AEF8BA">
            <w:pPr>
              <w:pStyle w:val="25"/>
              <w:spacing w:before="174" w:line="217" w:lineRule="auto"/>
              <w:ind w:left="300"/>
              <w:rPr>
                <w:rFonts w:hint="eastAsia" w:ascii="宋体" w:hAnsi="宋体" w:eastAsia="宋体" w:cs="宋体"/>
                <w:color w:val="auto"/>
                <w:sz w:val="22"/>
                <w:szCs w:val="22"/>
                <w:highlight w:val="none"/>
              </w:rPr>
            </w:pPr>
            <w:r>
              <w:rPr>
                <w:rFonts w:hint="eastAsia" w:ascii="宋体" w:hAnsi="宋体" w:eastAsia="宋体" w:cs="宋体"/>
                <w:color w:val="auto"/>
                <w:spacing w:val="-17"/>
                <w:sz w:val="22"/>
                <w:szCs w:val="22"/>
                <w:highlight w:val="none"/>
              </w:rPr>
              <w:t>电话</w:t>
            </w:r>
          </w:p>
        </w:tc>
        <w:tc>
          <w:tcPr>
            <w:tcW w:w="2706" w:type="dxa"/>
            <w:gridSpan w:val="3"/>
            <w:vAlign w:val="top"/>
          </w:tcPr>
          <w:p w14:paraId="6343EF6B">
            <w:pPr>
              <w:rPr>
                <w:rFonts w:hint="eastAsia" w:ascii="宋体" w:hAnsi="宋体" w:eastAsia="宋体" w:cs="宋体"/>
                <w:color w:val="auto"/>
                <w:sz w:val="21"/>
                <w:highlight w:val="none"/>
              </w:rPr>
            </w:pPr>
          </w:p>
        </w:tc>
      </w:tr>
      <w:tr w14:paraId="7888CA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2" w:type="dxa"/>
            <w:vMerge w:val="continue"/>
            <w:tcBorders>
              <w:top w:val="nil"/>
            </w:tcBorders>
            <w:vAlign w:val="top"/>
          </w:tcPr>
          <w:p w14:paraId="1CC6825F">
            <w:pPr>
              <w:rPr>
                <w:rFonts w:hint="eastAsia" w:ascii="宋体" w:hAnsi="宋体" w:eastAsia="宋体" w:cs="宋体"/>
                <w:color w:val="auto"/>
                <w:sz w:val="21"/>
                <w:highlight w:val="none"/>
              </w:rPr>
            </w:pPr>
          </w:p>
        </w:tc>
        <w:tc>
          <w:tcPr>
            <w:tcW w:w="900" w:type="dxa"/>
            <w:vAlign w:val="top"/>
          </w:tcPr>
          <w:p w14:paraId="6E2FD90C">
            <w:pPr>
              <w:pStyle w:val="25"/>
              <w:spacing w:before="175" w:line="219" w:lineRule="auto"/>
              <w:ind w:left="135"/>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传真</w:t>
            </w:r>
          </w:p>
        </w:tc>
        <w:tc>
          <w:tcPr>
            <w:tcW w:w="2339" w:type="dxa"/>
            <w:gridSpan w:val="3"/>
            <w:vAlign w:val="top"/>
          </w:tcPr>
          <w:p w14:paraId="28CBB2C5">
            <w:pPr>
              <w:rPr>
                <w:rFonts w:hint="eastAsia" w:ascii="宋体" w:hAnsi="宋体" w:eastAsia="宋体" w:cs="宋体"/>
                <w:color w:val="auto"/>
                <w:sz w:val="21"/>
                <w:highlight w:val="none"/>
              </w:rPr>
            </w:pPr>
          </w:p>
        </w:tc>
        <w:tc>
          <w:tcPr>
            <w:tcW w:w="1076" w:type="dxa"/>
            <w:vAlign w:val="top"/>
          </w:tcPr>
          <w:p w14:paraId="3A13E7AA">
            <w:pPr>
              <w:pStyle w:val="25"/>
              <w:spacing w:before="175" w:line="219" w:lineRule="auto"/>
              <w:ind w:left="135"/>
              <w:rPr>
                <w:rFonts w:hint="eastAsia" w:ascii="宋体" w:hAnsi="宋体" w:eastAsia="宋体" w:cs="宋体"/>
                <w:color w:val="auto"/>
                <w:sz w:val="22"/>
                <w:szCs w:val="22"/>
                <w:highlight w:val="none"/>
              </w:rPr>
            </w:pPr>
            <w:r>
              <w:rPr>
                <w:rFonts w:hint="eastAsia" w:ascii="宋体" w:hAnsi="宋体" w:eastAsia="宋体" w:cs="宋体"/>
                <w:color w:val="auto"/>
                <w:spacing w:val="-9"/>
                <w:sz w:val="22"/>
                <w:szCs w:val="22"/>
                <w:highlight w:val="none"/>
              </w:rPr>
              <w:t>电子邮件</w:t>
            </w:r>
          </w:p>
        </w:tc>
        <w:tc>
          <w:tcPr>
            <w:tcW w:w="2706" w:type="dxa"/>
            <w:gridSpan w:val="3"/>
            <w:vAlign w:val="top"/>
          </w:tcPr>
          <w:p w14:paraId="450D4C49">
            <w:pPr>
              <w:rPr>
                <w:rFonts w:hint="eastAsia" w:ascii="宋体" w:hAnsi="宋体" w:eastAsia="宋体" w:cs="宋体"/>
                <w:color w:val="auto"/>
                <w:sz w:val="21"/>
                <w:highlight w:val="none"/>
              </w:rPr>
            </w:pPr>
          </w:p>
        </w:tc>
      </w:tr>
      <w:tr w14:paraId="07F1F7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1912" w:type="dxa"/>
            <w:vAlign w:val="top"/>
          </w:tcPr>
          <w:p w14:paraId="09105133">
            <w:pPr>
              <w:pStyle w:val="25"/>
              <w:spacing w:before="175" w:line="217" w:lineRule="auto"/>
              <w:ind w:left="439"/>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法定代表人</w:t>
            </w:r>
          </w:p>
        </w:tc>
        <w:tc>
          <w:tcPr>
            <w:tcW w:w="900" w:type="dxa"/>
            <w:vAlign w:val="top"/>
          </w:tcPr>
          <w:p w14:paraId="036ACFDC">
            <w:pPr>
              <w:pStyle w:val="25"/>
              <w:spacing w:before="175" w:line="217" w:lineRule="auto"/>
              <w:ind w:left="240"/>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姓名</w:t>
            </w:r>
          </w:p>
        </w:tc>
        <w:tc>
          <w:tcPr>
            <w:tcW w:w="1079" w:type="dxa"/>
            <w:vAlign w:val="top"/>
          </w:tcPr>
          <w:p w14:paraId="48391922">
            <w:pPr>
              <w:rPr>
                <w:rFonts w:hint="eastAsia" w:ascii="宋体" w:hAnsi="宋体" w:eastAsia="宋体" w:cs="宋体"/>
                <w:color w:val="auto"/>
                <w:sz w:val="21"/>
                <w:highlight w:val="none"/>
              </w:rPr>
            </w:pPr>
          </w:p>
        </w:tc>
        <w:tc>
          <w:tcPr>
            <w:tcW w:w="1260" w:type="dxa"/>
            <w:gridSpan w:val="2"/>
            <w:vAlign w:val="top"/>
          </w:tcPr>
          <w:p w14:paraId="00BF853C">
            <w:pPr>
              <w:pStyle w:val="25"/>
              <w:spacing w:before="175" w:line="217" w:lineRule="auto"/>
              <w:ind w:left="220"/>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技术职称</w:t>
            </w:r>
          </w:p>
        </w:tc>
        <w:tc>
          <w:tcPr>
            <w:tcW w:w="1076" w:type="dxa"/>
            <w:vAlign w:val="top"/>
          </w:tcPr>
          <w:p w14:paraId="72FB69AA">
            <w:pPr>
              <w:rPr>
                <w:rFonts w:hint="eastAsia" w:ascii="宋体" w:hAnsi="宋体" w:eastAsia="宋体" w:cs="宋体"/>
                <w:color w:val="auto"/>
                <w:sz w:val="21"/>
                <w:highlight w:val="none"/>
              </w:rPr>
            </w:pPr>
          </w:p>
        </w:tc>
        <w:tc>
          <w:tcPr>
            <w:tcW w:w="1081" w:type="dxa"/>
            <w:gridSpan w:val="2"/>
            <w:vAlign w:val="top"/>
          </w:tcPr>
          <w:p w14:paraId="473FEFBC">
            <w:pPr>
              <w:pStyle w:val="25"/>
              <w:spacing w:before="175" w:line="217" w:lineRule="auto"/>
              <w:ind w:left="369"/>
              <w:rPr>
                <w:rFonts w:hint="eastAsia" w:ascii="宋体" w:hAnsi="宋体" w:eastAsia="宋体" w:cs="宋体"/>
                <w:color w:val="auto"/>
                <w:sz w:val="22"/>
                <w:szCs w:val="22"/>
                <w:highlight w:val="none"/>
              </w:rPr>
            </w:pPr>
            <w:r>
              <w:rPr>
                <w:rFonts w:hint="eastAsia" w:ascii="宋体" w:hAnsi="宋体" w:eastAsia="宋体" w:cs="宋体"/>
                <w:color w:val="auto"/>
                <w:spacing w:val="-17"/>
                <w:sz w:val="22"/>
                <w:szCs w:val="22"/>
                <w:highlight w:val="none"/>
              </w:rPr>
              <w:t>电话</w:t>
            </w:r>
          </w:p>
        </w:tc>
        <w:tc>
          <w:tcPr>
            <w:tcW w:w="1625" w:type="dxa"/>
            <w:vAlign w:val="top"/>
          </w:tcPr>
          <w:p w14:paraId="15B94DE6">
            <w:pPr>
              <w:rPr>
                <w:rFonts w:hint="eastAsia" w:ascii="宋体" w:hAnsi="宋体" w:eastAsia="宋体" w:cs="宋体"/>
                <w:color w:val="auto"/>
                <w:sz w:val="21"/>
                <w:highlight w:val="none"/>
              </w:rPr>
            </w:pPr>
          </w:p>
        </w:tc>
      </w:tr>
      <w:tr w14:paraId="45D964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2" w:type="dxa"/>
            <w:vAlign w:val="top"/>
          </w:tcPr>
          <w:p w14:paraId="2BE87957">
            <w:pPr>
              <w:pStyle w:val="25"/>
              <w:spacing w:before="175" w:line="219" w:lineRule="auto"/>
              <w:ind w:left="439"/>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技术负责人</w:t>
            </w:r>
          </w:p>
        </w:tc>
        <w:tc>
          <w:tcPr>
            <w:tcW w:w="900" w:type="dxa"/>
            <w:vAlign w:val="top"/>
          </w:tcPr>
          <w:p w14:paraId="0370A0B6">
            <w:pPr>
              <w:pStyle w:val="25"/>
              <w:spacing w:before="175" w:line="219" w:lineRule="auto"/>
              <w:ind w:left="240"/>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姓名</w:t>
            </w:r>
          </w:p>
        </w:tc>
        <w:tc>
          <w:tcPr>
            <w:tcW w:w="1079" w:type="dxa"/>
            <w:vAlign w:val="top"/>
          </w:tcPr>
          <w:p w14:paraId="4988961A">
            <w:pPr>
              <w:rPr>
                <w:rFonts w:hint="eastAsia" w:ascii="宋体" w:hAnsi="宋体" w:eastAsia="宋体" w:cs="宋体"/>
                <w:color w:val="auto"/>
                <w:sz w:val="21"/>
                <w:highlight w:val="none"/>
              </w:rPr>
            </w:pPr>
          </w:p>
        </w:tc>
        <w:tc>
          <w:tcPr>
            <w:tcW w:w="1260" w:type="dxa"/>
            <w:gridSpan w:val="2"/>
            <w:vAlign w:val="top"/>
          </w:tcPr>
          <w:p w14:paraId="53F33A06">
            <w:pPr>
              <w:pStyle w:val="25"/>
              <w:spacing w:before="175" w:line="219" w:lineRule="auto"/>
              <w:ind w:left="220"/>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技术职称</w:t>
            </w:r>
          </w:p>
        </w:tc>
        <w:tc>
          <w:tcPr>
            <w:tcW w:w="1076" w:type="dxa"/>
            <w:vAlign w:val="top"/>
          </w:tcPr>
          <w:p w14:paraId="21DFD10D">
            <w:pPr>
              <w:rPr>
                <w:rFonts w:hint="eastAsia" w:ascii="宋体" w:hAnsi="宋体" w:eastAsia="宋体" w:cs="宋体"/>
                <w:color w:val="auto"/>
                <w:sz w:val="21"/>
                <w:highlight w:val="none"/>
              </w:rPr>
            </w:pPr>
          </w:p>
        </w:tc>
        <w:tc>
          <w:tcPr>
            <w:tcW w:w="1081" w:type="dxa"/>
            <w:gridSpan w:val="2"/>
            <w:vAlign w:val="top"/>
          </w:tcPr>
          <w:p w14:paraId="173C563C">
            <w:pPr>
              <w:pStyle w:val="25"/>
              <w:spacing w:before="175" w:line="219" w:lineRule="auto"/>
              <w:ind w:left="369"/>
              <w:rPr>
                <w:rFonts w:hint="eastAsia" w:ascii="宋体" w:hAnsi="宋体" w:eastAsia="宋体" w:cs="宋体"/>
                <w:color w:val="auto"/>
                <w:sz w:val="22"/>
                <w:szCs w:val="22"/>
                <w:highlight w:val="none"/>
              </w:rPr>
            </w:pPr>
            <w:r>
              <w:rPr>
                <w:rFonts w:hint="eastAsia" w:ascii="宋体" w:hAnsi="宋体" w:eastAsia="宋体" w:cs="宋体"/>
                <w:color w:val="auto"/>
                <w:spacing w:val="-17"/>
                <w:sz w:val="22"/>
                <w:szCs w:val="22"/>
                <w:highlight w:val="none"/>
              </w:rPr>
              <w:t>电话</w:t>
            </w:r>
          </w:p>
        </w:tc>
        <w:tc>
          <w:tcPr>
            <w:tcW w:w="1625" w:type="dxa"/>
            <w:vAlign w:val="top"/>
          </w:tcPr>
          <w:p w14:paraId="0E1FEA71">
            <w:pPr>
              <w:rPr>
                <w:rFonts w:hint="eastAsia" w:ascii="宋体" w:hAnsi="宋体" w:eastAsia="宋体" w:cs="宋体"/>
                <w:color w:val="auto"/>
                <w:sz w:val="21"/>
                <w:highlight w:val="none"/>
              </w:rPr>
            </w:pPr>
          </w:p>
        </w:tc>
      </w:tr>
      <w:tr w14:paraId="19DF2F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1912" w:type="dxa"/>
            <w:vAlign w:val="top"/>
          </w:tcPr>
          <w:p w14:paraId="03A546D8">
            <w:pPr>
              <w:pStyle w:val="25"/>
              <w:spacing w:before="175" w:line="216" w:lineRule="auto"/>
              <w:ind w:left="445"/>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营业执照号</w:t>
            </w:r>
          </w:p>
        </w:tc>
        <w:tc>
          <w:tcPr>
            <w:tcW w:w="1979" w:type="dxa"/>
            <w:gridSpan w:val="2"/>
            <w:vAlign w:val="top"/>
          </w:tcPr>
          <w:p w14:paraId="009A8FFF">
            <w:pPr>
              <w:rPr>
                <w:rFonts w:hint="eastAsia" w:ascii="宋体" w:hAnsi="宋体" w:eastAsia="宋体" w:cs="宋体"/>
                <w:color w:val="auto"/>
                <w:sz w:val="21"/>
                <w:highlight w:val="none"/>
              </w:rPr>
            </w:pPr>
          </w:p>
        </w:tc>
        <w:tc>
          <w:tcPr>
            <w:tcW w:w="5042" w:type="dxa"/>
            <w:gridSpan w:val="6"/>
            <w:vAlign w:val="top"/>
          </w:tcPr>
          <w:p w14:paraId="25168125">
            <w:pPr>
              <w:pStyle w:val="25"/>
              <w:spacing w:before="175" w:line="216" w:lineRule="auto"/>
              <w:ind w:left="1942"/>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员工总人数：</w:t>
            </w:r>
          </w:p>
        </w:tc>
      </w:tr>
      <w:tr w14:paraId="161CBD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2" w:type="dxa"/>
            <w:vAlign w:val="top"/>
          </w:tcPr>
          <w:p w14:paraId="6647CC49">
            <w:pPr>
              <w:pStyle w:val="25"/>
              <w:spacing w:before="173" w:line="220" w:lineRule="auto"/>
              <w:ind w:left="339"/>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企业资质等级</w:t>
            </w:r>
          </w:p>
        </w:tc>
        <w:tc>
          <w:tcPr>
            <w:tcW w:w="1979" w:type="dxa"/>
            <w:gridSpan w:val="2"/>
            <w:vAlign w:val="top"/>
          </w:tcPr>
          <w:p w14:paraId="4CD8CDEF">
            <w:pPr>
              <w:rPr>
                <w:rFonts w:hint="eastAsia" w:ascii="宋体" w:hAnsi="宋体" w:eastAsia="宋体" w:cs="宋体"/>
                <w:color w:val="auto"/>
                <w:sz w:val="21"/>
                <w:highlight w:val="none"/>
              </w:rPr>
            </w:pPr>
          </w:p>
        </w:tc>
        <w:tc>
          <w:tcPr>
            <w:tcW w:w="528" w:type="dxa"/>
            <w:vMerge w:val="restart"/>
            <w:tcBorders>
              <w:bottom w:val="nil"/>
            </w:tcBorders>
            <w:textDirection w:val="tbRlV"/>
            <w:vAlign w:val="top"/>
          </w:tcPr>
          <w:p w14:paraId="24566FCB">
            <w:pPr>
              <w:pStyle w:val="25"/>
              <w:spacing w:before="140" w:line="209" w:lineRule="auto"/>
              <w:ind w:left="86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其中</w:t>
            </w:r>
          </w:p>
        </w:tc>
        <w:tc>
          <w:tcPr>
            <w:tcW w:w="1990" w:type="dxa"/>
            <w:gridSpan w:val="3"/>
            <w:vAlign w:val="top"/>
          </w:tcPr>
          <w:p w14:paraId="724AE77E">
            <w:pPr>
              <w:pStyle w:val="25"/>
              <w:spacing w:before="173" w:line="220" w:lineRule="auto"/>
              <w:ind w:left="590"/>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项目经理</w:t>
            </w:r>
          </w:p>
        </w:tc>
        <w:tc>
          <w:tcPr>
            <w:tcW w:w="2524" w:type="dxa"/>
            <w:gridSpan w:val="2"/>
            <w:vAlign w:val="top"/>
          </w:tcPr>
          <w:p w14:paraId="4848FDF4">
            <w:pPr>
              <w:rPr>
                <w:rFonts w:hint="eastAsia" w:ascii="宋体" w:hAnsi="宋体" w:eastAsia="宋体" w:cs="宋体"/>
                <w:color w:val="auto"/>
                <w:sz w:val="21"/>
                <w:highlight w:val="none"/>
              </w:rPr>
            </w:pPr>
          </w:p>
        </w:tc>
      </w:tr>
      <w:tr w14:paraId="70AA55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1912" w:type="dxa"/>
            <w:vAlign w:val="top"/>
          </w:tcPr>
          <w:p w14:paraId="5727FF4A">
            <w:pPr>
              <w:pStyle w:val="25"/>
              <w:spacing w:before="174" w:line="217" w:lineRule="auto"/>
              <w:ind w:left="544"/>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注册资本</w:t>
            </w:r>
          </w:p>
        </w:tc>
        <w:tc>
          <w:tcPr>
            <w:tcW w:w="1979" w:type="dxa"/>
            <w:gridSpan w:val="2"/>
            <w:vAlign w:val="top"/>
          </w:tcPr>
          <w:p w14:paraId="52B450E2">
            <w:pPr>
              <w:rPr>
                <w:rFonts w:hint="eastAsia" w:ascii="宋体" w:hAnsi="宋体" w:eastAsia="宋体" w:cs="宋体"/>
                <w:color w:val="auto"/>
                <w:sz w:val="21"/>
                <w:highlight w:val="none"/>
              </w:rPr>
            </w:pPr>
          </w:p>
        </w:tc>
        <w:tc>
          <w:tcPr>
            <w:tcW w:w="528" w:type="dxa"/>
            <w:vMerge w:val="continue"/>
            <w:tcBorders>
              <w:top w:val="nil"/>
              <w:bottom w:val="nil"/>
            </w:tcBorders>
            <w:textDirection w:val="tbRlV"/>
            <w:vAlign w:val="top"/>
          </w:tcPr>
          <w:p w14:paraId="29C5D870">
            <w:pPr>
              <w:rPr>
                <w:rFonts w:hint="eastAsia" w:ascii="宋体" w:hAnsi="宋体" w:eastAsia="宋体" w:cs="宋体"/>
                <w:color w:val="auto"/>
                <w:sz w:val="21"/>
                <w:highlight w:val="none"/>
              </w:rPr>
            </w:pPr>
          </w:p>
        </w:tc>
        <w:tc>
          <w:tcPr>
            <w:tcW w:w="1990" w:type="dxa"/>
            <w:gridSpan w:val="3"/>
            <w:vAlign w:val="top"/>
          </w:tcPr>
          <w:p w14:paraId="5254DF82">
            <w:pPr>
              <w:pStyle w:val="25"/>
              <w:spacing w:before="174" w:line="217" w:lineRule="auto"/>
              <w:ind w:left="381"/>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高级职称人员</w:t>
            </w:r>
          </w:p>
        </w:tc>
        <w:tc>
          <w:tcPr>
            <w:tcW w:w="2524" w:type="dxa"/>
            <w:gridSpan w:val="2"/>
            <w:vAlign w:val="top"/>
          </w:tcPr>
          <w:p w14:paraId="1651D90E">
            <w:pPr>
              <w:rPr>
                <w:rFonts w:hint="eastAsia" w:ascii="宋体" w:hAnsi="宋体" w:eastAsia="宋体" w:cs="宋体"/>
                <w:color w:val="auto"/>
                <w:sz w:val="21"/>
                <w:highlight w:val="none"/>
              </w:rPr>
            </w:pPr>
          </w:p>
        </w:tc>
      </w:tr>
      <w:tr w14:paraId="6C104D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912" w:type="dxa"/>
            <w:vAlign w:val="top"/>
          </w:tcPr>
          <w:p w14:paraId="01CAC029">
            <w:pPr>
              <w:pStyle w:val="25"/>
              <w:spacing w:before="175" w:line="218" w:lineRule="auto"/>
              <w:ind w:left="546"/>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成立日期</w:t>
            </w:r>
          </w:p>
        </w:tc>
        <w:tc>
          <w:tcPr>
            <w:tcW w:w="1979" w:type="dxa"/>
            <w:gridSpan w:val="2"/>
            <w:vAlign w:val="top"/>
          </w:tcPr>
          <w:p w14:paraId="6E401B7F">
            <w:pPr>
              <w:rPr>
                <w:rFonts w:hint="eastAsia" w:ascii="宋体" w:hAnsi="宋体" w:eastAsia="宋体" w:cs="宋体"/>
                <w:color w:val="auto"/>
                <w:sz w:val="21"/>
                <w:highlight w:val="none"/>
              </w:rPr>
            </w:pPr>
          </w:p>
        </w:tc>
        <w:tc>
          <w:tcPr>
            <w:tcW w:w="528" w:type="dxa"/>
            <w:vMerge w:val="continue"/>
            <w:tcBorders>
              <w:top w:val="nil"/>
              <w:bottom w:val="nil"/>
            </w:tcBorders>
            <w:textDirection w:val="tbRlV"/>
            <w:vAlign w:val="top"/>
          </w:tcPr>
          <w:p w14:paraId="5342E012">
            <w:pPr>
              <w:rPr>
                <w:rFonts w:hint="eastAsia" w:ascii="宋体" w:hAnsi="宋体" w:eastAsia="宋体" w:cs="宋体"/>
                <w:color w:val="auto"/>
                <w:sz w:val="21"/>
                <w:highlight w:val="none"/>
              </w:rPr>
            </w:pPr>
          </w:p>
        </w:tc>
        <w:tc>
          <w:tcPr>
            <w:tcW w:w="1990" w:type="dxa"/>
            <w:gridSpan w:val="3"/>
            <w:vAlign w:val="top"/>
          </w:tcPr>
          <w:p w14:paraId="5B5541C6">
            <w:pPr>
              <w:pStyle w:val="25"/>
              <w:spacing w:before="175" w:line="218" w:lineRule="auto"/>
              <w:ind w:left="396"/>
              <w:rPr>
                <w:rFonts w:hint="eastAsia" w:ascii="宋体" w:hAnsi="宋体" w:eastAsia="宋体" w:cs="宋体"/>
                <w:color w:val="auto"/>
                <w:sz w:val="22"/>
                <w:szCs w:val="22"/>
                <w:highlight w:val="none"/>
              </w:rPr>
            </w:pPr>
            <w:r>
              <w:rPr>
                <w:rFonts w:hint="eastAsia" w:ascii="宋体" w:hAnsi="宋体" w:eastAsia="宋体" w:cs="宋体"/>
                <w:color w:val="auto"/>
                <w:spacing w:val="-5"/>
                <w:sz w:val="22"/>
                <w:szCs w:val="22"/>
                <w:highlight w:val="none"/>
              </w:rPr>
              <w:t>中级职称人员</w:t>
            </w:r>
          </w:p>
        </w:tc>
        <w:tc>
          <w:tcPr>
            <w:tcW w:w="2524" w:type="dxa"/>
            <w:gridSpan w:val="2"/>
            <w:vAlign w:val="top"/>
          </w:tcPr>
          <w:p w14:paraId="772722CB">
            <w:pPr>
              <w:rPr>
                <w:rFonts w:hint="eastAsia" w:ascii="宋体" w:hAnsi="宋体" w:eastAsia="宋体" w:cs="宋体"/>
                <w:color w:val="auto"/>
                <w:sz w:val="21"/>
                <w:highlight w:val="none"/>
              </w:rPr>
            </w:pPr>
          </w:p>
        </w:tc>
      </w:tr>
      <w:tr w14:paraId="34F0CE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1912" w:type="dxa"/>
            <w:vAlign w:val="top"/>
          </w:tcPr>
          <w:p w14:paraId="47C1A711">
            <w:pPr>
              <w:pStyle w:val="25"/>
              <w:spacing w:before="175" w:line="216" w:lineRule="auto"/>
              <w:ind w:left="52"/>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基本账户开户银行</w:t>
            </w:r>
          </w:p>
        </w:tc>
        <w:tc>
          <w:tcPr>
            <w:tcW w:w="1979" w:type="dxa"/>
            <w:gridSpan w:val="2"/>
            <w:vAlign w:val="top"/>
          </w:tcPr>
          <w:p w14:paraId="4BDDC516">
            <w:pPr>
              <w:rPr>
                <w:rFonts w:hint="eastAsia" w:ascii="宋体" w:hAnsi="宋体" w:eastAsia="宋体" w:cs="宋体"/>
                <w:color w:val="auto"/>
                <w:sz w:val="21"/>
                <w:highlight w:val="none"/>
              </w:rPr>
            </w:pPr>
          </w:p>
        </w:tc>
        <w:tc>
          <w:tcPr>
            <w:tcW w:w="528" w:type="dxa"/>
            <w:vMerge w:val="continue"/>
            <w:tcBorders>
              <w:top w:val="nil"/>
              <w:bottom w:val="nil"/>
            </w:tcBorders>
            <w:textDirection w:val="tbRlV"/>
            <w:vAlign w:val="top"/>
          </w:tcPr>
          <w:p w14:paraId="29EBB5C1">
            <w:pPr>
              <w:rPr>
                <w:rFonts w:hint="eastAsia" w:ascii="宋体" w:hAnsi="宋体" w:eastAsia="宋体" w:cs="宋体"/>
                <w:color w:val="auto"/>
                <w:sz w:val="21"/>
                <w:highlight w:val="none"/>
              </w:rPr>
            </w:pPr>
          </w:p>
        </w:tc>
        <w:tc>
          <w:tcPr>
            <w:tcW w:w="1990" w:type="dxa"/>
            <w:gridSpan w:val="3"/>
            <w:vAlign w:val="top"/>
          </w:tcPr>
          <w:p w14:paraId="7EA34E4A">
            <w:pPr>
              <w:pStyle w:val="25"/>
              <w:spacing w:before="175" w:line="216" w:lineRule="auto"/>
              <w:ind w:left="374"/>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初级职称人员</w:t>
            </w:r>
          </w:p>
        </w:tc>
        <w:tc>
          <w:tcPr>
            <w:tcW w:w="2524" w:type="dxa"/>
            <w:gridSpan w:val="2"/>
            <w:vAlign w:val="top"/>
          </w:tcPr>
          <w:p w14:paraId="53CB7A3E">
            <w:pPr>
              <w:rPr>
                <w:rFonts w:hint="eastAsia" w:ascii="宋体" w:hAnsi="宋体" w:eastAsia="宋体" w:cs="宋体"/>
                <w:color w:val="auto"/>
                <w:sz w:val="21"/>
                <w:highlight w:val="none"/>
              </w:rPr>
            </w:pPr>
          </w:p>
        </w:tc>
      </w:tr>
      <w:tr w14:paraId="289DEE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2" w:type="dxa"/>
            <w:vAlign w:val="top"/>
          </w:tcPr>
          <w:p w14:paraId="32A5BFE5">
            <w:pPr>
              <w:pStyle w:val="25"/>
              <w:spacing w:before="177" w:line="217" w:lineRule="auto"/>
              <w:ind w:left="47"/>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基本账户银行账号</w:t>
            </w:r>
          </w:p>
        </w:tc>
        <w:tc>
          <w:tcPr>
            <w:tcW w:w="1979" w:type="dxa"/>
            <w:gridSpan w:val="2"/>
            <w:vAlign w:val="top"/>
          </w:tcPr>
          <w:p w14:paraId="29509134">
            <w:pPr>
              <w:rPr>
                <w:rFonts w:hint="eastAsia" w:ascii="宋体" w:hAnsi="宋体" w:eastAsia="宋体" w:cs="宋体"/>
                <w:color w:val="auto"/>
                <w:sz w:val="21"/>
                <w:highlight w:val="none"/>
              </w:rPr>
            </w:pPr>
          </w:p>
        </w:tc>
        <w:tc>
          <w:tcPr>
            <w:tcW w:w="528" w:type="dxa"/>
            <w:vMerge w:val="continue"/>
            <w:tcBorders>
              <w:top w:val="nil"/>
            </w:tcBorders>
            <w:textDirection w:val="tbRlV"/>
            <w:vAlign w:val="top"/>
          </w:tcPr>
          <w:p w14:paraId="2B7E38AB">
            <w:pPr>
              <w:rPr>
                <w:rFonts w:hint="eastAsia" w:ascii="宋体" w:hAnsi="宋体" w:eastAsia="宋体" w:cs="宋体"/>
                <w:color w:val="auto"/>
                <w:sz w:val="21"/>
                <w:highlight w:val="none"/>
              </w:rPr>
            </w:pPr>
          </w:p>
        </w:tc>
        <w:tc>
          <w:tcPr>
            <w:tcW w:w="1990" w:type="dxa"/>
            <w:gridSpan w:val="3"/>
            <w:vAlign w:val="top"/>
          </w:tcPr>
          <w:p w14:paraId="782A7AE2">
            <w:pPr>
              <w:pStyle w:val="25"/>
              <w:spacing w:before="185" w:line="230" w:lineRule="auto"/>
              <w:ind w:left="805"/>
              <w:rPr>
                <w:rFonts w:hint="eastAsia" w:ascii="宋体" w:hAnsi="宋体" w:eastAsia="宋体" w:cs="宋体"/>
                <w:color w:val="auto"/>
                <w:sz w:val="19"/>
                <w:szCs w:val="19"/>
                <w:highlight w:val="none"/>
              </w:rPr>
            </w:pPr>
            <w:r>
              <w:rPr>
                <w:rFonts w:hint="eastAsia" w:ascii="宋体" w:hAnsi="宋体" w:eastAsia="宋体" w:cs="宋体"/>
                <w:color w:val="auto"/>
                <w:spacing w:val="4"/>
                <w:sz w:val="19"/>
                <w:szCs w:val="19"/>
                <w:highlight w:val="none"/>
              </w:rPr>
              <w:t>技工</w:t>
            </w:r>
          </w:p>
        </w:tc>
        <w:tc>
          <w:tcPr>
            <w:tcW w:w="2524" w:type="dxa"/>
            <w:gridSpan w:val="2"/>
            <w:vAlign w:val="top"/>
          </w:tcPr>
          <w:p w14:paraId="03C8A241">
            <w:pPr>
              <w:rPr>
                <w:rFonts w:hint="eastAsia" w:ascii="宋体" w:hAnsi="宋体" w:eastAsia="宋体" w:cs="宋体"/>
                <w:color w:val="auto"/>
                <w:sz w:val="21"/>
                <w:highlight w:val="none"/>
              </w:rPr>
            </w:pPr>
          </w:p>
        </w:tc>
      </w:tr>
      <w:tr w14:paraId="5F7473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2" w:hRule="atLeast"/>
        </w:trPr>
        <w:tc>
          <w:tcPr>
            <w:tcW w:w="1912" w:type="dxa"/>
            <w:vAlign w:val="top"/>
          </w:tcPr>
          <w:p w14:paraId="1B4B0FDD">
            <w:pPr>
              <w:spacing w:line="252" w:lineRule="auto"/>
              <w:rPr>
                <w:rFonts w:hint="eastAsia" w:ascii="宋体" w:hAnsi="宋体" w:eastAsia="宋体" w:cs="宋体"/>
                <w:color w:val="auto"/>
                <w:sz w:val="21"/>
                <w:highlight w:val="none"/>
              </w:rPr>
            </w:pPr>
          </w:p>
          <w:p w14:paraId="6058513A">
            <w:pPr>
              <w:pStyle w:val="25"/>
              <w:spacing w:before="72" w:line="221" w:lineRule="auto"/>
              <w:ind w:left="654"/>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经营范围</w:t>
            </w:r>
          </w:p>
        </w:tc>
        <w:tc>
          <w:tcPr>
            <w:tcW w:w="7021" w:type="dxa"/>
            <w:gridSpan w:val="8"/>
            <w:vAlign w:val="top"/>
          </w:tcPr>
          <w:p w14:paraId="2EB746D2">
            <w:pPr>
              <w:rPr>
                <w:rFonts w:hint="eastAsia" w:ascii="宋体" w:hAnsi="宋体" w:eastAsia="宋体" w:cs="宋体"/>
                <w:color w:val="auto"/>
                <w:sz w:val="21"/>
                <w:highlight w:val="none"/>
              </w:rPr>
            </w:pPr>
          </w:p>
        </w:tc>
      </w:tr>
      <w:tr w14:paraId="7EAB7F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3" w:hRule="atLeast"/>
        </w:trPr>
        <w:tc>
          <w:tcPr>
            <w:tcW w:w="1912" w:type="dxa"/>
            <w:vAlign w:val="top"/>
          </w:tcPr>
          <w:p w14:paraId="10145B50">
            <w:pPr>
              <w:spacing w:line="259" w:lineRule="auto"/>
              <w:rPr>
                <w:rFonts w:hint="eastAsia" w:ascii="宋体" w:hAnsi="宋体" w:eastAsia="宋体" w:cs="宋体"/>
                <w:color w:val="auto"/>
                <w:sz w:val="21"/>
                <w:highlight w:val="none"/>
              </w:rPr>
            </w:pPr>
          </w:p>
          <w:p w14:paraId="6E153E21">
            <w:pPr>
              <w:spacing w:line="259" w:lineRule="auto"/>
              <w:rPr>
                <w:rFonts w:hint="eastAsia" w:ascii="宋体" w:hAnsi="宋体" w:eastAsia="宋体" w:cs="宋体"/>
                <w:color w:val="auto"/>
                <w:sz w:val="21"/>
                <w:highlight w:val="none"/>
              </w:rPr>
            </w:pPr>
          </w:p>
          <w:p w14:paraId="6CA3307A">
            <w:pPr>
              <w:spacing w:line="259" w:lineRule="auto"/>
              <w:rPr>
                <w:rFonts w:hint="eastAsia" w:ascii="宋体" w:hAnsi="宋体" w:eastAsia="宋体" w:cs="宋体"/>
                <w:color w:val="auto"/>
                <w:sz w:val="21"/>
                <w:highlight w:val="none"/>
              </w:rPr>
            </w:pPr>
          </w:p>
          <w:p w14:paraId="5914C43D">
            <w:pPr>
              <w:spacing w:line="259" w:lineRule="auto"/>
              <w:rPr>
                <w:rFonts w:hint="eastAsia" w:ascii="宋体" w:hAnsi="宋体" w:eastAsia="宋体" w:cs="宋体"/>
                <w:color w:val="auto"/>
                <w:sz w:val="21"/>
                <w:highlight w:val="none"/>
              </w:rPr>
            </w:pPr>
          </w:p>
          <w:p w14:paraId="672E045D">
            <w:pPr>
              <w:spacing w:line="259" w:lineRule="auto"/>
              <w:rPr>
                <w:rFonts w:hint="eastAsia" w:ascii="宋体" w:hAnsi="宋体" w:eastAsia="宋体" w:cs="宋体"/>
                <w:color w:val="auto"/>
                <w:sz w:val="21"/>
                <w:highlight w:val="none"/>
              </w:rPr>
            </w:pPr>
          </w:p>
          <w:p w14:paraId="2C846EFD">
            <w:pPr>
              <w:pStyle w:val="25"/>
              <w:spacing w:before="72" w:line="391" w:lineRule="auto"/>
              <w:ind w:left="859" w:right="250" w:hanging="732"/>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投标人关联企业</w:t>
            </w:r>
            <w:r>
              <w:rPr>
                <w:rFonts w:hint="eastAsia" w:ascii="宋体" w:hAnsi="宋体" w:eastAsia="宋体" w:cs="宋体"/>
                <w:color w:val="auto"/>
                <w:spacing w:val="-4"/>
                <w:sz w:val="22"/>
                <w:szCs w:val="22"/>
                <w:highlight w:val="none"/>
              </w:rPr>
              <w:t>情况</w:t>
            </w:r>
          </w:p>
        </w:tc>
        <w:tc>
          <w:tcPr>
            <w:tcW w:w="7021" w:type="dxa"/>
            <w:gridSpan w:val="8"/>
            <w:vAlign w:val="top"/>
          </w:tcPr>
          <w:p w14:paraId="7AB3D965">
            <w:pPr>
              <w:pStyle w:val="25"/>
              <w:spacing w:before="163" w:line="219" w:lineRule="auto"/>
              <w:ind w:left="118"/>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投标人应提供关联企业情况，包括：</w:t>
            </w:r>
          </w:p>
          <w:p w14:paraId="6FC9CFAB">
            <w:pPr>
              <w:pStyle w:val="25"/>
              <w:spacing w:before="156" w:line="311" w:lineRule="auto"/>
              <w:ind w:left="115" w:right="92" w:hanging="99"/>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（1）投标人的所有股东名称及相应股权（出资额）比例；如投标人为上</w:t>
            </w:r>
            <w:r>
              <w:rPr>
                <w:rFonts w:hint="eastAsia" w:ascii="宋体" w:hAnsi="宋体" w:eastAsia="宋体" w:cs="宋体"/>
                <w:color w:val="auto"/>
                <w:sz w:val="22"/>
                <w:szCs w:val="22"/>
                <w:highlight w:val="none"/>
              </w:rPr>
              <w:t>市公司，投标人应提供股权占公司股份总数%以上的所有股东名称及</w:t>
            </w:r>
            <w:r>
              <w:rPr>
                <w:rFonts w:hint="eastAsia" w:ascii="宋体" w:hAnsi="宋体" w:eastAsia="宋体" w:cs="宋体"/>
                <w:color w:val="auto"/>
                <w:spacing w:val="-2"/>
                <w:sz w:val="22"/>
                <w:szCs w:val="22"/>
                <w:highlight w:val="none"/>
              </w:rPr>
              <w:t>相应股权比例；</w:t>
            </w:r>
          </w:p>
          <w:p w14:paraId="7F5D2F3A">
            <w:pPr>
              <w:pStyle w:val="25"/>
              <w:spacing w:before="160" w:line="289" w:lineRule="auto"/>
              <w:ind w:left="139" w:right="98" w:hanging="123"/>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（2）投标人投资（控股）或管理的下属企业名称、持有股权（出资额）</w:t>
            </w:r>
            <w:r>
              <w:rPr>
                <w:rFonts w:hint="eastAsia" w:ascii="宋体" w:hAnsi="宋体" w:eastAsia="宋体" w:cs="宋体"/>
                <w:color w:val="auto"/>
                <w:spacing w:val="-11"/>
                <w:sz w:val="22"/>
                <w:szCs w:val="22"/>
                <w:highlight w:val="none"/>
              </w:rPr>
              <w:t>比例；</w:t>
            </w:r>
          </w:p>
          <w:p w14:paraId="0C1C004B">
            <w:pPr>
              <w:pStyle w:val="25"/>
              <w:spacing w:before="151" w:line="220" w:lineRule="auto"/>
              <w:ind w:left="18"/>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（3）与投标人单位负责人（即法定代表人）为同一人的其他单位名称</w:t>
            </w:r>
          </w:p>
        </w:tc>
      </w:tr>
      <w:tr w14:paraId="09FCF8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1912" w:type="dxa"/>
            <w:vAlign w:val="top"/>
          </w:tcPr>
          <w:p w14:paraId="641136BE">
            <w:pPr>
              <w:pStyle w:val="25"/>
              <w:spacing w:before="179" w:line="219" w:lineRule="auto"/>
              <w:ind w:left="751"/>
              <w:rPr>
                <w:rFonts w:hint="eastAsia" w:ascii="宋体" w:hAnsi="宋体" w:eastAsia="宋体" w:cs="宋体"/>
                <w:color w:val="auto"/>
                <w:sz w:val="22"/>
                <w:szCs w:val="22"/>
                <w:highlight w:val="none"/>
              </w:rPr>
            </w:pPr>
            <w:r>
              <w:rPr>
                <w:rFonts w:hint="eastAsia" w:ascii="宋体" w:hAnsi="宋体" w:eastAsia="宋体" w:cs="宋体"/>
                <w:color w:val="auto"/>
                <w:spacing w:val="-5"/>
                <w:sz w:val="22"/>
                <w:szCs w:val="22"/>
                <w:highlight w:val="none"/>
              </w:rPr>
              <w:t>备注</w:t>
            </w:r>
          </w:p>
        </w:tc>
        <w:tc>
          <w:tcPr>
            <w:tcW w:w="7021" w:type="dxa"/>
            <w:gridSpan w:val="8"/>
            <w:vAlign w:val="top"/>
          </w:tcPr>
          <w:p w14:paraId="2D951D39">
            <w:pPr>
              <w:rPr>
                <w:rFonts w:hint="eastAsia" w:ascii="宋体" w:hAnsi="宋体" w:eastAsia="宋体" w:cs="宋体"/>
                <w:color w:val="auto"/>
                <w:sz w:val="21"/>
                <w:highlight w:val="none"/>
              </w:rPr>
            </w:pPr>
          </w:p>
        </w:tc>
      </w:tr>
    </w:tbl>
    <w:p w14:paraId="1AD5039B">
      <w:pPr>
        <w:spacing w:before="158" w:line="227" w:lineRule="auto"/>
        <w:ind w:left="19"/>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注：1.投标人应根据招标文件第二章“投标人须</w:t>
      </w:r>
      <w:r>
        <w:rPr>
          <w:rFonts w:hint="eastAsia" w:ascii="宋体" w:hAnsi="宋体" w:eastAsia="宋体" w:cs="宋体"/>
          <w:color w:val="auto"/>
          <w:spacing w:val="7"/>
          <w:sz w:val="20"/>
          <w:szCs w:val="20"/>
          <w:highlight w:val="none"/>
        </w:rPr>
        <w:t>知”第3.5.1项的要求在本表后附相关证明材料。</w:t>
      </w:r>
    </w:p>
    <w:p w14:paraId="77272A74">
      <w:pPr>
        <w:spacing w:before="160" w:line="228" w:lineRule="auto"/>
        <w:ind w:left="699"/>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2.以联合体形式参与投标的，联合体各成员应分别填写。</w:t>
      </w:r>
    </w:p>
    <w:p w14:paraId="19920E38">
      <w:pPr>
        <w:spacing w:before="153" w:line="227" w:lineRule="auto"/>
        <w:ind w:left="127"/>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投标人应提供关联企业情况，包括：</w:t>
      </w:r>
    </w:p>
    <w:p w14:paraId="77FB84DA">
      <w:pPr>
        <w:spacing w:before="157" w:line="301" w:lineRule="auto"/>
        <w:ind w:left="124" w:right="357" w:hanging="95"/>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（1）投标人的所有股东名称及相应股权（出资额）比例；如投标</w:t>
      </w:r>
      <w:r>
        <w:rPr>
          <w:rFonts w:hint="eastAsia" w:ascii="宋体" w:hAnsi="宋体" w:eastAsia="宋体" w:cs="宋体"/>
          <w:color w:val="auto"/>
          <w:spacing w:val="8"/>
          <w:sz w:val="20"/>
          <w:szCs w:val="20"/>
          <w:highlight w:val="none"/>
        </w:rPr>
        <w:t>人为上市公司，投标人应提供</w:t>
      </w:r>
      <w:r>
        <w:rPr>
          <w:rFonts w:hint="eastAsia" w:ascii="宋体" w:hAnsi="宋体" w:eastAsia="宋体" w:cs="宋体"/>
          <w:color w:val="auto"/>
          <w:spacing w:val="9"/>
          <w:sz w:val="20"/>
          <w:szCs w:val="20"/>
          <w:highlight w:val="none"/>
        </w:rPr>
        <w:t>股权占公司股份总数%以上的所有股东名称及相应</w:t>
      </w:r>
      <w:r>
        <w:rPr>
          <w:rFonts w:hint="eastAsia" w:ascii="宋体" w:hAnsi="宋体" w:eastAsia="宋体" w:cs="宋体"/>
          <w:color w:val="auto"/>
          <w:spacing w:val="8"/>
          <w:sz w:val="20"/>
          <w:szCs w:val="20"/>
          <w:highlight w:val="none"/>
        </w:rPr>
        <w:t>股权比例；</w:t>
      </w:r>
    </w:p>
    <w:p w14:paraId="41584D90">
      <w:pPr>
        <w:spacing w:before="158" w:line="228" w:lineRule="auto"/>
        <w:ind w:left="29"/>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（2）投标人投资（控股）或管理的下属企业名称、持有</w:t>
      </w:r>
      <w:r>
        <w:rPr>
          <w:rFonts w:hint="eastAsia" w:ascii="宋体" w:hAnsi="宋体" w:eastAsia="宋体" w:cs="宋体"/>
          <w:color w:val="auto"/>
          <w:spacing w:val="7"/>
          <w:sz w:val="20"/>
          <w:szCs w:val="20"/>
          <w:highlight w:val="none"/>
        </w:rPr>
        <w:t>股权（出资额）比例；</w:t>
      </w:r>
    </w:p>
    <w:p w14:paraId="2EE5BF91">
      <w:pPr>
        <w:spacing w:before="159" w:line="228" w:lineRule="auto"/>
        <w:ind w:left="29"/>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（3）与投标人单位负责人（即法定代表人）为同一人的其他单位名称</w:t>
      </w:r>
    </w:p>
    <w:p w14:paraId="1E90FC52">
      <w:pPr>
        <w:spacing w:line="228" w:lineRule="auto"/>
        <w:rPr>
          <w:rFonts w:hint="eastAsia" w:ascii="宋体" w:hAnsi="宋体" w:eastAsia="宋体" w:cs="宋体"/>
          <w:color w:val="auto"/>
          <w:sz w:val="20"/>
          <w:szCs w:val="20"/>
          <w:highlight w:val="none"/>
        </w:rPr>
        <w:sectPr>
          <w:headerReference r:id="rId269" w:type="default"/>
          <w:footerReference r:id="rId270" w:type="default"/>
          <w:pgSz w:w="11907" w:h="16840"/>
          <w:pgMar w:top="1182" w:right="1025" w:bottom="1014" w:left="1786" w:header="849" w:footer="852" w:gutter="0"/>
          <w:pgNumType w:fmt="decimal"/>
          <w:cols w:space="720" w:num="1"/>
        </w:sectPr>
      </w:pPr>
    </w:p>
    <w:p w14:paraId="47E517A0">
      <w:pPr>
        <w:pStyle w:val="4"/>
        <w:spacing w:line="297" w:lineRule="auto"/>
        <w:rPr>
          <w:rFonts w:hint="eastAsia" w:ascii="宋体" w:hAnsi="宋体" w:eastAsia="宋体" w:cs="宋体"/>
          <w:color w:val="auto"/>
          <w:highlight w:val="none"/>
        </w:rPr>
      </w:pPr>
    </w:p>
    <w:p w14:paraId="356C09B8">
      <w:pPr>
        <w:pStyle w:val="4"/>
        <w:spacing w:line="298" w:lineRule="auto"/>
        <w:rPr>
          <w:rFonts w:hint="eastAsia" w:ascii="宋体" w:hAnsi="宋体" w:eastAsia="宋体" w:cs="宋体"/>
          <w:color w:val="auto"/>
          <w:highlight w:val="none"/>
        </w:rPr>
      </w:pPr>
    </w:p>
    <w:p w14:paraId="3D434083">
      <w:pPr>
        <w:spacing w:before="78" w:line="222" w:lineRule="auto"/>
        <w:ind w:left="2960"/>
        <w:outlineLvl w:val="2"/>
        <w:rPr>
          <w:rFonts w:hint="eastAsia" w:ascii="宋体" w:hAnsi="宋体" w:eastAsia="宋体" w:cs="宋体"/>
          <w:color w:val="auto"/>
          <w:sz w:val="24"/>
          <w:szCs w:val="24"/>
          <w:highlight w:val="none"/>
        </w:rPr>
      </w:pPr>
      <w:bookmarkStart w:id="945" w:name="_Toc26571"/>
      <w:bookmarkStart w:id="946" w:name="_Toc17490"/>
      <w:bookmarkStart w:id="947" w:name="_Toc7651"/>
      <w:bookmarkStart w:id="948" w:name="_Toc13598"/>
      <w:bookmarkStart w:id="949" w:name="_Toc1028"/>
      <w:r>
        <w:rPr>
          <w:rFonts w:hint="eastAsia" w:ascii="宋体" w:hAnsi="宋体" w:eastAsia="宋体" w:cs="宋体"/>
          <w:color w:val="auto"/>
          <w:spacing w:val="-3"/>
          <w:sz w:val="24"/>
          <w:szCs w:val="24"/>
          <w:highlight w:val="none"/>
        </w:rPr>
        <w:t>（二）投标人企业组织机构框图</w:t>
      </w:r>
      <w:bookmarkEnd w:id="945"/>
      <w:bookmarkEnd w:id="946"/>
      <w:bookmarkEnd w:id="947"/>
      <w:bookmarkEnd w:id="948"/>
      <w:bookmarkEnd w:id="949"/>
    </w:p>
    <w:p w14:paraId="344A54C9">
      <w:pPr>
        <w:spacing w:before="24"/>
        <w:rPr>
          <w:rFonts w:hint="eastAsia" w:ascii="宋体" w:hAnsi="宋体" w:eastAsia="宋体" w:cs="宋体"/>
          <w:color w:val="auto"/>
          <w:highlight w:val="none"/>
        </w:rPr>
      </w:pPr>
    </w:p>
    <w:p w14:paraId="507C06FB">
      <w:pPr>
        <w:spacing w:before="24"/>
        <w:rPr>
          <w:rFonts w:hint="eastAsia" w:ascii="宋体" w:hAnsi="宋体" w:eastAsia="宋体" w:cs="宋体"/>
          <w:color w:val="auto"/>
          <w:highlight w:val="none"/>
        </w:rPr>
      </w:pPr>
    </w:p>
    <w:p w14:paraId="20845877">
      <w:pPr>
        <w:spacing w:before="24"/>
        <w:rPr>
          <w:rFonts w:hint="eastAsia" w:ascii="宋体" w:hAnsi="宋体" w:eastAsia="宋体" w:cs="宋体"/>
          <w:color w:val="auto"/>
          <w:highlight w:val="none"/>
        </w:rPr>
      </w:pPr>
    </w:p>
    <w:tbl>
      <w:tblPr>
        <w:tblStyle w:val="24"/>
        <w:tblW w:w="8898" w:type="dxa"/>
        <w:tblInd w:w="15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898"/>
      </w:tblGrid>
      <w:tr w14:paraId="0FBD0A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31" w:hRule="atLeast"/>
        </w:trPr>
        <w:tc>
          <w:tcPr>
            <w:tcW w:w="8898" w:type="dxa"/>
            <w:vAlign w:val="top"/>
          </w:tcPr>
          <w:p w14:paraId="5F2B6E4F">
            <w:pPr>
              <w:spacing w:line="308" w:lineRule="auto"/>
              <w:rPr>
                <w:rFonts w:hint="eastAsia" w:ascii="宋体" w:hAnsi="宋体" w:eastAsia="宋体" w:cs="宋体"/>
                <w:color w:val="auto"/>
                <w:sz w:val="21"/>
                <w:highlight w:val="none"/>
              </w:rPr>
            </w:pPr>
          </w:p>
          <w:p w14:paraId="06EC419B">
            <w:pPr>
              <w:spacing w:line="308" w:lineRule="auto"/>
              <w:rPr>
                <w:rFonts w:hint="eastAsia" w:ascii="宋体" w:hAnsi="宋体" w:eastAsia="宋体" w:cs="宋体"/>
                <w:color w:val="auto"/>
                <w:sz w:val="21"/>
                <w:highlight w:val="none"/>
              </w:rPr>
            </w:pPr>
          </w:p>
          <w:p w14:paraId="6BCAC91C">
            <w:pPr>
              <w:pStyle w:val="25"/>
              <w:spacing w:before="71" w:line="220" w:lineRule="auto"/>
              <w:ind w:left="415"/>
              <w:rPr>
                <w:rFonts w:hint="eastAsia" w:ascii="宋体" w:hAnsi="宋体" w:eastAsia="宋体" w:cs="宋体"/>
                <w:color w:val="auto"/>
                <w:sz w:val="22"/>
                <w:szCs w:val="22"/>
                <w:highlight w:val="none"/>
              </w:rPr>
            </w:pPr>
            <w:r>
              <w:rPr>
                <w:rFonts w:hint="eastAsia" w:ascii="宋体" w:hAnsi="宋体" w:eastAsia="宋体" w:cs="宋体"/>
                <w:color w:val="auto"/>
                <w:spacing w:val="-5"/>
                <w:sz w:val="22"/>
                <w:szCs w:val="22"/>
                <w:highlight w:val="none"/>
              </w:rPr>
              <w:t>以框图方式表示。</w:t>
            </w:r>
          </w:p>
        </w:tc>
      </w:tr>
      <w:tr w14:paraId="5C3BEE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12" w:hRule="atLeast"/>
        </w:trPr>
        <w:tc>
          <w:tcPr>
            <w:tcW w:w="8898" w:type="dxa"/>
            <w:vAlign w:val="top"/>
          </w:tcPr>
          <w:p w14:paraId="076BDEDA">
            <w:pPr>
              <w:pStyle w:val="25"/>
              <w:spacing w:before="165" w:line="220" w:lineRule="auto"/>
              <w:ind w:left="392"/>
              <w:rPr>
                <w:rFonts w:hint="eastAsia" w:ascii="宋体" w:hAnsi="宋体" w:eastAsia="宋体" w:cs="宋体"/>
                <w:color w:val="auto"/>
                <w:sz w:val="22"/>
                <w:szCs w:val="22"/>
                <w:highlight w:val="none"/>
              </w:rPr>
            </w:pPr>
            <w:r>
              <w:rPr>
                <w:rFonts w:hint="eastAsia" w:ascii="宋体" w:hAnsi="宋体" w:eastAsia="宋体" w:cs="宋体"/>
                <w:color w:val="auto"/>
                <w:spacing w:val="-5"/>
                <w:sz w:val="22"/>
                <w:szCs w:val="22"/>
                <w:highlight w:val="none"/>
              </w:rPr>
              <w:t>说明</w:t>
            </w:r>
          </w:p>
        </w:tc>
      </w:tr>
    </w:tbl>
    <w:p w14:paraId="51A40AC0">
      <w:pPr>
        <w:pStyle w:val="4"/>
        <w:rPr>
          <w:rFonts w:hint="eastAsia" w:ascii="宋体" w:hAnsi="宋体" w:eastAsia="宋体" w:cs="宋体"/>
          <w:color w:val="auto"/>
          <w:highlight w:val="none"/>
        </w:rPr>
      </w:pPr>
    </w:p>
    <w:p w14:paraId="4317E191">
      <w:pPr>
        <w:rPr>
          <w:rFonts w:hint="eastAsia" w:ascii="宋体" w:hAnsi="宋体" w:eastAsia="宋体" w:cs="宋体"/>
          <w:color w:val="auto"/>
          <w:highlight w:val="none"/>
        </w:rPr>
        <w:sectPr>
          <w:headerReference r:id="rId271" w:type="default"/>
          <w:footerReference r:id="rId272" w:type="default"/>
          <w:pgSz w:w="11907" w:h="16840"/>
          <w:pgMar w:top="1182" w:right="1059" w:bottom="1014" w:left="1786" w:header="849" w:footer="852" w:gutter="0"/>
          <w:pgNumType w:fmt="decimal"/>
          <w:cols w:space="720" w:num="1"/>
        </w:sectPr>
      </w:pPr>
    </w:p>
    <w:p w14:paraId="551F5E09">
      <w:pPr>
        <w:pStyle w:val="4"/>
        <w:spacing w:line="247" w:lineRule="auto"/>
        <w:rPr>
          <w:rFonts w:hint="eastAsia" w:ascii="宋体" w:hAnsi="宋体" w:eastAsia="宋体" w:cs="宋体"/>
          <w:color w:val="auto"/>
          <w:highlight w:val="none"/>
        </w:rPr>
      </w:pPr>
    </w:p>
    <w:p w14:paraId="04267AD2">
      <w:pPr>
        <w:pStyle w:val="4"/>
        <w:spacing w:line="248" w:lineRule="auto"/>
        <w:rPr>
          <w:rFonts w:hint="eastAsia" w:ascii="宋体" w:hAnsi="宋体" w:eastAsia="宋体" w:cs="宋体"/>
          <w:color w:val="auto"/>
          <w:highlight w:val="none"/>
        </w:rPr>
      </w:pPr>
    </w:p>
    <w:p w14:paraId="69DE733B">
      <w:pPr>
        <w:spacing w:before="65" w:line="228" w:lineRule="auto"/>
        <w:ind w:left="3490"/>
        <w:outlineLvl w:val="2"/>
        <w:rPr>
          <w:rFonts w:hint="eastAsia" w:ascii="宋体" w:hAnsi="宋体" w:eastAsia="宋体" w:cs="宋体"/>
          <w:color w:val="auto"/>
          <w:sz w:val="20"/>
          <w:szCs w:val="20"/>
          <w:highlight w:val="none"/>
        </w:rPr>
      </w:pPr>
      <w:bookmarkStart w:id="950" w:name="_Toc27748"/>
      <w:bookmarkStart w:id="951" w:name="_Toc2031"/>
      <w:bookmarkStart w:id="952" w:name="_Toc1855"/>
      <w:bookmarkStart w:id="953" w:name="_Toc20135"/>
      <w:bookmarkStart w:id="954" w:name="_Toc28329"/>
      <w:r>
        <w:rPr>
          <w:rFonts w:hint="eastAsia" w:ascii="宋体" w:hAnsi="宋体" w:eastAsia="宋体" w:cs="宋体"/>
          <w:b/>
          <w:bCs/>
          <w:color w:val="auto"/>
          <w:spacing w:val="6"/>
          <w:sz w:val="20"/>
          <w:szCs w:val="20"/>
          <w:highlight w:val="none"/>
        </w:rPr>
        <w:t>（三）近年财务状况</w:t>
      </w:r>
      <w:bookmarkEnd w:id="950"/>
      <w:bookmarkEnd w:id="951"/>
      <w:bookmarkEnd w:id="952"/>
      <w:bookmarkEnd w:id="953"/>
      <w:bookmarkEnd w:id="954"/>
    </w:p>
    <w:p w14:paraId="4373A5BC">
      <w:pPr>
        <w:spacing w:before="25" w:line="222" w:lineRule="auto"/>
        <w:ind w:left="3881"/>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财务状况表</w:t>
      </w:r>
    </w:p>
    <w:p w14:paraId="762410FF">
      <w:pPr>
        <w:spacing w:before="34"/>
        <w:rPr>
          <w:rFonts w:hint="eastAsia" w:ascii="宋体" w:hAnsi="宋体" w:eastAsia="宋体" w:cs="宋体"/>
          <w:color w:val="auto"/>
          <w:highlight w:val="none"/>
        </w:rPr>
      </w:pPr>
    </w:p>
    <w:tbl>
      <w:tblPr>
        <w:tblStyle w:val="24"/>
        <w:tblW w:w="8931" w:type="dxa"/>
        <w:tblInd w:w="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067"/>
        <w:gridCol w:w="899"/>
        <w:gridCol w:w="1319"/>
        <w:gridCol w:w="1320"/>
        <w:gridCol w:w="1326"/>
      </w:tblGrid>
      <w:tr w14:paraId="7DB412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 w:hRule="atLeast"/>
        </w:trPr>
        <w:tc>
          <w:tcPr>
            <w:tcW w:w="4067" w:type="dxa"/>
            <w:tcBorders>
              <w:left w:val="single" w:color="000000" w:sz="2" w:space="0"/>
            </w:tcBorders>
            <w:vAlign w:val="top"/>
          </w:tcPr>
          <w:p w14:paraId="7DCF0716">
            <w:pPr>
              <w:pStyle w:val="25"/>
              <w:spacing w:before="215" w:line="221" w:lineRule="auto"/>
              <w:ind w:left="281"/>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项目或指标</w:t>
            </w:r>
          </w:p>
        </w:tc>
        <w:tc>
          <w:tcPr>
            <w:tcW w:w="899" w:type="dxa"/>
            <w:vAlign w:val="top"/>
          </w:tcPr>
          <w:p w14:paraId="631017AC">
            <w:pPr>
              <w:pStyle w:val="25"/>
              <w:spacing w:before="215" w:line="221" w:lineRule="auto"/>
              <w:ind w:left="278"/>
              <w:rPr>
                <w:rFonts w:hint="eastAsia" w:ascii="宋体" w:hAnsi="宋体" w:eastAsia="宋体" w:cs="宋体"/>
                <w:color w:val="auto"/>
                <w:sz w:val="22"/>
                <w:szCs w:val="22"/>
                <w:highlight w:val="none"/>
              </w:rPr>
            </w:pPr>
            <w:r>
              <w:rPr>
                <w:rFonts w:hint="eastAsia" w:ascii="宋体" w:hAnsi="宋体" w:eastAsia="宋体" w:cs="宋体"/>
                <w:color w:val="auto"/>
                <w:spacing w:val="-5"/>
                <w:sz w:val="22"/>
                <w:szCs w:val="22"/>
                <w:highlight w:val="none"/>
              </w:rPr>
              <w:t>单位</w:t>
            </w:r>
          </w:p>
        </w:tc>
        <w:tc>
          <w:tcPr>
            <w:tcW w:w="1319" w:type="dxa"/>
            <w:vAlign w:val="top"/>
          </w:tcPr>
          <w:p w14:paraId="42B819D5">
            <w:pPr>
              <w:pStyle w:val="25"/>
              <w:tabs>
                <w:tab w:val="left" w:pos="434"/>
              </w:tabs>
              <w:spacing w:before="215" w:line="220" w:lineRule="auto"/>
              <w:ind w:left="268"/>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u w:val="single" w:color="auto"/>
              </w:rPr>
              <w:tab/>
            </w:r>
            <w:r>
              <w:rPr>
                <w:rFonts w:hint="eastAsia" w:ascii="宋体" w:hAnsi="宋体" w:eastAsia="宋体" w:cs="宋体"/>
                <w:color w:val="auto"/>
                <w:sz w:val="22"/>
                <w:szCs w:val="22"/>
                <w:highlight w:val="none"/>
              </w:rPr>
              <w:t>年</w:t>
            </w:r>
          </w:p>
        </w:tc>
        <w:tc>
          <w:tcPr>
            <w:tcW w:w="1320" w:type="dxa"/>
            <w:vAlign w:val="top"/>
          </w:tcPr>
          <w:p w14:paraId="5F79B79C">
            <w:pPr>
              <w:pStyle w:val="25"/>
              <w:tabs>
                <w:tab w:val="left" w:pos="435"/>
              </w:tabs>
              <w:spacing w:before="215" w:line="220" w:lineRule="auto"/>
              <w:ind w:left="26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u w:val="single" w:color="auto"/>
              </w:rPr>
              <w:tab/>
            </w:r>
            <w:r>
              <w:rPr>
                <w:rFonts w:hint="eastAsia" w:ascii="宋体" w:hAnsi="宋体" w:eastAsia="宋体" w:cs="宋体"/>
                <w:color w:val="auto"/>
                <w:sz w:val="22"/>
                <w:szCs w:val="22"/>
                <w:highlight w:val="none"/>
              </w:rPr>
              <w:t>年</w:t>
            </w:r>
          </w:p>
        </w:tc>
        <w:tc>
          <w:tcPr>
            <w:tcW w:w="1326" w:type="dxa"/>
            <w:vAlign w:val="top"/>
          </w:tcPr>
          <w:p w14:paraId="78E42EE2">
            <w:pPr>
              <w:pStyle w:val="25"/>
              <w:tabs>
                <w:tab w:val="left" w:pos="435"/>
              </w:tabs>
              <w:spacing w:before="215" w:line="220" w:lineRule="auto"/>
              <w:ind w:left="26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u w:val="single" w:color="auto"/>
              </w:rPr>
              <w:tab/>
            </w:r>
            <w:r>
              <w:rPr>
                <w:rFonts w:hint="eastAsia" w:ascii="宋体" w:hAnsi="宋体" w:eastAsia="宋体" w:cs="宋体"/>
                <w:color w:val="auto"/>
                <w:sz w:val="22"/>
                <w:szCs w:val="22"/>
                <w:highlight w:val="none"/>
              </w:rPr>
              <w:t>年</w:t>
            </w:r>
          </w:p>
        </w:tc>
      </w:tr>
      <w:tr w14:paraId="78359F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4067" w:type="dxa"/>
            <w:tcBorders>
              <w:left w:val="single" w:color="000000" w:sz="2" w:space="0"/>
            </w:tcBorders>
            <w:vAlign w:val="top"/>
          </w:tcPr>
          <w:p w14:paraId="4727FFDA">
            <w:pPr>
              <w:pStyle w:val="25"/>
              <w:spacing w:before="209" w:line="219" w:lineRule="auto"/>
              <w:ind w:left="281"/>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一、注册资本</w:t>
            </w:r>
          </w:p>
        </w:tc>
        <w:tc>
          <w:tcPr>
            <w:tcW w:w="899" w:type="dxa"/>
            <w:vAlign w:val="top"/>
          </w:tcPr>
          <w:p w14:paraId="0E7FC772">
            <w:pPr>
              <w:pStyle w:val="25"/>
              <w:spacing w:before="208" w:line="221" w:lineRule="auto"/>
              <w:ind w:left="281"/>
              <w:rPr>
                <w:rFonts w:hint="eastAsia" w:ascii="宋体" w:hAnsi="宋体" w:eastAsia="宋体" w:cs="宋体"/>
                <w:color w:val="auto"/>
                <w:sz w:val="22"/>
                <w:szCs w:val="22"/>
                <w:highlight w:val="none"/>
              </w:rPr>
            </w:pPr>
            <w:r>
              <w:rPr>
                <w:rFonts w:hint="eastAsia" w:ascii="宋体" w:hAnsi="宋体" w:eastAsia="宋体" w:cs="宋体"/>
                <w:color w:val="auto"/>
                <w:spacing w:val="-7"/>
                <w:sz w:val="22"/>
                <w:szCs w:val="22"/>
                <w:highlight w:val="none"/>
              </w:rPr>
              <w:t>万元</w:t>
            </w:r>
          </w:p>
        </w:tc>
        <w:tc>
          <w:tcPr>
            <w:tcW w:w="1319" w:type="dxa"/>
            <w:vAlign w:val="top"/>
          </w:tcPr>
          <w:p w14:paraId="3BEB8B99">
            <w:pPr>
              <w:rPr>
                <w:rFonts w:hint="eastAsia" w:ascii="宋体" w:hAnsi="宋体" w:eastAsia="宋体" w:cs="宋体"/>
                <w:color w:val="auto"/>
                <w:sz w:val="21"/>
                <w:highlight w:val="none"/>
              </w:rPr>
            </w:pPr>
          </w:p>
        </w:tc>
        <w:tc>
          <w:tcPr>
            <w:tcW w:w="1320" w:type="dxa"/>
            <w:vAlign w:val="top"/>
          </w:tcPr>
          <w:p w14:paraId="2AA9D421">
            <w:pPr>
              <w:rPr>
                <w:rFonts w:hint="eastAsia" w:ascii="宋体" w:hAnsi="宋体" w:eastAsia="宋体" w:cs="宋体"/>
                <w:color w:val="auto"/>
                <w:sz w:val="21"/>
                <w:highlight w:val="none"/>
              </w:rPr>
            </w:pPr>
          </w:p>
        </w:tc>
        <w:tc>
          <w:tcPr>
            <w:tcW w:w="1326" w:type="dxa"/>
            <w:vAlign w:val="top"/>
          </w:tcPr>
          <w:p w14:paraId="0F03B9DA">
            <w:pPr>
              <w:rPr>
                <w:rFonts w:hint="eastAsia" w:ascii="宋体" w:hAnsi="宋体" w:eastAsia="宋体" w:cs="宋体"/>
                <w:color w:val="auto"/>
                <w:sz w:val="21"/>
                <w:highlight w:val="none"/>
              </w:rPr>
            </w:pPr>
          </w:p>
        </w:tc>
      </w:tr>
      <w:tr w14:paraId="1D7F7C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4067" w:type="dxa"/>
            <w:tcBorders>
              <w:left w:val="single" w:color="000000" w:sz="2" w:space="0"/>
            </w:tcBorders>
            <w:vAlign w:val="top"/>
          </w:tcPr>
          <w:p w14:paraId="7944130F">
            <w:pPr>
              <w:pStyle w:val="25"/>
              <w:spacing w:before="208" w:line="220" w:lineRule="auto"/>
              <w:ind w:left="281"/>
              <w:rPr>
                <w:rFonts w:hint="eastAsia" w:ascii="宋体" w:hAnsi="宋体" w:eastAsia="宋体" w:cs="宋体"/>
                <w:color w:val="auto"/>
                <w:sz w:val="22"/>
                <w:szCs w:val="22"/>
                <w:highlight w:val="none"/>
              </w:rPr>
            </w:pPr>
            <w:r>
              <w:rPr>
                <w:rFonts w:hint="eastAsia" w:ascii="宋体" w:hAnsi="宋体" w:eastAsia="宋体" w:cs="宋体"/>
                <w:color w:val="auto"/>
                <w:spacing w:val="-5"/>
                <w:sz w:val="22"/>
                <w:szCs w:val="22"/>
                <w:highlight w:val="none"/>
              </w:rPr>
              <w:t>二、净资产</w:t>
            </w:r>
          </w:p>
        </w:tc>
        <w:tc>
          <w:tcPr>
            <w:tcW w:w="899" w:type="dxa"/>
            <w:vAlign w:val="top"/>
          </w:tcPr>
          <w:p w14:paraId="08416CFF">
            <w:pPr>
              <w:pStyle w:val="25"/>
              <w:spacing w:before="208" w:line="221" w:lineRule="auto"/>
              <w:ind w:left="281"/>
              <w:rPr>
                <w:rFonts w:hint="eastAsia" w:ascii="宋体" w:hAnsi="宋体" w:eastAsia="宋体" w:cs="宋体"/>
                <w:color w:val="auto"/>
                <w:sz w:val="22"/>
                <w:szCs w:val="22"/>
                <w:highlight w:val="none"/>
              </w:rPr>
            </w:pPr>
            <w:r>
              <w:rPr>
                <w:rFonts w:hint="eastAsia" w:ascii="宋体" w:hAnsi="宋体" w:eastAsia="宋体" w:cs="宋体"/>
                <w:color w:val="auto"/>
                <w:spacing w:val="-7"/>
                <w:sz w:val="22"/>
                <w:szCs w:val="22"/>
                <w:highlight w:val="none"/>
              </w:rPr>
              <w:t>万元</w:t>
            </w:r>
          </w:p>
        </w:tc>
        <w:tc>
          <w:tcPr>
            <w:tcW w:w="1319" w:type="dxa"/>
            <w:vAlign w:val="top"/>
          </w:tcPr>
          <w:p w14:paraId="18680B0D">
            <w:pPr>
              <w:rPr>
                <w:rFonts w:hint="eastAsia" w:ascii="宋体" w:hAnsi="宋体" w:eastAsia="宋体" w:cs="宋体"/>
                <w:color w:val="auto"/>
                <w:sz w:val="21"/>
                <w:highlight w:val="none"/>
              </w:rPr>
            </w:pPr>
          </w:p>
        </w:tc>
        <w:tc>
          <w:tcPr>
            <w:tcW w:w="1320" w:type="dxa"/>
            <w:vAlign w:val="top"/>
          </w:tcPr>
          <w:p w14:paraId="258F0440">
            <w:pPr>
              <w:rPr>
                <w:rFonts w:hint="eastAsia" w:ascii="宋体" w:hAnsi="宋体" w:eastAsia="宋体" w:cs="宋体"/>
                <w:color w:val="auto"/>
                <w:sz w:val="21"/>
                <w:highlight w:val="none"/>
              </w:rPr>
            </w:pPr>
          </w:p>
        </w:tc>
        <w:tc>
          <w:tcPr>
            <w:tcW w:w="1326" w:type="dxa"/>
            <w:vAlign w:val="top"/>
          </w:tcPr>
          <w:p w14:paraId="1159F269">
            <w:pPr>
              <w:rPr>
                <w:rFonts w:hint="eastAsia" w:ascii="宋体" w:hAnsi="宋体" w:eastAsia="宋体" w:cs="宋体"/>
                <w:color w:val="auto"/>
                <w:sz w:val="21"/>
                <w:highlight w:val="none"/>
              </w:rPr>
            </w:pPr>
          </w:p>
        </w:tc>
      </w:tr>
      <w:tr w14:paraId="4904AA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4067" w:type="dxa"/>
            <w:tcBorders>
              <w:left w:val="single" w:color="000000" w:sz="2" w:space="0"/>
            </w:tcBorders>
            <w:vAlign w:val="top"/>
          </w:tcPr>
          <w:p w14:paraId="625F3FEC">
            <w:pPr>
              <w:pStyle w:val="25"/>
              <w:spacing w:before="209" w:line="220" w:lineRule="auto"/>
              <w:ind w:left="278"/>
              <w:rPr>
                <w:rFonts w:hint="eastAsia" w:ascii="宋体" w:hAnsi="宋体" w:eastAsia="宋体" w:cs="宋体"/>
                <w:color w:val="auto"/>
                <w:sz w:val="22"/>
                <w:szCs w:val="22"/>
                <w:highlight w:val="none"/>
              </w:rPr>
            </w:pPr>
            <w:r>
              <w:rPr>
                <w:rFonts w:hint="eastAsia" w:ascii="宋体" w:hAnsi="宋体" w:eastAsia="宋体" w:cs="宋体"/>
                <w:color w:val="auto"/>
                <w:spacing w:val="-5"/>
                <w:sz w:val="22"/>
                <w:szCs w:val="22"/>
                <w:highlight w:val="none"/>
              </w:rPr>
              <w:t>三、总资产</w:t>
            </w:r>
          </w:p>
        </w:tc>
        <w:tc>
          <w:tcPr>
            <w:tcW w:w="899" w:type="dxa"/>
            <w:vAlign w:val="top"/>
          </w:tcPr>
          <w:p w14:paraId="08BF5D9E">
            <w:pPr>
              <w:pStyle w:val="25"/>
              <w:spacing w:before="208" w:line="221" w:lineRule="auto"/>
              <w:ind w:left="281"/>
              <w:rPr>
                <w:rFonts w:hint="eastAsia" w:ascii="宋体" w:hAnsi="宋体" w:eastAsia="宋体" w:cs="宋体"/>
                <w:color w:val="auto"/>
                <w:sz w:val="22"/>
                <w:szCs w:val="22"/>
                <w:highlight w:val="none"/>
              </w:rPr>
            </w:pPr>
            <w:r>
              <w:rPr>
                <w:rFonts w:hint="eastAsia" w:ascii="宋体" w:hAnsi="宋体" w:eastAsia="宋体" w:cs="宋体"/>
                <w:color w:val="auto"/>
                <w:spacing w:val="-7"/>
                <w:sz w:val="22"/>
                <w:szCs w:val="22"/>
                <w:highlight w:val="none"/>
              </w:rPr>
              <w:t>万元</w:t>
            </w:r>
          </w:p>
        </w:tc>
        <w:tc>
          <w:tcPr>
            <w:tcW w:w="1319" w:type="dxa"/>
            <w:vAlign w:val="top"/>
          </w:tcPr>
          <w:p w14:paraId="2B5C3D93">
            <w:pPr>
              <w:rPr>
                <w:rFonts w:hint="eastAsia" w:ascii="宋体" w:hAnsi="宋体" w:eastAsia="宋体" w:cs="宋体"/>
                <w:color w:val="auto"/>
                <w:sz w:val="21"/>
                <w:highlight w:val="none"/>
              </w:rPr>
            </w:pPr>
          </w:p>
        </w:tc>
        <w:tc>
          <w:tcPr>
            <w:tcW w:w="1320" w:type="dxa"/>
            <w:vAlign w:val="top"/>
          </w:tcPr>
          <w:p w14:paraId="2CB3EA35">
            <w:pPr>
              <w:rPr>
                <w:rFonts w:hint="eastAsia" w:ascii="宋体" w:hAnsi="宋体" w:eastAsia="宋体" w:cs="宋体"/>
                <w:color w:val="auto"/>
                <w:sz w:val="21"/>
                <w:highlight w:val="none"/>
              </w:rPr>
            </w:pPr>
          </w:p>
        </w:tc>
        <w:tc>
          <w:tcPr>
            <w:tcW w:w="1326" w:type="dxa"/>
            <w:vAlign w:val="top"/>
          </w:tcPr>
          <w:p w14:paraId="3BA4395C">
            <w:pPr>
              <w:rPr>
                <w:rFonts w:hint="eastAsia" w:ascii="宋体" w:hAnsi="宋体" w:eastAsia="宋体" w:cs="宋体"/>
                <w:color w:val="auto"/>
                <w:sz w:val="21"/>
                <w:highlight w:val="none"/>
              </w:rPr>
            </w:pPr>
          </w:p>
        </w:tc>
      </w:tr>
      <w:tr w14:paraId="004FE7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4067" w:type="dxa"/>
            <w:tcBorders>
              <w:left w:val="single" w:color="000000" w:sz="2" w:space="0"/>
            </w:tcBorders>
            <w:vAlign w:val="top"/>
          </w:tcPr>
          <w:p w14:paraId="58B4B230">
            <w:pPr>
              <w:pStyle w:val="25"/>
              <w:spacing w:before="211" w:line="220" w:lineRule="auto"/>
              <w:ind w:left="298"/>
              <w:rPr>
                <w:rFonts w:hint="eastAsia" w:ascii="宋体" w:hAnsi="宋体" w:eastAsia="宋体" w:cs="宋体"/>
                <w:color w:val="auto"/>
                <w:sz w:val="22"/>
                <w:szCs w:val="22"/>
                <w:highlight w:val="none"/>
              </w:rPr>
            </w:pPr>
            <w:r>
              <w:rPr>
                <w:rFonts w:hint="eastAsia" w:ascii="宋体" w:hAnsi="宋体" w:eastAsia="宋体" w:cs="宋体"/>
                <w:color w:val="auto"/>
                <w:spacing w:val="-10"/>
                <w:sz w:val="22"/>
                <w:szCs w:val="22"/>
                <w:highlight w:val="none"/>
              </w:rPr>
              <w:t>四、固定资产</w:t>
            </w:r>
          </w:p>
        </w:tc>
        <w:tc>
          <w:tcPr>
            <w:tcW w:w="899" w:type="dxa"/>
            <w:vAlign w:val="top"/>
          </w:tcPr>
          <w:p w14:paraId="5F809E94">
            <w:pPr>
              <w:pStyle w:val="25"/>
              <w:spacing w:before="210" w:line="221" w:lineRule="auto"/>
              <w:ind w:left="281"/>
              <w:rPr>
                <w:rFonts w:hint="eastAsia" w:ascii="宋体" w:hAnsi="宋体" w:eastAsia="宋体" w:cs="宋体"/>
                <w:color w:val="auto"/>
                <w:sz w:val="22"/>
                <w:szCs w:val="22"/>
                <w:highlight w:val="none"/>
              </w:rPr>
            </w:pPr>
            <w:r>
              <w:rPr>
                <w:rFonts w:hint="eastAsia" w:ascii="宋体" w:hAnsi="宋体" w:eastAsia="宋体" w:cs="宋体"/>
                <w:color w:val="auto"/>
                <w:spacing w:val="-7"/>
                <w:sz w:val="22"/>
                <w:szCs w:val="22"/>
                <w:highlight w:val="none"/>
              </w:rPr>
              <w:t>万元</w:t>
            </w:r>
          </w:p>
        </w:tc>
        <w:tc>
          <w:tcPr>
            <w:tcW w:w="1319" w:type="dxa"/>
            <w:vAlign w:val="top"/>
          </w:tcPr>
          <w:p w14:paraId="48C0188A">
            <w:pPr>
              <w:rPr>
                <w:rFonts w:hint="eastAsia" w:ascii="宋体" w:hAnsi="宋体" w:eastAsia="宋体" w:cs="宋体"/>
                <w:color w:val="auto"/>
                <w:sz w:val="21"/>
                <w:highlight w:val="none"/>
              </w:rPr>
            </w:pPr>
          </w:p>
        </w:tc>
        <w:tc>
          <w:tcPr>
            <w:tcW w:w="1320" w:type="dxa"/>
            <w:vAlign w:val="top"/>
          </w:tcPr>
          <w:p w14:paraId="22A1213E">
            <w:pPr>
              <w:rPr>
                <w:rFonts w:hint="eastAsia" w:ascii="宋体" w:hAnsi="宋体" w:eastAsia="宋体" w:cs="宋体"/>
                <w:color w:val="auto"/>
                <w:sz w:val="21"/>
                <w:highlight w:val="none"/>
              </w:rPr>
            </w:pPr>
          </w:p>
        </w:tc>
        <w:tc>
          <w:tcPr>
            <w:tcW w:w="1326" w:type="dxa"/>
            <w:vAlign w:val="top"/>
          </w:tcPr>
          <w:p w14:paraId="2C932834">
            <w:pPr>
              <w:rPr>
                <w:rFonts w:hint="eastAsia" w:ascii="宋体" w:hAnsi="宋体" w:eastAsia="宋体" w:cs="宋体"/>
                <w:color w:val="auto"/>
                <w:sz w:val="21"/>
                <w:highlight w:val="none"/>
              </w:rPr>
            </w:pPr>
          </w:p>
        </w:tc>
      </w:tr>
      <w:tr w14:paraId="5163BD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4067" w:type="dxa"/>
            <w:tcBorders>
              <w:left w:val="single" w:color="000000" w:sz="2" w:space="0"/>
            </w:tcBorders>
            <w:vAlign w:val="top"/>
          </w:tcPr>
          <w:p w14:paraId="19439E18">
            <w:pPr>
              <w:pStyle w:val="25"/>
              <w:spacing w:before="211" w:line="220" w:lineRule="auto"/>
              <w:ind w:left="281"/>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五、流动资产</w:t>
            </w:r>
          </w:p>
        </w:tc>
        <w:tc>
          <w:tcPr>
            <w:tcW w:w="899" w:type="dxa"/>
            <w:vAlign w:val="top"/>
          </w:tcPr>
          <w:p w14:paraId="31A6B47A">
            <w:pPr>
              <w:pStyle w:val="25"/>
              <w:spacing w:before="211" w:line="221" w:lineRule="auto"/>
              <w:ind w:left="281"/>
              <w:rPr>
                <w:rFonts w:hint="eastAsia" w:ascii="宋体" w:hAnsi="宋体" w:eastAsia="宋体" w:cs="宋体"/>
                <w:color w:val="auto"/>
                <w:sz w:val="22"/>
                <w:szCs w:val="22"/>
                <w:highlight w:val="none"/>
              </w:rPr>
            </w:pPr>
            <w:r>
              <w:rPr>
                <w:rFonts w:hint="eastAsia" w:ascii="宋体" w:hAnsi="宋体" w:eastAsia="宋体" w:cs="宋体"/>
                <w:color w:val="auto"/>
                <w:spacing w:val="-7"/>
                <w:sz w:val="22"/>
                <w:szCs w:val="22"/>
                <w:highlight w:val="none"/>
              </w:rPr>
              <w:t>万元</w:t>
            </w:r>
          </w:p>
        </w:tc>
        <w:tc>
          <w:tcPr>
            <w:tcW w:w="1319" w:type="dxa"/>
            <w:vAlign w:val="top"/>
          </w:tcPr>
          <w:p w14:paraId="0D05BB98">
            <w:pPr>
              <w:rPr>
                <w:rFonts w:hint="eastAsia" w:ascii="宋体" w:hAnsi="宋体" w:eastAsia="宋体" w:cs="宋体"/>
                <w:color w:val="auto"/>
                <w:sz w:val="21"/>
                <w:highlight w:val="none"/>
              </w:rPr>
            </w:pPr>
          </w:p>
        </w:tc>
        <w:tc>
          <w:tcPr>
            <w:tcW w:w="1320" w:type="dxa"/>
            <w:vAlign w:val="top"/>
          </w:tcPr>
          <w:p w14:paraId="08B38F9E">
            <w:pPr>
              <w:rPr>
                <w:rFonts w:hint="eastAsia" w:ascii="宋体" w:hAnsi="宋体" w:eastAsia="宋体" w:cs="宋体"/>
                <w:color w:val="auto"/>
                <w:sz w:val="21"/>
                <w:highlight w:val="none"/>
              </w:rPr>
            </w:pPr>
          </w:p>
        </w:tc>
        <w:tc>
          <w:tcPr>
            <w:tcW w:w="1326" w:type="dxa"/>
            <w:vAlign w:val="top"/>
          </w:tcPr>
          <w:p w14:paraId="0EED71EC">
            <w:pPr>
              <w:rPr>
                <w:rFonts w:hint="eastAsia" w:ascii="宋体" w:hAnsi="宋体" w:eastAsia="宋体" w:cs="宋体"/>
                <w:color w:val="auto"/>
                <w:sz w:val="21"/>
                <w:highlight w:val="none"/>
              </w:rPr>
            </w:pPr>
          </w:p>
        </w:tc>
      </w:tr>
      <w:tr w14:paraId="708FC8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4067" w:type="dxa"/>
            <w:tcBorders>
              <w:left w:val="single" w:color="000000" w:sz="2" w:space="0"/>
            </w:tcBorders>
            <w:vAlign w:val="top"/>
          </w:tcPr>
          <w:p w14:paraId="1383EDB7">
            <w:pPr>
              <w:pStyle w:val="25"/>
              <w:spacing w:before="212" w:line="220" w:lineRule="auto"/>
              <w:ind w:left="279"/>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六、流动负债</w:t>
            </w:r>
          </w:p>
        </w:tc>
        <w:tc>
          <w:tcPr>
            <w:tcW w:w="899" w:type="dxa"/>
            <w:vAlign w:val="top"/>
          </w:tcPr>
          <w:p w14:paraId="626D6315">
            <w:pPr>
              <w:pStyle w:val="25"/>
              <w:spacing w:before="212" w:line="221" w:lineRule="auto"/>
              <w:ind w:left="281"/>
              <w:rPr>
                <w:rFonts w:hint="eastAsia" w:ascii="宋体" w:hAnsi="宋体" w:eastAsia="宋体" w:cs="宋体"/>
                <w:color w:val="auto"/>
                <w:sz w:val="22"/>
                <w:szCs w:val="22"/>
                <w:highlight w:val="none"/>
              </w:rPr>
            </w:pPr>
            <w:r>
              <w:rPr>
                <w:rFonts w:hint="eastAsia" w:ascii="宋体" w:hAnsi="宋体" w:eastAsia="宋体" w:cs="宋体"/>
                <w:color w:val="auto"/>
                <w:spacing w:val="-7"/>
                <w:sz w:val="22"/>
                <w:szCs w:val="22"/>
                <w:highlight w:val="none"/>
              </w:rPr>
              <w:t>万元</w:t>
            </w:r>
          </w:p>
        </w:tc>
        <w:tc>
          <w:tcPr>
            <w:tcW w:w="1319" w:type="dxa"/>
            <w:vAlign w:val="top"/>
          </w:tcPr>
          <w:p w14:paraId="0DBA6EEF">
            <w:pPr>
              <w:rPr>
                <w:rFonts w:hint="eastAsia" w:ascii="宋体" w:hAnsi="宋体" w:eastAsia="宋体" w:cs="宋体"/>
                <w:color w:val="auto"/>
                <w:sz w:val="21"/>
                <w:highlight w:val="none"/>
              </w:rPr>
            </w:pPr>
          </w:p>
        </w:tc>
        <w:tc>
          <w:tcPr>
            <w:tcW w:w="1320" w:type="dxa"/>
            <w:vAlign w:val="top"/>
          </w:tcPr>
          <w:p w14:paraId="260EC7D6">
            <w:pPr>
              <w:rPr>
                <w:rFonts w:hint="eastAsia" w:ascii="宋体" w:hAnsi="宋体" w:eastAsia="宋体" w:cs="宋体"/>
                <w:color w:val="auto"/>
                <w:sz w:val="21"/>
                <w:highlight w:val="none"/>
              </w:rPr>
            </w:pPr>
          </w:p>
        </w:tc>
        <w:tc>
          <w:tcPr>
            <w:tcW w:w="1326" w:type="dxa"/>
            <w:vAlign w:val="top"/>
          </w:tcPr>
          <w:p w14:paraId="1217CEC0">
            <w:pPr>
              <w:rPr>
                <w:rFonts w:hint="eastAsia" w:ascii="宋体" w:hAnsi="宋体" w:eastAsia="宋体" w:cs="宋体"/>
                <w:color w:val="auto"/>
                <w:sz w:val="21"/>
                <w:highlight w:val="none"/>
              </w:rPr>
            </w:pPr>
          </w:p>
        </w:tc>
      </w:tr>
      <w:tr w14:paraId="5F3AD6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4067" w:type="dxa"/>
            <w:tcBorders>
              <w:left w:val="single" w:color="000000" w:sz="2" w:space="0"/>
            </w:tcBorders>
            <w:vAlign w:val="top"/>
          </w:tcPr>
          <w:p w14:paraId="18E0030C">
            <w:pPr>
              <w:pStyle w:val="25"/>
              <w:spacing w:before="212" w:line="220" w:lineRule="auto"/>
              <w:ind w:left="277"/>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七、负债合计</w:t>
            </w:r>
          </w:p>
        </w:tc>
        <w:tc>
          <w:tcPr>
            <w:tcW w:w="899" w:type="dxa"/>
            <w:vAlign w:val="top"/>
          </w:tcPr>
          <w:p w14:paraId="6DB0A7DD">
            <w:pPr>
              <w:pStyle w:val="25"/>
              <w:spacing w:before="212" w:line="221" w:lineRule="auto"/>
              <w:ind w:left="281"/>
              <w:rPr>
                <w:rFonts w:hint="eastAsia" w:ascii="宋体" w:hAnsi="宋体" w:eastAsia="宋体" w:cs="宋体"/>
                <w:color w:val="auto"/>
                <w:sz w:val="22"/>
                <w:szCs w:val="22"/>
                <w:highlight w:val="none"/>
              </w:rPr>
            </w:pPr>
            <w:r>
              <w:rPr>
                <w:rFonts w:hint="eastAsia" w:ascii="宋体" w:hAnsi="宋体" w:eastAsia="宋体" w:cs="宋体"/>
                <w:color w:val="auto"/>
                <w:spacing w:val="-7"/>
                <w:sz w:val="22"/>
                <w:szCs w:val="22"/>
                <w:highlight w:val="none"/>
              </w:rPr>
              <w:t>万元</w:t>
            </w:r>
          </w:p>
        </w:tc>
        <w:tc>
          <w:tcPr>
            <w:tcW w:w="1319" w:type="dxa"/>
            <w:vAlign w:val="top"/>
          </w:tcPr>
          <w:p w14:paraId="673C6495">
            <w:pPr>
              <w:rPr>
                <w:rFonts w:hint="eastAsia" w:ascii="宋体" w:hAnsi="宋体" w:eastAsia="宋体" w:cs="宋体"/>
                <w:color w:val="auto"/>
                <w:sz w:val="21"/>
                <w:highlight w:val="none"/>
              </w:rPr>
            </w:pPr>
          </w:p>
        </w:tc>
        <w:tc>
          <w:tcPr>
            <w:tcW w:w="1320" w:type="dxa"/>
            <w:vAlign w:val="top"/>
          </w:tcPr>
          <w:p w14:paraId="1C2D6879">
            <w:pPr>
              <w:rPr>
                <w:rFonts w:hint="eastAsia" w:ascii="宋体" w:hAnsi="宋体" w:eastAsia="宋体" w:cs="宋体"/>
                <w:color w:val="auto"/>
                <w:sz w:val="21"/>
                <w:highlight w:val="none"/>
              </w:rPr>
            </w:pPr>
          </w:p>
        </w:tc>
        <w:tc>
          <w:tcPr>
            <w:tcW w:w="1326" w:type="dxa"/>
            <w:vAlign w:val="top"/>
          </w:tcPr>
          <w:p w14:paraId="2E62B35E">
            <w:pPr>
              <w:rPr>
                <w:rFonts w:hint="eastAsia" w:ascii="宋体" w:hAnsi="宋体" w:eastAsia="宋体" w:cs="宋体"/>
                <w:color w:val="auto"/>
                <w:sz w:val="21"/>
                <w:highlight w:val="none"/>
              </w:rPr>
            </w:pPr>
          </w:p>
        </w:tc>
      </w:tr>
      <w:tr w14:paraId="381641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4067" w:type="dxa"/>
            <w:tcBorders>
              <w:left w:val="single" w:color="000000" w:sz="2" w:space="0"/>
            </w:tcBorders>
            <w:vAlign w:val="top"/>
          </w:tcPr>
          <w:p w14:paraId="2AA50C8E">
            <w:pPr>
              <w:pStyle w:val="25"/>
              <w:spacing w:before="212" w:line="220" w:lineRule="auto"/>
              <w:ind w:left="281"/>
              <w:rPr>
                <w:rFonts w:hint="eastAsia" w:ascii="宋体" w:hAnsi="宋体" w:eastAsia="宋体" w:cs="宋体"/>
                <w:color w:val="auto"/>
                <w:sz w:val="22"/>
                <w:szCs w:val="22"/>
                <w:highlight w:val="none"/>
              </w:rPr>
            </w:pPr>
            <w:r>
              <w:rPr>
                <w:rFonts w:hint="eastAsia" w:ascii="宋体" w:hAnsi="宋体" w:eastAsia="宋体" w:cs="宋体"/>
                <w:color w:val="auto"/>
                <w:spacing w:val="-5"/>
                <w:sz w:val="22"/>
                <w:szCs w:val="22"/>
                <w:highlight w:val="none"/>
              </w:rPr>
              <w:t>八、营业收入</w:t>
            </w:r>
          </w:p>
        </w:tc>
        <w:tc>
          <w:tcPr>
            <w:tcW w:w="899" w:type="dxa"/>
            <w:vAlign w:val="top"/>
          </w:tcPr>
          <w:p w14:paraId="16809FAB">
            <w:pPr>
              <w:pStyle w:val="25"/>
              <w:spacing w:before="212" w:line="221" w:lineRule="auto"/>
              <w:ind w:left="281"/>
              <w:rPr>
                <w:rFonts w:hint="eastAsia" w:ascii="宋体" w:hAnsi="宋体" w:eastAsia="宋体" w:cs="宋体"/>
                <w:color w:val="auto"/>
                <w:sz w:val="22"/>
                <w:szCs w:val="22"/>
                <w:highlight w:val="none"/>
              </w:rPr>
            </w:pPr>
            <w:r>
              <w:rPr>
                <w:rFonts w:hint="eastAsia" w:ascii="宋体" w:hAnsi="宋体" w:eastAsia="宋体" w:cs="宋体"/>
                <w:color w:val="auto"/>
                <w:spacing w:val="-7"/>
                <w:sz w:val="22"/>
                <w:szCs w:val="22"/>
                <w:highlight w:val="none"/>
              </w:rPr>
              <w:t>万元</w:t>
            </w:r>
          </w:p>
        </w:tc>
        <w:tc>
          <w:tcPr>
            <w:tcW w:w="1319" w:type="dxa"/>
            <w:vAlign w:val="top"/>
          </w:tcPr>
          <w:p w14:paraId="39AE9DC4">
            <w:pPr>
              <w:rPr>
                <w:rFonts w:hint="eastAsia" w:ascii="宋体" w:hAnsi="宋体" w:eastAsia="宋体" w:cs="宋体"/>
                <w:color w:val="auto"/>
                <w:sz w:val="21"/>
                <w:highlight w:val="none"/>
              </w:rPr>
            </w:pPr>
          </w:p>
        </w:tc>
        <w:tc>
          <w:tcPr>
            <w:tcW w:w="1320" w:type="dxa"/>
            <w:vAlign w:val="top"/>
          </w:tcPr>
          <w:p w14:paraId="6D971F8E">
            <w:pPr>
              <w:rPr>
                <w:rFonts w:hint="eastAsia" w:ascii="宋体" w:hAnsi="宋体" w:eastAsia="宋体" w:cs="宋体"/>
                <w:color w:val="auto"/>
                <w:sz w:val="21"/>
                <w:highlight w:val="none"/>
              </w:rPr>
            </w:pPr>
          </w:p>
        </w:tc>
        <w:tc>
          <w:tcPr>
            <w:tcW w:w="1326" w:type="dxa"/>
            <w:vAlign w:val="top"/>
          </w:tcPr>
          <w:p w14:paraId="49F24CD6">
            <w:pPr>
              <w:rPr>
                <w:rFonts w:hint="eastAsia" w:ascii="宋体" w:hAnsi="宋体" w:eastAsia="宋体" w:cs="宋体"/>
                <w:color w:val="auto"/>
                <w:sz w:val="21"/>
                <w:highlight w:val="none"/>
              </w:rPr>
            </w:pPr>
          </w:p>
        </w:tc>
      </w:tr>
      <w:tr w14:paraId="2C3308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4067" w:type="dxa"/>
            <w:tcBorders>
              <w:left w:val="single" w:color="000000" w:sz="2" w:space="0"/>
            </w:tcBorders>
            <w:vAlign w:val="top"/>
          </w:tcPr>
          <w:p w14:paraId="31CF7BCC">
            <w:pPr>
              <w:pStyle w:val="25"/>
              <w:spacing w:before="213" w:line="221" w:lineRule="auto"/>
              <w:ind w:left="283"/>
              <w:rPr>
                <w:rFonts w:hint="eastAsia" w:ascii="宋体" w:hAnsi="宋体" w:eastAsia="宋体" w:cs="宋体"/>
                <w:color w:val="auto"/>
                <w:sz w:val="22"/>
                <w:szCs w:val="22"/>
                <w:highlight w:val="none"/>
              </w:rPr>
            </w:pPr>
            <w:r>
              <w:rPr>
                <w:rFonts w:hint="eastAsia" w:ascii="宋体" w:hAnsi="宋体" w:eastAsia="宋体" w:cs="宋体"/>
                <w:color w:val="auto"/>
                <w:spacing w:val="-5"/>
                <w:sz w:val="22"/>
                <w:szCs w:val="22"/>
                <w:highlight w:val="none"/>
              </w:rPr>
              <w:t>九、净利润</w:t>
            </w:r>
          </w:p>
        </w:tc>
        <w:tc>
          <w:tcPr>
            <w:tcW w:w="899" w:type="dxa"/>
            <w:vAlign w:val="top"/>
          </w:tcPr>
          <w:p w14:paraId="189C9DF7">
            <w:pPr>
              <w:pStyle w:val="25"/>
              <w:spacing w:before="213" w:line="221" w:lineRule="auto"/>
              <w:ind w:left="281"/>
              <w:rPr>
                <w:rFonts w:hint="eastAsia" w:ascii="宋体" w:hAnsi="宋体" w:eastAsia="宋体" w:cs="宋体"/>
                <w:color w:val="auto"/>
                <w:sz w:val="22"/>
                <w:szCs w:val="22"/>
                <w:highlight w:val="none"/>
              </w:rPr>
            </w:pPr>
            <w:r>
              <w:rPr>
                <w:rFonts w:hint="eastAsia" w:ascii="宋体" w:hAnsi="宋体" w:eastAsia="宋体" w:cs="宋体"/>
                <w:color w:val="auto"/>
                <w:spacing w:val="-7"/>
                <w:sz w:val="22"/>
                <w:szCs w:val="22"/>
                <w:highlight w:val="none"/>
              </w:rPr>
              <w:t>万元</w:t>
            </w:r>
          </w:p>
        </w:tc>
        <w:tc>
          <w:tcPr>
            <w:tcW w:w="1319" w:type="dxa"/>
            <w:vAlign w:val="top"/>
          </w:tcPr>
          <w:p w14:paraId="5F475F46">
            <w:pPr>
              <w:rPr>
                <w:rFonts w:hint="eastAsia" w:ascii="宋体" w:hAnsi="宋体" w:eastAsia="宋体" w:cs="宋体"/>
                <w:color w:val="auto"/>
                <w:sz w:val="21"/>
                <w:highlight w:val="none"/>
              </w:rPr>
            </w:pPr>
          </w:p>
        </w:tc>
        <w:tc>
          <w:tcPr>
            <w:tcW w:w="1320" w:type="dxa"/>
            <w:vAlign w:val="top"/>
          </w:tcPr>
          <w:p w14:paraId="506148F9">
            <w:pPr>
              <w:rPr>
                <w:rFonts w:hint="eastAsia" w:ascii="宋体" w:hAnsi="宋体" w:eastAsia="宋体" w:cs="宋体"/>
                <w:color w:val="auto"/>
                <w:sz w:val="21"/>
                <w:highlight w:val="none"/>
              </w:rPr>
            </w:pPr>
          </w:p>
        </w:tc>
        <w:tc>
          <w:tcPr>
            <w:tcW w:w="1326" w:type="dxa"/>
            <w:vAlign w:val="top"/>
          </w:tcPr>
          <w:p w14:paraId="63DED470">
            <w:pPr>
              <w:rPr>
                <w:rFonts w:hint="eastAsia" w:ascii="宋体" w:hAnsi="宋体" w:eastAsia="宋体" w:cs="宋体"/>
                <w:color w:val="auto"/>
                <w:sz w:val="21"/>
                <w:highlight w:val="none"/>
              </w:rPr>
            </w:pPr>
          </w:p>
        </w:tc>
      </w:tr>
      <w:tr w14:paraId="4067C0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4067" w:type="dxa"/>
            <w:tcBorders>
              <w:left w:val="single" w:color="000000" w:sz="2" w:space="0"/>
            </w:tcBorders>
            <w:vAlign w:val="top"/>
          </w:tcPr>
          <w:p w14:paraId="45CCD0D9">
            <w:pPr>
              <w:pStyle w:val="25"/>
              <w:spacing w:before="214" w:line="220" w:lineRule="auto"/>
              <w:ind w:left="278"/>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十、现金流量净额</w:t>
            </w:r>
          </w:p>
        </w:tc>
        <w:tc>
          <w:tcPr>
            <w:tcW w:w="899" w:type="dxa"/>
            <w:vAlign w:val="top"/>
          </w:tcPr>
          <w:p w14:paraId="0CAC0144">
            <w:pPr>
              <w:pStyle w:val="25"/>
              <w:spacing w:before="214" w:line="221" w:lineRule="auto"/>
              <w:ind w:left="281"/>
              <w:rPr>
                <w:rFonts w:hint="eastAsia" w:ascii="宋体" w:hAnsi="宋体" w:eastAsia="宋体" w:cs="宋体"/>
                <w:color w:val="auto"/>
                <w:sz w:val="22"/>
                <w:szCs w:val="22"/>
                <w:highlight w:val="none"/>
              </w:rPr>
            </w:pPr>
            <w:r>
              <w:rPr>
                <w:rFonts w:hint="eastAsia" w:ascii="宋体" w:hAnsi="宋体" w:eastAsia="宋体" w:cs="宋体"/>
                <w:color w:val="auto"/>
                <w:spacing w:val="-7"/>
                <w:sz w:val="22"/>
                <w:szCs w:val="22"/>
                <w:highlight w:val="none"/>
              </w:rPr>
              <w:t>万元</w:t>
            </w:r>
          </w:p>
        </w:tc>
        <w:tc>
          <w:tcPr>
            <w:tcW w:w="1319" w:type="dxa"/>
            <w:vAlign w:val="top"/>
          </w:tcPr>
          <w:p w14:paraId="670B54C9">
            <w:pPr>
              <w:rPr>
                <w:rFonts w:hint="eastAsia" w:ascii="宋体" w:hAnsi="宋体" w:eastAsia="宋体" w:cs="宋体"/>
                <w:color w:val="auto"/>
                <w:sz w:val="21"/>
                <w:highlight w:val="none"/>
              </w:rPr>
            </w:pPr>
          </w:p>
        </w:tc>
        <w:tc>
          <w:tcPr>
            <w:tcW w:w="1320" w:type="dxa"/>
            <w:vAlign w:val="top"/>
          </w:tcPr>
          <w:p w14:paraId="62598670">
            <w:pPr>
              <w:rPr>
                <w:rFonts w:hint="eastAsia" w:ascii="宋体" w:hAnsi="宋体" w:eastAsia="宋体" w:cs="宋体"/>
                <w:color w:val="auto"/>
                <w:sz w:val="21"/>
                <w:highlight w:val="none"/>
              </w:rPr>
            </w:pPr>
          </w:p>
        </w:tc>
        <w:tc>
          <w:tcPr>
            <w:tcW w:w="1326" w:type="dxa"/>
            <w:vAlign w:val="top"/>
          </w:tcPr>
          <w:p w14:paraId="03B80CAD">
            <w:pPr>
              <w:rPr>
                <w:rFonts w:hint="eastAsia" w:ascii="宋体" w:hAnsi="宋体" w:eastAsia="宋体" w:cs="宋体"/>
                <w:color w:val="auto"/>
                <w:sz w:val="21"/>
                <w:highlight w:val="none"/>
              </w:rPr>
            </w:pPr>
          </w:p>
        </w:tc>
      </w:tr>
      <w:tr w14:paraId="3CD5D1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4067" w:type="dxa"/>
            <w:tcBorders>
              <w:left w:val="single" w:color="000000" w:sz="2" w:space="0"/>
            </w:tcBorders>
            <w:vAlign w:val="top"/>
          </w:tcPr>
          <w:p w14:paraId="28FF474E">
            <w:pPr>
              <w:pStyle w:val="25"/>
              <w:spacing w:before="215" w:line="220" w:lineRule="auto"/>
              <w:ind w:left="278"/>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十一、主要财务指标</w:t>
            </w:r>
          </w:p>
        </w:tc>
        <w:tc>
          <w:tcPr>
            <w:tcW w:w="899" w:type="dxa"/>
            <w:vAlign w:val="top"/>
          </w:tcPr>
          <w:p w14:paraId="5382BCB3">
            <w:pPr>
              <w:rPr>
                <w:rFonts w:hint="eastAsia" w:ascii="宋体" w:hAnsi="宋体" w:eastAsia="宋体" w:cs="宋体"/>
                <w:color w:val="auto"/>
                <w:sz w:val="21"/>
                <w:highlight w:val="none"/>
              </w:rPr>
            </w:pPr>
          </w:p>
        </w:tc>
        <w:tc>
          <w:tcPr>
            <w:tcW w:w="1319" w:type="dxa"/>
            <w:vAlign w:val="top"/>
          </w:tcPr>
          <w:p w14:paraId="1E64F682">
            <w:pPr>
              <w:rPr>
                <w:rFonts w:hint="eastAsia" w:ascii="宋体" w:hAnsi="宋体" w:eastAsia="宋体" w:cs="宋体"/>
                <w:color w:val="auto"/>
                <w:sz w:val="21"/>
                <w:highlight w:val="none"/>
              </w:rPr>
            </w:pPr>
          </w:p>
        </w:tc>
        <w:tc>
          <w:tcPr>
            <w:tcW w:w="1320" w:type="dxa"/>
            <w:vAlign w:val="top"/>
          </w:tcPr>
          <w:p w14:paraId="05A9A810">
            <w:pPr>
              <w:rPr>
                <w:rFonts w:hint="eastAsia" w:ascii="宋体" w:hAnsi="宋体" w:eastAsia="宋体" w:cs="宋体"/>
                <w:color w:val="auto"/>
                <w:sz w:val="21"/>
                <w:highlight w:val="none"/>
              </w:rPr>
            </w:pPr>
          </w:p>
        </w:tc>
        <w:tc>
          <w:tcPr>
            <w:tcW w:w="1326" w:type="dxa"/>
            <w:vAlign w:val="top"/>
          </w:tcPr>
          <w:p w14:paraId="3F6BF227">
            <w:pPr>
              <w:rPr>
                <w:rFonts w:hint="eastAsia" w:ascii="宋体" w:hAnsi="宋体" w:eastAsia="宋体" w:cs="宋体"/>
                <w:color w:val="auto"/>
                <w:sz w:val="21"/>
                <w:highlight w:val="none"/>
              </w:rPr>
            </w:pPr>
          </w:p>
        </w:tc>
      </w:tr>
      <w:tr w14:paraId="336288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4067" w:type="dxa"/>
            <w:tcBorders>
              <w:left w:val="single" w:color="000000" w:sz="2" w:space="0"/>
            </w:tcBorders>
            <w:vAlign w:val="top"/>
          </w:tcPr>
          <w:p w14:paraId="4E6A5292">
            <w:pPr>
              <w:pStyle w:val="25"/>
              <w:spacing w:before="216" w:line="220" w:lineRule="auto"/>
              <w:ind w:left="294"/>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1.净资产收益率</w:t>
            </w:r>
          </w:p>
        </w:tc>
        <w:tc>
          <w:tcPr>
            <w:tcW w:w="899" w:type="dxa"/>
            <w:vAlign w:val="top"/>
          </w:tcPr>
          <w:p w14:paraId="66BD441A">
            <w:pPr>
              <w:pStyle w:val="25"/>
              <w:spacing w:before="216"/>
              <w:ind w:left="27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p>
        </w:tc>
        <w:tc>
          <w:tcPr>
            <w:tcW w:w="1319" w:type="dxa"/>
            <w:vAlign w:val="top"/>
          </w:tcPr>
          <w:p w14:paraId="7E7F5C9F">
            <w:pPr>
              <w:rPr>
                <w:rFonts w:hint="eastAsia" w:ascii="宋体" w:hAnsi="宋体" w:eastAsia="宋体" w:cs="宋体"/>
                <w:color w:val="auto"/>
                <w:sz w:val="21"/>
                <w:highlight w:val="none"/>
              </w:rPr>
            </w:pPr>
          </w:p>
        </w:tc>
        <w:tc>
          <w:tcPr>
            <w:tcW w:w="1320" w:type="dxa"/>
            <w:vAlign w:val="top"/>
          </w:tcPr>
          <w:p w14:paraId="55010F89">
            <w:pPr>
              <w:rPr>
                <w:rFonts w:hint="eastAsia" w:ascii="宋体" w:hAnsi="宋体" w:eastAsia="宋体" w:cs="宋体"/>
                <w:color w:val="auto"/>
                <w:sz w:val="21"/>
                <w:highlight w:val="none"/>
              </w:rPr>
            </w:pPr>
          </w:p>
        </w:tc>
        <w:tc>
          <w:tcPr>
            <w:tcW w:w="1326" w:type="dxa"/>
            <w:vAlign w:val="top"/>
          </w:tcPr>
          <w:p w14:paraId="7E8EA0CA">
            <w:pPr>
              <w:rPr>
                <w:rFonts w:hint="eastAsia" w:ascii="宋体" w:hAnsi="宋体" w:eastAsia="宋体" w:cs="宋体"/>
                <w:color w:val="auto"/>
                <w:sz w:val="21"/>
                <w:highlight w:val="none"/>
              </w:rPr>
            </w:pPr>
          </w:p>
        </w:tc>
      </w:tr>
      <w:tr w14:paraId="0D6973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4067" w:type="dxa"/>
            <w:tcBorders>
              <w:left w:val="single" w:color="000000" w:sz="2" w:space="0"/>
            </w:tcBorders>
            <w:vAlign w:val="top"/>
          </w:tcPr>
          <w:p w14:paraId="2422F949">
            <w:pPr>
              <w:pStyle w:val="25"/>
              <w:spacing w:before="217" w:line="220" w:lineRule="auto"/>
              <w:ind w:left="280"/>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2.总资产报酬率</w:t>
            </w:r>
          </w:p>
        </w:tc>
        <w:tc>
          <w:tcPr>
            <w:tcW w:w="899" w:type="dxa"/>
            <w:vAlign w:val="top"/>
          </w:tcPr>
          <w:p w14:paraId="03A5716D">
            <w:pPr>
              <w:pStyle w:val="25"/>
              <w:spacing w:before="217"/>
              <w:ind w:left="27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p>
        </w:tc>
        <w:tc>
          <w:tcPr>
            <w:tcW w:w="1319" w:type="dxa"/>
            <w:vAlign w:val="top"/>
          </w:tcPr>
          <w:p w14:paraId="6ECCADB2">
            <w:pPr>
              <w:rPr>
                <w:rFonts w:hint="eastAsia" w:ascii="宋体" w:hAnsi="宋体" w:eastAsia="宋体" w:cs="宋体"/>
                <w:color w:val="auto"/>
                <w:sz w:val="21"/>
                <w:highlight w:val="none"/>
              </w:rPr>
            </w:pPr>
          </w:p>
        </w:tc>
        <w:tc>
          <w:tcPr>
            <w:tcW w:w="1320" w:type="dxa"/>
            <w:vAlign w:val="top"/>
          </w:tcPr>
          <w:p w14:paraId="0331ABFC">
            <w:pPr>
              <w:rPr>
                <w:rFonts w:hint="eastAsia" w:ascii="宋体" w:hAnsi="宋体" w:eastAsia="宋体" w:cs="宋体"/>
                <w:color w:val="auto"/>
                <w:sz w:val="21"/>
                <w:highlight w:val="none"/>
              </w:rPr>
            </w:pPr>
          </w:p>
        </w:tc>
        <w:tc>
          <w:tcPr>
            <w:tcW w:w="1326" w:type="dxa"/>
            <w:vAlign w:val="top"/>
          </w:tcPr>
          <w:p w14:paraId="5DAAD8EF">
            <w:pPr>
              <w:rPr>
                <w:rFonts w:hint="eastAsia" w:ascii="宋体" w:hAnsi="宋体" w:eastAsia="宋体" w:cs="宋体"/>
                <w:color w:val="auto"/>
                <w:sz w:val="21"/>
                <w:highlight w:val="none"/>
              </w:rPr>
            </w:pPr>
          </w:p>
        </w:tc>
      </w:tr>
      <w:tr w14:paraId="19FA99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4067" w:type="dxa"/>
            <w:tcBorders>
              <w:left w:val="single" w:color="000000" w:sz="2" w:space="0"/>
            </w:tcBorders>
            <w:vAlign w:val="top"/>
          </w:tcPr>
          <w:p w14:paraId="08AD124C">
            <w:pPr>
              <w:pStyle w:val="25"/>
              <w:spacing w:before="218" w:line="220" w:lineRule="auto"/>
              <w:ind w:left="282"/>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3.主营业务利润率</w:t>
            </w:r>
          </w:p>
        </w:tc>
        <w:tc>
          <w:tcPr>
            <w:tcW w:w="899" w:type="dxa"/>
            <w:vAlign w:val="top"/>
          </w:tcPr>
          <w:p w14:paraId="7F09BFA3">
            <w:pPr>
              <w:pStyle w:val="25"/>
              <w:spacing w:before="218"/>
              <w:ind w:left="27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p>
        </w:tc>
        <w:tc>
          <w:tcPr>
            <w:tcW w:w="1319" w:type="dxa"/>
            <w:vAlign w:val="top"/>
          </w:tcPr>
          <w:p w14:paraId="715D67D8">
            <w:pPr>
              <w:rPr>
                <w:rFonts w:hint="eastAsia" w:ascii="宋体" w:hAnsi="宋体" w:eastAsia="宋体" w:cs="宋体"/>
                <w:color w:val="auto"/>
                <w:sz w:val="21"/>
                <w:highlight w:val="none"/>
              </w:rPr>
            </w:pPr>
          </w:p>
        </w:tc>
        <w:tc>
          <w:tcPr>
            <w:tcW w:w="1320" w:type="dxa"/>
            <w:vAlign w:val="top"/>
          </w:tcPr>
          <w:p w14:paraId="16F2065F">
            <w:pPr>
              <w:rPr>
                <w:rFonts w:hint="eastAsia" w:ascii="宋体" w:hAnsi="宋体" w:eastAsia="宋体" w:cs="宋体"/>
                <w:color w:val="auto"/>
                <w:sz w:val="21"/>
                <w:highlight w:val="none"/>
              </w:rPr>
            </w:pPr>
          </w:p>
        </w:tc>
        <w:tc>
          <w:tcPr>
            <w:tcW w:w="1326" w:type="dxa"/>
            <w:vAlign w:val="top"/>
          </w:tcPr>
          <w:p w14:paraId="36C3439B">
            <w:pPr>
              <w:rPr>
                <w:rFonts w:hint="eastAsia" w:ascii="宋体" w:hAnsi="宋体" w:eastAsia="宋体" w:cs="宋体"/>
                <w:color w:val="auto"/>
                <w:sz w:val="21"/>
                <w:highlight w:val="none"/>
              </w:rPr>
            </w:pPr>
          </w:p>
        </w:tc>
      </w:tr>
      <w:tr w14:paraId="4AD8C3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4067" w:type="dxa"/>
            <w:tcBorders>
              <w:left w:val="single" w:color="000000" w:sz="2" w:space="0"/>
            </w:tcBorders>
            <w:vAlign w:val="top"/>
          </w:tcPr>
          <w:p w14:paraId="03CE2A56">
            <w:pPr>
              <w:pStyle w:val="25"/>
              <w:spacing w:before="216" w:line="220" w:lineRule="auto"/>
              <w:ind w:left="277"/>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4.资产负债率</w:t>
            </w:r>
          </w:p>
        </w:tc>
        <w:tc>
          <w:tcPr>
            <w:tcW w:w="899" w:type="dxa"/>
            <w:vAlign w:val="top"/>
          </w:tcPr>
          <w:p w14:paraId="06D024F2">
            <w:pPr>
              <w:pStyle w:val="25"/>
              <w:spacing w:before="216"/>
              <w:ind w:left="27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p>
        </w:tc>
        <w:tc>
          <w:tcPr>
            <w:tcW w:w="1319" w:type="dxa"/>
            <w:vAlign w:val="top"/>
          </w:tcPr>
          <w:p w14:paraId="3270969D">
            <w:pPr>
              <w:rPr>
                <w:rFonts w:hint="eastAsia" w:ascii="宋体" w:hAnsi="宋体" w:eastAsia="宋体" w:cs="宋体"/>
                <w:color w:val="auto"/>
                <w:sz w:val="21"/>
                <w:highlight w:val="none"/>
              </w:rPr>
            </w:pPr>
          </w:p>
        </w:tc>
        <w:tc>
          <w:tcPr>
            <w:tcW w:w="1320" w:type="dxa"/>
            <w:vAlign w:val="top"/>
          </w:tcPr>
          <w:p w14:paraId="4788B1D8">
            <w:pPr>
              <w:rPr>
                <w:rFonts w:hint="eastAsia" w:ascii="宋体" w:hAnsi="宋体" w:eastAsia="宋体" w:cs="宋体"/>
                <w:color w:val="auto"/>
                <w:sz w:val="21"/>
                <w:highlight w:val="none"/>
              </w:rPr>
            </w:pPr>
          </w:p>
        </w:tc>
        <w:tc>
          <w:tcPr>
            <w:tcW w:w="1326" w:type="dxa"/>
            <w:vAlign w:val="top"/>
          </w:tcPr>
          <w:p w14:paraId="2A1A0311">
            <w:pPr>
              <w:rPr>
                <w:rFonts w:hint="eastAsia" w:ascii="宋体" w:hAnsi="宋体" w:eastAsia="宋体" w:cs="宋体"/>
                <w:color w:val="auto"/>
                <w:sz w:val="21"/>
                <w:highlight w:val="none"/>
              </w:rPr>
            </w:pPr>
          </w:p>
        </w:tc>
      </w:tr>
      <w:tr w14:paraId="75D143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4067" w:type="dxa"/>
            <w:tcBorders>
              <w:left w:val="single" w:color="000000" w:sz="2" w:space="0"/>
            </w:tcBorders>
            <w:vAlign w:val="top"/>
          </w:tcPr>
          <w:p w14:paraId="21116FD1">
            <w:pPr>
              <w:pStyle w:val="25"/>
              <w:spacing w:before="217" w:line="220" w:lineRule="auto"/>
              <w:ind w:left="282"/>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5.流动比率</w:t>
            </w:r>
          </w:p>
        </w:tc>
        <w:tc>
          <w:tcPr>
            <w:tcW w:w="899" w:type="dxa"/>
            <w:vAlign w:val="top"/>
          </w:tcPr>
          <w:p w14:paraId="76E8FF9B">
            <w:pPr>
              <w:pStyle w:val="25"/>
              <w:spacing w:before="217"/>
              <w:ind w:left="27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p>
        </w:tc>
        <w:tc>
          <w:tcPr>
            <w:tcW w:w="1319" w:type="dxa"/>
            <w:vAlign w:val="top"/>
          </w:tcPr>
          <w:p w14:paraId="2169EE3A">
            <w:pPr>
              <w:rPr>
                <w:rFonts w:hint="eastAsia" w:ascii="宋体" w:hAnsi="宋体" w:eastAsia="宋体" w:cs="宋体"/>
                <w:color w:val="auto"/>
                <w:sz w:val="21"/>
                <w:highlight w:val="none"/>
              </w:rPr>
            </w:pPr>
          </w:p>
        </w:tc>
        <w:tc>
          <w:tcPr>
            <w:tcW w:w="1320" w:type="dxa"/>
            <w:vAlign w:val="top"/>
          </w:tcPr>
          <w:p w14:paraId="2FD54F14">
            <w:pPr>
              <w:rPr>
                <w:rFonts w:hint="eastAsia" w:ascii="宋体" w:hAnsi="宋体" w:eastAsia="宋体" w:cs="宋体"/>
                <w:color w:val="auto"/>
                <w:sz w:val="21"/>
                <w:highlight w:val="none"/>
              </w:rPr>
            </w:pPr>
          </w:p>
        </w:tc>
        <w:tc>
          <w:tcPr>
            <w:tcW w:w="1326" w:type="dxa"/>
            <w:vAlign w:val="top"/>
          </w:tcPr>
          <w:p w14:paraId="0828FA48">
            <w:pPr>
              <w:rPr>
                <w:rFonts w:hint="eastAsia" w:ascii="宋体" w:hAnsi="宋体" w:eastAsia="宋体" w:cs="宋体"/>
                <w:color w:val="auto"/>
                <w:sz w:val="21"/>
                <w:highlight w:val="none"/>
              </w:rPr>
            </w:pPr>
          </w:p>
        </w:tc>
      </w:tr>
      <w:tr w14:paraId="32FB02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 w:hRule="atLeast"/>
        </w:trPr>
        <w:tc>
          <w:tcPr>
            <w:tcW w:w="4067" w:type="dxa"/>
            <w:tcBorders>
              <w:left w:val="single" w:color="000000" w:sz="2" w:space="0"/>
            </w:tcBorders>
            <w:vAlign w:val="top"/>
          </w:tcPr>
          <w:p w14:paraId="0E579BFF">
            <w:pPr>
              <w:pStyle w:val="25"/>
              <w:spacing w:before="217" w:line="220" w:lineRule="auto"/>
              <w:ind w:left="279"/>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6.速动比率</w:t>
            </w:r>
          </w:p>
        </w:tc>
        <w:tc>
          <w:tcPr>
            <w:tcW w:w="899" w:type="dxa"/>
            <w:vAlign w:val="top"/>
          </w:tcPr>
          <w:p w14:paraId="58BF4936">
            <w:pPr>
              <w:pStyle w:val="25"/>
              <w:spacing w:before="218"/>
              <w:ind w:left="27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p>
        </w:tc>
        <w:tc>
          <w:tcPr>
            <w:tcW w:w="1319" w:type="dxa"/>
            <w:vAlign w:val="top"/>
          </w:tcPr>
          <w:p w14:paraId="69934A15">
            <w:pPr>
              <w:rPr>
                <w:rFonts w:hint="eastAsia" w:ascii="宋体" w:hAnsi="宋体" w:eastAsia="宋体" w:cs="宋体"/>
                <w:color w:val="auto"/>
                <w:sz w:val="21"/>
                <w:highlight w:val="none"/>
              </w:rPr>
            </w:pPr>
          </w:p>
        </w:tc>
        <w:tc>
          <w:tcPr>
            <w:tcW w:w="1320" w:type="dxa"/>
            <w:vAlign w:val="top"/>
          </w:tcPr>
          <w:p w14:paraId="0D1D3113">
            <w:pPr>
              <w:rPr>
                <w:rFonts w:hint="eastAsia" w:ascii="宋体" w:hAnsi="宋体" w:eastAsia="宋体" w:cs="宋体"/>
                <w:color w:val="auto"/>
                <w:sz w:val="21"/>
                <w:highlight w:val="none"/>
              </w:rPr>
            </w:pPr>
          </w:p>
        </w:tc>
        <w:tc>
          <w:tcPr>
            <w:tcW w:w="1326" w:type="dxa"/>
            <w:vAlign w:val="top"/>
          </w:tcPr>
          <w:p w14:paraId="5B771AA5">
            <w:pPr>
              <w:rPr>
                <w:rFonts w:hint="eastAsia" w:ascii="宋体" w:hAnsi="宋体" w:eastAsia="宋体" w:cs="宋体"/>
                <w:color w:val="auto"/>
                <w:sz w:val="21"/>
                <w:highlight w:val="none"/>
              </w:rPr>
            </w:pPr>
          </w:p>
        </w:tc>
      </w:tr>
    </w:tbl>
    <w:p w14:paraId="71D36EF3">
      <w:pPr>
        <w:spacing w:before="210" w:line="227" w:lineRule="auto"/>
        <w:ind w:left="19"/>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注：1.投标人应根据招标文件第二章“投标人须知”第3.</w:t>
      </w:r>
      <w:r>
        <w:rPr>
          <w:rFonts w:hint="eastAsia" w:ascii="宋体" w:hAnsi="宋体" w:eastAsia="宋体" w:cs="宋体"/>
          <w:color w:val="auto"/>
          <w:spacing w:val="6"/>
          <w:sz w:val="20"/>
          <w:szCs w:val="20"/>
          <w:highlight w:val="none"/>
        </w:rPr>
        <w:t>5.2项的要求在本表后附相关证明材料。</w:t>
      </w:r>
    </w:p>
    <w:p w14:paraId="78B17B62">
      <w:pPr>
        <w:spacing w:before="158" w:line="227" w:lineRule="auto"/>
        <w:ind w:left="15"/>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2.本表所列数据必须与本表各附件中的数据相一致。</w:t>
      </w:r>
    </w:p>
    <w:p w14:paraId="57CE91F6">
      <w:pPr>
        <w:spacing w:before="28" w:line="228" w:lineRule="auto"/>
        <w:ind w:left="20"/>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3.以联合体形式参与投标的，联合体各成员应分别填写。</w:t>
      </w:r>
    </w:p>
    <w:p w14:paraId="44C9378D">
      <w:pPr>
        <w:spacing w:line="228" w:lineRule="auto"/>
        <w:rPr>
          <w:rFonts w:hint="eastAsia" w:ascii="宋体" w:hAnsi="宋体" w:eastAsia="宋体" w:cs="宋体"/>
          <w:color w:val="auto"/>
          <w:sz w:val="20"/>
          <w:szCs w:val="20"/>
          <w:highlight w:val="none"/>
        </w:rPr>
        <w:sectPr>
          <w:headerReference r:id="rId273" w:type="default"/>
          <w:footerReference r:id="rId274" w:type="default"/>
          <w:pgSz w:w="11907" w:h="16840"/>
          <w:pgMar w:top="1182" w:right="1180" w:bottom="1014" w:left="1786" w:header="849" w:footer="852" w:gutter="0"/>
          <w:pgNumType w:fmt="decimal"/>
          <w:cols w:space="720" w:num="1"/>
        </w:sectPr>
      </w:pPr>
    </w:p>
    <w:p w14:paraId="622BA62E">
      <w:pPr>
        <w:pStyle w:val="4"/>
        <w:spacing w:line="294" w:lineRule="auto"/>
        <w:rPr>
          <w:rFonts w:hint="eastAsia" w:ascii="宋体" w:hAnsi="宋体" w:eastAsia="宋体" w:cs="宋体"/>
          <w:color w:val="auto"/>
          <w:highlight w:val="none"/>
        </w:rPr>
      </w:pPr>
    </w:p>
    <w:p w14:paraId="417DBD38">
      <w:pPr>
        <w:spacing w:before="78" w:line="226" w:lineRule="auto"/>
        <w:ind w:left="3789"/>
        <w:rPr>
          <w:rFonts w:hint="eastAsia" w:ascii="宋体" w:hAnsi="宋体" w:eastAsia="宋体" w:cs="宋体"/>
          <w:color w:val="auto"/>
          <w:sz w:val="12"/>
          <w:szCs w:val="12"/>
          <w:highlight w:val="none"/>
        </w:rPr>
      </w:pPr>
      <w:r>
        <w:rPr>
          <w:rFonts w:hint="eastAsia" w:ascii="宋体" w:hAnsi="宋体" w:eastAsia="宋体" w:cs="宋体"/>
          <w:color w:val="auto"/>
          <w:spacing w:val="-2"/>
          <w:sz w:val="24"/>
          <w:szCs w:val="24"/>
          <w:highlight w:val="none"/>
        </w:rPr>
        <w:t>银行信贷证明</w:t>
      </w:r>
      <w:r>
        <w:rPr>
          <w:rFonts w:hint="eastAsia" w:ascii="宋体" w:hAnsi="宋体" w:eastAsia="宋体" w:cs="宋体"/>
          <w:color w:val="auto"/>
          <w:spacing w:val="-2"/>
          <w:position w:val="10"/>
          <w:sz w:val="12"/>
          <w:szCs w:val="12"/>
          <w:highlight w:val="none"/>
        </w:rPr>
        <w:t>①</w:t>
      </w:r>
    </w:p>
    <w:p w14:paraId="023824D8">
      <w:pPr>
        <w:pStyle w:val="4"/>
        <w:spacing w:line="319" w:lineRule="auto"/>
        <w:rPr>
          <w:rFonts w:hint="eastAsia" w:ascii="宋体" w:hAnsi="宋体" w:eastAsia="宋体" w:cs="宋体"/>
          <w:color w:val="auto"/>
          <w:highlight w:val="none"/>
        </w:rPr>
      </w:pPr>
    </w:p>
    <w:p w14:paraId="59C7A6EE">
      <w:pPr>
        <w:pStyle w:val="4"/>
        <w:spacing w:line="320" w:lineRule="auto"/>
        <w:rPr>
          <w:rFonts w:hint="eastAsia" w:ascii="宋体" w:hAnsi="宋体" w:eastAsia="宋体" w:cs="宋体"/>
          <w:color w:val="auto"/>
          <w:highlight w:val="none"/>
        </w:rPr>
      </w:pPr>
    </w:p>
    <w:p w14:paraId="0576EE22">
      <w:pPr>
        <w:spacing w:before="78" w:line="220" w:lineRule="auto"/>
        <w:ind w:left="427"/>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rPr>
        <w:t>银行名称：</w:t>
      </w:r>
    </w:p>
    <w:p w14:paraId="06D582AD">
      <w:pPr>
        <w:spacing w:before="313" w:line="229" w:lineRule="auto"/>
        <w:ind w:left="426"/>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0"/>
          <w:sz w:val="24"/>
          <w:szCs w:val="24"/>
          <w:highlight w:val="none"/>
        </w:rPr>
        <w:t>地址：</w:t>
      </w:r>
    </w:p>
    <w:p w14:paraId="6D26FF5F">
      <w:pPr>
        <w:pStyle w:val="4"/>
        <w:spacing w:line="457" w:lineRule="auto"/>
        <w:rPr>
          <w:rFonts w:hint="eastAsia" w:ascii="宋体" w:hAnsi="宋体" w:eastAsia="宋体" w:cs="宋体"/>
          <w:color w:val="auto"/>
          <w:highlight w:val="none"/>
        </w:rPr>
      </w:pPr>
    </w:p>
    <w:p w14:paraId="400DB370">
      <w:pPr>
        <w:spacing w:before="78" w:line="220" w:lineRule="auto"/>
        <w:ind w:left="6182"/>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7"/>
          <w:sz w:val="24"/>
          <w:szCs w:val="24"/>
          <w:highlight w:val="none"/>
        </w:rPr>
        <w:t>日期：</w:t>
      </w:r>
    </w:p>
    <w:p w14:paraId="1A3991A4">
      <w:pPr>
        <w:pStyle w:val="4"/>
        <w:spacing w:line="446" w:lineRule="auto"/>
        <w:rPr>
          <w:rFonts w:hint="eastAsia" w:ascii="宋体" w:hAnsi="宋体" w:eastAsia="宋体" w:cs="宋体"/>
          <w:color w:val="auto"/>
          <w:highlight w:val="none"/>
        </w:rPr>
      </w:pPr>
    </w:p>
    <w:p w14:paraId="2DD94B18">
      <w:pPr>
        <w:spacing w:before="78" w:line="220" w:lineRule="auto"/>
        <w:ind w:left="426"/>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6"/>
          <w:sz w:val="24"/>
          <w:szCs w:val="24"/>
          <w:highlight w:val="none"/>
        </w:rPr>
        <w:t>致</w:t>
      </w:r>
      <w:r>
        <w:rPr>
          <w:rFonts w:hint="eastAsia" w:ascii="宋体" w:hAnsi="宋体" w:eastAsia="宋体" w:cs="宋体"/>
          <w:color w:val="auto"/>
          <w:spacing w:val="-30"/>
          <w:sz w:val="24"/>
          <w:szCs w:val="24"/>
          <w:highlight w:val="none"/>
          <w:u w:val="single" w:color="auto"/>
        </w:rPr>
        <w:t>：（</w:t>
      </w:r>
      <w:r>
        <w:rPr>
          <w:rFonts w:hint="eastAsia" w:ascii="宋体" w:hAnsi="宋体" w:eastAsia="宋体" w:cs="宋体"/>
          <w:color w:val="auto"/>
          <w:spacing w:val="6"/>
          <w:sz w:val="24"/>
          <w:szCs w:val="24"/>
          <w:highlight w:val="none"/>
          <w:u w:val="single" w:color="auto"/>
        </w:rPr>
        <w:t>招标人全称）</w:t>
      </w:r>
    </w:p>
    <w:p w14:paraId="4B281FAD">
      <w:pPr>
        <w:pStyle w:val="4"/>
        <w:spacing w:line="280" w:lineRule="auto"/>
        <w:rPr>
          <w:rFonts w:hint="eastAsia" w:ascii="宋体" w:hAnsi="宋体" w:eastAsia="宋体" w:cs="宋体"/>
          <w:color w:val="auto"/>
          <w:highlight w:val="none"/>
        </w:rPr>
      </w:pPr>
    </w:p>
    <w:p w14:paraId="6E2FC1D2">
      <w:pPr>
        <w:pStyle w:val="4"/>
        <w:spacing w:line="280" w:lineRule="auto"/>
        <w:rPr>
          <w:rFonts w:hint="eastAsia" w:ascii="宋体" w:hAnsi="宋体" w:eastAsia="宋体" w:cs="宋体"/>
          <w:color w:val="auto"/>
          <w:highlight w:val="none"/>
        </w:rPr>
      </w:pPr>
    </w:p>
    <w:p w14:paraId="735FE919">
      <w:pPr>
        <w:spacing w:before="79" w:line="313" w:lineRule="auto"/>
        <w:ind w:left="427" w:right="360" w:firstLine="526"/>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兹开具最高限额为</w:t>
      </w:r>
      <w:r>
        <w:rPr>
          <w:rFonts w:hint="eastAsia" w:ascii="宋体" w:hAnsi="宋体" w:eastAsia="宋体" w:cs="宋体"/>
          <w:color w:val="auto"/>
          <w:spacing w:val="-8"/>
          <w:sz w:val="24"/>
          <w:szCs w:val="24"/>
          <w:highlight w:val="none"/>
          <w:u w:val="single" w:color="auto"/>
        </w:rPr>
        <w:t>人民币</w:t>
      </w:r>
      <w:r>
        <w:rPr>
          <w:rFonts w:hint="eastAsia" w:ascii="宋体" w:hAnsi="宋体" w:eastAsia="宋体" w:cs="宋体"/>
          <w:color w:val="auto"/>
          <w:spacing w:val="-8"/>
          <w:sz w:val="24"/>
          <w:szCs w:val="24"/>
          <w:highlight w:val="none"/>
        </w:rPr>
        <w:t>万元的银行信贷，供</w:t>
      </w:r>
      <w:r>
        <w:rPr>
          <w:rFonts w:hint="eastAsia" w:ascii="宋体" w:hAnsi="宋体" w:eastAsia="宋体" w:cs="宋体"/>
          <w:color w:val="auto"/>
          <w:spacing w:val="-9"/>
          <w:sz w:val="24"/>
          <w:szCs w:val="24"/>
          <w:highlight w:val="none"/>
          <w:u w:val="single" w:color="auto"/>
        </w:rPr>
        <w:t>（投</w:t>
      </w:r>
      <w:r>
        <w:rPr>
          <w:rFonts w:hint="eastAsia" w:ascii="宋体" w:hAnsi="宋体" w:eastAsia="宋体" w:cs="宋体"/>
          <w:color w:val="auto"/>
          <w:spacing w:val="-2"/>
          <w:sz w:val="24"/>
          <w:szCs w:val="24"/>
          <w:highlight w:val="none"/>
          <w:u w:val="single" w:color="auto"/>
        </w:rPr>
        <w:t>标人注册地点</w:t>
      </w:r>
      <w:r>
        <w:rPr>
          <w:rFonts w:hint="eastAsia" w:ascii="宋体" w:hAnsi="宋体" w:eastAsia="宋体" w:cs="宋体"/>
          <w:color w:val="auto"/>
          <w:spacing w:val="-12"/>
          <w:sz w:val="24"/>
          <w:szCs w:val="24"/>
          <w:highlight w:val="none"/>
          <w:u w:val="single" w:color="auto"/>
        </w:rPr>
        <w:t>）（</w:t>
      </w:r>
      <w:r>
        <w:rPr>
          <w:rFonts w:hint="eastAsia" w:ascii="宋体" w:hAnsi="宋体" w:eastAsia="宋体" w:cs="宋体"/>
          <w:color w:val="auto"/>
          <w:spacing w:val="-2"/>
          <w:sz w:val="24"/>
          <w:szCs w:val="24"/>
          <w:highlight w:val="none"/>
          <w:u w:val="single" w:color="auto"/>
        </w:rPr>
        <w:t>投标人名称）</w:t>
      </w:r>
      <w:r>
        <w:rPr>
          <w:rFonts w:hint="eastAsia" w:ascii="宋体" w:hAnsi="宋体" w:eastAsia="宋体" w:cs="宋体"/>
          <w:color w:val="auto"/>
          <w:spacing w:val="-2"/>
          <w:sz w:val="24"/>
          <w:szCs w:val="24"/>
          <w:highlight w:val="none"/>
        </w:rPr>
        <w:t>于年月日之前，在（项目名称）需要时使用。我行保证由（投</w:t>
      </w:r>
      <w:r>
        <w:rPr>
          <w:rFonts w:hint="eastAsia" w:ascii="宋体" w:hAnsi="宋体" w:eastAsia="宋体" w:cs="宋体"/>
          <w:color w:val="auto"/>
          <w:spacing w:val="-3"/>
          <w:sz w:val="24"/>
          <w:szCs w:val="24"/>
          <w:highlight w:val="none"/>
        </w:rPr>
        <w:t>标人名称）提供的</w:t>
      </w:r>
      <w:r>
        <w:rPr>
          <w:rFonts w:hint="eastAsia" w:ascii="宋体" w:hAnsi="宋体" w:eastAsia="宋体" w:cs="宋体"/>
          <w:color w:val="auto"/>
          <w:sz w:val="24"/>
          <w:szCs w:val="24"/>
          <w:highlight w:val="none"/>
        </w:rPr>
        <w:t>财务报表中所开列的作为流动资产的各项中无一项</w:t>
      </w:r>
      <w:r>
        <w:rPr>
          <w:rFonts w:hint="eastAsia" w:ascii="宋体" w:hAnsi="宋体" w:eastAsia="宋体" w:cs="宋体"/>
          <w:color w:val="auto"/>
          <w:spacing w:val="-1"/>
          <w:sz w:val="24"/>
          <w:szCs w:val="24"/>
          <w:highlight w:val="none"/>
        </w:rPr>
        <w:t>包含在上述提到的银行信贷</w:t>
      </w:r>
      <w:r>
        <w:rPr>
          <w:rFonts w:hint="eastAsia" w:ascii="宋体" w:hAnsi="宋体" w:eastAsia="宋体" w:cs="宋体"/>
          <w:color w:val="auto"/>
          <w:spacing w:val="-6"/>
          <w:sz w:val="24"/>
          <w:szCs w:val="24"/>
          <w:highlight w:val="none"/>
        </w:rPr>
        <w:t>中。</w:t>
      </w:r>
    </w:p>
    <w:p w14:paraId="034C2718">
      <w:pPr>
        <w:spacing w:before="112" w:line="219" w:lineRule="auto"/>
        <w:ind w:left="95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此项目若未中标，该信贷证明自动失效，无须退回我行。</w:t>
      </w:r>
    </w:p>
    <w:p w14:paraId="7F8D7572">
      <w:pPr>
        <w:pStyle w:val="4"/>
        <w:spacing w:line="283" w:lineRule="auto"/>
        <w:rPr>
          <w:rFonts w:hint="eastAsia" w:ascii="宋体" w:hAnsi="宋体" w:eastAsia="宋体" w:cs="宋体"/>
          <w:color w:val="auto"/>
          <w:highlight w:val="none"/>
        </w:rPr>
      </w:pPr>
    </w:p>
    <w:p w14:paraId="05D11D24">
      <w:pPr>
        <w:pStyle w:val="4"/>
        <w:spacing w:line="283" w:lineRule="auto"/>
        <w:rPr>
          <w:rFonts w:hint="eastAsia" w:ascii="宋体" w:hAnsi="宋体" w:eastAsia="宋体" w:cs="宋体"/>
          <w:color w:val="auto"/>
          <w:highlight w:val="none"/>
        </w:rPr>
      </w:pPr>
    </w:p>
    <w:p w14:paraId="4F023AF6">
      <w:pPr>
        <w:spacing w:before="78" w:line="219" w:lineRule="auto"/>
        <w:ind w:left="3067"/>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4"/>
          <w:sz w:val="24"/>
          <w:szCs w:val="24"/>
          <w:highlight w:val="none"/>
        </w:rPr>
        <w:t>银行（盖单位章</w:t>
      </w:r>
      <w:r>
        <w:rPr>
          <w:rFonts w:hint="eastAsia" w:ascii="宋体" w:hAnsi="宋体" w:eastAsia="宋体" w:cs="宋体"/>
          <w:color w:val="auto"/>
          <w:spacing w:val="-44"/>
          <w:w w:val="68"/>
          <w:sz w:val="24"/>
          <w:szCs w:val="24"/>
          <w:highlight w:val="none"/>
        </w:rPr>
        <w:t>：）</w:t>
      </w:r>
    </w:p>
    <w:p w14:paraId="508C9970">
      <w:pPr>
        <w:spacing w:before="120" w:line="219" w:lineRule="auto"/>
        <w:ind w:left="3067"/>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rPr>
        <w:t>银行主要负责人（签字</w:t>
      </w:r>
      <w:r>
        <w:rPr>
          <w:rFonts w:hint="eastAsia" w:ascii="宋体" w:hAnsi="宋体" w:eastAsia="宋体" w:cs="宋体"/>
          <w:color w:val="auto"/>
          <w:spacing w:val="-44"/>
          <w:w w:val="70"/>
          <w:sz w:val="24"/>
          <w:szCs w:val="24"/>
          <w:highlight w:val="none"/>
        </w:rPr>
        <w:t>：）</w:t>
      </w:r>
    </w:p>
    <w:p w14:paraId="36CE9B53">
      <w:pPr>
        <w:spacing w:before="121" w:line="219" w:lineRule="auto"/>
        <w:ind w:left="3067"/>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rPr>
        <w:t>银行主要负责人姓名、职务：</w:t>
      </w:r>
    </w:p>
    <w:p w14:paraId="78BF1AE5">
      <w:pPr>
        <w:spacing w:before="120" w:line="220" w:lineRule="auto"/>
        <w:ind w:left="3067"/>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1"/>
          <w:sz w:val="24"/>
          <w:szCs w:val="24"/>
          <w:highlight w:val="none"/>
        </w:rPr>
        <w:t>银行电话：</w:t>
      </w:r>
    </w:p>
    <w:p w14:paraId="356635D8">
      <w:pPr>
        <w:spacing w:before="117" w:line="219" w:lineRule="auto"/>
        <w:ind w:left="3067"/>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0"/>
          <w:sz w:val="24"/>
          <w:szCs w:val="24"/>
          <w:highlight w:val="none"/>
        </w:rPr>
        <w:t>银行传真：</w:t>
      </w:r>
    </w:p>
    <w:p w14:paraId="1E0D2A6D">
      <w:pPr>
        <w:pStyle w:val="4"/>
        <w:spacing w:line="421" w:lineRule="auto"/>
        <w:rPr>
          <w:rFonts w:hint="eastAsia" w:ascii="宋体" w:hAnsi="宋体" w:eastAsia="宋体" w:cs="宋体"/>
          <w:color w:val="auto"/>
          <w:highlight w:val="none"/>
        </w:rPr>
      </w:pPr>
    </w:p>
    <w:p w14:paraId="171969D8">
      <w:pPr>
        <w:spacing w:before="65" w:line="299" w:lineRule="auto"/>
        <w:ind w:left="1510" w:right="348" w:hanging="634"/>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注：1.允许投标人实际开具的银行信贷证明的格式与《公路工程标准施工招标文件》</w:t>
      </w:r>
      <w:r>
        <w:rPr>
          <w:rFonts w:hint="eastAsia" w:ascii="宋体" w:hAnsi="宋体" w:eastAsia="宋体" w:cs="宋体"/>
          <w:color w:val="auto"/>
          <w:spacing w:val="13"/>
          <w:sz w:val="20"/>
          <w:szCs w:val="20"/>
          <w:highlight w:val="none"/>
        </w:rPr>
        <w:t>提供的格式有所不同，但不得更改《公路工程标准施</w:t>
      </w:r>
      <w:r>
        <w:rPr>
          <w:rFonts w:hint="eastAsia" w:ascii="宋体" w:hAnsi="宋体" w:eastAsia="宋体" w:cs="宋体"/>
          <w:color w:val="auto"/>
          <w:spacing w:val="12"/>
          <w:sz w:val="20"/>
          <w:szCs w:val="20"/>
          <w:highlight w:val="none"/>
        </w:rPr>
        <w:t>工招标文件》提供的银</w:t>
      </w:r>
      <w:r>
        <w:rPr>
          <w:rFonts w:hint="eastAsia" w:ascii="宋体" w:hAnsi="宋体" w:eastAsia="宋体" w:cs="宋体"/>
          <w:color w:val="auto"/>
          <w:spacing w:val="8"/>
          <w:sz w:val="20"/>
          <w:szCs w:val="20"/>
          <w:highlight w:val="none"/>
        </w:rPr>
        <w:t>行信贷证明格式中的实质性内容。</w:t>
      </w:r>
    </w:p>
    <w:p w14:paraId="206A0BC8">
      <w:pPr>
        <w:spacing w:before="1" w:line="298" w:lineRule="auto"/>
        <w:ind w:left="1588" w:right="528" w:hanging="329"/>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2.银行主要负责人应亲笔签名，不得使用印章、签名章或其他电子制版签名代</w:t>
      </w:r>
      <w:r>
        <w:rPr>
          <w:rFonts w:hint="eastAsia" w:ascii="宋体" w:hAnsi="宋体" w:eastAsia="宋体" w:cs="宋体"/>
          <w:color w:val="auto"/>
          <w:spacing w:val="7"/>
          <w:sz w:val="20"/>
          <w:szCs w:val="20"/>
          <w:highlight w:val="none"/>
        </w:rPr>
        <w:t>替，否则，视为无效。</w:t>
      </w:r>
    </w:p>
    <w:p w14:paraId="7FA9D4DA">
      <w:pPr>
        <w:pStyle w:val="4"/>
        <w:spacing w:line="408" w:lineRule="auto"/>
        <w:rPr>
          <w:rFonts w:hint="eastAsia" w:ascii="宋体" w:hAnsi="宋体" w:eastAsia="宋体" w:cs="宋体"/>
          <w:color w:val="auto"/>
          <w:highlight w:val="none"/>
        </w:rPr>
      </w:pPr>
      <w:r>
        <w:rPr>
          <w:rFonts w:hint="eastAsia" w:ascii="宋体" w:hAnsi="宋体" w:eastAsia="宋体" w:cs="宋体"/>
          <w:color w:val="auto"/>
          <w:highlight w:val="none"/>
        </w:rPr>
        <w:drawing>
          <wp:anchor distT="0" distB="0" distL="0" distR="0" simplePos="0" relativeHeight="251738112" behindDoc="0" locked="0" layoutInCell="1" allowOverlap="1">
            <wp:simplePos x="0" y="0"/>
            <wp:positionH relativeFrom="column">
              <wp:posOffset>0</wp:posOffset>
            </wp:positionH>
            <wp:positionV relativeFrom="paragraph">
              <wp:posOffset>280035</wp:posOffset>
            </wp:positionV>
            <wp:extent cx="1829435" cy="7620"/>
            <wp:effectExtent l="0" t="0" r="0" b="0"/>
            <wp:wrapNone/>
            <wp:docPr id="38" name="IM 38"/>
            <wp:cNvGraphicFramePr/>
            <a:graphic xmlns:a="http://schemas.openxmlformats.org/drawingml/2006/main">
              <a:graphicData uri="http://schemas.openxmlformats.org/drawingml/2006/picture">
                <pic:pic xmlns:pic="http://schemas.openxmlformats.org/drawingml/2006/picture">
                  <pic:nvPicPr>
                    <pic:cNvPr id="38" name="IM 38"/>
                    <pic:cNvPicPr/>
                  </pic:nvPicPr>
                  <pic:blipFill>
                    <a:blip r:embed="rId317"/>
                    <a:stretch>
                      <a:fillRect/>
                    </a:stretch>
                  </pic:blipFill>
                  <pic:spPr>
                    <a:xfrm>
                      <a:off x="0" y="0"/>
                      <a:ext cx="1829435" cy="7619"/>
                    </a:xfrm>
                    <a:prstGeom prst="rect">
                      <a:avLst/>
                    </a:prstGeom>
                  </pic:spPr>
                </pic:pic>
              </a:graphicData>
            </a:graphic>
          </wp:anchor>
        </w:drawing>
      </w:r>
    </w:p>
    <w:p w14:paraId="3D568026">
      <w:pPr>
        <w:spacing w:before="59" w:line="245" w:lineRule="auto"/>
        <w:ind w:left="160" w:hanging="4"/>
        <w:jc w:val="both"/>
        <w:rPr>
          <w:rFonts w:hint="eastAsia" w:ascii="宋体" w:hAnsi="宋体" w:eastAsia="宋体" w:cs="宋体"/>
          <w:color w:val="auto"/>
          <w:sz w:val="18"/>
          <w:szCs w:val="18"/>
          <w:highlight w:val="none"/>
        </w:rPr>
      </w:pPr>
      <w:r>
        <w:rPr>
          <w:rFonts w:hint="eastAsia" w:ascii="宋体" w:hAnsi="宋体" w:eastAsia="宋体" w:cs="宋体"/>
          <w:color w:val="auto"/>
          <w:spacing w:val="1"/>
          <w:position w:val="9"/>
          <w:sz w:val="8"/>
          <w:szCs w:val="8"/>
          <w:highlight w:val="none"/>
        </w:rPr>
        <w:t>①</w:t>
      </w:r>
      <w:r>
        <w:rPr>
          <w:rFonts w:hint="eastAsia" w:ascii="宋体" w:hAnsi="宋体" w:eastAsia="宋体" w:cs="宋体"/>
          <w:color w:val="auto"/>
          <w:spacing w:val="1"/>
          <w:sz w:val="18"/>
          <w:szCs w:val="18"/>
          <w:highlight w:val="none"/>
        </w:rPr>
        <w:t>招标人要求投标人提供银行信贷证明是为了避免投标人中标后因流动资金不足而影响工程</w:t>
      </w:r>
      <w:r>
        <w:rPr>
          <w:rFonts w:hint="eastAsia" w:ascii="宋体" w:hAnsi="宋体" w:eastAsia="宋体" w:cs="宋体"/>
          <w:color w:val="auto"/>
          <w:sz w:val="18"/>
          <w:szCs w:val="18"/>
          <w:highlight w:val="none"/>
        </w:rPr>
        <w:t>施工，招标人可根据招标项目具体特点和实际情况选择是否要求投标人提供银行信贷证明。如采用银行信贷证明</w:t>
      </w:r>
      <w:r>
        <w:rPr>
          <w:rFonts w:hint="eastAsia" w:ascii="宋体" w:hAnsi="宋体" w:eastAsia="宋体" w:cs="宋体"/>
          <w:color w:val="auto"/>
          <w:spacing w:val="-1"/>
          <w:sz w:val="18"/>
          <w:szCs w:val="18"/>
          <w:highlight w:val="none"/>
        </w:rPr>
        <w:t>，招标人应在此规定开具信贷证明的银行级别。</w:t>
      </w:r>
    </w:p>
    <w:p w14:paraId="3CDF2718">
      <w:pPr>
        <w:spacing w:line="245" w:lineRule="auto"/>
        <w:rPr>
          <w:rFonts w:hint="eastAsia" w:ascii="宋体" w:hAnsi="宋体" w:eastAsia="宋体" w:cs="宋体"/>
          <w:color w:val="auto"/>
          <w:sz w:val="18"/>
          <w:szCs w:val="18"/>
          <w:highlight w:val="none"/>
        </w:rPr>
        <w:sectPr>
          <w:headerReference r:id="rId275" w:type="default"/>
          <w:footerReference r:id="rId276" w:type="default"/>
          <w:pgSz w:w="11907" w:h="16840"/>
          <w:pgMar w:top="1182" w:right="1289" w:bottom="1014" w:left="1643" w:header="849" w:footer="852" w:gutter="0"/>
          <w:pgNumType w:fmt="decimal"/>
          <w:cols w:space="720" w:num="1"/>
        </w:sectPr>
      </w:pPr>
    </w:p>
    <w:p w14:paraId="722F673E">
      <w:pPr>
        <w:pStyle w:val="4"/>
        <w:spacing w:line="297" w:lineRule="auto"/>
        <w:rPr>
          <w:rFonts w:hint="eastAsia" w:ascii="宋体" w:hAnsi="宋体" w:eastAsia="宋体" w:cs="宋体"/>
          <w:color w:val="auto"/>
          <w:highlight w:val="none"/>
        </w:rPr>
      </w:pPr>
    </w:p>
    <w:p w14:paraId="11AA7406">
      <w:pPr>
        <w:pStyle w:val="4"/>
        <w:spacing w:line="297" w:lineRule="auto"/>
        <w:rPr>
          <w:rFonts w:hint="eastAsia" w:ascii="宋体" w:hAnsi="宋体" w:eastAsia="宋体" w:cs="宋体"/>
          <w:color w:val="auto"/>
          <w:highlight w:val="none"/>
        </w:rPr>
      </w:pPr>
    </w:p>
    <w:p w14:paraId="14827EA4">
      <w:pPr>
        <w:spacing w:before="78" w:line="221" w:lineRule="auto"/>
        <w:ind w:left="2842"/>
        <w:outlineLvl w:val="2"/>
        <w:rPr>
          <w:rFonts w:hint="eastAsia" w:ascii="宋体" w:hAnsi="宋体" w:eastAsia="宋体" w:cs="宋体"/>
          <w:color w:val="auto"/>
          <w:sz w:val="24"/>
          <w:szCs w:val="24"/>
          <w:highlight w:val="none"/>
        </w:rPr>
      </w:pPr>
      <w:bookmarkStart w:id="955" w:name="_Toc30942"/>
      <w:bookmarkStart w:id="956" w:name="_Toc7493"/>
      <w:bookmarkStart w:id="957" w:name="_Toc9886"/>
      <w:bookmarkStart w:id="958" w:name="_Toc11111"/>
      <w:bookmarkStart w:id="959" w:name="_Toc28464"/>
      <w:r>
        <w:rPr>
          <w:rFonts w:hint="eastAsia" w:ascii="宋体" w:hAnsi="宋体" w:eastAsia="宋体" w:cs="宋体"/>
          <w:color w:val="auto"/>
          <w:spacing w:val="-3"/>
          <w:sz w:val="24"/>
          <w:szCs w:val="24"/>
          <w:highlight w:val="none"/>
        </w:rPr>
        <w:t>（四）近年完成的类似项目情况表</w:t>
      </w:r>
      <w:bookmarkEnd w:id="955"/>
      <w:bookmarkEnd w:id="956"/>
      <w:bookmarkEnd w:id="957"/>
      <w:bookmarkEnd w:id="958"/>
      <w:bookmarkEnd w:id="959"/>
    </w:p>
    <w:p w14:paraId="3DC51A9E">
      <w:pPr>
        <w:spacing w:before="193"/>
        <w:rPr>
          <w:rFonts w:hint="eastAsia" w:ascii="宋体" w:hAnsi="宋体" w:eastAsia="宋体" w:cs="宋体"/>
          <w:color w:val="auto"/>
          <w:highlight w:val="none"/>
        </w:rPr>
      </w:pPr>
    </w:p>
    <w:tbl>
      <w:tblPr>
        <w:tblStyle w:val="24"/>
        <w:tblW w:w="8898" w:type="dxa"/>
        <w:tblInd w:w="15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0"/>
        <w:gridCol w:w="6528"/>
      </w:tblGrid>
      <w:tr w14:paraId="0BA57E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2370" w:type="dxa"/>
            <w:vAlign w:val="top"/>
          </w:tcPr>
          <w:p w14:paraId="1104DB6F">
            <w:pPr>
              <w:pStyle w:val="25"/>
              <w:spacing w:before="296" w:line="222" w:lineRule="auto"/>
              <w:ind w:left="771"/>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序号</w:t>
            </w:r>
          </w:p>
        </w:tc>
        <w:tc>
          <w:tcPr>
            <w:tcW w:w="6528" w:type="dxa"/>
            <w:vAlign w:val="top"/>
          </w:tcPr>
          <w:p w14:paraId="3531C135">
            <w:pPr>
              <w:rPr>
                <w:rFonts w:hint="eastAsia" w:ascii="宋体" w:hAnsi="宋体" w:eastAsia="宋体" w:cs="宋体"/>
                <w:color w:val="auto"/>
                <w:sz w:val="24"/>
                <w:szCs w:val="24"/>
                <w:highlight w:val="none"/>
              </w:rPr>
            </w:pPr>
          </w:p>
        </w:tc>
      </w:tr>
      <w:tr w14:paraId="361312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2370" w:type="dxa"/>
            <w:vAlign w:val="top"/>
          </w:tcPr>
          <w:p w14:paraId="575CE561">
            <w:pPr>
              <w:pStyle w:val="25"/>
              <w:spacing w:before="301" w:line="229" w:lineRule="auto"/>
              <w:ind w:left="796"/>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项目名称</w:t>
            </w:r>
          </w:p>
        </w:tc>
        <w:tc>
          <w:tcPr>
            <w:tcW w:w="6528" w:type="dxa"/>
            <w:vAlign w:val="top"/>
          </w:tcPr>
          <w:p w14:paraId="21F42119">
            <w:pPr>
              <w:rPr>
                <w:rFonts w:hint="eastAsia" w:ascii="宋体" w:hAnsi="宋体" w:eastAsia="宋体" w:cs="宋体"/>
                <w:color w:val="auto"/>
                <w:sz w:val="24"/>
                <w:szCs w:val="24"/>
                <w:highlight w:val="none"/>
              </w:rPr>
            </w:pPr>
          </w:p>
        </w:tc>
      </w:tr>
      <w:tr w14:paraId="78EDD9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2370" w:type="dxa"/>
            <w:vAlign w:val="top"/>
          </w:tcPr>
          <w:p w14:paraId="4088C92D">
            <w:pPr>
              <w:pStyle w:val="25"/>
              <w:spacing w:before="272" w:line="229" w:lineRule="auto"/>
              <w:ind w:left="695"/>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项目所在地</w:t>
            </w:r>
          </w:p>
        </w:tc>
        <w:tc>
          <w:tcPr>
            <w:tcW w:w="6528" w:type="dxa"/>
            <w:vAlign w:val="top"/>
          </w:tcPr>
          <w:p w14:paraId="05F1B889">
            <w:pPr>
              <w:rPr>
                <w:rFonts w:hint="eastAsia" w:ascii="宋体" w:hAnsi="宋体" w:eastAsia="宋体" w:cs="宋体"/>
                <w:color w:val="auto"/>
                <w:sz w:val="24"/>
                <w:szCs w:val="24"/>
                <w:highlight w:val="none"/>
              </w:rPr>
            </w:pPr>
          </w:p>
        </w:tc>
      </w:tr>
      <w:tr w14:paraId="7C3D2C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2370" w:type="dxa"/>
            <w:vAlign w:val="top"/>
          </w:tcPr>
          <w:p w14:paraId="162BF81F">
            <w:pPr>
              <w:pStyle w:val="25"/>
              <w:spacing w:before="274" w:line="229" w:lineRule="auto"/>
              <w:ind w:left="695"/>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发包人名称</w:t>
            </w:r>
          </w:p>
        </w:tc>
        <w:tc>
          <w:tcPr>
            <w:tcW w:w="6528" w:type="dxa"/>
            <w:vAlign w:val="top"/>
          </w:tcPr>
          <w:p w14:paraId="59E8681E">
            <w:pPr>
              <w:rPr>
                <w:rFonts w:hint="eastAsia" w:ascii="宋体" w:hAnsi="宋体" w:eastAsia="宋体" w:cs="宋体"/>
                <w:color w:val="auto"/>
                <w:sz w:val="24"/>
                <w:szCs w:val="24"/>
                <w:highlight w:val="none"/>
              </w:rPr>
            </w:pPr>
          </w:p>
        </w:tc>
      </w:tr>
      <w:tr w14:paraId="4170AB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2370" w:type="dxa"/>
            <w:vAlign w:val="top"/>
          </w:tcPr>
          <w:p w14:paraId="6CB1CED7">
            <w:pPr>
              <w:pStyle w:val="25"/>
              <w:spacing w:before="273" w:line="229" w:lineRule="auto"/>
              <w:ind w:left="695"/>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发包人地址</w:t>
            </w:r>
          </w:p>
        </w:tc>
        <w:tc>
          <w:tcPr>
            <w:tcW w:w="6528" w:type="dxa"/>
            <w:vAlign w:val="top"/>
          </w:tcPr>
          <w:p w14:paraId="03EB683F">
            <w:pPr>
              <w:rPr>
                <w:rFonts w:hint="eastAsia" w:ascii="宋体" w:hAnsi="宋体" w:eastAsia="宋体" w:cs="宋体"/>
                <w:color w:val="auto"/>
                <w:sz w:val="24"/>
                <w:szCs w:val="24"/>
                <w:highlight w:val="none"/>
              </w:rPr>
            </w:pPr>
          </w:p>
        </w:tc>
      </w:tr>
      <w:tr w14:paraId="2CB994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2370" w:type="dxa"/>
            <w:vAlign w:val="top"/>
          </w:tcPr>
          <w:p w14:paraId="2FBB0D28">
            <w:pPr>
              <w:pStyle w:val="25"/>
              <w:spacing w:before="277" w:line="229" w:lineRule="auto"/>
              <w:ind w:left="695"/>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发包人电话</w:t>
            </w:r>
          </w:p>
        </w:tc>
        <w:tc>
          <w:tcPr>
            <w:tcW w:w="6528" w:type="dxa"/>
            <w:vAlign w:val="top"/>
          </w:tcPr>
          <w:p w14:paraId="46F80374">
            <w:pPr>
              <w:rPr>
                <w:rFonts w:hint="eastAsia" w:ascii="宋体" w:hAnsi="宋体" w:eastAsia="宋体" w:cs="宋体"/>
                <w:color w:val="auto"/>
                <w:sz w:val="24"/>
                <w:szCs w:val="24"/>
                <w:highlight w:val="none"/>
              </w:rPr>
            </w:pPr>
          </w:p>
        </w:tc>
      </w:tr>
      <w:tr w14:paraId="3464D1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2370" w:type="dxa"/>
            <w:vAlign w:val="top"/>
          </w:tcPr>
          <w:p w14:paraId="1AF29E1F">
            <w:pPr>
              <w:pStyle w:val="25"/>
              <w:spacing w:before="275" w:line="227" w:lineRule="auto"/>
              <w:ind w:left="793"/>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合同价格</w:t>
            </w:r>
          </w:p>
        </w:tc>
        <w:tc>
          <w:tcPr>
            <w:tcW w:w="6528" w:type="dxa"/>
            <w:vAlign w:val="top"/>
          </w:tcPr>
          <w:p w14:paraId="24459549">
            <w:pPr>
              <w:rPr>
                <w:rFonts w:hint="eastAsia" w:ascii="宋体" w:hAnsi="宋体" w:eastAsia="宋体" w:cs="宋体"/>
                <w:color w:val="auto"/>
                <w:sz w:val="24"/>
                <w:szCs w:val="24"/>
                <w:highlight w:val="none"/>
              </w:rPr>
            </w:pPr>
          </w:p>
        </w:tc>
      </w:tr>
      <w:tr w14:paraId="775CCA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2370" w:type="dxa"/>
            <w:vAlign w:val="top"/>
          </w:tcPr>
          <w:p w14:paraId="714699A8">
            <w:pPr>
              <w:pStyle w:val="25"/>
              <w:spacing w:before="274" w:line="229" w:lineRule="auto"/>
              <w:ind w:left="793"/>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开工日期</w:t>
            </w:r>
          </w:p>
        </w:tc>
        <w:tc>
          <w:tcPr>
            <w:tcW w:w="6528" w:type="dxa"/>
            <w:vAlign w:val="top"/>
          </w:tcPr>
          <w:p w14:paraId="57EAE4FB">
            <w:pPr>
              <w:rPr>
                <w:rFonts w:hint="eastAsia" w:ascii="宋体" w:hAnsi="宋体" w:eastAsia="宋体" w:cs="宋体"/>
                <w:color w:val="auto"/>
                <w:sz w:val="24"/>
                <w:szCs w:val="24"/>
                <w:highlight w:val="none"/>
              </w:rPr>
            </w:pPr>
          </w:p>
        </w:tc>
      </w:tr>
      <w:tr w14:paraId="50C8F4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2370" w:type="dxa"/>
            <w:vAlign w:val="top"/>
          </w:tcPr>
          <w:p w14:paraId="0FD776A3">
            <w:pPr>
              <w:pStyle w:val="25"/>
              <w:spacing w:before="282" w:line="229" w:lineRule="auto"/>
              <w:ind w:left="79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交工日期</w:t>
            </w:r>
          </w:p>
        </w:tc>
        <w:tc>
          <w:tcPr>
            <w:tcW w:w="6528" w:type="dxa"/>
            <w:vAlign w:val="top"/>
          </w:tcPr>
          <w:p w14:paraId="0CE22A6F">
            <w:pPr>
              <w:rPr>
                <w:rFonts w:hint="eastAsia" w:ascii="宋体" w:hAnsi="宋体" w:eastAsia="宋体" w:cs="宋体"/>
                <w:color w:val="auto"/>
                <w:sz w:val="24"/>
                <w:szCs w:val="24"/>
                <w:highlight w:val="none"/>
              </w:rPr>
            </w:pPr>
          </w:p>
        </w:tc>
      </w:tr>
      <w:tr w14:paraId="70BA8D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2370" w:type="dxa"/>
            <w:vAlign w:val="top"/>
          </w:tcPr>
          <w:p w14:paraId="353B9D66">
            <w:pPr>
              <w:pStyle w:val="25"/>
              <w:spacing w:before="274" w:line="228" w:lineRule="auto"/>
              <w:ind w:left="692"/>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承担的工作</w:t>
            </w:r>
          </w:p>
        </w:tc>
        <w:tc>
          <w:tcPr>
            <w:tcW w:w="6528" w:type="dxa"/>
            <w:vAlign w:val="top"/>
          </w:tcPr>
          <w:p w14:paraId="48DECDAD">
            <w:pPr>
              <w:rPr>
                <w:rFonts w:hint="eastAsia" w:ascii="宋体" w:hAnsi="宋体" w:eastAsia="宋体" w:cs="宋体"/>
                <w:color w:val="auto"/>
                <w:sz w:val="24"/>
                <w:szCs w:val="24"/>
                <w:highlight w:val="none"/>
              </w:rPr>
            </w:pPr>
          </w:p>
        </w:tc>
      </w:tr>
      <w:tr w14:paraId="082950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2370" w:type="dxa"/>
            <w:vAlign w:val="top"/>
          </w:tcPr>
          <w:p w14:paraId="38DB82F5">
            <w:pPr>
              <w:pStyle w:val="25"/>
              <w:spacing w:before="276" w:line="229" w:lineRule="auto"/>
              <w:ind w:left="795"/>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工程质量</w:t>
            </w:r>
          </w:p>
        </w:tc>
        <w:tc>
          <w:tcPr>
            <w:tcW w:w="6528" w:type="dxa"/>
            <w:vAlign w:val="top"/>
          </w:tcPr>
          <w:p w14:paraId="356C0260">
            <w:pPr>
              <w:rPr>
                <w:rFonts w:hint="eastAsia" w:ascii="宋体" w:hAnsi="宋体" w:eastAsia="宋体" w:cs="宋体"/>
                <w:color w:val="auto"/>
                <w:sz w:val="24"/>
                <w:szCs w:val="24"/>
                <w:highlight w:val="none"/>
              </w:rPr>
            </w:pPr>
          </w:p>
        </w:tc>
      </w:tr>
      <w:tr w14:paraId="4158CF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2370" w:type="dxa"/>
            <w:vAlign w:val="top"/>
          </w:tcPr>
          <w:p w14:paraId="4DB67FD7">
            <w:pPr>
              <w:pStyle w:val="25"/>
              <w:spacing w:before="272" w:line="229" w:lineRule="auto"/>
              <w:ind w:left="796"/>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项目经理</w:t>
            </w:r>
          </w:p>
        </w:tc>
        <w:tc>
          <w:tcPr>
            <w:tcW w:w="6528" w:type="dxa"/>
            <w:vAlign w:val="top"/>
          </w:tcPr>
          <w:p w14:paraId="158F7949">
            <w:pPr>
              <w:rPr>
                <w:rFonts w:hint="eastAsia" w:ascii="宋体" w:hAnsi="宋体" w:eastAsia="宋体" w:cs="宋体"/>
                <w:color w:val="auto"/>
                <w:sz w:val="24"/>
                <w:szCs w:val="24"/>
                <w:highlight w:val="none"/>
              </w:rPr>
            </w:pPr>
          </w:p>
        </w:tc>
      </w:tr>
      <w:tr w14:paraId="57B331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2370" w:type="dxa"/>
            <w:vAlign w:val="top"/>
          </w:tcPr>
          <w:p w14:paraId="00161860">
            <w:pPr>
              <w:pStyle w:val="25"/>
              <w:spacing w:before="278" w:line="229" w:lineRule="auto"/>
              <w:ind w:left="796"/>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项目总工</w:t>
            </w:r>
          </w:p>
        </w:tc>
        <w:tc>
          <w:tcPr>
            <w:tcW w:w="6528" w:type="dxa"/>
            <w:vAlign w:val="top"/>
          </w:tcPr>
          <w:p w14:paraId="35C39817">
            <w:pPr>
              <w:rPr>
                <w:rFonts w:hint="eastAsia" w:ascii="宋体" w:hAnsi="宋体" w:eastAsia="宋体" w:cs="宋体"/>
                <w:color w:val="auto"/>
                <w:sz w:val="24"/>
                <w:szCs w:val="24"/>
                <w:highlight w:val="none"/>
              </w:rPr>
            </w:pPr>
          </w:p>
        </w:tc>
      </w:tr>
      <w:tr w14:paraId="1E805F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2370" w:type="dxa"/>
            <w:vAlign w:val="top"/>
          </w:tcPr>
          <w:p w14:paraId="3F70E8CB">
            <w:pPr>
              <w:pStyle w:val="25"/>
              <w:spacing w:before="278" w:line="228" w:lineRule="auto"/>
              <w:ind w:left="29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总监理工程师及电话</w:t>
            </w:r>
          </w:p>
        </w:tc>
        <w:tc>
          <w:tcPr>
            <w:tcW w:w="6528" w:type="dxa"/>
            <w:vAlign w:val="top"/>
          </w:tcPr>
          <w:p w14:paraId="33A237AE">
            <w:pPr>
              <w:rPr>
                <w:rFonts w:hint="eastAsia" w:ascii="宋体" w:hAnsi="宋体" w:eastAsia="宋体" w:cs="宋体"/>
                <w:color w:val="auto"/>
                <w:sz w:val="24"/>
                <w:szCs w:val="24"/>
                <w:highlight w:val="none"/>
              </w:rPr>
            </w:pPr>
          </w:p>
        </w:tc>
      </w:tr>
      <w:tr w14:paraId="60F0D9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3" w:hRule="atLeast"/>
        </w:trPr>
        <w:tc>
          <w:tcPr>
            <w:tcW w:w="2370" w:type="dxa"/>
            <w:vAlign w:val="top"/>
          </w:tcPr>
          <w:p w14:paraId="5B12B654">
            <w:pPr>
              <w:spacing w:line="309" w:lineRule="auto"/>
              <w:rPr>
                <w:rFonts w:hint="eastAsia" w:ascii="宋体" w:hAnsi="宋体" w:eastAsia="宋体" w:cs="宋体"/>
                <w:color w:val="auto"/>
                <w:sz w:val="24"/>
                <w:szCs w:val="24"/>
                <w:highlight w:val="none"/>
              </w:rPr>
            </w:pPr>
          </w:p>
          <w:p w14:paraId="086C39BB">
            <w:pPr>
              <w:pStyle w:val="25"/>
              <w:spacing w:before="61" w:line="214" w:lineRule="auto"/>
              <w:ind w:left="796"/>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项目描述</w:t>
            </w:r>
          </w:p>
        </w:tc>
        <w:tc>
          <w:tcPr>
            <w:tcW w:w="6528" w:type="dxa"/>
            <w:vAlign w:val="top"/>
          </w:tcPr>
          <w:p w14:paraId="7C18D57C">
            <w:pPr>
              <w:rPr>
                <w:rFonts w:hint="eastAsia" w:ascii="宋体" w:hAnsi="宋体" w:eastAsia="宋体" w:cs="宋体"/>
                <w:color w:val="auto"/>
                <w:sz w:val="24"/>
                <w:szCs w:val="24"/>
                <w:highlight w:val="none"/>
              </w:rPr>
            </w:pPr>
          </w:p>
        </w:tc>
      </w:tr>
      <w:tr w14:paraId="23C6B8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2370" w:type="dxa"/>
            <w:vAlign w:val="top"/>
          </w:tcPr>
          <w:p w14:paraId="3A345CA6">
            <w:pPr>
              <w:pStyle w:val="25"/>
              <w:spacing w:before="270" w:line="230" w:lineRule="auto"/>
              <w:ind w:left="994"/>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备注</w:t>
            </w:r>
          </w:p>
        </w:tc>
        <w:tc>
          <w:tcPr>
            <w:tcW w:w="6528" w:type="dxa"/>
            <w:vAlign w:val="top"/>
          </w:tcPr>
          <w:p w14:paraId="31237F52">
            <w:pPr>
              <w:rPr>
                <w:rFonts w:hint="eastAsia" w:ascii="宋体" w:hAnsi="宋体" w:eastAsia="宋体" w:cs="宋体"/>
                <w:color w:val="auto"/>
                <w:sz w:val="24"/>
                <w:szCs w:val="24"/>
                <w:highlight w:val="none"/>
              </w:rPr>
            </w:pPr>
          </w:p>
        </w:tc>
      </w:tr>
    </w:tbl>
    <w:p w14:paraId="53E23C5B">
      <w:pPr>
        <w:spacing w:before="158" w:line="228" w:lineRule="auto"/>
        <w:ind w:left="283"/>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注：1.每张表格只填写一个项目，并标明序号。</w:t>
      </w:r>
    </w:p>
    <w:p w14:paraId="78EFD5A8">
      <w:pPr>
        <w:spacing w:before="155" w:line="239" w:lineRule="auto"/>
        <w:ind w:left="702" w:right="440" w:hanging="3"/>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2.投标人应根据招标文件第二章“投标人须知”第3.5.3</w:t>
      </w:r>
      <w:r>
        <w:rPr>
          <w:rFonts w:hint="eastAsia" w:ascii="宋体" w:hAnsi="宋体" w:eastAsia="宋体" w:cs="宋体"/>
          <w:color w:val="auto"/>
          <w:spacing w:val="7"/>
          <w:sz w:val="20"/>
          <w:szCs w:val="20"/>
          <w:highlight w:val="none"/>
        </w:rPr>
        <w:t>项的要求在本表后附相关证明</w:t>
      </w:r>
      <w:r>
        <w:rPr>
          <w:rFonts w:hint="eastAsia" w:ascii="宋体" w:hAnsi="宋体" w:eastAsia="宋体" w:cs="宋体"/>
          <w:color w:val="auto"/>
          <w:spacing w:val="3"/>
          <w:sz w:val="20"/>
          <w:szCs w:val="20"/>
          <w:highlight w:val="none"/>
        </w:rPr>
        <w:t>材料。</w:t>
      </w:r>
    </w:p>
    <w:p w14:paraId="541623A9">
      <w:pPr>
        <w:spacing w:before="159" w:line="300" w:lineRule="auto"/>
        <w:ind w:left="870" w:right="660" w:hanging="166"/>
        <w:rPr>
          <w:rFonts w:hint="eastAsia" w:ascii="宋体" w:hAnsi="宋体" w:eastAsia="宋体" w:cs="宋体"/>
          <w:color w:val="auto"/>
          <w:sz w:val="20"/>
          <w:szCs w:val="20"/>
          <w:highlight w:val="none"/>
        </w:rPr>
      </w:pPr>
      <w:r>
        <w:rPr>
          <w:rFonts w:hint="eastAsia" w:ascii="宋体" w:hAnsi="宋体" w:eastAsia="宋体" w:cs="宋体"/>
          <w:color w:val="auto"/>
          <w:spacing w:val="-11"/>
          <w:sz w:val="20"/>
          <w:szCs w:val="20"/>
          <w:highlight w:val="none"/>
        </w:rPr>
        <w:t>3.如近年来，投标人法人机构发生合法变更或重组或法人名称变更时，应提供相关部门的合法</w:t>
      </w:r>
      <w:r>
        <w:rPr>
          <w:rFonts w:hint="eastAsia" w:ascii="宋体" w:hAnsi="宋体" w:eastAsia="宋体" w:cs="宋体"/>
          <w:color w:val="auto"/>
          <w:sz w:val="20"/>
          <w:szCs w:val="20"/>
          <w:highlight w:val="none"/>
        </w:rPr>
        <w:t>批件或其他相关证明材料来证明其所附业绩的继承性。</w:t>
      </w:r>
    </w:p>
    <w:p w14:paraId="6F97B261">
      <w:pPr>
        <w:spacing w:before="160" w:line="228" w:lineRule="auto"/>
        <w:ind w:left="698"/>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4.以联合体形式参与投标的，联合体各成员应分别填写。</w:t>
      </w:r>
    </w:p>
    <w:p w14:paraId="0DB42B86">
      <w:pPr>
        <w:spacing w:line="228" w:lineRule="auto"/>
        <w:rPr>
          <w:rFonts w:hint="eastAsia" w:ascii="宋体" w:hAnsi="宋体" w:eastAsia="宋体" w:cs="宋体"/>
          <w:color w:val="auto"/>
          <w:sz w:val="20"/>
          <w:szCs w:val="20"/>
          <w:highlight w:val="none"/>
        </w:rPr>
        <w:sectPr>
          <w:headerReference r:id="rId277" w:type="default"/>
          <w:footerReference r:id="rId278" w:type="default"/>
          <w:pgSz w:w="11907" w:h="16840"/>
          <w:pgMar w:top="1182" w:right="1060" w:bottom="1014" w:left="1786" w:header="849" w:footer="852" w:gutter="0"/>
          <w:pgNumType w:fmt="decimal"/>
          <w:cols w:space="720" w:num="1"/>
        </w:sectPr>
      </w:pPr>
    </w:p>
    <w:p w14:paraId="401295F0">
      <w:pPr>
        <w:pStyle w:val="4"/>
        <w:spacing w:line="279" w:lineRule="auto"/>
        <w:rPr>
          <w:rFonts w:hint="eastAsia" w:ascii="宋体" w:hAnsi="宋体" w:eastAsia="宋体" w:cs="宋体"/>
          <w:color w:val="auto"/>
          <w:highlight w:val="none"/>
        </w:rPr>
      </w:pPr>
    </w:p>
    <w:p w14:paraId="0281A46A">
      <w:pPr>
        <w:pStyle w:val="4"/>
        <w:spacing w:line="280" w:lineRule="auto"/>
        <w:rPr>
          <w:rFonts w:hint="eastAsia" w:ascii="宋体" w:hAnsi="宋体" w:eastAsia="宋体" w:cs="宋体"/>
          <w:color w:val="auto"/>
          <w:highlight w:val="none"/>
        </w:rPr>
      </w:pPr>
    </w:p>
    <w:p w14:paraId="464559E1">
      <w:pPr>
        <w:pStyle w:val="4"/>
        <w:spacing w:line="280" w:lineRule="auto"/>
        <w:rPr>
          <w:rFonts w:hint="eastAsia" w:ascii="宋体" w:hAnsi="宋体" w:eastAsia="宋体" w:cs="宋体"/>
          <w:color w:val="auto"/>
          <w:highlight w:val="none"/>
        </w:rPr>
      </w:pPr>
    </w:p>
    <w:p w14:paraId="61CC8483">
      <w:pPr>
        <w:pStyle w:val="4"/>
        <w:spacing w:line="280" w:lineRule="auto"/>
        <w:rPr>
          <w:rFonts w:hint="eastAsia" w:ascii="宋体" w:hAnsi="宋体" w:eastAsia="宋体" w:cs="宋体"/>
          <w:color w:val="auto"/>
          <w:highlight w:val="none"/>
        </w:rPr>
      </w:pPr>
    </w:p>
    <w:p w14:paraId="6C29B77E">
      <w:pPr>
        <w:spacing w:before="78" w:line="223" w:lineRule="auto"/>
        <w:ind w:left="3329"/>
        <w:outlineLvl w:val="2"/>
        <w:rPr>
          <w:rFonts w:hint="eastAsia" w:ascii="宋体" w:hAnsi="宋体" w:eastAsia="宋体" w:cs="宋体"/>
          <w:color w:val="auto"/>
          <w:sz w:val="24"/>
          <w:szCs w:val="24"/>
          <w:highlight w:val="none"/>
        </w:rPr>
      </w:pPr>
      <w:bookmarkStart w:id="960" w:name="_Toc2404"/>
      <w:bookmarkStart w:id="961" w:name="_Toc6743"/>
      <w:bookmarkStart w:id="962" w:name="_Toc12182"/>
      <w:bookmarkStart w:id="963" w:name="_Toc15722"/>
      <w:bookmarkStart w:id="964" w:name="_Toc18496"/>
      <w:r>
        <w:rPr>
          <w:rFonts w:hint="eastAsia" w:ascii="宋体" w:hAnsi="宋体" w:eastAsia="宋体" w:cs="宋体"/>
          <w:color w:val="auto"/>
          <w:spacing w:val="-4"/>
          <w:sz w:val="24"/>
          <w:szCs w:val="24"/>
          <w:highlight w:val="none"/>
        </w:rPr>
        <w:t>（五）企业获奖情况表</w:t>
      </w:r>
      <w:bookmarkEnd w:id="960"/>
      <w:bookmarkEnd w:id="961"/>
      <w:bookmarkEnd w:id="962"/>
      <w:bookmarkEnd w:id="963"/>
      <w:bookmarkEnd w:id="964"/>
    </w:p>
    <w:p w14:paraId="2EC6BF9A">
      <w:pPr>
        <w:spacing w:before="182"/>
        <w:rPr>
          <w:rFonts w:hint="eastAsia" w:ascii="宋体" w:hAnsi="宋体" w:eastAsia="宋体" w:cs="宋体"/>
          <w:color w:val="auto"/>
          <w:highlight w:val="none"/>
        </w:rPr>
      </w:pPr>
    </w:p>
    <w:tbl>
      <w:tblPr>
        <w:tblStyle w:val="24"/>
        <w:tblW w:w="8989" w:type="dxa"/>
        <w:tblInd w:w="5" w:type="dxa"/>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ayout w:type="fixed"/>
        <w:tblCellMar>
          <w:top w:w="0" w:type="dxa"/>
          <w:left w:w="0" w:type="dxa"/>
          <w:bottom w:w="0" w:type="dxa"/>
          <w:right w:w="0" w:type="dxa"/>
        </w:tblCellMar>
      </w:tblPr>
      <w:tblGrid>
        <w:gridCol w:w="1221"/>
        <w:gridCol w:w="2222"/>
        <w:gridCol w:w="1676"/>
        <w:gridCol w:w="3870"/>
      </w:tblGrid>
      <w:tr w14:paraId="3E9EB3B9">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318" w:hRule="atLeast"/>
        </w:trPr>
        <w:tc>
          <w:tcPr>
            <w:tcW w:w="1221" w:type="dxa"/>
            <w:vAlign w:val="top"/>
          </w:tcPr>
          <w:p w14:paraId="62C096A4">
            <w:pPr>
              <w:pStyle w:val="25"/>
              <w:spacing w:before="41" w:line="205" w:lineRule="auto"/>
              <w:ind w:left="372"/>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2222" w:type="dxa"/>
            <w:vAlign w:val="top"/>
          </w:tcPr>
          <w:p w14:paraId="486709B9">
            <w:pPr>
              <w:pStyle w:val="25"/>
              <w:spacing w:before="41" w:line="205" w:lineRule="auto"/>
              <w:ind w:left="637"/>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获奖名称</w:t>
            </w:r>
          </w:p>
        </w:tc>
        <w:tc>
          <w:tcPr>
            <w:tcW w:w="1676" w:type="dxa"/>
            <w:vAlign w:val="top"/>
          </w:tcPr>
          <w:p w14:paraId="1309982E">
            <w:pPr>
              <w:pStyle w:val="25"/>
              <w:spacing w:before="41" w:line="205" w:lineRule="auto"/>
              <w:ind w:left="606"/>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项目</w:t>
            </w:r>
          </w:p>
        </w:tc>
        <w:tc>
          <w:tcPr>
            <w:tcW w:w="3870" w:type="dxa"/>
            <w:vAlign w:val="top"/>
          </w:tcPr>
          <w:p w14:paraId="45083FBC">
            <w:pPr>
              <w:pStyle w:val="25"/>
              <w:spacing w:before="41" w:line="205" w:lineRule="auto"/>
              <w:ind w:left="11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投标人情况说明</w:t>
            </w:r>
          </w:p>
        </w:tc>
      </w:tr>
      <w:tr w14:paraId="4CAECF8F">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319" w:hRule="atLeast"/>
        </w:trPr>
        <w:tc>
          <w:tcPr>
            <w:tcW w:w="1221" w:type="dxa"/>
            <w:vAlign w:val="top"/>
          </w:tcPr>
          <w:p w14:paraId="7D39F9C2">
            <w:pPr>
              <w:rPr>
                <w:rFonts w:hint="eastAsia" w:ascii="宋体" w:hAnsi="宋体" w:eastAsia="宋体" w:cs="宋体"/>
                <w:color w:val="auto"/>
                <w:sz w:val="21"/>
                <w:highlight w:val="none"/>
              </w:rPr>
            </w:pPr>
          </w:p>
        </w:tc>
        <w:tc>
          <w:tcPr>
            <w:tcW w:w="2222" w:type="dxa"/>
            <w:vAlign w:val="top"/>
          </w:tcPr>
          <w:p w14:paraId="2BAAB252">
            <w:pPr>
              <w:rPr>
                <w:rFonts w:hint="eastAsia" w:ascii="宋体" w:hAnsi="宋体" w:eastAsia="宋体" w:cs="宋体"/>
                <w:color w:val="auto"/>
                <w:sz w:val="21"/>
                <w:highlight w:val="none"/>
              </w:rPr>
            </w:pPr>
          </w:p>
        </w:tc>
        <w:tc>
          <w:tcPr>
            <w:tcW w:w="1676" w:type="dxa"/>
            <w:vAlign w:val="top"/>
          </w:tcPr>
          <w:p w14:paraId="0C0FCADE">
            <w:pPr>
              <w:rPr>
                <w:rFonts w:hint="eastAsia" w:ascii="宋体" w:hAnsi="宋体" w:eastAsia="宋体" w:cs="宋体"/>
                <w:color w:val="auto"/>
                <w:sz w:val="21"/>
                <w:highlight w:val="none"/>
              </w:rPr>
            </w:pPr>
          </w:p>
        </w:tc>
        <w:tc>
          <w:tcPr>
            <w:tcW w:w="3870" w:type="dxa"/>
            <w:vAlign w:val="top"/>
          </w:tcPr>
          <w:p w14:paraId="4BAE1236">
            <w:pPr>
              <w:rPr>
                <w:rFonts w:hint="eastAsia" w:ascii="宋体" w:hAnsi="宋体" w:eastAsia="宋体" w:cs="宋体"/>
                <w:color w:val="auto"/>
                <w:sz w:val="21"/>
                <w:highlight w:val="none"/>
              </w:rPr>
            </w:pPr>
          </w:p>
        </w:tc>
      </w:tr>
    </w:tbl>
    <w:p w14:paraId="41721293">
      <w:pPr>
        <w:pStyle w:val="4"/>
        <w:rPr>
          <w:rFonts w:hint="eastAsia" w:ascii="宋体" w:hAnsi="宋体" w:eastAsia="宋体" w:cs="宋体"/>
          <w:color w:val="auto"/>
          <w:highlight w:val="none"/>
        </w:rPr>
      </w:pPr>
    </w:p>
    <w:p w14:paraId="45383E69">
      <w:pPr>
        <w:rPr>
          <w:rFonts w:hint="eastAsia" w:ascii="宋体" w:hAnsi="宋体" w:eastAsia="宋体" w:cs="宋体"/>
          <w:color w:val="auto"/>
          <w:highlight w:val="none"/>
        </w:rPr>
        <w:sectPr>
          <w:headerReference r:id="rId279" w:type="default"/>
          <w:footerReference r:id="rId280" w:type="default"/>
          <w:pgSz w:w="11907" w:h="16840"/>
          <w:pgMar w:top="1182" w:right="1200" w:bottom="1014" w:left="1706" w:header="849" w:footer="852" w:gutter="0"/>
          <w:pgNumType w:fmt="decimal"/>
          <w:cols w:space="720" w:num="1"/>
        </w:sectPr>
      </w:pPr>
    </w:p>
    <w:p w14:paraId="5D0B083B">
      <w:pPr>
        <w:pStyle w:val="4"/>
        <w:spacing w:line="297" w:lineRule="auto"/>
        <w:rPr>
          <w:rFonts w:hint="eastAsia" w:ascii="宋体" w:hAnsi="宋体" w:eastAsia="宋体" w:cs="宋体"/>
          <w:color w:val="auto"/>
          <w:highlight w:val="none"/>
        </w:rPr>
      </w:pPr>
    </w:p>
    <w:p w14:paraId="20C7A973">
      <w:pPr>
        <w:pStyle w:val="4"/>
        <w:spacing w:line="297" w:lineRule="auto"/>
        <w:rPr>
          <w:rFonts w:hint="eastAsia" w:ascii="宋体" w:hAnsi="宋体" w:eastAsia="宋体" w:cs="宋体"/>
          <w:color w:val="auto"/>
          <w:highlight w:val="none"/>
        </w:rPr>
      </w:pPr>
    </w:p>
    <w:p w14:paraId="0CBEE8F7">
      <w:pPr>
        <w:spacing w:before="78" w:line="222" w:lineRule="auto"/>
        <w:ind w:left="2360"/>
        <w:outlineLvl w:val="2"/>
        <w:rPr>
          <w:rFonts w:hint="eastAsia" w:ascii="宋体" w:hAnsi="宋体" w:eastAsia="宋体" w:cs="宋体"/>
          <w:color w:val="auto"/>
          <w:sz w:val="24"/>
          <w:szCs w:val="24"/>
          <w:highlight w:val="none"/>
        </w:rPr>
      </w:pPr>
      <w:bookmarkStart w:id="965" w:name="_Toc28873"/>
      <w:bookmarkStart w:id="966" w:name="_Toc3309"/>
      <w:bookmarkStart w:id="967" w:name="_Toc20558"/>
      <w:bookmarkStart w:id="968" w:name="_Toc8839"/>
      <w:bookmarkStart w:id="969" w:name="_Toc14316"/>
      <w:r>
        <w:rPr>
          <w:rFonts w:hint="eastAsia" w:ascii="宋体" w:hAnsi="宋体" w:eastAsia="宋体" w:cs="宋体"/>
          <w:color w:val="auto"/>
          <w:spacing w:val="-2"/>
          <w:sz w:val="24"/>
          <w:szCs w:val="24"/>
          <w:highlight w:val="none"/>
        </w:rPr>
        <w:t>（六）拟委任的项目经理和项目总工资历表</w:t>
      </w:r>
      <w:bookmarkEnd w:id="965"/>
      <w:bookmarkEnd w:id="966"/>
      <w:bookmarkEnd w:id="967"/>
      <w:bookmarkEnd w:id="968"/>
      <w:bookmarkEnd w:id="969"/>
    </w:p>
    <w:p w14:paraId="7322DC2E">
      <w:pPr>
        <w:spacing w:before="153"/>
        <w:rPr>
          <w:rFonts w:hint="eastAsia" w:ascii="宋体" w:hAnsi="宋体" w:eastAsia="宋体" w:cs="宋体"/>
          <w:color w:val="auto"/>
          <w:highlight w:val="none"/>
        </w:rPr>
      </w:pPr>
    </w:p>
    <w:tbl>
      <w:tblPr>
        <w:tblStyle w:val="24"/>
        <w:tblW w:w="8741" w:type="dxa"/>
        <w:tblInd w:w="23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65"/>
        <w:gridCol w:w="1376"/>
        <w:gridCol w:w="103"/>
        <w:gridCol w:w="1060"/>
        <w:gridCol w:w="1380"/>
        <w:gridCol w:w="339"/>
        <w:gridCol w:w="1543"/>
        <w:gridCol w:w="388"/>
        <w:gridCol w:w="1287"/>
      </w:tblGrid>
      <w:tr w14:paraId="76CEC4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6" w:hRule="atLeast"/>
        </w:trPr>
        <w:tc>
          <w:tcPr>
            <w:tcW w:w="1265" w:type="dxa"/>
            <w:vAlign w:val="top"/>
          </w:tcPr>
          <w:p w14:paraId="6DDD3DC2">
            <w:pPr>
              <w:pStyle w:val="25"/>
              <w:spacing w:before="223" w:line="220" w:lineRule="auto"/>
              <w:ind w:left="206"/>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姓名</w:t>
            </w:r>
          </w:p>
        </w:tc>
        <w:tc>
          <w:tcPr>
            <w:tcW w:w="1479" w:type="dxa"/>
            <w:gridSpan w:val="2"/>
            <w:vAlign w:val="top"/>
          </w:tcPr>
          <w:p w14:paraId="220A13FE">
            <w:pPr>
              <w:rPr>
                <w:rFonts w:hint="eastAsia" w:ascii="宋体" w:hAnsi="宋体" w:eastAsia="宋体" w:cs="宋体"/>
                <w:color w:val="auto"/>
                <w:sz w:val="24"/>
                <w:szCs w:val="24"/>
                <w:highlight w:val="none"/>
              </w:rPr>
            </w:pPr>
          </w:p>
        </w:tc>
        <w:tc>
          <w:tcPr>
            <w:tcW w:w="1060" w:type="dxa"/>
            <w:vAlign w:val="top"/>
          </w:tcPr>
          <w:p w14:paraId="3D7FF2FD">
            <w:pPr>
              <w:pStyle w:val="25"/>
              <w:spacing w:before="223" w:line="220" w:lineRule="auto"/>
              <w:ind w:left="117"/>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年龄</w:t>
            </w:r>
          </w:p>
        </w:tc>
        <w:tc>
          <w:tcPr>
            <w:tcW w:w="1380" w:type="dxa"/>
            <w:vAlign w:val="top"/>
          </w:tcPr>
          <w:p w14:paraId="49E48D21">
            <w:pPr>
              <w:rPr>
                <w:rFonts w:hint="eastAsia" w:ascii="宋体" w:hAnsi="宋体" w:eastAsia="宋体" w:cs="宋体"/>
                <w:color w:val="auto"/>
                <w:sz w:val="24"/>
                <w:szCs w:val="24"/>
                <w:highlight w:val="none"/>
              </w:rPr>
            </w:pPr>
          </w:p>
        </w:tc>
        <w:tc>
          <w:tcPr>
            <w:tcW w:w="1882" w:type="dxa"/>
            <w:gridSpan w:val="2"/>
            <w:vAlign w:val="top"/>
          </w:tcPr>
          <w:p w14:paraId="05B7A921">
            <w:pPr>
              <w:pStyle w:val="25"/>
              <w:spacing w:before="223" w:line="221" w:lineRule="auto"/>
              <w:ind w:left="533"/>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专业</w:t>
            </w:r>
          </w:p>
        </w:tc>
        <w:tc>
          <w:tcPr>
            <w:tcW w:w="1675" w:type="dxa"/>
            <w:gridSpan w:val="2"/>
            <w:vAlign w:val="top"/>
          </w:tcPr>
          <w:p w14:paraId="64CE58B9">
            <w:pPr>
              <w:rPr>
                <w:rFonts w:hint="eastAsia" w:ascii="宋体" w:hAnsi="宋体" w:eastAsia="宋体" w:cs="宋体"/>
                <w:color w:val="auto"/>
                <w:sz w:val="24"/>
                <w:szCs w:val="24"/>
                <w:highlight w:val="none"/>
              </w:rPr>
            </w:pPr>
          </w:p>
        </w:tc>
      </w:tr>
      <w:tr w14:paraId="41C0F0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9" w:hRule="atLeast"/>
        </w:trPr>
        <w:tc>
          <w:tcPr>
            <w:tcW w:w="1265" w:type="dxa"/>
            <w:vAlign w:val="top"/>
          </w:tcPr>
          <w:p w14:paraId="310766B6">
            <w:pPr>
              <w:spacing w:line="379" w:lineRule="auto"/>
              <w:rPr>
                <w:rFonts w:hint="eastAsia" w:ascii="宋体" w:hAnsi="宋体" w:eastAsia="宋体" w:cs="宋体"/>
                <w:color w:val="auto"/>
                <w:sz w:val="24"/>
                <w:szCs w:val="24"/>
                <w:highlight w:val="none"/>
              </w:rPr>
            </w:pPr>
          </w:p>
          <w:p w14:paraId="5C2FBC14">
            <w:pPr>
              <w:pStyle w:val="25"/>
              <w:spacing w:before="72" w:line="220" w:lineRule="auto"/>
              <w:ind w:left="19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技术职称</w:t>
            </w:r>
          </w:p>
        </w:tc>
        <w:tc>
          <w:tcPr>
            <w:tcW w:w="1479" w:type="dxa"/>
            <w:gridSpan w:val="2"/>
            <w:vAlign w:val="top"/>
          </w:tcPr>
          <w:p w14:paraId="280A2234">
            <w:pPr>
              <w:rPr>
                <w:rFonts w:hint="eastAsia" w:ascii="宋体" w:hAnsi="宋体" w:eastAsia="宋体" w:cs="宋体"/>
                <w:color w:val="auto"/>
                <w:sz w:val="24"/>
                <w:szCs w:val="24"/>
                <w:highlight w:val="none"/>
              </w:rPr>
            </w:pPr>
          </w:p>
        </w:tc>
        <w:tc>
          <w:tcPr>
            <w:tcW w:w="1060" w:type="dxa"/>
            <w:vAlign w:val="top"/>
          </w:tcPr>
          <w:p w14:paraId="14352CA2">
            <w:pPr>
              <w:spacing w:line="378" w:lineRule="auto"/>
              <w:rPr>
                <w:rFonts w:hint="eastAsia" w:ascii="宋体" w:hAnsi="宋体" w:eastAsia="宋体" w:cs="宋体"/>
                <w:color w:val="auto"/>
                <w:sz w:val="24"/>
                <w:szCs w:val="24"/>
                <w:highlight w:val="none"/>
              </w:rPr>
            </w:pPr>
          </w:p>
          <w:p w14:paraId="3DD2283A">
            <w:pPr>
              <w:pStyle w:val="25"/>
              <w:spacing w:before="72" w:line="222" w:lineRule="auto"/>
              <w:ind w:left="121"/>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学历</w:t>
            </w:r>
          </w:p>
        </w:tc>
        <w:tc>
          <w:tcPr>
            <w:tcW w:w="1380" w:type="dxa"/>
            <w:vAlign w:val="top"/>
          </w:tcPr>
          <w:p w14:paraId="781A2461">
            <w:pPr>
              <w:rPr>
                <w:rFonts w:hint="eastAsia" w:ascii="宋体" w:hAnsi="宋体" w:eastAsia="宋体" w:cs="宋体"/>
                <w:color w:val="auto"/>
                <w:sz w:val="24"/>
                <w:szCs w:val="24"/>
                <w:highlight w:val="none"/>
              </w:rPr>
            </w:pPr>
          </w:p>
        </w:tc>
        <w:tc>
          <w:tcPr>
            <w:tcW w:w="1882" w:type="dxa"/>
            <w:gridSpan w:val="2"/>
            <w:vAlign w:val="top"/>
          </w:tcPr>
          <w:p w14:paraId="7D42249F">
            <w:pPr>
              <w:pStyle w:val="25"/>
              <w:spacing w:before="208" w:line="219" w:lineRule="auto"/>
              <w:ind w:left="4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拟在本标</w:t>
            </w:r>
          </w:p>
          <w:p w14:paraId="7B727ACC">
            <w:pPr>
              <w:pStyle w:val="25"/>
              <w:spacing w:before="197" w:line="220" w:lineRule="auto"/>
              <w:ind w:left="533"/>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段工程任</w:t>
            </w:r>
          </w:p>
          <w:p w14:paraId="45EF19C3">
            <w:pPr>
              <w:pStyle w:val="25"/>
              <w:spacing w:before="195" w:line="224" w:lineRule="auto"/>
              <w:ind w:left="53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p>
        </w:tc>
        <w:tc>
          <w:tcPr>
            <w:tcW w:w="1675" w:type="dxa"/>
            <w:gridSpan w:val="2"/>
            <w:vAlign w:val="top"/>
          </w:tcPr>
          <w:p w14:paraId="6BAB2186">
            <w:pPr>
              <w:rPr>
                <w:rFonts w:hint="eastAsia" w:ascii="宋体" w:hAnsi="宋体" w:eastAsia="宋体" w:cs="宋体"/>
                <w:color w:val="auto"/>
                <w:sz w:val="24"/>
                <w:szCs w:val="24"/>
                <w:highlight w:val="none"/>
              </w:rPr>
            </w:pPr>
          </w:p>
        </w:tc>
      </w:tr>
      <w:tr w14:paraId="63DC2A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1265" w:type="dxa"/>
            <w:vAlign w:val="top"/>
          </w:tcPr>
          <w:p w14:paraId="1F8AACFD">
            <w:pPr>
              <w:pStyle w:val="25"/>
              <w:spacing w:before="220" w:line="220" w:lineRule="auto"/>
              <w:ind w:left="194"/>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工作年限</w:t>
            </w:r>
          </w:p>
        </w:tc>
        <w:tc>
          <w:tcPr>
            <w:tcW w:w="3919" w:type="dxa"/>
            <w:gridSpan w:val="4"/>
            <w:vAlign w:val="top"/>
          </w:tcPr>
          <w:p w14:paraId="6910D153">
            <w:pPr>
              <w:rPr>
                <w:rFonts w:hint="eastAsia" w:ascii="宋体" w:hAnsi="宋体" w:eastAsia="宋体" w:cs="宋体"/>
                <w:color w:val="auto"/>
                <w:sz w:val="24"/>
                <w:szCs w:val="24"/>
                <w:highlight w:val="none"/>
              </w:rPr>
            </w:pPr>
          </w:p>
        </w:tc>
        <w:tc>
          <w:tcPr>
            <w:tcW w:w="1882" w:type="dxa"/>
            <w:gridSpan w:val="2"/>
            <w:vAlign w:val="top"/>
          </w:tcPr>
          <w:p w14:paraId="7B9C683D">
            <w:pPr>
              <w:pStyle w:val="25"/>
              <w:spacing w:before="220" w:line="220" w:lineRule="auto"/>
              <w:ind w:right="11"/>
              <w:jc w:val="right"/>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类似施工经验年限</w:t>
            </w:r>
          </w:p>
        </w:tc>
        <w:tc>
          <w:tcPr>
            <w:tcW w:w="1675" w:type="dxa"/>
            <w:gridSpan w:val="2"/>
            <w:vAlign w:val="top"/>
          </w:tcPr>
          <w:p w14:paraId="6AD4BC94">
            <w:pPr>
              <w:rPr>
                <w:rFonts w:hint="eastAsia" w:ascii="宋体" w:hAnsi="宋体" w:eastAsia="宋体" w:cs="宋体"/>
                <w:color w:val="auto"/>
                <w:sz w:val="24"/>
                <w:szCs w:val="24"/>
                <w:highlight w:val="none"/>
              </w:rPr>
            </w:pPr>
          </w:p>
        </w:tc>
      </w:tr>
      <w:tr w14:paraId="448232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265" w:type="dxa"/>
            <w:vAlign w:val="top"/>
          </w:tcPr>
          <w:p w14:paraId="3E1AF0D6">
            <w:pPr>
              <w:pStyle w:val="25"/>
              <w:spacing w:before="223" w:line="220" w:lineRule="auto"/>
              <w:ind w:left="196"/>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毕业学校</w:t>
            </w:r>
          </w:p>
        </w:tc>
        <w:tc>
          <w:tcPr>
            <w:tcW w:w="7476" w:type="dxa"/>
            <w:gridSpan w:val="8"/>
            <w:vAlign w:val="top"/>
          </w:tcPr>
          <w:p w14:paraId="09DF50F9">
            <w:pPr>
              <w:pStyle w:val="25"/>
              <w:tabs>
                <w:tab w:val="left" w:pos="530"/>
              </w:tabs>
              <w:spacing w:before="221" w:line="220" w:lineRule="auto"/>
              <w:ind w:left="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auto"/>
              </w:rPr>
              <w:tab/>
            </w:r>
            <w:r>
              <w:rPr>
                <w:rFonts w:hint="eastAsia" w:ascii="宋体" w:hAnsi="宋体" w:eastAsia="宋体" w:cs="宋体"/>
                <w:color w:val="auto"/>
                <w:spacing w:val="-3"/>
                <w:sz w:val="24"/>
                <w:szCs w:val="24"/>
                <w:highlight w:val="none"/>
              </w:rPr>
              <w:t>年月毕业于学校专业，学制年</w:t>
            </w:r>
          </w:p>
        </w:tc>
      </w:tr>
      <w:tr w14:paraId="7D4679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trPr>
        <w:tc>
          <w:tcPr>
            <w:tcW w:w="8741" w:type="dxa"/>
            <w:gridSpan w:val="9"/>
            <w:vAlign w:val="top"/>
          </w:tcPr>
          <w:p w14:paraId="4B8B47D3">
            <w:pPr>
              <w:pStyle w:val="25"/>
              <w:spacing w:before="221" w:line="223" w:lineRule="auto"/>
              <w:ind w:left="3695"/>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经历</w:t>
            </w:r>
          </w:p>
        </w:tc>
      </w:tr>
      <w:tr w14:paraId="5A8D2C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1" w:hRule="atLeast"/>
        </w:trPr>
        <w:tc>
          <w:tcPr>
            <w:tcW w:w="1265" w:type="dxa"/>
            <w:vAlign w:val="top"/>
          </w:tcPr>
          <w:p w14:paraId="1A799F3D">
            <w:pPr>
              <w:spacing w:line="351" w:lineRule="auto"/>
              <w:rPr>
                <w:rFonts w:hint="eastAsia" w:ascii="宋体" w:hAnsi="宋体" w:eastAsia="宋体" w:cs="宋体"/>
                <w:color w:val="auto"/>
                <w:sz w:val="24"/>
                <w:szCs w:val="24"/>
                <w:highlight w:val="none"/>
              </w:rPr>
            </w:pPr>
          </w:p>
          <w:p w14:paraId="52000EDE">
            <w:pPr>
              <w:pStyle w:val="25"/>
              <w:spacing w:before="71" w:line="222" w:lineRule="auto"/>
              <w:ind w:left="343"/>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时间</w:t>
            </w:r>
          </w:p>
        </w:tc>
        <w:tc>
          <w:tcPr>
            <w:tcW w:w="4258" w:type="dxa"/>
            <w:gridSpan w:val="5"/>
            <w:vAlign w:val="top"/>
          </w:tcPr>
          <w:p w14:paraId="08777464">
            <w:pPr>
              <w:spacing w:line="350" w:lineRule="auto"/>
              <w:rPr>
                <w:rFonts w:hint="eastAsia" w:ascii="宋体" w:hAnsi="宋体" w:eastAsia="宋体" w:cs="宋体"/>
                <w:color w:val="auto"/>
                <w:sz w:val="24"/>
                <w:szCs w:val="24"/>
                <w:highlight w:val="none"/>
              </w:rPr>
            </w:pPr>
          </w:p>
          <w:p w14:paraId="4C27E10A">
            <w:pPr>
              <w:pStyle w:val="25"/>
              <w:spacing w:before="72" w:line="220" w:lineRule="auto"/>
              <w:ind w:left="88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参加过的类似工程项目名称</w:t>
            </w:r>
          </w:p>
        </w:tc>
        <w:tc>
          <w:tcPr>
            <w:tcW w:w="1931" w:type="dxa"/>
            <w:gridSpan w:val="2"/>
            <w:vAlign w:val="top"/>
          </w:tcPr>
          <w:p w14:paraId="7B42B3A7">
            <w:pPr>
              <w:spacing w:line="350" w:lineRule="auto"/>
              <w:rPr>
                <w:rFonts w:hint="eastAsia" w:ascii="宋体" w:hAnsi="宋体" w:eastAsia="宋体" w:cs="宋体"/>
                <w:color w:val="auto"/>
                <w:sz w:val="24"/>
                <w:szCs w:val="24"/>
                <w:highlight w:val="none"/>
              </w:rPr>
            </w:pPr>
          </w:p>
          <w:p w14:paraId="16AE807E">
            <w:pPr>
              <w:pStyle w:val="25"/>
              <w:spacing w:before="72" w:line="220" w:lineRule="auto"/>
              <w:ind w:left="554"/>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担任职务</w:t>
            </w:r>
          </w:p>
        </w:tc>
        <w:tc>
          <w:tcPr>
            <w:tcW w:w="1287" w:type="dxa"/>
            <w:vAlign w:val="top"/>
          </w:tcPr>
          <w:p w14:paraId="56C5D524">
            <w:pPr>
              <w:pStyle w:val="25"/>
              <w:spacing w:before="207" w:line="292" w:lineRule="auto"/>
              <w:ind w:left="333" w:right="289" w:hanging="21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发包人及联系电</w:t>
            </w:r>
            <w:r>
              <w:rPr>
                <w:rFonts w:hint="eastAsia" w:ascii="宋体" w:hAnsi="宋体" w:eastAsia="宋体" w:cs="宋体"/>
                <w:color w:val="auto"/>
                <w:sz w:val="24"/>
                <w:szCs w:val="24"/>
                <w:highlight w:val="none"/>
              </w:rPr>
              <w:t>话</w:t>
            </w:r>
          </w:p>
        </w:tc>
      </w:tr>
      <w:tr w14:paraId="27132C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265" w:type="dxa"/>
            <w:vAlign w:val="top"/>
          </w:tcPr>
          <w:p w14:paraId="69A1632C">
            <w:pPr>
              <w:rPr>
                <w:rFonts w:hint="eastAsia" w:ascii="宋体" w:hAnsi="宋体" w:eastAsia="宋体" w:cs="宋体"/>
                <w:color w:val="auto"/>
                <w:sz w:val="24"/>
                <w:szCs w:val="24"/>
                <w:highlight w:val="none"/>
              </w:rPr>
            </w:pPr>
          </w:p>
        </w:tc>
        <w:tc>
          <w:tcPr>
            <w:tcW w:w="4258" w:type="dxa"/>
            <w:gridSpan w:val="5"/>
            <w:vAlign w:val="top"/>
          </w:tcPr>
          <w:p w14:paraId="13DBEA99">
            <w:pPr>
              <w:rPr>
                <w:rFonts w:hint="eastAsia" w:ascii="宋体" w:hAnsi="宋体" w:eastAsia="宋体" w:cs="宋体"/>
                <w:color w:val="auto"/>
                <w:sz w:val="24"/>
                <w:szCs w:val="24"/>
                <w:highlight w:val="none"/>
              </w:rPr>
            </w:pPr>
          </w:p>
        </w:tc>
        <w:tc>
          <w:tcPr>
            <w:tcW w:w="1931" w:type="dxa"/>
            <w:gridSpan w:val="2"/>
            <w:vAlign w:val="top"/>
          </w:tcPr>
          <w:p w14:paraId="26B3B06B">
            <w:pPr>
              <w:rPr>
                <w:rFonts w:hint="eastAsia" w:ascii="宋体" w:hAnsi="宋体" w:eastAsia="宋体" w:cs="宋体"/>
                <w:color w:val="auto"/>
                <w:sz w:val="24"/>
                <w:szCs w:val="24"/>
                <w:highlight w:val="none"/>
              </w:rPr>
            </w:pPr>
          </w:p>
        </w:tc>
        <w:tc>
          <w:tcPr>
            <w:tcW w:w="1287" w:type="dxa"/>
            <w:vAlign w:val="top"/>
          </w:tcPr>
          <w:p w14:paraId="7F962CC6">
            <w:pPr>
              <w:rPr>
                <w:rFonts w:hint="eastAsia" w:ascii="宋体" w:hAnsi="宋体" w:eastAsia="宋体" w:cs="宋体"/>
                <w:color w:val="auto"/>
                <w:sz w:val="24"/>
                <w:szCs w:val="24"/>
                <w:highlight w:val="none"/>
              </w:rPr>
            </w:pPr>
          </w:p>
        </w:tc>
      </w:tr>
      <w:tr w14:paraId="491D0D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265" w:type="dxa"/>
            <w:vAlign w:val="top"/>
          </w:tcPr>
          <w:p w14:paraId="47340D69">
            <w:pPr>
              <w:rPr>
                <w:rFonts w:hint="eastAsia" w:ascii="宋体" w:hAnsi="宋体" w:eastAsia="宋体" w:cs="宋体"/>
                <w:color w:val="auto"/>
                <w:sz w:val="24"/>
                <w:szCs w:val="24"/>
                <w:highlight w:val="none"/>
              </w:rPr>
            </w:pPr>
          </w:p>
        </w:tc>
        <w:tc>
          <w:tcPr>
            <w:tcW w:w="4258" w:type="dxa"/>
            <w:gridSpan w:val="5"/>
            <w:vAlign w:val="top"/>
          </w:tcPr>
          <w:p w14:paraId="71FE54EC">
            <w:pPr>
              <w:rPr>
                <w:rFonts w:hint="eastAsia" w:ascii="宋体" w:hAnsi="宋体" w:eastAsia="宋体" w:cs="宋体"/>
                <w:color w:val="auto"/>
                <w:sz w:val="24"/>
                <w:szCs w:val="24"/>
                <w:highlight w:val="none"/>
              </w:rPr>
            </w:pPr>
          </w:p>
        </w:tc>
        <w:tc>
          <w:tcPr>
            <w:tcW w:w="1931" w:type="dxa"/>
            <w:gridSpan w:val="2"/>
            <w:vAlign w:val="top"/>
          </w:tcPr>
          <w:p w14:paraId="59259125">
            <w:pPr>
              <w:rPr>
                <w:rFonts w:hint="eastAsia" w:ascii="宋体" w:hAnsi="宋体" w:eastAsia="宋体" w:cs="宋体"/>
                <w:color w:val="auto"/>
                <w:sz w:val="24"/>
                <w:szCs w:val="24"/>
                <w:highlight w:val="none"/>
              </w:rPr>
            </w:pPr>
          </w:p>
        </w:tc>
        <w:tc>
          <w:tcPr>
            <w:tcW w:w="1287" w:type="dxa"/>
            <w:vAlign w:val="top"/>
          </w:tcPr>
          <w:p w14:paraId="6B076A2A">
            <w:pPr>
              <w:rPr>
                <w:rFonts w:hint="eastAsia" w:ascii="宋体" w:hAnsi="宋体" w:eastAsia="宋体" w:cs="宋体"/>
                <w:color w:val="auto"/>
                <w:sz w:val="24"/>
                <w:szCs w:val="24"/>
                <w:highlight w:val="none"/>
              </w:rPr>
            </w:pPr>
          </w:p>
        </w:tc>
      </w:tr>
      <w:tr w14:paraId="1E7F00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265" w:type="dxa"/>
            <w:vAlign w:val="top"/>
          </w:tcPr>
          <w:p w14:paraId="46D5ADB6">
            <w:pPr>
              <w:rPr>
                <w:rFonts w:hint="eastAsia" w:ascii="宋体" w:hAnsi="宋体" w:eastAsia="宋体" w:cs="宋体"/>
                <w:color w:val="auto"/>
                <w:sz w:val="24"/>
                <w:szCs w:val="24"/>
                <w:highlight w:val="none"/>
              </w:rPr>
            </w:pPr>
          </w:p>
        </w:tc>
        <w:tc>
          <w:tcPr>
            <w:tcW w:w="4258" w:type="dxa"/>
            <w:gridSpan w:val="5"/>
            <w:vAlign w:val="top"/>
          </w:tcPr>
          <w:p w14:paraId="29C88310">
            <w:pPr>
              <w:rPr>
                <w:rFonts w:hint="eastAsia" w:ascii="宋体" w:hAnsi="宋体" w:eastAsia="宋体" w:cs="宋体"/>
                <w:color w:val="auto"/>
                <w:sz w:val="24"/>
                <w:szCs w:val="24"/>
                <w:highlight w:val="none"/>
              </w:rPr>
            </w:pPr>
          </w:p>
        </w:tc>
        <w:tc>
          <w:tcPr>
            <w:tcW w:w="1931" w:type="dxa"/>
            <w:gridSpan w:val="2"/>
            <w:vAlign w:val="top"/>
          </w:tcPr>
          <w:p w14:paraId="2E96A90E">
            <w:pPr>
              <w:rPr>
                <w:rFonts w:hint="eastAsia" w:ascii="宋体" w:hAnsi="宋体" w:eastAsia="宋体" w:cs="宋体"/>
                <w:color w:val="auto"/>
                <w:sz w:val="24"/>
                <w:szCs w:val="24"/>
                <w:highlight w:val="none"/>
              </w:rPr>
            </w:pPr>
          </w:p>
        </w:tc>
        <w:tc>
          <w:tcPr>
            <w:tcW w:w="1287" w:type="dxa"/>
            <w:vAlign w:val="top"/>
          </w:tcPr>
          <w:p w14:paraId="577D4758">
            <w:pPr>
              <w:rPr>
                <w:rFonts w:hint="eastAsia" w:ascii="宋体" w:hAnsi="宋体" w:eastAsia="宋体" w:cs="宋体"/>
                <w:color w:val="auto"/>
                <w:sz w:val="24"/>
                <w:szCs w:val="24"/>
                <w:highlight w:val="none"/>
              </w:rPr>
            </w:pPr>
          </w:p>
        </w:tc>
      </w:tr>
      <w:tr w14:paraId="558D24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265" w:type="dxa"/>
            <w:vAlign w:val="top"/>
          </w:tcPr>
          <w:p w14:paraId="627F3BFC">
            <w:pPr>
              <w:rPr>
                <w:rFonts w:hint="eastAsia" w:ascii="宋体" w:hAnsi="宋体" w:eastAsia="宋体" w:cs="宋体"/>
                <w:color w:val="auto"/>
                <w:sz w:val="24"/>
                <w:szCs w:val="24"/>
                <w:highlight w:val="none"/>
              </w:rPr>
            </w:pPr>
          </w:p>
        </w:tc>
        <w:tc>
          <w:tcPr>
            <w:tcW w:w="4258" w:type="dxa"/>
            <w:gridSpan w:val="5"/>
            <w:vAlign w:val="top"/>
          </w:tcPr>
          <w:p w14:paraId="59B3D699">
            <w:pPr>
              <w:rPr>
                <w:rFonts w:hint="eastAsia" w:ascii="宋体" w:hAnsi="宋体" w:eastAsia="宋体" w:cs="宋体"/>
                <w:color w:val="auto"/>
                <w:sz w:val="24"/>
                <w:szCs w:val="24"/>
                <w:highlight w:val="none"/>
              </w:rPr>
            </w:pPr>
          </w:p>
        </w:tc>
        <w:tc>
          <w:tcPr>
            <w:tcW w:w="1931" w:type="dxa"/>
            <w:gridSpan w:val="2"/>
            <w:vAlign w:val="top"/>
          </w:tcPr>
          <w:p w14:paraId="1AF591A3">
            <w:pPr>
              <w:rPr>
                <w:rFonts w:hint="eastAsia" w:ascii="宋体" w:hAnsi="宋体" w:eastAsia="宋体" w:cs="宋体"/>
                <w:color w:val="auto"/>
                <w:sz w:val="24"/>
                <w:szCs w:val="24"/>
                <w:highlight w:val="none"/>
              </w:rPr>
            </w:pPr>
          </w:p>
        </w:tc>
        <w:tc>
          <w:tcPr>
            <w:tcW w:w="1287" w:type="dxa"/>
            <w:vAlign w:val="top"/>
          </w:tcPr>
          <w:p w14:paraId="43B0F47C">
            <w:pPr>
              <w:rPr>
                <w:rFonts w:hint="eastAsia" w:ascii="宋体" w:hAnsi="宋体" w:eastAsia="宋体" w:cs="宋体"/>
                <w:color w:val="auto"/>
                <w:sz w:val="24"/>
                <w:szCs w:val="24"/>
                <w:highlight w:val="none"/>
              </w:rPr>
            </w:pPr>
          </w:p>
        </w:tc>
      </w:tr>
      <w:tr w14:paraId="319854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265" w:type="dxa"/>
            <w:vAlign w:val="top"/>
          </w:tcPr>
          <w:p w14:paraId="32BB09B0">
            <w:pPr>
              <w:rPr>
                <w:rFonts w:hint="eastAsia" w:ascii="宋体" w:hAnsi="宋体" w:eastAsia="宋体" w:cs="宋体"/>
                <w:color w:val="auto"/>
                <w:sz w:val="24"/>
                <w:szCs w:val="24"/>
                <w:highlight w:val="none"/>
              </w:rPr>
            </w:pPr>
          </w:p>
        </w:tc>
        <w:tc>
          <w:tcPr>
            <w:tcW w:w="4258" w:type="dxa"/>
            <w:gridSpan w:val="5"/>
            <w:vAlign w:val="top"/>
          </w:tcPr>
          <w:p w14:paraId="090F579D">
            <w:pPr>
              <w:rPr>
                <w:rFonts w:hint="eastAsia" w:ascii="宋体" w:hAnsi="宋体" w:eastAsia="宋体" w:cs="宋体"/>
                <w:color w:val="auto"/>
                <w:sz w:val="24"/>
                <w:szCs w:val="24"/>
                <w:highlight w:val="none"/>
              </w:rPr>
            </w:pPr>
          </w:p>
        </w:tc>
        <w:tc>
          <w:tcPr>
            <w:tcW w:w="1931" w:type="dxa"/>
            <w:gridSpan w:val="2"/>
            <w:vAlign w:val="top"/>
          </w:tcPr>
          <w:p w14:paraId="3B879810">
            <w:pPr>
              <w:rPr>
                <w:rFonts w:hint="eastAsia" w:ascii="宋体" w:hAnsi="宋体" w:eastAsia="宋体" w:cs="宋体"/>
                <w:color w:val="auto"/>
                <w:sz w:val="24"/>
                <w:szCs w:val="24"/>
                <w:highlight w:val="none"/>
              </w:rPr>
            </w:pPr>
          </w:p>
        </w:tc>
        <w:tc>
          <w:tcPr>
            <w:tcW w:w="1287" w:type="dxa"/>
            <w:vAlign w:val="top"/>
          </w:tcPr>
          <w:p w14:paraId="601D03B9">
            <w:pPr>
              <w:rPr>
                <w:rFonts w:hint="eastAsia" w:ascii="宋体" w:hAnsi="宋体" w:eastAsia="宋体" w:cs="宋体"/>
                <w:color w:val="auto"/>
                <w:sz w:val="24"/>
                <w:szCs w:val="24"/>
                <w:highlight w:val="none"/>
              </w:rPr>
            </w:pPr>
          </w:p>
        </w:tc>
      </w:tr>
      <w:tr w14:paraId="458005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265" w:type="dxa"/>
            <w:vAlign w:val="top"/>
          </w:tcPr>
          <w:p w14:paraId="2A4000B7">
            <w:pPr>
              <w:rPr>
                <w:rFonts w:hint="eastAsia" w:ascii="宋体" w:hAnsi="宋体" w:eastAsia="宋体" w:cs="宋体"/>
                <w:color w:val="auto"/>
                <w:sz w:val="24"/>
                <w:szCs w:val="24"/>
                <w:highlight w:val="none"/>
              </w:rPr>
            </w:pPr>
          </w:p>
        </w:tc>
        <w:tc>
          <w:tcPr>
            <w:tcW w:w="4258" w:type="dxa"/>
            <w:gridSpan w:val="5"/>
            <w:vAlign w:val="top"/>
          </w:tcPr>
          <w:p w14:paraId="44A464B2">
            <w:pPr>
              <w:rPr>
                <w:rFonts w:hint="eastAsia" w:ascii="宋体" w:hAnsi="宋体" w:eastAsia="宋体" w:cs="宋体"/>
                <w:color w:val="auto"/>
                <w:sz w:val="24"/>
                <w:szCs w:val="24"/>
                <w:highlight w:val="none"/>
              </w:rPr>
            </w:pPr>
          </w:p>
        </w:tc>
        <w:tc>
          <w:tcPr>
            <w:tcW w:w="1931" w:type="dxa"/>
            <w:gridSpan w:val="2"/>
            <w:vAlign w:val="top"/>
          </w:tcPr>
          <w:p w14:paraId="68452EBF">
            <w:pPr>
              <w:rPr>
                <w:rFonts w:hint="eastAsia" w:ascii="宋体" w:hAnsi="宋体" w:eastAsia="宋体" w:cs="宋体"/>
                <w:color w:val="auto"/>
                <w:sz w:val="24"/>
                <w:szCs w:val="24"/>
                <w:highlight w:val="none"/>
              </w:rPr>
            </w:pPr>
          </w:p>
        </w:tc>
        <w:tc>
          <w:tcPr>
            <w:tcW w:w="1287" w:type="dxa"/>
            <w:vAlign w:val="top"/>
          </w:tcPr>
          <w:p w14:paraId="48C48430">
            <w:pPr>
              <w:rPr>
                <w:rFonts w:hint="eastAsia" w:ascii="宋体" w:hAnsi="宋体" w:eastAsia="宋体" w:cs="宋体"/>
                <w:color w:val="auto"/>
                <w:sz w:val="24"/>
                <w:szCs w:val="24"/>
                <w:highlight w:val="none"/>
              </w:rPr>
            </w:pPr>
          </w:p>
        </w:tc>
      </w:tr>
      <w:tr w14:paraId="5CA24D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2641" w:type="dxa"/>
            <w:gridSpan w:val="2"/>
            <w:vAlign w:val="top"/>
          </w:tcPr>
          <w:p w14:paraId="33971F06">
            <w:pPr>
              <w:pStyle w:val="25"/>
              <w:spacing w:before="225" w:line="220" w:lineRule="auto"/>
              <w:ind w:left="893"/>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获奖情况</w:t>
            </w:r>
          </w:p>
        </w:tc>
        <w:tc>
          <w:tcPr>
            <w:tcW w:w="6100" w:type="dxa"/>
            <w:gridSpan w:val="7"/>
            <w:vAlign w:val="top"/>
          </w:tcPr>
          <w:p w14:paraId="5B688604">
            <w:pPr>
              <w:rPr>
                <w:rFonts w:hint="eastAsia" w:ascii="宋体" w:hAnsi="宋体" w:eastAsia="宋体" w:cs="宋体"/>
                <w:color w:val="auto"/>
                <w:sz w:val="24"/>
                <w:szCs w:val="24"/>
                <w:highlight w:val="none"/>
              </w:rPr>
            </w:pPr>
          </w:p>
        </w:tc>
      </w:tr>
      <w:tr w14:paraId="4D88E4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8" w:hRule="atLeast"/>
        </w:trPr>
        <w:tc>
          <w:tcPr>
            <w:tcW w:w="2641" w:type="dxa"/>
            <w:gridSpan w:val="2"/>
            <w:vAlign w:val="top"/>
          </w:tcPr>
          <w:p w14:paraId="63E5D6F0">
            <w:pPr>
              <w:spacing w:line="473" w:lineRule="auto"/>
              <w:rPr>
                <w:rFonts w:hint="eastAsia" w:ascii="宋体" w:hAnsi="宋体" w:eastAsia="宋体" w:cs="宋体"/>
                <w:color w:val="auto"/>
                <w:sz w:val="24"/>
                <w:szCs w:val="24"/>
                <w:highlight w:val="none"/>
              </w:rPr>
            </w:pPr>
          </w:p>
          <w:p w14:paraId="7AA25B8C">
            <w:pPr>
              <w:pStyle w:val="25"/>
              <w:spacing w:before="71" w:line="220" w:lineRule="auto"/>
              <w:ind w:left="70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说明在岗情况</w:t>
            </w:r>
          </w:p>
        </w:tc>
        <w:tc>
          <w:tcPr>
            <w:tcW w:w="6100" w:type="dxa"/>
            <w:gridSpan w:val="7"/>
            <w:vAlign w:val="top"/>
          </w:tcPr>
          <w:p w14:paraId="74B777AA">
            <w:pPr>
              <w:pStyle w:val="25"/>
              <w:spacing w:before="125" w:line="220" w:lineRule="auto"/>
              <w:ind w:left="138"/>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□目前未在其他项目上任职，现从事工作为：。</w:t>
            </w:r>
          </w:p>
          <w:p w14:paraId="182AB8DA">
            <w:pPr>
              <w:pStyle w:val="25"/>
              <w:spacing w:before="137" w:line="257" w:lineRule="auto"/>
              <w:ind w:left="115" w:right="21" w:firstLine="23"/>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□目前虽在其他项目上任职，但本项目中标后能够</w:t>
            </w:r>
            <w:r>
              <w:rPr>
                <w:rFonts w:hint="eastAsia" w:ascii="宋体" w:hAnsi="宋体" w:eastAsia="宋体" w:cs="宋体"/>
                <w:color w:val="auto"/>
                <w:spacing w:val="2"/>
                <w:sz w:val="24"/>
                <w:szCs w:val="24"/>
                <w:highlight w:val="none"/>
              </w:rPr>
              <w:t>从该项目</w:t>
            </w:r>
            <w:r>
              <w:rPr>
                <w:rFonts w:hint="eastAsia" w:ascii="宋体" w:hAnsi="宋体" w:eastAsia="宋体" w:cs="宋体"/>
                <w:color w:val="auto"/>
                <w:spacing w:val="-15"/>
                <w:sz w:val="24"/>
                <w:szCs w:val="24"/>
                <w:highlight w:val="none"/>
              </w:rPr>
              <w:t>撤离，目前任职项目</w:t>
            </w:r>
            <w:r>
              <w:rPr>
                <w:rFonts w:hint="eastAsia" w:ascii="宋体" w:hAnsi="宋体" w:eastAsia="宋体" w:cs="宋体"/>
                <w:color w:val="auto"/>
                <w:spacing w:val="-45"/>
                <w:w w:val="84"/>
                <w:sz w:val="24"/>
                <w:szCs w:val="24"/>
                <w:highlight w:val="none"/>
              </w:rPr>
              <w:t>：，</w:t>
            </w:r>
            <w:r>
              <w:rPr>
                <w:rFonts w:hint="eastAsia" w:ascii="宋体" w:hAnsi="宋体" w:eastAsia="宋体" w:cs="宋体"/>
                <w:color w:val="auto"/>
                <w:spacing w:val="-15"/>
                <w:sz w:val="24"/>
                <w:szCs w:val="24"/>
                <w:highlight w:val="none"/>
              </w:rPr>
              <w:t>担任职位：。</w:t>
            </w:r>
          </w:p>
        </w:tc>
      </w:tr>
      <w:tr w14:paraId="754724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78" w:hRule="atLeast"/>
        </w:trPr>
        <w:tc>
          <w:tcPr>
            <w:tcW w:w="2641" w:type="dxa"/>
            <w:gridSpan w:val="2"/>
            <w:vAlign w:val="top"/>
          </w:tcPr>
          <w:p w14:paraId="3C16D9A3">
            <w:pPr>
              <w:spacing w:line="246" w:lineRule="auto"/>
              <w:rPr>
                <w:rFonts w:hint="eastAsia" w:ascii="宋体" w:hAnsi="宋体" w:eastAsia="宋体" w:cs="宋体"/>
                <w:color w:val="auto"/>
                <w:sz w:val="24"/>
                <w:szCs w:val="24"/>
                <w:highlight w:val="none"/>
              </w:rPr>
            </w:pPr>
          </w:p>
          <w:p w14:paraId="2057FA89">
            <w:pPr>
              <w:spacing w:line="247" w:lineRule="auto"/>
              <w:rPr>
                <w:rFonts w:hint="eastAsia" w:ascii="宋体" w:hAnsi="宋体" w:eastAsia="宋体" w:cs="宋体"/>
                <w:color w:val="auto"/>
                <w:sz w:val="24"/>
                <w:szCs w:val="24"/>
                <w:highlight w:val="none"/>
              </w:rPr>
            </w:pPr>
          </w:p>
          <w:p w14:paraId="5A0A2A4F">
            <w:pPr>
              <w:pStyle w:val="25"/>
              <w:spacing w:before="71" w:line="222" w:lineRule="auto"/>
              <w:ind w:left="85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备注</w:t>
            </w:r>
          </w:p>
        </w:tc>
        <w:tc>
          <w:tcPr>
            <w:tcW w:w="6100" w:type="dxa"/>
            <w:gridSpan w:val="7"/>
            <w:vAlign w:val="top"/>
          </w:tcPr>
          <w:p w14:paraId="603113AC">
            <w:pPr>
              <w:rPr>
                <w:rFonts w:hint="eastAsia" w:ascii="宋体" w:hAnsi="宋体" w:eastAsia="宋体" w:cs="宋体"/>
                <w:color w:val="auto"/>
                <w:sz w:val="24"/>
                <w:szCs w:val="24"/>
                <w:highlight w:val="none"/>
              </w:rPr>
            </w:pPr>
          </w:p>
        </w:tc>
      </w:tr>
    </w:tbl>
    <w:p w14:paraId="21CA64DA">
      <w:pPr>
        <w:spacing w:before="157" w:line="227" w:lineRule="auto"/>
        <w:ind w:left="283"/>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注：1.本表应填写项目经理和项目总工相关情况。</w:t>
      </w:r>
    </w:p>
    <w:p w14:paraId="57105110">
      <w:pPr>
        <w:spacing w:before="27" w:line="227" w:lineRule="auto"/>
        <w:ind w:left="224"/>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2.投标人应根据招标文件第二章“投标人须知”第3.5.5项的要求</w:t>
      </w:r>
      <w:r>
        <w:rPr>
          <w:rFonts w:hint="eastAsia" w:ascii="宋体" w:hAnsi="宋体" w:eastAsia="宋体" w:cs="宋体"/>
          <w:color w:val="auto"/>
          <w:spacing w:val="7"/>
          <w:sz w:val="20"/>
          <w:szCs w:val="20"/>
          <w:highlight w:val="none"/>
        </w:rPr>
        <w:t>在本表后附相关证明材料。</w:t>
      </w:r>
    </w:p>
    <w:p w14:paraId="380E91D4">
      <w:pPr>
        <w:spacing w:line="227" w:lineRule="auto"/>
        <w:rPr>
          <w:rFonts w:hint="eastAsia" w:ascii="宋体" w:hAnsi="宋体" w:eastAsia="宋体" w:cs="宋体"/>
          <w:color w:val="auto"/>
          <w:sz w:val="20"/>
          <w:szCs w:val="20"/>
          <w:highlight w:val="none"/>
        </w:rPr>
        <w:sectPr>
          <w:headerReference r:id="rId281" w:type="default"/>
          <w:footerReference r:id="rId282" w:type="default"/>
          <w:pgSz w:w="11907" w:h="16840"/>
          <w:pgMar w:top="1182" w:right="1138" w:bottom="1014" w:left="1786" w:header="849" w:footer="852" w:gutter="0"/>
          <w:pgNumType w:fmt="decimal"/>
          <w:cols w:space="720" w:num="1"/>
        </w:sectPr>
      </w:pPr>
    </w:p>
    <w:p w14:paraId="4F365E5D">
      <w:pPr>
        <w:pStyle w:val="4"/>
        <w:spacing w:line="294" w:lineRule="auto"/>
        <w:rPr>
          <w:rFonts w:hint="eastAsia" w:ascii="宋体" w:hAnsi="宋体" w:eastAsia="宋体" w:cs="宋体"/>
          <w:color w:val="auto"/>
          <w:highlight w:val="none"/>
        </w:rPr>
      </w:pPr>
    </w:p>
    <w:p w14:paraId="0D3C0357">
      <w:pPr>
        <w:pStyle w:val="4"/>
        <w:spacing w:line="294" w:lineRule="auto"/>
        <w:rPr>
          <w:rFonts w:hint="eastAsia" w:ascii="宋体" w:hAnsi="宋体" w:eastAsia="宋体" w:cs="宋体"/>
          <w:color w:val="auto"/>
          <w:highlight w:val="none"/>
        </w:rPr>
      </w:pPr>
    </w:p>
    <w:p w14:paraId="247F037B">
      <w:pPr>
        <w:spacing w:before="78" w:line="226" w:lineRule="auto"/>
        <w:ind w:left="2302"/>
        <w:outlineLvl w:val="2"/>
        <w:rPr>
          <w:rFonts w:hint="eastAsia" w:ascii="宋体" w:hAnsi="宋体" w:eastAsia="宋体" w:cs="宋体"/>
          <w:color w:val="auto"/>
          <w:sz w:val="12"/>
          <w:szCs w:val="12"/>
          <w:highlight w:val="none"/>
        </w:rPr>
      </w:pPr>
      <w:bookmarkStart w:id="970" w:name="_Toc31429"/>
      <w:bookmarkStart w:id="971" w:name="_Toc5864"/>
      <w:bookmarkStart w:id="972" w:name="_Toc20754"/>
      <w:bookmarkStart w:id="973" w:name="_Toc7697"/>
      <w:bookmarkStart w:id="974" w:name="_Toc14775"/>
      <w:r>
        <w:rPr>
          <w:rFonts w:hint="eastAsia" w:ascii="宋体" w:hAnsi="宋体" w:eastAsia="宋体" w:cs="宋体"/>
          <w:color w:val="auto"/>
          <w:spacing w:val="-2"/>
          <w:sz w:val="24"/>
          <w:szCs w:val="24"/>
          <w:highlight w:val="none"/>
        </w:rPr>
        <w:t>（七）拟委任的其他管理和技术人员汇总表</w:t>
      </w:r>
      <w:r>
        <w:rPr>
          <w:rFonts w:hint="eastAsia" w:ascii="宋体" w:hAnsi="宋体" w:eastAsia="宋体" w:cs="宋体"/>
          <w:color w:val="auto"/>
          <w:spacing w:val="-2"/>
          <w:position w:val="10"/>
          <w:sz w:val="12"/>
          <w:szCs w:val="12"/>
          <w:highlight w:val="none"/>
        </w:rPr>
        <w:t>①</w:t>
      </w:r>
      <w:bookmarkEnd w:id="970"/>
      <w:bookmarkEnd w:id="971"/>
      <w:bookmarkEnd w:id="972"/>
      <w:bookmarkEnd w:id="973"/>
      <w:bookmarkEnd w:id="974"/>
    </w:p>
    <w:p w14:paraId="083F4DA3">
      <w:pPr>
        <w:spacing w:before="154"/>
        <w:rPr>
          <w:rFonts w:hint="eastAsia" w:ascii="宋体" w:hAnsi="宋体" w:eastAsia="宋体" w:cs="宋体"/>
          <w:color w:val="auto"/>
          <w:highlight w:val="none"/>
        </w:rPr>
      </w:pPr>
    </w:p>
    <w:tbl>
      <w:tblPr>
        <w:tblStyle w:val="24"/>
        <w:tblW w:w="8903" w:type="dxa"/>
        <w:tblInd w:w="15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38"/>
        <w:gridCol w:w="926"/>
        <w:gridCol w:w="2681"/>
        <w:gridCol w:w="1102"/>
        <w:gridCol w:w="1306"/>
        <w:gridCol w:w="1950"/>
      </w:tblGrid>
      <w:tr w14:paraId="20EAAA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0" w:hRule="atLeast"/>
        </w:trPr>
        <w:tc>
          <w:tcPr>
            <w:tcW w:w="938" w:type="dxa"/>
            <w:vAlign w:val="top"/>
          </w:tcPr>
          <w:p w14:paraId="66861EAB">
            <w:pPr>
              <w:spacing w:line="325" w:lineRule="auto"/>
              <w:rPr>
                <w:rFonts w:hint="eastAsia" w:ascii="宋体" w:hAnsi="宋体" w:eastAsia="宋体" w:cs="宋体"/>
                <w:color w:val="auto"/>
                <w:sz w:val="21"/>
                <w:highlight w:val="none"/>
              </w:rPr>
            </w:pPr>
          </w:p>
          <w:p w14:paraId="3B383718">
            <w:pPr>
              <w:pStyle w:val="25"/>
              <w:spacing w:before="71" w:line="220" w:lineRule="auto"/>
              <w:ind w:left="268"/>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姓名</w:t>
            </w:r>
          </w:p>
        </w:tc>
        <w:tc>
          <w:tcPr>
            <w:tcW w:w="926" w:type="dxa"/>
            <w:vAlign w:val="top"/>
          </w:tcPr>
          <w:p w14:paraId="5D97A974">
            <w:pPr>
              <w:spacing w:line="325" w:lineRule="auto"/>
              <w:rPr>
                <w:rFonts w:hint="eastAsia" w:ascii="宋体" w:hAnsi="宋体" w:eastAsia="宋体" w:cs="宋体"/>
                <w:color w:val="auto"/>
                <w:sz w:val="21"/>
                <w:highlight w:val="none"/>
              </w:rPr>
            </w:pPr>
          </w:p>
          <w:p w14:paraId="758DECBA">
            <w:pPr>
              <w:pStyle w:val="25"/>
              <w:spacing w:before="71" w:line="220" w:lineRule="auto"/>
              <w:ind w:left="260"/>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年龄</w:t>
            </w:r>
          </w:p>
        </w:tc>
        <w:tc>
          <w:tcPr>
            <w:tcW w:w="2681" w:type="dxa"/>
            <w:vAlign w:val="top"/>
          </w:tcPr>
          <w:p w14:paraId="632300E2">
            <w:pPr>
              <w:spacing w:line="325" w:lineRule="auto"/>
              <w:rPr>
                <w:rFonts w:hint="eastAsia" w:ascii="宋体" w:hAnsi="宋体" w:eastAsia="宋体" w:cs="宋体"/>
                <w:color w:val="auto"/>
                <w:sz w:val="21"/>
                <w:highlight w:val="none"/>
              </w:rPr>
            </w:pPr>
          </w:p>
          <w:p w14:paraId="0EBD44CD">
            <w:pPr>
              <w:pStyle w:val="25"/>
              <w:spacing w:before="72" w:line="219" w:lineRule="auto"/>
              <w:ind w:left="403"/>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拟在本标段工程任职</w:t>
            </w:r>
          </w:p>
        </w:tc>
        <w:tc>
          <w:tcPr>
            <w:tcW w:w="1102" w:type="dxa"/>
            <w:vAlign w:val="top"/>
          </w:tcPr>
          <w:p w14:paraId="3235F5D4">
            <w:pPr>
              <w:spacing w:line="325" w:lineRule="auto"/>
              <w:rPr>
                <w:rFonts w:hint="eastAsia" w:ascii="宋体" w:hAnsi="宋体" w:eastAsia="宋体" w:cs="宋体"/>
                <w:color w:val="auto"/>
                <w:sz w:val="21"/>
                <w:highlight w:val="none"/>
              </w:rPr>
            </w:pPr>
          </w:p>
          <w:p w14:paraId="08886B1D">
            <w:pPr>
              <w:pStyle w:val="25"/>
              <w:spacing w:before="71" w:line="220" w:lineRule="auto"/>
              <w:ind w:left="140"/>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技术职称</w:t>
            </w:r>
          </w:p>
        </w:tc>
        <w:tc>
          <w:tcPr>
            <w:tcW w:w="1306" w:type="dxa"/>
            <w:vAlign w:val="top"/>
          </w:tcPr>
          <w:p w14:paraId="5AE3E262">
            <w:pPr>
              <w:spacing w:line="325" w:lineRule="auto"/>
              <w:rPr>
                <w:rFonts w:hint="eastAsia" w:ascii="宋体" w:hAnsi="宋体" w:eastAsia="宋体" w:cs="宋体"/>
                <w:color w:val="auto"/>
                <w:sz w:val="21"/>
                <w:highlight w:val="none"/>
              </w:rPr>
            </w:pPr>
          </w:p>
          <w:p w14:paraId="4C03CBE0">
            <w:pPr>
              <w:pStyle w:val="25"/>
              <w:spacing w:before="71" w:line="220" w:lineRule="auto"/>
              <w:ind w:left="244"/>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工作年限</w:t>
            </w:r>
          </w:p>
        </w:tc>
        <w:tc>
          <w:tcPr>
            <w:tcW w:w="1950" w:type="dxa"/>
            <w:vAlign w:val="top"/>
          </w:tcPr>
          <w:p w14:paraId="7C2A21E0">
            <w:pPr>
              <w:spacing w:line="325" w:lineRule="auto"/>
              <w:rPr>
                <w:rFonts w:hint="eastAsia" w:ascii="宋体" w:hAnsi="宋体" w:eastAsia="宋体" w:cs="宋体"/>
                <w:color w:val="auto"/>
                <w:sz w:val="21"/>
                <w:highlight w:val="none"/>
              </w:rPr>
            </w:pPr>
          </w:p>
          <w:p w14:paraId="1D1FEE80">
            <w:pPr>
              <w:pStyle w:val="25"/>
              <w:spacing w:before="71" w:line="220" w:lineRule="auto"/>
              <w:ind w:left="138"/>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类似施工经验年限</w:t>
            </w:r>
          </w:p>
        </w:tc>
      </w:tr>
      <w:tr w14:paraId="04DD8E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1" w:hRule="atLeast"/>
        </w:trPr>
        <w:tc>
          <w:tcPr>
            <w:tcW w:w="938" w:type="dxa"/>
            <w:vAlign w:val="top"/>
          </w:tcPr>
          <w:p w14:paraId="4902DF6C">
            <w:pPr>
              <w:rPr>
                <w:rFonts w:hint="eastAsia" w:ascii="宋体" w:hAnsi="宋体" w:eastAsia="宋体" w:cs="宋体"/>
                <w:color w:val="auto"/>
                <w:sz w:val="21"/>
                <w:highlight w:val="none"/>
              </w:rPr>
            </w:pPr>
          </w:p>
        </w:tc>
        <w:tc>
          <w:tcPr>
            <w:tcW w:w="926" w:type="dxa"/>
            <w:vAlign w:val="top"/>
          </w:tcPr>
          <w:p w14:paraId="2469A437">
            <w:pPr>
              <w:rPr>
                <w:rFonts w:hint="eastAsia" w:ascii="宋体" w:hAnsi="宋体" w:eastAsia="宋体" w:cs="宋体"/>
                <w:color w:val="auto"/>
                <w:sz w:val="21"/>
                <w:highlight w:val="none"/>
              </w:rPr>
            </w:pPr>
          </w:p>
        </w:tc>
        <w:tc>
          <w:tcPr>
            <w:tcW w:w="2681" w:type="dxa"/>
            <w:vAlign w:val="top"/>
          </w:tcPr>
          <w:p w14:paraId="1586A574">
            <w:pPr>
              <w:rPr>
                <w:rFonts w:hint="eastAsia" w:ascii="宋体" w:hAnsi="宋体" w:eastAsia="宋体" w:cs="宋体"/>
                <w:color w:val="auto"/>
                <w:sz w:val="21"/>
                <w:highlight w:val="none"/>
              </w:rPr>
            </w:pPr>
          </w:p>
        </w:tc>
        <w:tc>
          <w:tcPr>
            <w:tcW w:w="1102" w:type="dxa"/>
            <w:vAlign w:val="top"/>
          </w:tcPr>
          <w:p w14:paraId="1D03C0E3">
            <w:pPr>
              <w:rPr>
                <w:rFonts w:hint="eastAsia" w:ascii="宋体" w:hAnsi="宋体" w:eastAsia="宋体" w:cs="宋体"/>
                <w:color w:val="auto"/>
                <w:sz w:val="21"/>
                <w:highlight w:val="none"/>
              </w:rPr>
            </w:pPr>
          </w:p>
        </w:tc>
        <w:tc>
          <w:tcPr>
            <w:tcW w:w="1306" w:type="dxa"/>
            <w:vAlign w:val="top"/>
          </w:tcPr>
          <w:p w14:paraId="58647A10">
            <w:pPr>
              <w:rPr>
                <w:rFonts w:hint="eastAsia" w:ascii="宋体" w:hAnsi="宋体" w:eastAsia="宋体" w:cs="宋体"/>
                <w:color w:val="auto"/>
                <w:sz w:val="21"/>
                <w:highlight w:val="none"/>
              </w:rPr>
            </w:pPr>
          </w:p>
        </w:tc>
        <w:tc>
          <w:tcPr>
            <w:tcW w:w="1950" w:type="dxa"/>
            <w:vAlign w:val="top"/>
          </w:tcPr>
          <w:p w14:paraId="4402AE02">
            <w:pPr>
              <w:rPr>
                <w:rFonts w:hint="eastAsia" w:ascii="宋体" w:hAnsi="宋体" w:eastAsia="宋体" w:cs="宋体"/>
                <w:color w:val="auto"/>
                <w:sz w:val="21"/>
                <w:highlight w:val="none"/>
              </w:rPr>
            </w:pPr>
          </w:p>
        </w:tc>
      </w:tr>
      <w:tr w14:paraId="12B759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1" w:hRule="atLeast"/>
        </w:trPr>
        <w:tc>
          <w:tcPr>
            <w:tcW w:w="938" w:type="dxa"/>
            <w:vAlign w:val="top"/>
          </w:tcPr>
          <w:p w14:paraId="7DFDA4B8">
            <w:pPr>
              <w:rPr>
                <w:rFonts w:hint="eastAsia" w:ascii="宋体" w:hAnsi="宋体" w:eastAsia="宋体" w:cs="宋体"/>
                <w:color w:val="auto"/>
                <w:sz w:val="21"/>
                <w:highlight w:val="none"/>
              </w:rPr>
            </w:pPr>
          </w:p>
        </w:tc>
        <w:tc>
          <w:tcPr>
            <w:tcW w:w="926" w:type="dxa"/>
            <w:vAlign w:val="top"/>
          </w:tcPr>
          <w:p w14:paraId="6DA68C45">
            <w:pPr>
              <w:rPr>
                <w:rFonts w:hint="eastAsia" w:ascii="宋体" w:hAnsi="宋体" w:eastAsia="宋体" w:cs="宋体"/>
                <w:color w:val="auto"/>
                <w:sz w:val="21"/>
                <w:highlight w:val="none"/>
              </w:rPr>
            </w:pPr>
          </w:p>
        </w:tc>
        <w:tc>
          <w:tcPr>
            <w:tcW w:w="2681" w:type="dxa"/>
            <w:vAlign w:val="top"/>
          </w:tcPr>
          <w:p w14:paraId="1B87CC15">
            <w:pPr>
              <w:rPr>
                <w:rFonts w:hint="eastAsia" w:ascii="宋体" w:hAnsi="宋体" w:eastAsia="宋体" w:cs="宋体"/>
                <w:color w:val="auto"/>
                <w:sz w:val="21"/>
                <w:highlight w:val="none"/>
              </w:rPr>
            </w:pPr>
          </w:p>
        </w:tc>
        <w:tc>
          <w:tcPr>
            <w:tcW w:w="1102" w:type="dxa"/>
            <w:vAlign w:val="top"/>
          </w:tcPr>
          <w:p w14:paraId="0CB38C4A">
            <w:pPr>
              <w:rPr>
                <w:rFonts w:hint="eastAsia" w:ascii="宋体" w:hAnsi="宋体" w:eastAsia="宋体" w:cs="宋体"/>
                <w:color w:val="auto"/>
                <w:sz w:val="21"/>
                <w:highlight w:val="none"/>
              </w:rPr>
            </w:pPr>
          </w:p>
        </w:tc>
        <w:tc>
          <w:tcPr>
            <w:tcW w:w="1306" w:type="dxa"/>
            <w:vAlign w:val="top"/>
          </w:tcPr>
          <w:p w14:paraId="3508CDB7">
            <w:pPr>
              <w:rPr>
                <w:rFonts w:hint="eastAsia" w:ascii="宋体" w:hAnsi="宋体" w:eastAsia="宋体" w:cs="宋体"/>
                <w:color w:val="auto"/>
                <w:sz w:val="21"/>
                <w:highlight w:val="none"/>
              </w:rPr>
            </w:pPr>
          </w:p>
        </w:tc>
        <w:tc>
          <w:tcPr>
            <w:tcW w:w="1950" w:type="dxa"/>
            <w:vAlign w:val="top"/>
          </w:tcPr>
          <w:p w14:paraId="528C948A">
            <w:pPr>
              <w:rPr>
                <w:rFonts w:hint="eastAsia" w:ascii="宋体" w:hAnsi="宋体" w:eastAsia="宋体" w:cs="宋体"/>
                <w:color w:val="auto"/>
                <w:sz w:val="21"/>
                <w:highlight w:val="none"/>
              </w:rPr>
            </w:pPr>
          </w:p>
        </w:tc>
      </w:tr>
      <w:tr w14:paraId="7A74EA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938" w:type="dxa"/>
            <w:vAlign w:val="top"/>
          </w:tcPr>
          <w:p w14:paraId="12AE7B33">
            <w:pPr>
              <w:rPr>
                <w:rFonts w:hint="eastAsia" w:ascii="宋体" w:hAnsi="宋体" w:eastAsia="宋体" w:cs="宋体"/>
                <w:color w:val="auto"/>
                <w:sz w:val="21"/>
                <w:highlight w:val="none"/>
              </w:rPr>
            </w:pPr>
          </w:p>
        </w:tc>
        <w:tc>
          <w:tcPr>
            <w:tcW w:w="926" w:type="dxa"/>
            <w:vAlign w:val="top"/>
          </w:tcPr>
          <w:p w14:paraId="4F6C7B0C">
            <w:pPr>
              <w:rPr>
                <w:rFonts w:hint="eastAsia" w:ascii="宋体" w:hAnsi="宋体" w:eastAsia="宋体" w:cs="宋体"/>
                <w:color w:val="auto"/>
                <w:sz w:val="21"/>
                <w:highlight w:val="none"/>
              </w:rPr>
            </w:pPr>
          </w:p>
        </w:tc>
        <w:tc>
          <w:tcPr>
            <w:tcW w:w="2681" w:type="dxa"/>
            <w:vAlign w:val="top"/>
          </w:tcPr>
          <w:p w14:paraId="0F921A06">
            <w:pPr>
              <w:rPr>
                <w:rFonts w:hint="eastAsia" w:ascii="宋体" w:hAnsi="宋体" w:eastAsia="宋体" w:cs="宋体"/>
                <w:color w:val="auto"/>
                <w:sz w:val="21"/>
                <w:highlight w:val="none"/>
              </w:rPr>
            </w:pPr>
          </w:p>
        </w:tc>
        <w:tc>
          <w:tcPr>
            <w:tcW w:w="1102" w:type="dxa"/>
            <w:vAlign w:val="top"/>
          </w:tcPr>
          <w:p w14:paraId="0D48B4FC">
            <w:pPr>
              <w:rPr>
                <w:rFonts w:hint="eastAsia" w:ascii="宋体" w:hAnsi="宋体" w:eastAsia="宋体" w:cs="宋体"/>
                <w:color w:val="auto"/>
                <w:sz w:val="21"/>
                <w:highlight w:val="none"/>
              </w:rPr>
            </w:pPr>
          </w:p>
        </w:tc>
        <w:tc>
          <w:tcPr>
            <w:tcW w:w="1306" w:type="dxa"/>
            <w:vAlign w:val="top"/>
          </w:tcPr>
          <w:p w14:paraId="20627399">
            <w:pPr>
              <w:rPr>
                <w:rFonts w:hint="eastAsia" w:ascii="宋体" w:hAnsi="宋体" w:eastAsia="宋体" w:cs="宋体"/>
                <w:color w:val="auto"/>
                <w:sz w:val="21"/>
                <w:highlight w:val="none"/>
              </w:rPr>
            </w:pPr>
          </w:p>
        </w:tc>
        <w:tc>
          <w:tcPr>
            <w:tcW w:w="1950" w:type="dxa"/>
            <w:vAlign w:val="top"/>
          </w:tcPr>
          <w:p w14:paraId="542FC412">
            <w:pPr>
              <w:rPr>
                <w:rFonts w:hint="eastAsia" w:ascii="宋体" w:hAnsi="宋体" w:eastAsia="宋体" w:cs="宋体"/>
                <w:color w:val="auto"/>
                <w:sz w:val="21"/>
                <w:highlight w:val="none"/>
              </w:rPr>
            </w:pPr>
          </w:p>
        </w:tc>
      </w:tr>
      <w:tr w14:paraId="7C8D55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6" w:hRule="atLeast"/>
        </w:trPr>
        <w:tc>
          <w:tcPr>
            <w:tcW w:w="938" w:type="dxa"/>
            <w:vAlign w:val="top"/>
          </w:tcPr>
          <w:p w14:paraId="3B9790C1">
            <w:pPr>
              <w:rPr>
                <w:rFonts w:hint="eastAsia" w:ascii="宋体" w:hAnsi="宋体" w:eastAsia="宋体" w:cs="宋体"/>
                <w:color w:val="auto"/>
                <w:sz w:val="21"/>
                <w:highlight w:val="none"/>
              </w:rPr>
            </w:pPr>
          </w:p>
        </w:tc>
        <w:tc>
          <w:tcPr>
            <w:tcW w:w="926" w:type="dxa"/>
            <w:vAlign w:val="top"/>
          </w:tcPr>
          <w:p w14:paraId="28508C14">
            <w:pPr>
              <w:rPr>
                <w:rFonts w:hint="eastAsia" w:ascii="宋体" w:hAnsi="宋体" w:eastAsia="宋体" w:cs="宋体"/>
                <w:color w:val="auto"/>
                <w:sz w:val="21"/>
                <w:highlight w:val="none"/>
              </w:rPr>
            </w:pPr>
          </w:p>
        </w:tc>
        <w:tc>
          <w:tcPr>
            <w:tcW w:w="2681" w:type="dxa"/>
            <w:vAlign w:val="top"/>
          </w:tcPr>
          <w:p w14:paraId="0C7113F3">
            <w:pPr>
              <w:rPr>
                <w:rFonts w:hint="eastAsia" w:ascii="宋体" w:hAnsi="宋体" w:eastAsia="宋体" w:cs="宋体"/>
                <w:color w:val="auto"/>
                <w:sz w:val="21"/>
                <w:highlight w:val="none"/>
              </w:rPr>
            </w:pPr>
          </w:p>
        </w:tc>
        <w:tc>
          <w:tcPr>
            <w:tcW w:w="1102" w:type="dxa"/>
            <w:vAlign w:val="top"/>
          </w:tcPr>
          <w:p w14:paraId="6F413E33">
            <w:pPr>
              <w:rPr>
                <w:rFonts w:hint="eastAsia" w:ascii="宋体" w:hAnsi="宋体" w:eastAsia="宋体" w:cs="宋体"/>
                <w:color w:val="auto"/>
                <w:sz w:val="21"/>
                <w:highlight w:val="none"/>
              </w:rPr>
            </w:pPr>
          </w:p>
        </w:tc>
        <w:tc>
          <w:tcPr>
            <w:tcW w:w="1306" w:type="dxa"/>
            <w:vAlign w:val="top"/>
          </w:tcPr>
          <w:p w14:paraId="0FD640DD">
            <w:pPr>
              <w:rPr>
                <w:rFonts w:hint="eastAsia" w:ascii="宋体" w:hAnsi="宋体" w:eastAsia="宋体" w:cs="宋体"/>
                <w:color w:val="auto"/>
                <w:sz w:val="21"/>
                <w:highlight w:val="none"/>
              </w:rPr>
            </w:pPr>
          </w:p>
        </w:tc>
        <w:tc>
          <w:tcPr>
            <w:tcW w:w="1950" w:type="dxa"/>
            <w:vAlign w:val="top"/>
          </w:tcPr>
          <w:p w14:paraId="27C218D6">
            <w:pPr>
              <w:rPr>
                <w:rFonts w:hint="eastAsia" w:ascii="宋体" w:hAnsi="宋体" w:eastAsia="宋体" w:cs="宋体"/>
                <w:color w:val="auto"/>
                <w:sz w:val="21"/>
                <w:highlight w:val="none"/>
              </w:rPr>
            </w:pPr>
          </w:p>
        </w:tc>
      </w:tr>
      <w:tr w14:paraId="524A56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0" w:hRule="atLeast"/>
        </w:trPr>
        <w:tc>
          <w:tcPr>
            <w:tcW w:w="938" w:type="dxa"/>
            <w:vAlign w:val="top"/>
          </w:tcPr>
          <w:p w14:paraId="7F4D04B1">
            <w:pPr>
              <w:rPr>
                <w:rFonts w:hint="eastAsia" w:ascii="宋体" w:hAnsi="宋体" w:eastAsia="宋体" w:cs="宋体"/>
                <w:color w:val="auto"/>
                <w:sz w:val="21"/>
                <w:highlight w:val="none"/>
              </w:rPr>
            </w:pPr>
          </w:p>
        </w:tc>
        <w:tc>
          <w:tcPr>
            <w:tcW w:w="926" w:type="dxa"/>
            <w:vAlign w:val="top"/>
          </w:tcPr>
          <w:p w14:paraId="50E2412E">
            <w:pPr>
              <w:rPr>
                <w:rFonts w:hint="eastAsia" w:ascii="宋体" w:hAnsi="宋体" w:eastAsia="宋体" w:cs="宋体"/>
                <w:color w:val="auto"/>
                <w:sz w:val="21"/>
                <w:highlight w:val="none"/>
              </w:rPr>
            </w:pPr>
          </w:p>
        </w:tc>
        <w:tc>
          <w:tcPr>
            <w:tcW w:w="2681" w:type="dxa"/>
            <w:vAlign w:val="top"/>
          </w:tcPr>
          <w:p w14:paraId="10BBB39D">
            <w:pPr>
              <w:rPr>
                <w:rFonts w:hint="eastAsia" w:ascii="宋体" w:hAnsi="宋体" w:eastAsia="宋体" w:cs="宋体"/>
                <w:color w:val="auto"/>
                <w:sz w:val="21"/>
                <w:highlight w:val="none"/>
              </w:rPr>
            </w:pPr>
          </w:p>
        </w:tc>
        <w:tc>
          <w:tcPr>
            <w:tcW w:w="1102" w:type="dxa"/>
            <w:vAlign w:val="top"/>
          </w:tcPr>
          <w:p w14:paraId="511A9492">
            <w:pPr>
              <w:rPr>
                <w:rFonts w:hint="eastAsia" w:ascii="宋体" w:hAnsi="宋体" w:eastAsia="宋体" w:cs="宋体"/>
                <w:color w:val="auto"/>
                <w:sz w:val="21"/>
                <w:highlight w:val="none"/>
              </w:rPr>
            </w:pPr>
          </w:p>
        </w:tc>
        <w:tc>
          <w:tcPr>
            <w:tcW w:w="1306" w:type="dxa"/>
            <w:vAlign w:val="top"/>
          </w:tcPr>
          <w:p w14:paraId="2CF1AFDB">
            <w:pPr>
              <w:rPr>
                <w:rFonts w:hint="eastAsia" w:ascii="宋体" w:hAnsi="宋体" w:eastAsia="宋体" w:cs="宋体"/>
                <w:color w:val="auto"/>
                <w:sz w:val="21"/>
                <w:highlight w:val="none"/>
              </w:rPr>
            </w:pPr>
          </w:p>
        </w:tc>
        <w:tc>
          <w:tcPr>
            <w:tcW w:w="1950" w:type="dxa"/>
            <w:vAlign w:val="top"/>
          </w:tcPr>
          <w:p w14:paraId="1419C298">
            <w:pPr>
              <w:rPr>
                <w:rFonts w:hint="eastAsia" w:ascii="宋体" w:hAnsi="宋体" w:eastAsia="宋体" w:cs="宋体"/>
                <w:color w:val="auto"/>
                <w:sz w:val="21"/>
                <w:highlight w:val="none"/>
              </w:rPr>
            </w:pPr>
          </w:p>
        </w:tc>
      </w:tr>
      <w:tr w14:paraId="2C6460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0" w:hRule="atLeast"/>
        </w:trPr>
        <w:tc>
          <w:tcPr>
            <w:tcW w:w="938" w:type="dxa"/>
            <w:vAlign w:val="top"/>
          </w:tcPr>
          <w:p w14:paraId="45E782D0">
            <w:pPr>
              <w:rPr>
                <w:rFonts w:hint="eastAsia" w:ascii="宋体" w:hAnsi="宋体" w:eastAsia="宋体" w:cs="宋体"/>
                <w:color w:val="auto"/>
                <w:sz w:val="21"/>
                <w:highlight w:val="none"/>
              </w:rPr>
            </w:pPr>
          </w:p>
        </w:tc>
        <w:tc>
          <w:tcPr>
            <w:tcW w:w="926" w:type="dxa"/>
            <w:vAlign w:val="top"/>
          </w:tcPr>
          <w:p w14:paraId="6D66CCA9">
            <w:pPr>
              <w:rPr>
                <w:rFonts w:hint="eastAsia" w:ascii="宋体" w:hAnsi="宋体" w:eastAsia="宋体" w:cs="宋体"/>
                <w:color w:val="auto"/>
                <w:sz w:val="21"/>
                <w:highlight w:val="none"/>
              </w:rPr>
            </w:pPr>
          </w:p>
        </w:tc>
        <w:tc>
          <w:tcPr>
            <w:tcW w:w="2681" w:type="dxa"/>
            <w:vAlign w:val="top"/>
          </w:tcPr>
          <w:p w14:paraId="3D939BD3">
            <w:pPr>
              <w:rPr>
                <w:rFonts w:hint="eastAsia" w:ascii="宋体" w:hAnsi="宋体" w:eastAsia="宋体" w:cs="宋体"/>
                <w:color w:val="auto"/>
                <w:sz w:val="21"/>
                <w:highlight w:val="none"/>
              </w:rPr>
            </w:pPr>
          </w:p>
        </w:tc>
        <w:tc>
          <w:tcPr>
            <w:tcW w:w="1102" w:type="dxa"/>
            <w:vAlign w:val="top"/>
          </w:tcPr>
          <w:p w14:paraId="2F5C104A">
            <w:pPr>
              <w:rPr>
                <w:rFonts w:hint="eastAsia" w:ascii="宋体" w:hAnsi="宋体" w:eastAsia="宋体" w:cs="宋体"/>
                <w:color w:val="auto"/>
                <w:sz w:val="21"/>
                <w:highlight w:val="none"/>
              </w:rPr>
            </w:pPr>
          </w:p>
        </w:tc>
        <w:tc>
          <w:tcPr>
            <w:tcW w:w="1306" w:type="dxa"/>
            <w:vAlign w:val="top"/>
          </w:tcPr>
          <w:p w14:paraId="46AC0D53">
            <w:pPr>
              <w:rPr>
                <w:rFonts w:hint="eastAsia" w:ascii="宋体" w:hAnsi="宋体" w:eastAsia="宋体" w:cs="宋体"/>
                <w:color w:val="auto"/>
                <w:sz w:val="21"/>
                <w:highlight w:val="none"/>
              </w:rPr>
            </w:pPr>
          </w:p>
        </w:tc>
        <w:tc>
          <w:tcPr>
            <w:tcW w:w="1950" w:type="dxa"/>
            <w:vAlign w:val="top"/>
          </w:tcPr>
          <w:p w14:paraId="6F27532F">
            <w:pPr>
              <w:rPr>
                <w:rFonts w:hint="eastAsia" w:ascii="宋体" w:hAnsi="宋体" w:eastAsia="宋体" w:cs="宋体"/>
                <w:color w:val="auto"/>
                <w:sz w:val="21"/>
                <w:highlight w:val="none"/>
              </w:rPr>
            </w:pPr>
          </w:p>
        </w:tc>
      </w:tr>
      <w:tr w14:paraId="10D808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0" w:hRule="atLeast"/>
        </w:trPr>
        <w:tc>
          <w:tcPr>
            <w:tcW w:w="938" w:type="dxa"/>
            <w:vAlign w:val="top"/>
          </w:tcPr>
          <w:p w14:paraId="1A63D863">
            <w:pPr>
              <w:rPr>
                <w:rFonts w:hint="eastAsia" w:ascii="宋体" w:hAnsi="宋体" w:eastAsia="宋体" w:cs="宋体"/>
                <w:color w:val="auto"/>
                <w:sz w:val="21"/>
                <w:highlight w:val="none"/>
              </w:rPr>
            </w:pPr>
          </w:p>
        </w:tc>
        <w:tc>
          <w:tcPr>
            <w:tcW w:w="926" w:type="dxa"/>
            <w:vAlign w:val="top"/>
          </w:tcPr>
          <w:p w14:paraId="5DF9C3D6">
            <w:pPr>
              <w:rPr>
                <w:rFonts w:hint="eastAsia" w:ascii="宋体" w:hAnsi="宋体" w:eastAsia="宋体" w:cs="宋体"/>
                <w:color w:val="auto"/>
                <w:sz w:val="21"/>
                <w:highlight w:val="none"/>
              </w:rPr>
            </w:pPr>
          </w:p>
        </w:tc>
        <w:tc>
          <w:tcPr>
            <w:tcW w:w="2681" w:type="dxa"/>
            <w:vAlign w:val="top"/>
          </w:tcPr>
          <w:p w14:paraId="594507F1">
            <w:pPr>
              <w:rPr>
                <w:rFonts w:hint="eastAsia" w:ascii="宋体" w:hAnsi="宋体" w:eastAsia="宋体" w:cs="宋体"/>
                <w:color w:val="auto"/>
                <w:sz w:val="21"/>
                <w:highlight w:val="none"/>
              </w:rPr>
            </w:pPr>
          </w:p>
        </w:tc>
        <w:tc>
          <w:tcPr>
            <w:tcW w:w="1102" w:type="dxa"/>
            <w:vAlign w:val="top"/>
          </w:tcPr>
          <w:p w14:paraId="67B8AE29">
            <w:pPr>
              <w:rPr>
                <w:rFonts w:hint="eastAsia" w:ascii="宋体" w:hAnsi="宋体" w:eastAsia="宋体" w:cs="宋体"/>
                <w:color w:val="auto"/>
                <w:sz w:val="21"/>
                <w:highlight w:val="none"/>
              </w:rPr>
            </w:pPr>
          </w:p>
        </w:tc>
        <w:tc>
          <w:tcPr>
            <w:tcW w:w="1306" w:type="dxa"/>
            <w:vAlign w:val="top"/>
          </w:tcPr>
          <w:p w14:paraId="3E2CDC7F">
            <w:pPr>
              <w:rPr>
                <w:rFonts w:hint="eastAsia" w:ascii="宋体" w:hAnsi="宋体" w:eastAsia="宋体" w:cs="宋体"/>
                <w:color w:val="auto"/>
                <w:sz w:val="21"/>
                <w:highlight w:val="none"/>
              </w:rPr>
            </w:pPr>
          </w:p>
        </w:tc>
        <w:tc>
          <w:tcPr>
            <w:tcW w:w="1950" w:type="dxa"/>
            <w:vAlign w:val="top"/>
          </w:tcPr>
          <w:p w14:paraId="269DC380">
            <w:pPr>
              <w:rPr>
                <w:rFonts w:hint="eastAsia" w:ascii="宋体" w:hAnsi="宋体" w:eastAsia="宋体" w:cs="宋体"/>
                <w:color w:val="auto"/>
                <w:sz w:val="21"/>
                <w:highlight w:val="none"/>
              </w:rPr>
            </w:pPr>
          </w:p>
        </w:tc>
      </w:tr>
      <w:tr w14:paraId="7C5DB6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2" w:hRule="atLeast"/>
        </w:trPr>
        <w:tc>
          <w:tcPr>
            <w:tcW w:w="938" w:type="dxa"/>
            <w:vAlign w:val="top"/>
          </w:tcPr>
          <w:p w14:paraId="269F6C7F">
            <w:pPr>
              <w:rPr>
                <w:rFonts w:hint="eastAsia" w:ascii="宋体" w:hAnsi="宋体" w:eastAsia="宋体" w:cs="宋体"/>
                <w:color w:val="auto"/>
                <w:sz w:val="21"/>
                <w:highlight w:val="none"/>
              </w:rPr>
            </w:pPr>
          </w:p>
        </w:tc>
        <w:tc>
          <w:tcPr>
            <w:tcW w:w="926" w:type="dxa"/>
            <w:vAlign w:val="top"/>
          </w:tcPr>
          <w:p w14:paraId="31201EDF">
            <w:pPr>
              <w:rPr>
                <w:rFonts w:hint="eastAsia" w:ascii="宋体" w:hAnsi="宋体" w:eastAsia="宋体" w:cs="宋体"/>
                <w:color w:val="auto"/>
                <w:sz w:val="21"/>
                <w:highlight w:val="none"/>
              </w:rPr>
            </w:pPr>
          </w:p>
        </w:tc>
        <w:tc>
          <w:tcPr>
            <w:tcW w:w="2681" w:type="dxa"/>
            <w:vAlign w:val="top"/>
          </w:tcPr>
          <w:p w14:paraId="29E3AFB6">
            <w:pPr>
              <w:rPr>
                <w:rFonts w:hint="eastAsia" w:ascii="宋体" w:hAnsi="宋体" w:eastAsia="宋体" w:cs="宋体"/>
                <w:color w:val="auto"/>
                <w:sz w:val="21"/>
                <w:highlight w:val="none"/>
              </w:rPr>
            </w:pPr>
          </w:p>
        </w:tc>
        <w:tc>
          <w:tcPr>
            <w:tcW w:w="1102" w:type="dxa"/>
            <w:vAlign w:val="top"/>
          </w:tcPr>
          <w:p w14:paraId="1CBDA731">
            <w:pPr>
              <w:rPr>
                <w:rFonts w:hint="eastAsia" w:ascii="宋体" w:hAnsi="宋体" w:eastAsia="宋体" w:cs="宋体"/>
                <w:color w:val="auto"/>
                <w:sz w:val="21"/>
                <w:highlight w:val="none"/>
              </w:rPr>
            </w:pPr>
          </w:p>
        </w:tc>
        <w:tc>
          <w:tcPr>
            <w:tcW w:w="1306" w:type="dxa"/>
            <w:vAlign w:val="top"/>
          </w:tcPr>
          <w:p w14:paraId="62E9BD05">
            <w:pPr>
              <w:rPr>
                <w:rFonts w:hint="eastAsia" w:ascii="宋体" w:hAnsi="宋体" w:eastAsia="宋体" w:cs="宋体"/>
                <w:color w:val="auto"/>
                <w:sz w:val="21"/>
                <w:highlight w:val="none"/>
              </w:rPr>
            </w:pPr>
          </w:p>
        </w:tc>
        <w:tc>
          <w:tcPr>
            <w:tcW w:w="1950" w:type="dxa"/>
            <w:vAlign w:val="top"/>
          </w:tcPr>
          <w:p w14:paraId="67959369">
            <w:pPr>
              <w:rPr>
                <w:rFonts w:hint="eastAsia" w:ascii="宋体" w:hAnsi="宋体" w:eastAsia="宋体" w:cs="宋体"/>
                <w:color w:val="auto"/>
                <w:sz w:val="21"/>
                <w:highlight w:val="none"/>
              </w:rPr>
            </w:pPr>
          </w:p>
        </w:tc>
      </w:tr>
      <w:tr w14:paraId="6BBF41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0" w:hRule="atLeast"/>
        </w:trPr>
        <w:tc>
          <w:tcPr>
            <w:tcW w:w="938" w:type="dxa"/>
            <w:vAlign w:val="top"/>
          </w:tcPr>
          <w:p w14:paraId="1FA61B4C">
            <w:pPr>
              <w:rPr>
                <w:rFonts w:hint="eastAsia" w:ascii="宋体" w:hAnsi="宋体" w:eastAsia="宋体" w:cs="宋体"/>
                <w:color w:val="auto"/>
                <w:sz w:val="21"/>
                <w:highlight w:val="none"/>
              </w:rPr>
            </w:pPr>
          </w:p>
        </w:tc>
        <w:tc>
          <w:tcPr>
            <w:tcW w:w="926" w:type="dxa"/>
            <w:vAlign w:val="top"/>
          </w:tcPr>
          <w:p w14:paraId="65C91DF0">
            <w:pPr>
              <w:rPr>
                <w:rFonts w:hint="eastAsia" w:ascii="宋体" w:hAnsi="宋体" w:eastAsia="宋体" w:cs="宋体"/>
                <w:color w:val="auto"/>
                <w:sz w:val="21"/>
                <w:highlight w:val="none"/>
              </w:rPr>
            </w:pPr>
          </w:p>
        </w:tc>
        <w:tc>
          <w:tcPr>
            <w:tcW w:w="2681" w:type="dxa"/>
            <w:vAlign w:val="top"/>
          </w:tcPr>
          <w:p w14:paraId="1ECBEBFF">
            <w:pPr>
              <w:rPr>
                <w:rFonts w:hint="eastAsia" w:ascii="宋体" w:hAnsi="宋体" w:eastAsia="宋体" w:cs="宋体"/>
                <w:color w:val="auto"/>
                <w:sz w:val="21"/>
                <w:highlight w:val="none"/>
              </w:rPr>
            </w:pPr>
          </w:p>
        </w:tc>
        <w:tc>
          <w:tcPr>
            <w:tcW w:w="1102" w:type="dxa"/>
            <w:vAlign w:val="top"/>
          </w:tcPr>
          <w:p w14:paraId="0ED68A97">
            <w:pPr>
              <w:rPr>
                <w:rFonts w:hint="eastAsia" w:ascii="宋体" w:hAnsi="宋体" w:eastAsia="宋体" w:cs="宋体"/>
                <w:color w:val="auto"/>
                <w:sz w:val="21"/>
                <w:highlight w:val="none"/>
              </w:rPr>
            </w:pPr>
          </w:p>
        </w:tc>
        <w:tc>
          <w:tcPr>
            <w:tcW w:w="1306" w:type="dxa"/>
            <w:vAlign w:val="top"/>
          </w:tcPr>
          <w:p w14:paraId="53D511F7">
            <w:pPr>
              <w:rPr>
                <w:rFonts w:hint="eastAsia" w:ascii="宋体" w:hAnsi="宋体" w:eastAsia="宋体" w:cs="宋体"/>
                <w:color w:val="auto"/>
                <w:sz w:val="21"/>
                <w:highlight w:val="none"/>
              </w:rPr>
            </w:pPr>
          </w:p>
        </w:tc>
        <w:tc>
          <w:tcPr>
            <w:tcW w:w="1950" w:type="dxa"/>
            <w:vAlign w:val="top"/>
          </w:tcPr>
          <w:p w14:paraId="732963B0">
            <w:pPr>
              <w:rPr>
                <w:rFonts w:hint="eastAsia" w:ascii="宋体" w:hAnsi="宋体" w:eastAsia="宋体" w:cs="宋体"/>
                <w:color w:val="auto"/>
                <w:sz w:val="21"/>
                <w:highlight w:val="none"/>
              </w:rPr>
            </w:pPr>
          </w:p>
        </w:tc>
      </w:tr>
      <w:tr w14:paraId="0577E6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7" w:hRule="atLeast"/>
        </w:trPr>
        <w:tc>
          <w:tcPr>
            <w:tcW w:w="938" w:type="dxa"/>
            <w:vAlign w:val="top"/>
          </w:tcPr>
          <w:p w14:paraId="164C1AE4">
            <w:pPr>
              <w:rPr>
                <w:rFonts w:hint="eastAsia" w:ascii="宋体" w:hAnsi="宋体" w:eastAsia="宋体" w:cs="宋体"/>
                <w:color w:val="auto"/>
                <w:sz w:val="21"/>
                <w:highlight w:val="none"/>
              </w:rPr>
            </w:pPr>
          </w:p>
        </w:tc>
        <w:tc>
          <w:tcPr>
            <w:tcW w:w="926" w:type="dxa"/>
            <w:vAlign w:val="top"/>
          </w:tcPr>
          <w:p w14:paraId="6C64E517">
            <w:pPr>
              <w:rPr>
                <w:rFonts w:hint="eastAsia" w:ascii="宋体" w:hAnsi="宋体" w:eastAsia="宋体" w:cs="宋体"/>
                <w:color w:val="auto"/>
                <w:sz w:val="21"/>
                <w:highlight w:val="none"/>
              </w:rPr>
            </w:pPr>
          </w:p>
        </w:tc>
        <w:tc>
          <w:tcPr>
            <w:tcW w:w="2681" w:type="dxa"/>
            <w:vAlign w:val="top"/>
          </w:tcPr>
          <w:p w14:paraId="4D399776">
            <w:pPr>
              <w:rPr>
                <w:rFonts w:hint="eastAsia" w:ascii="宋体" w:hAnsi="宋体" w:eastAsia="宋体" w:cs="宋体"/>
                <w:color w:val="auto"/>
                <w:sz w:val="21"/>
                <w:highlight w:val="none"/>
              </w:rPr>
            </w:pPr>
          </w:p>
        </w:tc>
        <w:tc>
          <w:tcPr>
            <w:tcW w:w="1102" w:type="dxa"/>
            <w:vAlign w:val="top"/>
          </w:tcPr>
          <w:p w14:paraId="7E5DC675">
            <w:pPr>
              <w:rPr>
                <w:rFonts w:hint="eastAsia" w:ascii="宋体" w:hAnsi="宋体" w:eastAsia="宋体" w:cs="宋体"/>
                <w:color w:val="auto"/>
                <w:sz w:val="21"/>
                <w:highlight w:val="none"/>
              </w:rPr>
            </w:pPr>
          </w:p>
        </w:tc>
        <w:tc>
          <w:tcPr>
            <w:tcW w:w="1306" w:type="dxa"/>
            <w:vAlign w:val="top"/>
          </w:tcPr>
          <w:p w14:paraId="4CAA5CF8">
            <w:pPr>
              <w:rPr>
                <w:rFonts w:hint="eastAsia" w:ascii="宋体" w:hAnsi="宋体" w:eastAsia="宋体" w:cs="宋体"/>
                <w:color w:val="auto"/>
                <w:sz w:val="21"/>
                <w:highlight w:val="none"/>
              </w:rPr>
            </w:pPr>
          </w:p>
        </w:tc>
        <w:tc>
          <w:tcPr>
            <w:tcW w:w="1950" w:type="dxa"/>
            <w:vAlign w:val="top"/>
          </w:tcPr>
          <w:p w14:paraId="7690B8F3">
            <w:pPr>
              <w:rPr>
                <w:rFonts w:hint="eastAsia" w:ascii="宋体" w:hAnsi="宋体" w:eastAsia="宋体" w:cs="宋体"/>
                <w:color w:val="auto"/>
                <w:sz w:val="21"/>
                <w:highlight w:val="none"/>
              </w:rPr>
            </w:pPr>
          </w:p>
        </w:tc>
      </w:tr>
      <w:tr w14:paraId="21AEB4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6" w:hRule="atLeast"/>
        </w:trPr>
        <w:tc>
          <w:tcPr>
            <w:tcW w:w="938" w:type="dxa"/>
            <w:vAlign w:val="top"/>
          </w:tcPr>
          <w:p w14:paraId="135F255D">
            <w:pPr>
              <w:rPr>
                <w:rFonts w:hint="eastAsia" w:ascii="宋体" w:hAnsi="宋体" w:eastAsia="宋体" w:cs="宋体"/>
                <w:color w:val="auto"/>
                <w:sz w:val="21"/>
                <w:highlight w:val="none"/>
              </w:rPr>
            </w:pPr>
          </w:p>
        </w:tc>
        <w:tc>
          <w:tcPr>
            <w:tcW w:w="926" w:type="dxa"/>
            <w:vAlign w:val="top"/>
          </w:tcPr>
          <w:p w14:paraId="1ACF8768">
            <w:pPr>
              <w:rPr>
                <w:rFonts w:hint="eastAsia" w:ascii="宋体" w:hAnsi="宋体" w:eastAsia="宋体" w:cs="宋体"/>
                <w:color w:val="auto"/>
                <w:sz w:val="21"/>
                <w:highlight w:val="none"/>
              </w:rPr>
            </w:pPr>
          </w:p>
        </w:tc>
        <w:tc>
          <w:tcPr>
            <w:tcW w:w="2681" w:type="dxa"/>
            <w:vAlign w:val="top"/>
          </w:tcPr>
          <w:p w14:paraId="3B46DB05">
            <w:pPr>
              <w:rPr>
                <w:rFonts w:hint="eastAsia" w:ascii="宋体" w:hAnsi="宋体" w:eastAsia="宋体" w:cs="宋体"/>
                <w:color w:val="auto"/>
                <w:sz w:val="21"/>
                <w:highlight w:val="none"/>
              </w:rPr>
            </w:pPr>
          </w:p>
        </w:tc>
        <w:tc>
          <w:tcPr>
            <w:tcW w:w="1102" w:type="dxa"/>
            <w:vAlign w:val="top"/>
          </w:tcPr>
          <w:p w14:paraId="0FC06B28">
            <w:pPr>
              <w:rPr>
                <w:rFonts w:hint="eastAsia" w:ascii="宋体" w:hAnsi="宋体" w:eastAsia="宋体" w:cs="宋体"/>
                <w:color w:val="auto"/>
                <w:sz w:val="21"/>
                <w:highlight w:val="none"/>
              </w:rPr>
            </w:pPr>
          </w:p>
        </w:tc>
        <w:tc>
          <w:tcPr>
            <w:tcW w:w="1306" w:type="dxa"/>
            <w:vAlign w:val="top"/>
          </w:tcPr>
          <w:p w14:paraId="1547B0A2">
            <w:pPr>
              <w:rPr>
                <w:rFonts w:hint="eastAsia" w:ascii="宋体" w:hAnsi="宋体" w:eastAsia="宋体" w:cs="宋体"/>
                <w:color w:val="auto"/>
                <w:sz w:val="21"/>
                <w:highlight w:val="none"/>
              </w:rPr>
            </w:pPr>
          </w:p>
        </w:tc>
        <w:tc>
          <w:tcPr>
            <w:tcW w:w="1950" w:type="dxa"/>
            <w:vAlign w:val="top"/>
          </w:tcPr>
          <w:p w14:paraId="31234AAB">
            <w:pPr>
              <w:rPr>
                <w:rFonts w:hint="eastAsia" w:ascii="宋体" w:hAnsi="宋体" w:eastAsia="宋体" w:cs="宋体"/>
                <w:color w:val="auto"/>
                <w:sz w:val="21"/>
                <w:highlight w:val="none"/>
              </w:rPr>
            </w:pPr>
          </w:p>
        </w:tc>
      </w:tr>
    </w:tbl>
    <w:p w14:paraId="0AB8E02A">
      <w:pPr>
        <w:spacing w:before="159" w:line="227" w:lineRule="auto"/>
        <w:ind w:left="283"/>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注：本表填报的人员应满足招标文件第二章“投标人须知”前附表附录6的要求。</w:t>
      </w:r>
    </w:p>
    <w:p w14:paraId="70B41310">
      <w:pPr>
        <w:spacing w:line="227" w:lineRule="auto"/>
        <w:rPr>
          <w:rFonts w:hint="eastAsia" w:ascii="宋体" w:hAnsi="宋体" w:eastAsia="宋体" w:cs="宋体"/>
          <w:color w:val="auto"/>
          <w:sz w:val="20"/>
          <w:szCs w:val="20"/>
          <w:highlight w:val="none"/>
        </w:rPr>
        <w:sectPr>
          <w:headerReference r:id="rId283" w:type="default"/>
          <w:footerReference r:id="rId284" w:type="default"/>
          <w:pgSz w:w="11907" w:h="16840"/>
          <w:pgMar w:top="1182" w:right="1055" w:bottom="1014" w:left="1786" w:header="849" w:footer="852" w:gutter="0"/>
          <w:pgNumType w:fmt="decimal"/>
          <w:cols w:space="720" w:num="1"/>
        </w:sectPr>
      </w:pPr>
    </w:p>
    <w:p w14:paraId="6562FAFF">
      <w:pPr>
        <w:pStyle w:val="4"/>
        <w:rPr>
          <w:rFonts w:hint="eastAsia" w:ascii="宋体" w:hAnsi="宋体" w:eastAsia="宋体" w:cs="宋体"/>
          <w:color w:val="auto"/>
          <w:highlight w:val="none"/>
        </w:rPr>
      </w:pPr>
    </w:p>
    <w:p w14:paraId="61F4D59B">
      <w:pPr>
        <w:pStyle w:val="4"/>
        <w:spacing w:line="241" w:lineRule="auto"/>
        <w:rPr>
          <w:rFonts w:hint="eastAsia" w:ascii="宋体" w:hAnsi="宋体" w:eastAsia="宋体" w:cs="宋体"/>
          <w:color w:val="auto"/>
          <w:highlight w:val="none"/>
        </w:rPr>
      </w:pPr>
    </w:p>
    <w:p w14:paraId="66CEBC3F">
      <w:pPr>
        <w:spacing w:before="78" w:line="226" w:lineRule="auto"/>
        <w:ind w:left="2302"/>
        <w:outlineLvl w:val="2"/>
        <w:rPr>
          <w:rFonts w:hint="eastAsia" w:ascii="宋体" w:hAnsi="宋体" w:eastAsia="宋体" w:cs="宋体"/>
          <w:color w:val="auto"/>
          <w:sz w:val="12"/>
          <w:szCs w:val="12"/>
          <w:highlight w:val="none"/>
        </w:rPr>
      </w:pPr>
      <w:bookmarkStart w:id="975" w:name="_Toc2234"/>
      <w:bookmarkStart w:id="976" w:name="_Toc32028"/>
      <w:bookmarkStart w:id="977" w:name="_Toc24444"/>
      <w:bookmarkStart w:id="978" w:name="_Toc13640"/>
      <w:bookmarkStart w:id="979" w:name="_Toc12060"/>
      <w:r>
        <w:rPr>
          <w:rFonts w:hint="eastAsia" w:ascii="宋体" w:hAnsi="宋体" w:eastAsia="宋体" w:cs="宋体"/>
          <w:color w:val="auto"/>
          <w:spacing w:val="-2"/>
          <w:sz w:val="24"/>
          <w:szCs w:val="24"/>
          <w:highlight w:val="none"/>
        </w:rPr>
        <w:t>（八）拟委任的其他管理和技术人员资历表</w:t>
      </w:r>
      <w:r>
        <w:rPr>
          <w:rFonts w:hint="eastAsia" w:ascii="宋体" w:hAnsi="宋体" w:eastAsia="宋体" w:cs="宋体"/>
          <w:color w:val="auto"/>
          <w:spacing w:val="-2"/>
          <w:position w:val="10"/>
          <w:sz w:val="12"/>
          <w:szCs w:val="12"/>
          <w:highlight w:val="none"/>
        </w:rPr>
        <w:t>①</w:t>
      </w:r>
      <w:bookmarkEnd w:id="975"/>
      <w:bookmarkEnd w:id="976"/>
      <w:bookmarkEnd w:id="977"/>
      <w:bookmarkEnd w:id="978"/>
      <w:bookmarkEnd w:id="979"/>
    </w:p>
    <w:p w14:paraId="2201A898">
      <w:pPr>
        <w:spacing w:before="155"/>
        <w:rPr>
          <w:rFonts w:hint="eastAsia" w:ascii="宋体" w:hAnsi="宋体" w:eastAsia="宋体" w:cs="宋体"/>
          <w:color w:val="auto"/>
          <w:highlight w:val="none"/>
        </w:rPr>
      </w:pPr>
    </w:p>
    <w:tbl>
      <w:tblPr>
        <w:tblStyle w:val="24"/>
        <w:tblW w:w="8741" w:type="dxa"/>
        <w:tblInd w:w="23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65"/>
        <w:gridCol w:w="1376"/>
        <w:gridCol w:w="103"/>
        <w:gridCol w:w="1060"/>
        <w:gridCol w:w="1380"/>
        <w:gridCol w:w="339"/>
        <w:gridCol w:w="1543"/>
        <w:gridCol w:w="388"/>
        <w:gridCol w:w="1287"/>
      </w:tblGrid>
      <w:tr w14:paraId="1E184D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trPr>
        <w:tc>
          <w:tcPr>
            <w:tcW w:w="1265" w:type="dxa"/>
            <w:vAlign w:val="top"/>
          </w:tcPr>
          <w:p w14:paraId="57C5A836">
            <w:pPr>
              <w:pStyle w:val="25"/>
              <w:spacing w:before="224" w:line="220" w:lineRule="auto"/>
              <w:ind w:left="206"/>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姓名</w:t>
            </w:r>
          </w:p>
        </w:tc>
        <w:tc>
          <w:tcPr>
            <w:tcW w:w="1479" w:type="dxa"/>
            <w:gridSpan w:val="2"/>
            <w:vAlign w:val="top"/>
          </w:tcPr>
          <w:p w14:paraId="452CE53F">
            <w:pPr>
              <w:rPr>
                <w:rFonts w:hint="eastAsia" w:ascii="宋体" w:hAnsi="宋体" w:eastAsia="宋体" w:cs="宋体"/>
                <w:color w:val="auto"/>
                <w:sz w:val="21"/>
                <w:highlight w:val="none"/>
              </w:rPr>
            </w:pPr>
          </w:p>
        </w:tc>
        <w:tc>
          <w:tcPr>
            <w:tcW w:w="1060" w:type="dxa"/>
            <w:vAlign w:val="top"/>
          </w:tcPr>
          <w:p w14:paraId="7CD0500A">
            <w:pPr>
              <w:pStyle w:val="25"/>
              <w:spacing w:before="224" w:line="220" w:lineRule="auto"/>
              <w:ind w:left="117"/>
              <w:rPr>
                <w:rFonts w:hint="eastAsia" w:ascii="宋体" w:hAnsi="宋体" w:eastAsia="宋体" w:cs="宋体"/>
                <w:color w:val="auto"/>
                <w:sz w:val="22"/>
                <w:szCs w:val="22"/>
                <w:highlight w:val="none"/>
              </w:rPr>
            </w:pPr>
            <w:r>
              <w:rPr>
                <w:rFonts w:hint="eastAsia" w:ascii="宋体" w:hAnsi="宋体" w:eastAsia="宋体" w:cs="宋体"/>
                <w:color w:val="auto"/>
                <w:spacing w:val="-5"/>
                <w:sz w:val="22"/>
                <w:szCs w:val="22"/>
                <w:highlight w:val="none"/>
              </w:rPr>
              <w:t>年龄</w:t>
            </w:r>
          </w:p>
        </w:tc>
        <w:tc>
          <w:tcPr>
            <w:tcW w:w="1380" w:type="dxa"/>
            <w:vAlign w:val="top"/>
          </w:tcPr>
          <w:p w14:paraId="222395B2">
            <w:pPr>
              <w:rPr>
                <w:rFonts w:hint="eastAsia" w:ascii="宋体" w:hAnsi="宋体" w:eastAsia="宋体" w:cs="宋体"/>
                <w:color w:val="auto"/>
                <w:sz w:val="21"/>
                <w:highlight w:val="none"/>
              </w:rPr>
            </w:pPr>
          </w:p>
        </w:tc>
        <w:tc>
          <w:tcPr>
            <w:tcW w:w="1882" w:type="dxa"/>
            <w:gridSpan w:val="2"/>
            <w:vAlign w:val="top"/>
          </w:tcPr>
          <w:p w14:paraId="6148B785">
            <w:pPr>
              <w:pStyle w:val="25"/>
              <w:spacing w:before="224" w:line="221" w:lineRule="auto"/>
              <w:ind w:left="533"/>
              <w:rPr>
                <w:rFonts w:hint="eastAsia" w:ascii="宋体" w:hAnsi="宋体" w:eastAsia="宋体" w:cs="宋体"/>
                <w:color w:val="auto"/>
                <w:sz w:val="22"/>
                <w:szCs w:val="22"/>
                <w:highlight w:val="none"/>
              </w:rPr>
            </w:pPr>
            <w:r>
              <w:rPr>
                <w:rFonts w:hint="eastAsia" w:ascii="宋体" w:hAnsi="宋体" w:eastAsia="宋体" w:cs="宋体"/>
                <w:color w:val="auto"/>
                <w:spacing w:val="-5"/>
                <w:sz w:val="22"/>
                <w:szCs w:val="22"/>
                <w:highlight w:val="none"/>
              </w:rPr>
              <w:t>专业</w:t>
            </w:r>
          </w:p>
        </w:tc>
        <w:tc>
          <w:tcPr>
            <w:tcW w:w="1675" w:type="dxa"/>
            <w:gridSpan w:val="2"/>
            <w:vAlign w:val="top"/>
          </w:tcPr>
          <w:p w14:paraId="3123EF58">
            <w:pPr>
              <w:rPr>
                <w:rFonts w:hint="eastAsia" w:ascii="宋体" w:hAnsi="宋体" w:eastAsia="宋体" w:cs="宋体"/>
                <w:color w:val="auto"/>
                <w:sz w:val="21"/>
                <w:highlight w:val="none"/>
              </w:rPr>
            </w:pPr>
          </w:p>
        </w:tc>
      </w:tr>
      <w:tr w14:paraId="37B9AA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12" w:hRule="atLeast"/>
        </w:trPr>
        <w:tc>
          <w:tcPr>
            <w:tcW w:w="1265" w:type="dxa"/>
            <w:vAlign w:val="top"/>
          </w:tcPr>
          <w:p w14:paraId="2CFBBFE5">
            <w:pPr>
              <w:spacing w:line="377" w:lineRule="auto"/>
              <w:rPr>
                <w:rFonts w:hint="eastAsia" w:ascii="宋体" w:hAnsi="宋体" w:eastAsia="宋体" w:cs="宋体"/>
                <w:color w:val="auto"/>
                <w:sz w:val="21"/>
                <w:highlight w:val="none"/>
              </w:rPr>
            </w:pPr>
          </w:p>
          <w:p w14:paraId="3D5FBA4D">
            <w:pPr>
              <w:pStyle w:val="25"/>
              <w:spacing w:before="72" w:line="220" w:lineRule="auto"/>
              <w:ind w:left="192"/>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技术职称</w:t>
            </w:r>
          </w:p>
        </w:tc>
        <w:tc>
          <w:tcPr>
            <w:tcW w:w="1479" w:type="dxa"/>
            <w:gridSpan w:val="2"/>
            <w:vAlign w:val="top"/>
          </w:tcPr>
          <w:p w14:paraId="2DB852FD">
            <w:pPr>
              <w:rPr>
                <w:rFonts w:hint="eastAsia" w:ascii="宋体" w:hAnsi="宋体" w:eastAsia="宋体" w:cs="宋体"/>
                <w:color w:val="auto"/>
                <w:sz w:val="21"/>
                <w:highlight w:val="none"/>
              </w:rPr>
            </w:pPr>
          </w:p>
        </w:tc>
        <w:tc>
          <w:tcPr>
            <w:tcW w:w="1060" w:type="dxa"/>
            <w:vAlign w:val="top"/>
          </w:tcPr>
          <w:p w14:paraId="525B66F5">
            <w:pPr>
              <w:spacing w:line="377" w:lineRule="auto"/>
              <w:rPr>
                <w:rFonts w:hint="eastAsia" w:ascii="宋体" w:hAnsi="宋体" w:eastAsia="宋体" w:cs="宋体"/>
                <w:color w:val="auto"/>
                <w:sz w:val="21"/>
                <w:highlight w:val="none"/>
              </w:rPr>
            </w:pPr>
          </w:p>
          <w:p w14:paraId="521FA99E">
            <w:pPr>
              <w:pStyle w:val="25"/>
              <w:spacing w:before="71" w:line="222" w:lineRule="auto"/>
              <w:ind w:left="121"/>
              <w:rPr>
                <w:rFonts w:hint="eastAsia" w:ascii="宋体" w:hAnsi="宋体" w:eastAsia="宋体" w:cs="宋体"/>
                <w:color w:val="auto"/>
                <w:sz w:val="22"/>
                <w:szCs w:val="22"/>
                <w:highlight w:val="none"/>
              </w:rPr>
            </w:pPr>
            <w:r>
              <w:rPr>
                <w:rFonts w:hint="eastAsia" w:ascii="宋体" w:hAnsi="宋体" w:eastAsia="宋体" w:cs="宋体"/>
                <w:color w:val="auto"/>
                <w:spacing w:val="-7"/>
                <w:sz w:val="22"/>
                <w:szCs w:val="22"/>
                <w:highlight w:val="none"/>
              </w:rPr>
              <w:t>学历</w:t>
            </w:r>
          </w:p>
        </w:tc>
        <w:tc>
          <w:tcPr>
            <w:tcW w:w="1380" w:type="dxa"/>
            <w:vAlign w:val="top"/>
          </w:tcPr>
          <w:p w14:paraId="4CFAB7D6">
            <w:pPr>
              <w:rPr>
                <w:rFonts w:hint="eastAsia" w:ascii="宋体" w:hAnsi="宋体" w:eastAsia="宋体" w:cs="宋体"/>
                <w:color w:val="auto"/>
                <w:sz w:val="21"/>
                <w:highlight w:val="none"/>
              </w:rPr>
            </w:pPr>
          </w:p>
        </w:tc>
        <w:tc>
          <w:tcPr>
            <w:tcW w:w="1882" w:type="dxa"/>
            <w:gridSpan w:val="2"/>
            <w:vAlign w:val="top"/>
          </w:tcPr>
          <w:p w14:paraId="13E9BDDF">
            <w:pPr>
              <w:pStyle w:val="25"/>
              <w:spacing w:before="209" w:line="219" w:lineRule="auto"/>
              <w:ind w:left="427"/>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拟在本标</w:t>
            </w:r>
          </w:p>
          <w:p w14:paraId="62A38649">
            <w:pPr>
              <w:pStyle w:val="25"/>
              <w:spacing w:before="197" w:line="220" w:lineRule="auto"/>
              <w:ind w:left="533"/>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段工程任</w:t>
            </w:r>
          </w:p>
          <w:p w14:paraId="21697921">
            <w:pPr>
              <w:pStyle w:val="25"/>
              <w:spacing w:before="198" w:line="224" w:lineRule="auto"/>
              <w:ind w:left="533"/>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职</w:t>
            </w:r>
          </w:p>
        </w:tc>
        <w:tc>
          <w:tcPr>
            <w:tcW w:w="1675" w:type="dxa"/>
            <w:gridSpan w:val="2"/>
            <w:vAlign w:val="top"/>
          </w:tcPr>
          <w:p w14:paraId="23BDF5A2">
            <w:pPr>
              <w:rPr>
                <w:rFonts w:hint="eastAsia" w:ascii="宋体" w:hAnsi="宋体" w:eastAsia="宋体" w:cs="宋体"/>
                <w:color w:val="auto"/>
                <w:sz w:val="21"/>
                <w:highlight w:val="none"/>
              </w:rPr>
            </w:pPr>
          </w:p>
        </w:tc>
      </w:tr>
      <w:tr w14:paraId="5C21D4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265" w:type="dxa"/>
            <w:vAlign w:val="top"/>
          </w:tcPr>
          <w:p w14:paraId="7A9D61AD">
            <w:pPr>
              <w:pStyle w:val="25"/>
              <w:spacing w:before="222" w:line="220" w:lineRule="auto"/>
              <w:ind w:left="194"/>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工作年限</w:t>
            </w:r>
          </w:p>
        </w:tc>
        <w:tc>
          <w:tcPr>
            <w:tcW w:w="3919" w:type="dxa"/>
            <w:gridSpan w:val="4"/>
            <w:vAlign w:val="top"/>
          </w:tcPr>
          <w:p w14:paraId="01766800">
            <w:pPr>
              <w:rPr>
                <w:rFonts w:hint="eastAsia" w:ascii="宋体" w:hAnsi="宋体" w:eastAsia="宋体" w:cs="宋体"/>
                <w:color w:val="auto"/>
                <w:sz w:val="21"/>
                <w:highlight w:val="none"/>
              </w:rPr>
            </w:pPr>
          </w:p>
        </w:tc>
        <w:tc>
          <w:tcPr>
            <w:tcW w:w="1882" w:type="dxa"/>
            <w:gridSpan w:val="2"/>
            <w:vAlign w:val="top"/>
          </w:tcPr>
          <w:p w14:paraId="39E3F82F">
            <w:pPr>
              <w:pStyle w:val="25"/>
              <w:spacing w:before="222" w:line="220" w:lineRule="auto"/>
              <w:ind w:right="11"/>
              <w:jc w:val="right"/>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类似施工经验年限</w:t>
            </w:r>
          </w:p>
        </w:tc>
        <w:tc>
          <w:tcPr>
            <w:tcW w:w="1675" w:type="dxa"/>
            <w:gridSpan w:val="2"/>
            <w:vAlign w:val="top"/>
          </w:tcPr>
          <w:p w14:paraId="194EDF9C">
            <w:pPr>
              <w:rPr>
                <w:rFonts w:hint="eastAsia" w:ascii="宋体" w:hAnsi="宋体" w:eastAsia="宋体" w:cs="宋体"/>
                <w:color w:val="auto"/>
                <w:sz w:val="21"/>
                <w:highlight w:val="none"/>
              </w:rPr>
            </w:pPr>
          </w:p>
        </w:tc>
      </w:tr>
      <w:tr w14:paraId="6086EE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1265" w:type="dxa"/>
            <w:vAlign w:val="top"/>
          </w:tcPr>
          <w:p w14:paraId="3E0F050F">
            <w:pPr>
              <w:pStyle w:val="25"/>
              <w:spacing w:before="225" w:line="220" w:lineRule="auto"/>
              <w:ind w:left="196"/>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毕业学校</w:t>
            </w:r>
          </w:p>
        </w:tc>
        <w:tc>
          <w:tcPr>
            <w:tcW w:w="7476" w:type="dxa"/>
            <w:gridSpan w:val="8"/>
            <w:vAlign w:val="top"/>
          </w:tcPr>
          <w:p w14:paraId="5184D9D5">
            <w:pPr>
              <w:pStyle w:val="25"/>
              <w:tabs>
                <w:tab w:val="left" w:pos="530"/>
              </w:tabs>
              <w:spacing w:before="222" w:line="220" w:lineRule="auto"/>
              <w:ind w:left="4"/>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u w:val="single" w:color="auto"/>
              </w:rPr>
              <w:tab/>
            </w:r>
            <w:r>
              <w:rPr>
                <w:rFonts w:hint="eastAsia" w:ascii="宋体" w:hAnsi="宋体" w:eastAsia="宋体" w:cs="宋体"/>
                <w:color w:val="auto"/>
                <w:spacing w:val="-3"/>
                <w:sz w:val="22"/>
                <w:szCs w:val="22"/>
                <w:highlight w:val="none"/>
              </w:rPr>
              <w:t>年月毕业于学校专业，学制年</w:t>
            </w:r>
          </w:p>
        </w:tc>
      </w:tr>
      <w:tr w14:paraId="6467FC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8741" w:type="dxa"/>
            <w:gridSpan w:val="9"/>
            <w:vAlign w:val="top"/>
          </w:tcPr>
          <w:p w14:paraId="13F7CF7B">
            <w:pPr>
              <w:pStyle w:val="25"/>
              <w:spacing w:before="221" w:line="223" w:lineRule="auto"/>
              <w:ind w:left="3695"/>
              <w:rPr>
                <w:rFonts w:hint="eastAsia" w:ascii="宋体" w:hAnsi="宋体" w:eastAsia="宋体" w:cs="宋体"/>
                <w:color w:val="auto"/>
                <w:sz w:val="22"/>
                <w:szCs w:val="22"/>
                <w:highlight w:val="none"/>
              </w:rPr>
            </w:pPr>
            <w:r>
              <w:rPr>
                <w:rFonts w:hint="eastAsia" w:ascii="宋体" w:hAnsi="宋体" w:eastAsia="宋体" w:cs="宋体"/>
                <w:color w:val="auto"/>
                <w:spacing w:val="-5"/>
                <w:sz w:val="22"/>
                <w:szCs w:val="22"/>
                <w:highlight w:val="none"/>
              </w:rPr>
              <w:t>经历</w:t>
            </w:r>
          </w:p>
        </w:tc>
      </w:tr>
      <w:tr w14:paraId="31A9CB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9" w:hRule="atLeast"/>
        </w:trPr>
        <w:tc>
          <w:tcPr>
            <w:tcW w:w="1265" w:type="dxa"/>
            <w:vAlign w:val="top"/>
          </w:tcPr>
          <w:p w14:paraId="0E7FCAC0">
            <w:pPr>
              <w:spacing w:line="352" w:lineRule="auto"/>
              <w:rPr>
                <w:rFonts w:hint="eastAsia" w:ascii="宋体" w:hAnsi="宋体" w:eastAsia="宋体" w:cs="宋体"/>
                <w:color w:val="auto"/>
                <w:sz w:val="21"/>
                <w:highlight w:val="none"/>
              </w:rPr>
            </w:pPr>
          </w:p>
          <w:p w14:paraId="51538F08">
            <w:pPr>
              <w:pStyle w:val="25"/>
              <w:spacing w:before="72" w:line="222" w:lineRule="auto"/>
              <w:ind w:left="343"/>
              <w:rPr>
                <w:rFonts w:hint="eastAsia" w:ascii="宋体" w:hAnsi="宋体" w:eastAsia="宋体" w:cs="宋体"/>
                <w:color w:val="auto"/>
                <w:sz w:val="22"/>
                <w:szCs w:val="22"/>
                <w:highlight w:val="none"/>
              </w:rPr>
            </w:pPr>
            <w:r>
              <w:rPr>
                <w:rFonts w:hint="eastAsia" w:ascii="宋体" w:hAnsi="宋体" w:eastAsia="宋体" w:cs="宋体"/>
                <w:color w:val="auto"/>
                <w:spacing w:val="-10"/>
                <w:sz w:val="22"/>
                <w:szCs w:val="22"/>
                <w:highlight w:val="none"/>
              </w:rPr>
              <w:t>时间</w:t>
            </w:r>
          </w:p>
        </w:tc>
        <w:tc>
          <w:tcPr>
            <w:tcW w:w="4258" w:type="dxa"/>
            <w:gridSpan w:val="5"/>
            <w:vAlign w:val="top"/>
          </w:tcPr>
          <w:p w14:paraId="6140DA38">
            <w:pPr>
              <w:spacing w:line="352" w:lineRule="auto"/>
              <w:rPr>
                <w:rFonts w:hint="eastAsia" w:ascii="宋体" w:hAnsi="宋体" w:eastAsia="宋体" w:cs="宋体"/>
                <w:color w:val="auto"/>
                <w:sz w:val="21"/>
                <w:highlight w:val="none"/>
              </w:rPr>
            </w:pPr>
          </w:p>
          <w:p w14:paraId="7C38DAB9">
            <w:pPr>
              <w:pStyle w:val="25"/>
              <w:spacing w:before="71" w:line="220" w:lineRule="auto"/>
              <w:ind w:left="886"/>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参加过的类似工程项目名称</w:t>
            </w:r>
          </w:p>
        </w:tc>
        <w:tc>
          <w:tcPr>
            <w:tcW w:w="1931" w:type="dxa"/>
            <w:gridSpan w:val="2"/>
            <w:vAlign w:val="top"/>
          </w:tcPr>
          <w:p w14:paraId="6C009388">
            <w:pPr>
              <w:spacing w:line="352" w:lineRule="auto"/>
              <w:rPr>
                <w:rFonts w:hint="eastAsia" w:ascii="宋体" w:hAnsi="宋体" w:eastAsia="宋体" w:cs="宋体"/>
                <w:color w:val="auto"/>
                <w:sz w:val="21"/>
                <w:highlight w:val="none"/>
              </w:rPr>
            </w:pPr>
          </w:p>
          <w:p w14:paraId="665E79F9">
            <w:pPr>
              <w:pStyle w:val="25"/>
              <w:spacing w:before="71" w:line="220" w:lineRule="auto"/>
              <w:ind w:left="554"/>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担任职务</w:t>
            </w:r>
          </w:p>
        </w:tc>
        <w:tc>
          <w:tcPr>
            <w:tcW w:w="1287" w:type="dxa"/>
            <w:vAlign w:val="top"/>
          </w:tcPr>
          <w:p w14:paraId="4D59D99B">
            <w:pPr>
              <w:pStyle w:val="25"/>
              <w:spacing w:before="205" w:line="292" w:lineRule="auto"/>
              <w:ind w:left="333" w:right="289" w:hanging="210"/>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发包人及联系电</w:t>
            </w:r>
            <w:r>
              <w:rPr>
                <w:rFonts w:hint="eastAsia" w:ascii="宋体" w:hAnsi="宋体" w:eastAsia="宋体" w:cs="宋体"/>
                <w:color w:val="auto"/>
                <w:sz w:val="22"/>
                <w:szCs w:val="22"/>
                <w:highlight w:val="none"/>
              </w:rPr>
              <w:t>话</w:t>
            </w:r>
          </w:p>
        </w:tc>
      </w:tr>
      <w:tr w14:paraId="634F54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trPr>
        <w:tc>
          <w:tcPr>
            <w:tcW w:w="1265" w:type="dxa"/>
            <w:vAlign w:val="top"/>
          </w:tcPr>
          <w:p w14:paraId="172F05BF">
            <w:pPr>
              <w:rPr>
                <w:rFonts w:hint="eastAsia" w:ascii="宋体" w:hAnsi="宋体" w:eastAsia="宋体" w:cs="宋体"/>
                <w:color w:val="auto"/>
                <w:sz w:val="21"/>
                <w:highlight w:val="none"/>
              </w:rPr>
            </w:pPr>
          </w:p>
        </w:tc>
        <w:tc>
          <w:tcPr>
            <w:tcW w:w="4258" w:type="dxa"/>
            <w:gridSpan w:val="5"/>
            <w:vAlign w:val="top"/>
          </w:tcPr>
          <w:p w14:paraId="6D45B3EE">
            <w:pPr>
              <w:rPr>
                <w:rFonts w:hint="eastAsia" w:ascii="宋体" w:hAnsi="宋体" w:eastAsia="宋体" w:cs="宋体"/>
                <w:color w:val="auto"/>
                <w:sz w:val="21"/>
                <w:highlight w:val="none"/>
              </w:rPr>
            </w:pPr>
          </w:p>
        </w:tc>
        <w:tc>
          <w:tcPr>
            <w:tcW w:w="1931" w:type="dxa"/>
            <w:gridSpan w:val="2"/>
            <w:vAlign w:val="top"/>
          </w:tcPr>
          <w:p w14:paraId="60F40E57">
            <w:pPr>
              <w:rPr>
                <w:rFonts w:hint="eastAsia" w:ascii="宋体" w:hAnsi="宋体" w:eastAsia="宋体" w:cs="宋体"/>
                <w:color w:val="auto"/>
                <w:sz w:val="21"/>
                <w:highlight w:val="none"/>
              </w:rPr>
            </w:pPr>
          </w:p>
        </w:tc>
        <w:tc>
          <w:tcPr>
            <w:tcW w:w="1287" w:type="dxa"/>
            <w:vAlign w:val="top"/>
          </w:tcPr>
          <w:p w14:paraId="288EC8AF">
            <w:pPr>
              <w:rPr>
                <w:rFonts w:hint="eastAsia" w:ascii="宋体" w:hAnsi="宋体" w:eastAsia="宋体" w:cs="宋体"/>
                <w:color w:val="auto"/>
                <w:sz w:val="21"/>
                <w:highlight w:val="none"/>
              </w:rPr>
            </w:pPr>
          </w:p>
        </w:tc>
      </w:tr>
      <w:tr w14:paraId="4A87EB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265" w:type="dxa"/>
            <w:vAlign w:val="top"/>
          </w:tcPr>
          <w:p w14:paraId="1156F6C3">
            <w:pPr>
              <w:rPr>
                <w:rFonts w:hint="eastAsia" w:ascii="宋体" w:hAnsi="宋体" w:eastAsia="宋体" w:cs="宋体"/>
                <w:color w:val="auto"/>
                <w:sz w:val="21"/>
                <w:highlight w:val="none"/>
              </w:rPr>
            </w:pPr>
          </w:p>
        </w:tc>
        <w:tc>
          <w:tcPr>
            <w:tcW w:w="4258" w:type="dxa"/>
            <w:gridSpan w:val="5"/>
            <w:vAlign w:val="top"/>
          </w:tcPr>
          <w:p w14:paraId="040EFCE9">
            <w:pPr>
              <w:rPr>
                <w:rFonts w:hint="eastAsia" w:ascii="宋体" w:hAnsi="宋体" w:eastAsia="宋体" w:cs="宋体"/>
                <w:color w:val="auto"/>
                <w:sz w:val="21"/>
                <w:highlight w:val="none"/>
              </w:rPr>
            </w:pPr>
          </w:p>
        </w:tc>
        <w:tc>
          <w:tcPr>
            <w:tcW w:w="1931" w:type="dxa"/>
            <w:gridSpan w:val="2"/>
            <w:vAlign w:val="top"/>
          </w:tcPr>
          <w:p w14:paraId="0A788116">
            <w:pPr>
              <w:rPr>
                <w:rFonts w:hint="eastAsia" w:ascii="宋体" w:hAnsi="宋体" w:eastAsia="宋体" w:cs="宋体"/>
                <w:color w:val="auto"/>
                <w:sz w:val="21"/>
                <w:highlight w:val="none"/>
              </w:rPr>
            </w:pPr>
          </w:p>
        </w:tc>
        <w:tc>
          <w:tcPr>
            <w:tcW w:w="1287" w:type="dxa"/>
            <w:vAlign w:val="top"/>
          </w:tcPr>
          <w:p w14:paraId="6D4F71B6">
            <w:pPr>
              <w:rPr>
                <w:rFonts w:hint="eastAsia" w:ascii="宋体" w:hAnsi="宋体" w:eastAsia="宋体" w:cs="宋体"/>
                <w:color w:val="auto"/>
                <w:sz w:val="21"/>
                <w:highlight w:val="none"/>
              </w:rPr>
            </w:pPr>
          </w:p>
        </w:tc>
      </w:tr>
      <w:tr w14:paraId="14916F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265" w:type="dxa"/>
            <w:vAlign w:val="top"/>
          </w:tcPr>
          <w:p w14:paraId="4AEECE62">
            <w:pPr>
              <w:rPr>
                <w:rFonts w:hint="eastAsia" w:ascii="宋体" w:hAnsi="宋体" w:eastAsia="宋体" w:cs="宋体"/>
                <w:color w:val="auto"/>
                <w:sz w:val="21"/>
                <w:highlight w:val="none"/>
              </w:rPr>
            </w:pPr>
          </w:p>
        </w:tc>
        <w:tc>
          <w:tcPr>
            <w:tcW w:w="4258" w:type="dxa"/>
            <w:gridSpan w:val="5"/>
            <w:vAlign w:val="top"/>
          </w:tcPr>
          <w:p w14:paraId="5801896F">
            <w:pPr>
              <w:rPr>
                <w:rFonts w:hint="eastAsia" w:ascii="宋体" w:hAnsi="宋体" w:eastAsia="宋体" w:cs="宋体"/>
                <w:color w:val="auto"/>
                <w:sz w:val="21"/>
                <w:highlight w:val="none"/>
              </w:rPr>
            </w:pPr>
          </w:p>
        </w:tc>
        <w:tc>
          <w:tcPr>
            <w:tcW w:w="1931" w:type="dxa"/>
            <w:gridSpan w:val="2"/>
            <w:vAlign w:val="top"/>
          </w:tcPr>
          <w:p w14:paraId="04FE020F">
            <w:pPr>
              <w:rPr>
                <w:rFonts w:hint="eastAsia" w:ascii="宋体" w:hAnsi="宋体" w:eastAsia="宋体" w:cs="宋体"/>
                <w:color w:val="auto"/>
                <w:sz w:val="21"/>
                <w:highlight w:val="none"/>
              </w:rPr>
            </w:pPr>
          </w:p>
        </w:tc>
        <w:tc>
          <w:tcPr>
            <w:tcW w:w="1287" w:type="dxa"/>
            <w:vAlign w:val="top"/>
          </w:tcPr>
          <w:p w14:paraId="3E586FA4">
            <w:pPr>
              <w:rPr>
                <w:rFonts w:hint="eastAsia" w:ascii="宋体" w:hAnsi="宋体" w:eastAsia="宋体" w:cs="宋体"/>
                <w:color w:val="auto"/>
                <w:sz w:val="21"/>
                <w:highlight w:val="none"/>
              </w:rPr>
            </w:pPr>
          </w:p>
        </w:tc>
      </w:tr>
      <w:tr w14:paraId="052DE7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265" w:type="dxa"/>
            <w:vAlign w:val="top"/>
          </w:tcPr>
          <w:p w14:paraId="61F9B372">
            <w:pPr>
              <w:rPr>
                <w:rFonts w:hint="eastAsia" w:ascii="宋体" w:hAnsi="宋体" w:eastAsia="宋体" w:cs="宋体"/>
                <w:color w:val="auto"/>
                <w:sz w:val="21"/>
                <w:highlight w:val="none"/>
              </w:rPr>
            </w:pPr>
          </w:p>
        </w:tc>
        <w:tc>
          <w:tcPr>
            <w:tcW w:w="4258" w:type="dxa"/>
            <w:gridSpan w:val="5"/>
            <w:vAlign w:val="top"/>
          </w:tcPr>
          <w:p w14:paraId="40F7EC73">
            <w:pPr>
              <w:rPr>
                <w:rFonts w:hint="eastAsia" w:ascii="宋体" w:hAnsi="宋体" w:eastAsia="宋体" w:cs="宋体"/>
                <w:color w:val="auto"/>
                <w:sz w:val="21"/>
                <w:highlight w:val="none"/>
              </w:rPr>
            </w:pPr>
          </w:p>
        </w:tc>
        <w:tc>
          <w:tcPr>
            <w:tcW w:w="1931" w:type="dxa"/>
            <w:gridSpan w:val="2"/>
            <w:vAlign w:val="top"/>
          </w:tcPr>
          <w:p w14:paraId="47EF40A3">
            <w:pPr>
              <w:rPr>
                <w:rFonts w:hint="eastAsia" w:ascii="宋体" w:hAnsi="宋体" w:eastAsia="宋体" w:cs="宋体"/>
                <w:color w:val="auto"/>
                <w:sz w:val="21"/>
                <w:highlight w:val="none"/>
              </w:rPr>
            </w:pPr>
          </w:p>
        </w:tc>
        <w:tc>
          <w:tcPr>
            <w:tcW w:w="1287" w:type="dxa"/>
            <w:vAlign w:val="top"/>
          </w:tcPr>
          <w:p w14:paraId="53DF46F4">
            <w:pPr>
              <w:rPr>
                <w:rFonts w:hint="eastAsia" w:ascii="宋体" w:hAnsi="宋体" w:eastAsia="宋体" w:cs="宋体"/>
                <w:color w:val="auto"/>
                <w:sz w:val="21"/>
                <w:highlight w:val="none"/>
              </w:rPr>
            </w:pPr>
          </w:p>
        </w:tc>
      </w:tr>
      <w:tr w14:paraId="059AE8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265" w:type="dxa"/>
            <w:vAlign w:val="top"/>
          </w:tcPr>
          <w:p w14:paraId="1C32803C">
            <w:pPr>
              <w:rPr>
                <w:rFonts w:hint="eastAsia" w:ascii="宋体" w:hAnsi="宋体" w:eastAsia="宋体" w:cs="宋体"/>
                <w:color w:val="auto"/>
                <w:sz w:val="21"/>
                <w:highlight w:val="none"/>
              </w:rPr>
            </w:pPr>
          </w:p>
        </w:tc>
        <w:tc>
          <w:tcPr>
            <w:tcW w:w="4258" w:type="dxa"/>
            <w:gridSpan w:val="5"/>
            <w:vAlign w:val="top"/>
          </w:tcPr>
          <w:p w14:paraId="63920ACE">
            <w:pPr>
              <w:rPr>
                <w:rFonts w:hint="eastAsia" w:ascii="宋体" w:hAnsi="宋体" w:eastAsia="宋体" w:cs="宋体"/>
                <w:color w:val="auto"/>
                <w:sz w:val="21"/>
                <w:highlight w:val="none"/>
              </w:rPr>
            </w:pPr>
          </w:p>
        </w:tc>
        <w:tc>
          <w:tcPr>
            <w:tcW w:w="1931" w:type="dxa"/>
            <w:gridSpan w:val="2"/>
            <w:vAlign w:val="top"/>
          </w:tcPr>
          <w:p w14:paraId="7DA7FAC6">
            <w:pPr>
              <w:rPr>
                <w:rFonts w:hint="eastAsia" w:ascii="宋体" w:hAnsi="宋体" w:eastAsia="宋体" w:cs="宋体"/>
                <w:color w:val="auto"/>
                <w:sz w:val="21"/>
                <w:highlight w:val="none"/>
              </w:rPr>
            </w:pPr>
          </w:p>
        </w:tc>
        <w:tc>
          <w:tcPr>
            <w:tcW w:w="1287" w:type="dxa"/>
            <w:vAlign w:val="top"/>
          </w:tcPr>
          <w:p w14:paraId="625ADD2A">
            <w:pPr>
              <w:rPr>
                <w:rFonts w:hint="eastAsia" w:ascii="宋体" w:hAnsi="宋体" w:eastAsia="宋体" w:cs="宋体"/>
                <w:color w:val="auto"/>
                <w:sz w:val="21"/>
                <w:highlight w:val="none"/>
              </w:rPr>
            </w:pPr>
          </w:p>
        </w:tc>
      </w:tr>
      <w:tr w14:paraId="4F5885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265" w:type="dxa"/>
            <w:vAlign w:val="top"/>
          </w:tcPr>
          <w:p w14:paraId="52BCDBE8">
            <w:pPr>
              <w:rPr>
                <w:rFonts w:hint="eastAsia" w:ascii="宋体" w:hAnsi="宋体" w:eastAsia="宋体" w:cs="宋体"/>
                <w:color w:val="auto"/>
                <w:sz w:val="21"/>
                <w:highlight w:val="none"/>
              </w:rPr>
            </w:pPr>
          </w:p>
        </w:tc>
        <w:tc>
          <w:tcPr>
            <w:tcW w:w="4258" w:type="dxa"/>
            <w:gridSpan w:val="5"/>
            <w:vAlign w:val="top"/>
          </w:tcPr>
          <w:p w14:paraId="7BBD33FB">
            <w:pPr>
              <w:rPr>
                <w:rFonts w:hint="eastAsia" w:ascii="宋体" w:hAnsi="宋体" w:eastAsia="宋体" w:cs="宋体"/>
                <w:color w:val="auto"/>
                <w:sz w:val="21"/>
                <w:highlight w:val="none"/>
              </w:rPr>
            </w:pPr>
          </w:p>
        </w:tc>
        <w:tc>
          <w:tcPr>
            <w:tcW w:w="1931" w:type="dxa"/>
            <w:gridSpan w:val="2"/>
            <w:vAlign w:val="top"/>
          </w:tcPr>
          <w:p w14:paraId="74B88C03">
            <w:pPr>
              <w:rPr>
                <w:rFonts w:hint="eastAsia" w:ascii="宋体" w:hAnsi="宋体" w:eastAsia="宋体" w:cs="宋体"/>
                <w:color w:val="auto"/>
                <w:sz w:val="21"/>
                <w:highlight w:val="none"/>
              </w:rPr>
            </w:pPr>
          </w:p>
        </w:tc>
        <w:tc>
          <w:tcPr>
            <w:tcW w:w="1287" w:type="dxa"/>
            <w:vAlign w:val="top"/>
          </w:tcPr>
          <w:p w14:paraId="4F3D440E">
            <w:pPr>
              <w:rPr>
                <w:rFonts w:hint="eastAsia" w:ascii="宋体" w:hAnsi="宋体" w:eastAsia="宋体" w:cs="宋体"/>
                <w:color w:val="auto"/>
                <w:sz w:val="21"/>
                <w:highlight w:val="none"/>
              </w:rPr>
            </w:pPr>
          </w:p>
        </w:tc>
      </w:tr>
      <w:tr w14:paraId="2FDD67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trPr>
        <w:tc>
          <w:tcPr>
            <w:tcW w:w="1265" w:type="dxa"/>
            <w:vAlign w:val="top"/>
          </w:tcPr>
          <w:p w14:paraId="3BC16D9C">
            <w:pPr>
              <w:rPr>
                <w:rFonts w:hint="eastAsia" w:ascii="宋体" w:hAnsi="宋体" w:eastAsia="宋体" w:cs="宋体"/>
                <w:color w:val="auto"/>
                <w:sz w:val="21"/>
                <w:highlight w:val="none"/>
              </w:rPr>
            </w:pPr>
          </w:p>
        </w:tc>
        <w:tc>
          <w:tcPr>
            <w:tcW w:w="4258" w:type="dxa"/>
            <w:gridSpan w:val="5"/>
            <w:vAlign w:val="top"/>
          </w:tcPr>
          <w:p w14:paraId="4D3574F1">
            <w:pPr>
              <w:rPr>
                <w:rFonts w:hint="eastAsia" w:ascii="宋体" w:hAnsi="宋体" w:eastAsia="宋体" w:cs="宋体"/>
                <w:color w:val="auto"/>
                <w:sz w:val="21"/>
                <w:highlight w:val="none"/>
              </w:rPr>
            </w:pPr>
          </w:p>
        </w:tc>
        <w:tc>
          <w:tcPr>
            <w:tcW w:w="1931" w:type="dxa"/>
            <w:gridSpan w:val="2"/>
            <w:vAlign w:val="top"/>
          </w:tcPr>
          <w:p w14:paraId="4C895A52">
            <w:pPr>
              <w:rPr>
                <w:rFonts w:hint="eastAsia" w:ascii="宋体" w:hAnsi="宋体" w:eastAsia="宋体" w:cs="宋体"/>
                <w:color w:val="auto"/>
                <w:sz w:val="21"/>
                <w:highlight w:val="none"/>
              </w:rPr>
            </w:pPr>
          </w:p>
        </w:tc>
        <w:tc>
          <w:tcPr>
            <w:tcW w:w="1287" w:type="dxa"/>
            <w:vAlign w:val="top"/>
          </w:tcPr>
          <w:p w14:paraId="6A7DE529">
            <w:pPr>
              <w:rPr>
                <w:rFonts w:hint="eastAsia" w:ascii="宋体" w:hAnsi="宋体" w:eastAsia="宋体" w:cs="宋体"/>
                <w:color w:val="auto"/>
                <w:sz w:val="21"/>
                <w:highlight w:val="none"/>
              </w:rPr>
            </w:pPr>
          </w:p>
        </w:tc>
      </w:tr>
      <w:tr w14:paraId="6BE55D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2641" w:type="dxa"/>
            <w:gridSpan w:val="2"/>
            <w:vAlign w:val="top"/>
          </w:tcPr>
          <w:p w14:paraId="096173D4">
            <w:pPr>
              <w:pStyle w:val="25"/>
              <w:spacing w:before="226" w:line="220" w:lineRule="auto"/>
              <w:ind w:left="893"/>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获奖情况</w:t>
            </w:r>
          </w:p>
        </w:tc>
        <w:tc>
          <w:tcPr>
            <w:tcW w:w="6100" w:type="dxa"/>
            <w:gridSpan w:val="7"/>
            <w:vAlign w:val="top"/>
          </w:tcPr>
          <w:p w14:paraId="58B8A56E">
            <w:pPr>
              <w:rPr>
                <w:rFonts w:hint="eastAsia" w:ascii="宋体" w:hAnsi="宋体" w:eastAsia="宋体" w:cs="宋体"/>
                <w:color w:val="auto"/>
                <w:sz w:val="21"/>
                <w:highlight w:val="none"/>
              </w:rPr>
            </w:pPr>
          </w:p>
        </w:tc>
      </w:tr>
      <w:tr w14:paraId="2143C8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9" w:hRule="atLeast"/>
        </w:trPr>
        <w:tc>
          <w:tcPr>
            <w:tcW w:w="2641" w:type="dxa"/>
            <w:gridSpan w:val="2"/>
            <w:vAlign w:val="top"/>
          </w:tcPr>
          <w:p w14:paraId="609387DE">
            <w:pPr>
              <w:spacing w:line="474" w:lineRule="auto"/>
              <w:rPr>
                <w:rFonts w:hint="eastAsia" w:ascii="宋体" w:hAnsi="宋体" w:eastAsia="宋体" w:cs="宋体"/>
                <w:color w:val="auto"/>
                <w:sz w:val="21"/>
                <w:highlight w:val="none"/>
              </w:rPr>
            </w:pPr>
          </w:p>
          <w:p w14:paraId="3259DDD1">
            <w:pPr>
              <w:pStyle w:val="25"/>
              <w:spacing w:before="72" w:line="220" w:lineRule="auto"/>
              <w:ind w:left="703"/>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说明在岗情况</w:t>
            </w:r>
          </w:p>
        </w:tc>
        <w:tc>
          <w:tcPr>
            <w:tcW w:w="6100" w:type="dxa"/>
            <w:gridSpan w:val="7"/>
            <w:vAlign w:val="top"/>
          </w:tcPr>
          <w:p w14:paraId="70C036D9">
            <w:pPr>
              <w:pStyle w:val="25"/>
              <w:spacing w:before="126" w:line="220" w:lineRule="auto"/>
              <w:ind w:left="138"/>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□目前未在其他项目上任职，现从事工作为：。</w:t>
            </w:r>
          </w:p>
          <w:p w14:paraId="27C3417F">
            <w:pPr>
              <w:pStyle w:val="25"/>
              <w:spacing w:before="137" w:line="257" w:lineRule="auto"/>
              <w:ind w:left="115" w:right="21" w:firstLine="23"/>
              <w:rPr>
                <w:rFonts w:hint="eastAsia" w:ascii="宋体" w:hAnsi="宋体" w:eastAsia="宋体" w:cs="宋体"/>
                <w:color w:val="auto"/>
                <w:sz w:val="22"/>
                <w:szCs w:val="22"/>
                <w:highlight w:val="none"/>
              </w:rPr>
            </w:pPr>
            <w:r>
              <w:rPr>
                <w:rFonts w:hint="eastAsia" w:ascii="宋体" w:hAnsi="宋体" w:eastAsia="宋体" w:cs="宋体"/>
                <w:color w:val="auto"/>
                <w:spacing w:val="5"/>
                <w:sz w:val="22"/>
                <w:szCs w:val="22"/>
                <w:highlight w:val="none"/>
              </w:rPr>
              <w:t>□目前虽在其他项目上任职，但本项目中标后能够从该项目</w:t>
            </w:r>
            <w:r>
              <w:rPr>
                <w:rFonts w:hint="eastAsia" w:ascii="宋体" w:hAnsi="宋体" w:eastAsia="宋体" w:cs="宋体"/>
                <w:color w:val="auto"/>
                <w:spacing w:val="-16"/>
                <w:sz w:val="22"/>
                <w:szCs w:val="22"/>
                <w:highlight w:val="none"/>
              </w:rPr>
              <w:t>撤离，目前任职项目</w:t>
            </w:r>
            <w:r>
              <w:rPr>
                <w:rFonts w:hint="eastAsia" w:ascii="宋体" w:hAnsi="宋体" w:eastAsia="宋体" w:cs="宋体"/>
                <w:color w:val="auto"/>
                <w:spacing w:val="-46"/>
                <w:w w:val="86"/>
                <w:sz w:val="22"/>
                <w:szCs w:val="22"/>
                <w:highlight w:val="none"/>
              </w:rPr>
              <w:t>：，</w:t>
            </w:r>
            <w:r>
              <w:rPr>
                <w:rFonts w:hint="eastAsia" w:ascii="宋体" w:hAnsi="宋体" w:eastAsia="宋体" w:cs="宋体"/>
                <w:color w:val="auto"/>
                <w:spacing w:val="-16"/>
                <w:sz w:val="22"/>
                <w:szCs w:val="22"/>
                <w:highlight w:val="none"/>
              </w:rPr>
              <w:t>担任职位：。</w:t>
            </w:r>
          </w:p>
        </w:tc>
      </w:tr>
      <w:tr w14:paraId="1EDD26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76" w:hRule="atLeast"/>
        </w:trPr>
        <w:tc>
          <w:tcPr>
            <w:tcW w:w="2641" w:type="dxa"/>
            <w:gridSpan w:val="2"/>
            <w:vAlign w:val="top"/>
          </w:tcPr>
          <w:p w14:paraId="5F5506D7">
            <w:pPr>
              <w:spacing w:line="245" w:lineRule="auto"/>
              <w:rPr>
                <w:rFonts w:hint="eastAsia" w:ascii="宋体" w:hAnsi="宋体" w:eastAsia="宋体" w:cs="宋体"/>
                <w:color w:val="auto"/>
                <w:sz w:val="21"/>
                <w:highlight w:val="none"/>
              </w:rPr>
            </w:pPr>
          </w:p>
          <w:p w14:paraId="1A9DD4C8">
            <w:pPr>
              <w:spacing w:line="245" w:lineRule="auto"/>
              <w:rPr>
                <w:rFonts w:hint="eastAsia" w:ascii="宋体" w:hAnsi="宋体" w:eastAsia="宋体" w:cs="宋体"/>
                <w:color w:val="auto"/>
                <w:sz w:val="21"/>
                <w:highlight w:val="none"/>
              </w:rPr>
            </w:pPr>
          </w:p>
          <w:p w14:paraId="389E1FD0">
            <w:pPr>
              <w:pStyle w:val="25"/>
              <w:spacing w:before="72" w:line="222" w:lineRule="auto"/>
              <w:ind w:left="859"/>
              <w:rPr>
                <w:rFonts w:hint="eastAsia" w:ascii="宋体" w:hAnsi="宋体" w:eastAsia="宋体" w:cs="宋体"/>
                <w:color w:val="auto"/>
                <w:sz w:val="22"/>
                <w:szCs w:val="22"/>
                <w:highlight w:val="none"/>
              </w:rPr>
            </w:pPr>
            <w:r>
              <w:rPr>
                <w:rFonts w:hint="eastAsia" w:ascii="宋体" w:hAnsi="宋体" w:eastAsia="宋体" w:cs="宋体"/>
                <w:color w:val="auto"/>
                <w:spacing w:val="-6"/>
                <w:sz w:val="22"/>
                <w:szCs w:val="22"/>
                <w:highlight w:val="none"/>
              </w:rPr>
              <w:t>备注</w:t>
            </w:r>
          </w:p>
        </w:tc>
        <w:tc>
          <w:tcPr>
            <w:tcW w:w="6100" w:type="dxa"/>
            <w:gridSpan w:val="7"/>
            <w:vAlign w:val="top"/>
          </w:tcPr>
          <w:p w14:paraId="1BA52573">
            <w:pPr>
              <w:rPr>
                <w:rFonts w:hint="eastAsia" w:ascii="宋体" w:hAnsi="宋体" w:eastAsia="宋体" w:cs="宋体"/>
                <w:color w:val="auto"/>
                <w:sz w:val="21"/>
                <w:highlight w:val="none"/>
              </w:rPr>
            </w:pPr>
          </w:p>
        </w:tc>
      </w:tr>
    </w:tbl>
    <w:p w14:paraId="175FECCA">
      <w:pPr>
        <w:spacing w:before="157" w:line="227" w:lineRule="auto"/>
        <w:ind w:left="283"/>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注：1.本表人员应与表（七）中所列人员相一致。</w:t>
      </w:r>
    </w:p>
    <w:p w14:paraId="5DF13BA0">
      <w:pPr>
        <w:spacing w:before="27" w:line="227" w:lineRule="auto"/>
        <w:ind w:left="224"/>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2.投标人应根据招标文件第二章“投标人须知”第3.5.6项的要求</w:t>
      </w:r>
      <w:r>
        <w:rPr>
          <w:rFonts w:hint="eastAsia" w:ascii="宋体" w:hAnsi="宋体" w:eastAsia="宋体" w:cs="宋体"/>
          <w:color w:val="auto"/>
          <w:spacing w:val="7"/>
          <w:sz w:val="20"/>
          <w:szCs w:val="20"/>
          <w:highlight w:val="none"/>
        </w:rPr>
        <w:t>在本表后附相关证明材料。</w:t>
      </w:r>
    </w:p>
    <w:p w14:paraId="01ABB645">
      <w:pPr>
        <w:spacing w:line="227" w:lineRule="auto"/>
        <w:rPr>
          <w:rFonts w:hint="eastAsia" w:ascii="宋体" w:hAnsi="宋体" w:eastAsia="宋体" w:cs="宋体"/>
          <w:color w:val="auto"/>
          <w:sz w:val="20"/>
          <w:szCs w:val="20"/>
          <w:highlight w:val="none"/>
        </w:rPr>
        <w:sectPr>
          <w:headerReference r:id="rId285" w:type="default"/>
          <w:footerReference r:id="rId286" w:type="default"/>
          <w:pgSz w:w="11907" w:h="16840"/>
          <w:pgMar w:top="1182" w:right="1138" w:bottom="1014" w:left="1786" w:header="849" w:footer="852" w:gutter="0"/>
          <w:pgNumType w:fmt="decimal"/>
          <w:cols w:space="720" w:num="1"/>
        </w:sectPr>
      </w:pPr>
    </w:p>
    <w:p w14:paraId="5F907090">
      <w:pPr>
        <w:pStyle w:val="4"/>
        <w:spacing w:line="303" w:lineRule="auto"/>
        <w:rPr>
          <w:rFonts w:hint="eastAsia" w:ascii="宋体" w:hAnsi="宋体" w:eastAsia="宋体" w:cs="宋体"/>
          <w:color w:val="auto"/>
          <w:highlight w:val="none"/>
        </w:rPr>
      </w:pPr>
    </w:p>
    <w:p w14:paraId="3072BE67">
      <w:pPr>
        <w:pStyle w:val="4"/>
        <w:spacing w:line="303" w:lineRule="auto"/>
        <w:rPr>
          <w:rFonts w:hint="eastAsia" w:ascii="宋体" w:hAnsi="宋体" w:eastAsia="宋体" w:cs="宋体"/>
          <w:color w:val="auto"/>
          <w:highlight w:val="none"/>
        </w:rPr>
      </w:pPr>
    </w:p>
    <w:p w14:paraId="6D9F0B12">
      <w:pPr>
        <w:spacing w:before="78" w:line="228" w:lineRule="auto"/>
        <w:ind w:left="2484"/>
        <w:outlineLvl w:val="2"/>
        <w:rPr>
          <w:rFonts w:hint="eastAsia" w:ascii="宋体" w:hAnsi="宋体" w:eastAsia="宋体" w:cs="宋体"/>
          <w:color w:val="auto"/>
          <w:sz w:val="12"/>
          <w:szCs w:val="12"/>
          <w:highlight w:val="none"/>
        </w:rPr>
      </w:pPr>
      <w:bookmarkStart w:id="980" w:name="_Toc26022"/>
      <w:bookmarkStart w:id="981" w:name="_Toc14213"/>
      <w:bookmarkStart w:id="982" w:name="_Toc28166"/>
      <w:bookmarkStart w:id="983" w:name="_Toc12198"/>
      <w:bookmarkStart w:id="984" w:name="_Toc31841"/>
      <w:r>
        <w:rPr>
          <w:rFonts w:hint="eastAsia" w:ascii="宋体" w:hAnsi="宋体" w:eastAsia="宋体" w:cs="宋体"/>
          <w:color w:val="auto"/>
          <w:spacing w:val="-2"/>
          <w:sz w:val="24"/>
          <w:szCs w:val="24"/>
          <w:highlight w:val="none"/>
        </w:rPr>
        <w:t>（九）拟投入本标段的主要施工机械表</w:t>
      </w:r>
      <w:r>
        <w:rPr>
          <w:rFonts w:hint="eastAsia" w:ascii="宋体" w:hAnsi="宋体" w:eastAsia="宋体" w:cs="宋体"/>
          <w:color w:val="auto"/>
          <w:spacing w:val="-2"/>
          <w:position w:val="10"/>
          <w:sz w:val="12"/>
          <w:szCs w:val="12"/>
          <w:highlight w:val="none"/>
        </w:rPr>
        <w:t>①</w:t>
      </w:r>
      <w:bookmarkEnd w:id="980"/>
      <w:bookmarkEnd w:id="981"/>
      <w:bookmarkEnd w:id="982"/>
      <w:bookmarkEnd w:id="983"/>
      <w:bookmarkEnd w:id="984"/>
    </w:p>
    <w:p w14:paraId="715828D5">
      <w:pPr>
        <w:spacing w:before="152"/>
        <w:rPr>
          <w:rFonts w:hint="eastAsia" w:ascii="宋体" w:hAnsi="宋体" w:eastAsia="宋体" w:cs="宋体"/>
          <w:color w:val="auto"/>
          <w:highlight w:val="none"/>
        </w:rPr>
      </w:pPr>
    </w:p>
    <w:tbl>
      <w:tblPr>
        <w:tblStyle w:val="24"/>
        <w:tblW w:w="8636" w:type="dxa"/>
        <w:tblInd w:w="26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8"/>
        <w:gridCol w:w="1084"/>
        <w:gridCol w:w="758"/>
        <w:gridCol w:w="669"/>
        <w:gridCol w:w="660"/>
        <w:gridCol w:w="940"/>
        <w:gridCol w:w="648"/>
        <w:gridCol w:w="430"/>
        <w:gridCol w:w="557"/>
        <w:gridCol w:w="559"/>
        <w:gridCol w:w="558"/>
        <w:gridCol w:w="955"/>
      </w:tblGrid>
      <w:tr w14:paraId="2C4CFF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818" w:type="dxa"/>
            <w:vMerge w:val="restart"/>
            <w:tcBorders>
              <w:bottom w:val="nil"/>
            </w:tcBorders>
            <w:vAlign w:val="top"/>
          </w:tcPr>
          <w:p w14:paraId="35788780">
            <w:pPr>
              <w:spacing w:line="326" w:lineRule="auto"/>
              <w:rPr>
                <w:rFonts w:hint="eastAsia" w:ascii="宋体" w:hAnsi="宋体" w:eastAsia="宋体" w:cs="宋体"/>
                <w:color w:val="auto"/>
                <w:sz w:val="21"/>
                <w:highlight w:val="none"/>
              </w:rPr>
            </w:pPr>
          </w:p>
          <w:p w14:paraId="4A05CD7C">
            <w:pPr>
              <w:spacing w:line="327" w:lineRule="auto"/>
              <w:rPr>
                <w:rFonts w:hint="eastAsia" w:ascii="宋体" w:hAnsi="宋体" w:eastAsia="宋体" w:cs="宋体"/>
                <w:color w:val="auto"/>
                <w:sz w:val="21"/>
                <w:highlight w:val="none"/>
              </w:rPr>
            </w:pPr>
          </w:p>
          <w:p w14:paraId="00078D6C">
            <w:pPr>
              <w:pStyle w:val="25"/>
              <w:spacing w:before="72" w:line="222" w:lineRule="auto"/>
              <w:ind w:left="207"/>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序号</w:t>
            </w:r>
          </w:p>
        </w:tc>
        <w:tc>
          <w:tcPr>
            <w:tcW w:w="1084" w:type="dxa"/>
            <w:vMerge w:val="restart"/>
            <w:tcBorders>
              <w:bottom w:val="nil"/>
            </w:tcBorders>
            <w:vAlign w:val="top"/>
          </w:tcPr>
          <w:p w14:paraId="7AD5A41B">
            <w:pPr>
              <w:spacing w:line="326" w:lineRule="auto"/>
              <w:rPr>
                <w:rFonts w:hint="eastAsia" w:ascii="宋体" w:hAnsi="宋体" w:eastAsia="宋体" w:cs="宋体"/>
                <w:color w:val="auto"/>
                <w:sz w:val="21"/>
                <w:highlight w:val="none"/>
              </w:rPr>
            </w:pPr>
          </w:p>
          <w:p w14:paraId="3FC75C2B">
            <w:pPr>
              <w:spacing w:line="327" w:lineRule="auto"/>
              <w:rPr>
                <w:rFonts w:hint="eastAsia" w:ascii="宋体" w:hAnsi="宋体" w:eastAsia="宋体" w:cs="宋体"/>
                <w:color w:val="auto"/>
                <w:sz w:val="21"/>
                <w:highlight w:val="none"/>
              </w:rPr>
            </w:pPr>
          </w:p>
          <w:p w14:paraId="09449CD0">
            <w:pPr>
              <w:pStyle w:val="25"/>
              <w:spacing w:before="72" w:line="222" w:lineRule="auto"/>
              <w:ind w:left="133"/>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设备名称</w:t>
            </w:r>
          </w:p>
        </w:tc>
        <w:tc>
          <w:tcPr>
            <w:tcW w:w="758" w:type="dxa"/>
            <w:vMerge w:val="restart"/>
            <w:tcBorders>
              <w:bottom w:val="nil"/>
            </w:tcBorders>
            <w:textDirection w:val="tbRlV"/>
            <w:vAlign w:val="top"/>
          </w:tcPr>
          <w:p w14:paraId="7EAFB8B4">
            <w:pPr>
              <w:spacing w:line="279" w:lineRule="auto"/>
              <w:rPr>
                <w:rFonts w:hint="eastAsia" w:ascii="宋体" w:hAnsi="宋体" w:eastAsia="宋体" w:cs="宋体"/>
                <w:color w:val="auto"/>
                <w:sz w:val="21"/>
                <w:highlight w:val="none"/>
              </w:rPr>
            </w:pPr>
          </w:p>
          <w:p w14:paraId="3426C44A">
            <w:pPr>
              <w:pStyle w:val="25"/>
              <w:spacing w:before="74" w:line="209" w:lineRule="auto"/>
              <w:ind w:left="53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型号规格</w:t>
            </w:r>
          </w:p>
        </w:tc>
        <w:tc>
          <w:tcPr>
            <w:tcW w:w="669" w:type="dxa"/>
            <w:vMerge w:val="restart"/>
            <w:tcBorders>
              <w:bottom w:val="nil"/>
            </w:tcBorders>
            <w:textDirection w:val="tbRlV"/>
            <w:vAlign w:val="top"/>
          </w:tcPr>
          <w:p w14:paraId="07B80CB5">
            <w:pPr>
              <w:pStyle w:val="25"/>
              <w:spacing w:before="317" w:line="209" w:lineRule="auto"/>
              <w:ind w:left="53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国别产地</w:t>
            </w:r>
          </w:p>
        </w:tc>
        <w:tc>
          <w:tcPr>
            <w:tcW w:w="660" w:type="dxa"/>
            <w:vMerge w:val="restart"/>
            <w:tcBorders>
              <w:bottom w:val="nil"/>
            </w:tcBorders>
            <w:textDirection w:val="tbRlV"/>
            <w:vAlign w:val="top"/>
          </w:tcPr>
          <w:p w14:paraId="5F74511C">
            <w:pPr>
              <w:pStyle w:val="25"/>
              <w:spacing w:before="311" w:line="209" w:lineRule="auto"/>
              <w:ind w:left="53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制造年份</w:t>
            </w:r>
          </w:p>
        </w:tc>
        <w:tc>
          <w:tcPr>
            <w:tcW w:w="940" w:type="dxa"/>
            <w:vMerge w:val="restart"/>
            <w:tcBorders>
              <w:bottom w:val="nil"/>
            </w:tcBorders>
            <w:vAlign w:val="top"/>
          </w:tcPr>
          <w:p w14:paraId="3B35A4CA">
            <w:pPr>
              <w:spacing w:line="456" w:lineRule="auto"/>
              <w:rPr>
                <w:rFonts w:hint="eastAsia" w:ascii="宋体" w:hAnsi="宋体" w:eastAsia="宋体" w:cs="宋体"/>
                <w:color w:val="auto"/>
                <w:sz w:val="21"/>
                <w:highlight w:val="none"/>
              </w:rPr>
            </w:pPr>
          </w:p>
          <w:p w14:paraId="7ED5B9DA">
            <w:pPr>
              <w:pStyle w:val="25"/>
              <w:spacing w:before="72" w:line="220" w:lineRule="auto"/>
              <w:ind w:left="162"/>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额定功</w:t>
            </w:r>
          </w:p>
          <w:p w14:paraId="66D44D6F">
            <w:pPr>
              <w:pStyle w:val="25"/>
              <w:spacing w:before="162" w:line="232" w:lineRule="auto"/>
              <w:ind w:left="125"/>
              <w:rPr>
                <w:rFonts w:hint="eastAsia" w:ascii="宋体" w:hAnsi="宋体" w:eastAsia="宋体" w:cs="宋体"/>
                <w:color w:val="auto"/>
                <w:sz w:val="22"/>
                <w:szCs w:val="22"/>
                <w:highlight w:val="none"/>
              </w:rPr>
            </w:pPr>
            <w:r>
              <w:rPr>
                <w:rFonts w:hint="eastAsia" w:ascii="宋体" w:hAnsi="宋体" w:eastAsia="宋体" w:cs="宋体"/>
                <w:color w:val="auto"/>
                <w:spacing w:val="-5"/>
                <w:sz w:val="22"/>
                <w:szCs w:val="22"/>
                <w:highlight w:val="none"/>
              </w:rPr>
              <w:t>（kW）</w:t>
            </w:r>
          </w:p>
        </w:tc>
        <w:tc>
          <w:tcPr>
            <w:tcW w:w="648" w:type="dxa"/>
            <w:vMerge w:val="restart"/>
            <w:tcBorders>
              <w:bottom w:val="nil"/>
            </w:tcBorders>
            <w:textDirection w:val="tbRlV"/>
            <w:vAlign w:val="top"/>
          </w:tcPr>
          <w:p w14:paraId="5BBAB2AB">
            <w:pPr>
              <w:pStyle w:val="25"/>
              <w:spacing w:before="305" w:line="209" w:lineRule="auto"/>
              <w:ind w:left="53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生产能力</w:t>
            </w:r>
          </w:p>
        </w:tc>
        <w:tc>
          <w:tcPr>
            <w:tcW w:w="2104" w:type="dxa"/>
            <w:gridSpan w:val="4"/>
            <w:vAlign w:val="top"/>
          </w:tcPr>
          <w:p w14:paraId="12C01BAB">
            <w:pPr>
              <w:pStyle w:val="25"/>
              <w:spacing w:before="185" w:line="211" w:lineRule="auto"/>
              <w:ind w:left="539"/>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数量（台）</w:t>
            </w:r>
          </w:p>
        </w:tc>
        <w:tc>
          <w:tcPr>
            <w:tcW w:w="955" w:type="dxa"/>
            <w:vMerge w:val="restart"/>
            <w:tcBorders>
              <w:bottom w:val="nil"/>
            </w:tcBorders>
            <w:vAlign w:val="top"/>
          </w:tcPr>
          <w:p w14:paraId="7CC4FEBA">
            <w:pPr>
              <w:spacing w:line="456" w:lineRule="auto"/>
              <w:rPr>
                <w:rFonts w:hint="eastAsia" w:ascii="宋体" w:hAnsi="宋体" w:eastAsia="宋体" w:cs="宋体"/>
                <w:color w:val="auto"/>
                <w:sz w:val="21"/>
                <w:highlight w:val="none"/>
              </w:rPr>
            </w:pPr>
          </w:p>
          <w:p w14:paraId="0AB736CB">
            <w:pPr>
              <w:pStyle w:val="25"/>
              <w:spacing w:before="71" w:line="221" w:lineRule="auto"/>
              <w:ind w:left="175"/>
              <w:rPr>
                <w:rFonts w:hint="eastAsia" w:ascii="宋体" w:hAnsi="宋体" w:eastAsia="宋体" w:cs="宋体"/>
                <w:color w:val="auto"/>
                <w:sz w:val="22"/>
                <w:szCs w:val="22"/>
                <w:highlight w:val="none"/>
              </w:rPr>
            </w:pPr>
            <w:r>
              <w:rPr>
                <w:rFonts w:hint="eastAsia" w:ascii="宋体" w:hAnsi="宋体" w:eastAsia="宋体" w:cs="宋体"/>
                <w:color w:val="auto"/>
                <w:spacing w:val="-5"/>
                <w:sz w:val="22"/>
                <w:szCs w:val="22"/>
                <w:highlight w:val="none"/>
              </w:rPr>
              <w:t>预计</w:t>
            </w:r>
          </w:p>
          <w:p w14:paraId="2A858C61">
            <w:pPr>
              <w:pStyle w:val="25"/>
              <w:spacing w:before="161" w:line="221" w:lineRule="auto"/>
              <w:ind w:left="172"/>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进场</w:t>
            </w:r>
          </w:p>
          <w:p w14:paraId="4E0F32D2">
            <w:pPr>
              <w:pStyle w:val="25"/>
              <w:spacing w:before="159" w:line="222" w:lineRule="auto"/>
              <w:ind w:left="184"/>
              <w:rPr>
                <w:rFonts w:hint="eastAsia" w:ascii="宋体" w:hAnsi="宋体" w:eastAsia="宋体" w:cs="宋体"/>
                <w:color w:val="auto"/>
                <w:sz w:val="22"/>
                <w:szCs w:val="22"/>
                <w:highlight w:val="none"/>
              </w:rPr>
            </w:pPr>
            <w:r>
              <w:rPr>
                <w:rFonts w:hint="eastAsia" w:ascii="宋体" w:hAnsi="宋体" w:eastAsia="宋体" w:cs="宋体"/>
                <w:color w:val="auto"/>
                <w:spacing w:val="-9"/>
                <w:sz w:val="22"/>
                <w:szCs w:val="22"/>
                <w:highlight w:val="none"/>
              </w:rPr>
              <w:t>时间</w:t>
            </w:r>
          </w:p>
        </w:tc>
      </w:tr>
      <w:tr w14:paraId="185761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818" w:type="dxa"/>
            <w:vMerge w:val="continue"/>
            <w:tcBorders>
              <w:top w:val="nil"/>
              <w:bottom w:val="nil"/>
            </w:tcBorders>
            <w:vAlign w:val="top"/>
          </w:tcPr>
          <w:p w14:paraId="20BD578A">
            <w:pPr>
              <w:rPr>
                <w:rFonts w:hint="eastAsia" w:ascii="宋体" w:hAnsi="宋体" w:eastAsia="宋体" w:cs="宋体"/>
                <w:color w:val="auto"/>
                <w:sz w:val="21"/>
                <w:highlight w:val="none"/>
              </w:rPr>
            </w:pPr>
          </w:p>
        </w:tc>
        <w:tc>
          <w:tcPr>
            <w:tcW w:w="1084" w:type="dxa"/>
            <w:vMerge w:val="continue"/>
            <w:tcBorders>
              <w:top w:val="nil"/>
              <w:bottom w:val="nil"/>
            </w:tcBorders>
            <w:vAlign w:val="top"/>
          </w:tcPr>
          <w:p w14:paraId="0AB1091B">
            <w:pPr>
              <w:rPr>
                <w:rFonts w:hint="eastAsia" w:ascii="宋体" w:hAnsi="宋体" w:eastAsia="宋体" w:cs="宋体"/>
                <w:color w:val="auto"/>
                <w:sz w:val="21"/>
                <w:highlight w:val="none"/>
              </w:rPr>
            </w:pPr>
          </w:p>
        </w:tc>
        <w:tc>
          <w:tcPr>
            <w:tcW w:w="758" w:type="dxa"/>
            <w:vMerge w:val="continue"/>
            <w:tcBorders>
              <w:top w:val="nil"/>
              <w:bottom w:val="nil"/>
            </w:tcBorders>
            <w:textDirection w:val="tbRlV"/>
            <w:vAlign w:val="top"/>
          </w:tcPr>
          <w:p w14:paraId="7B05DA5D">
            <w:pPr>
              <w:rPr>
                <w:rFonts w:hint="eastAsia" w:ascii="宋体" w:hAnsi="宋体" w:eastAsia="宋体" w:cs="宋体"/>
                <w:color w:val="auto"/>
                <w:sz w:val="21"/>
                <w:highlight w:val="none"/>
              </w:rPr>
            </w:pPr>
          </w:p>
        </w:tc>
        <w:tc>
          <w:tcPr>
            <w:tcW w:w="669" w:type="dxa"/>
            <w:vMerge w:val="continue"/>
            <w:tcBorders>
              <w:top w:val="nil"/>
              <w:bottom w:val="nil"/>
            </w:tcBorders>
            <w:textDirection w:val="tbRlV"/>
            <w:vAlign w:val="top"/>
          </w:tcPr>
          <w:p w14:paraId="21D90322">
            <w:pPr>
              <w:rPr>
                <w:rFonts w:hint="eastAsia" w:ascii="宋体" w:hAnsi="宋体" w:eastAsia="宋体" w:cs="宋体"/>
                <w:color w:val="auto"/>
                <w:sz w:val="21"/>
                <w:highlight w:val="none"/>
              </w:rPr>
            </w:pPr>
          </w:p>
        </w:tc>
        <w:tc>
          <w:tcPr>
            <w:tcW w:w="660" w:type="dxa"/>
            <w:vMerge w:val="continue"/>
            <w:tcBorders>
              <w:top w:val="nil"/>
              <w:bottom w:val="nil"/>
            </w:tcBorders>
            <w:textDirection w:val="tbRlV"/>
            <w:vAlign w:val="top"/>
          </w:tcPr>
          <w:p w14:paraId="68EAC5D8">
            <w:pPr>
              <w:rPr>
                <w:rFonts w:hint="eastAsia" w:ascii="宋体" w:hAnsi="宋体" w:eastAsia="宋体" w:cs="宋体"/>
                <w:color w:val="auto"/>
                <w:sz w:val="21"/>
                <w:highlight w:val="none"/>
              </w:rPr>
            </w:pPr>
          </w:p>
        </w:tc>
        <w:tc>
          <w:tcPr>
            <w:tcW w:w="940" w:type="dxa"/>
            <w:vMerge w:val="continue"/>
            <w:tcBorders>
              <w:top w:val="nil"/>
              <w:bottom w:val="nil"/>
            </w:tcBorders>
            <w:vAlign w:val="top"/>
          </w:tcPr>
          <w:p w14:paraId="4417B5E8">
            <w:pPr>
              <w:rPr>
                <w:rFonts w:hint="eastAsia" w:ascii="宋体" w:hAnsi="宋体" w:eastAsia="宋体" w:cs="宋体"/>
                <w:color w:val="auto"/>
                <w:sz w:val="21"/>
                <w:highlight w:val="none"/>
              </w:rPr>
            </w:pPr>
          </w:p>
        </w:tc>
        <w:tc>
          <w:tcPr>
            <w:tcW w:w="648" w:type="dxa"/>
            <w:vMerge w:val="continue"/>
            <w:tcBorders>
              <w:top w:val="nil"/>
              <w:bottom w:val="nil"/>
            </w:tcBorders>
            <w:textDirection w:val="tbRlV"/>
            <w:vAlign w:val="top"/>
          </w:tcPr>
          <w:p w14:paraId="63808427">
            <w:pPr>
              <w:rPr>
                <w:rFonts w:hint="eastAsia" w:ascii="宋体" w:hAnsi="宋体" w:eastAsia="宋体" w:cs="宋体"/>
                <w:color w:val="auto"/>
                <w:sz w:val="21"/>
                <w:highlight w:val="none"/>
              </w:rPr>
            </w:pPr>
          </w:p>
        </w:tc>
        <w:tc>
          <w:tcPr>
            <w:tcW w:w="430" w:type="dxa"/>
            <w:vMerge w:val="restart"/>
            <w:tcBorders>
              <w:bottom w:val="nil"/>
            </w:tcBorders>
            <w:textDirection w:val="tbRlV"/>
            <w:vAlign w:val="top"/>
          </w:tcPr>
          <w:p w14:paraId="024278AD">
            <w:pPr>
              <w:pStyle w:val="25"/>
              <w:spacing w:before="94" w:line="210" w:lineRule="auto"/>
              <w:ind w:left="282"/>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小计</w:t>
            </w:r>
          </w:p>
        </w:tc>
        <w:tc>
          <w:tcPr>
            <w:tcW w:w="1674" w:type="dxa"/>
            <w:gridSpan w:val="3"/>
            <w:vAlign w:val="top"/>
          </w:tcPr>
          <w:p w14:paraId="3F01C6D4">
            <w:pPr>
              <w:pStyle w:val="25"/>
              <w:spacing w:before="141" w:line="212" w:lineRule="auto"/>
              <w:ind w:left="574"/>
              <w:rPr>
                <w:rFonts w:hint="eastAsia" w:ascii="宋体" w:hAnsi="宋体" w:eastAsia="宋体" w:cs="宋体"/>
                <w:color w:val="auto"/>
                <w:sz w:val="22"/>
                <w:szCs w:val="22"/>
                <w:highlight w:val="none"/>
              </w:rPr>
            </w:pPr>
            <w:r>
              <w:rPr>
                <w:rFonts w:hint="eastAsia" w:ascii="宋体" w:hAnsi="宋体" w:eastAsia="宋体" w:cs="宋体"/>
                <w:color w:val="auto"/>
                <w:spacing w:val="-5"/>
                <w:sz w:val="22"/>
                <w:szCs w:val="22"/>
                <w:highlight w:val="none"/>
              </w:rPr>
              <w:t>其中</w:t>
            </w:r>
          </w:p>
        </w:tc>
        <w:tc>
          <w:tcPr>
            <w:tcW w:w="955" w:type="dxa"/>
            <w:vMerge w:val="continue"/>
            <w:tcBorders>
              <w:top w:val="nil"/>
              <w:bottom w:val="nil"/>
            </w:tcBorders>
            <w:vAlign w:val="top"/>
          </w:tcPr>
          <w:p w14:paraId="02047D6A">
            <w:pPr>
              <w:rPr>
                <w:rFonts w:hint="eastAsia" w:ascii="宋体" w:hAnsi="宋体" w:eastAsia="宋体" w:cs="宋体"/>
                <w:color w:val="auto"/>
                <w:sz w:val="21"/>
                <w:highlight w:val="none"/>
              </w:rPr>
            </w:pPr>
          </w:p>
        </w:tc>
      </w:tr>
      <w:tr w14:paraId="1A3D3F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38" w:hRule="atLeast"/>
        </w:trPr>
        <w:tc>
          <w:tcPr>
            <w:tcW w:w="818" w:type="dxa"/>
            <w:vMerge w:val="continue"/>
            <w:tcBorders>
              <w:top w:val="nil"/>
            </w:tcBorders>
            <w:vAlign w:val="top"/>
          </w:tcPr>
          <w:p w14:paraId="1709FFC0">
            <w:pPr>
              <w:rPr>
                <w:rFonts w:hint="eastAsia" w:ascii="宋体" w:hAnsi="宋体" w:eastAsia="宋体" w:cs="宋体"/>
                <w:color w:val="auto"/>
                <w:sz w:val="21"/>
                <w:highlight w:val="none"/>
              </w:rPr>
            </w:pPr>
          </w:p>
        </w:tc>
        <w:tc>
          <w:tcPr>
            <w:tcW w:w="1084" w:type="dxa"/>
            <w:vMerge w:val="continue"/>
            <w:tcBorders>
              <w:top w:val="nil"/>
            </w:tcBorders>
            <w:vAlign w:val="top"/>
          </w:tcPr>
          <w:p w14:paraId="1F58BF71">
            <w:pPr>
              <w:rPr>
                <w:rFonts w:hint="eastAsia" w:ascii="宋体" w:hAnsi="宋体" w:eastAsia="宋体" w:cs="宋体"/>
                <w:color w:val="auto"/>
                <w:sz w:val="21"/>
                <w:highlight w:val="none"/>
              </w:rPr>
            </w:pPr>
          </w:p>
        </w:tc>
        <w:tc>
          <w:tcPr>
            <w:tcW w:w="758" w:type="dxa"/>
            <w:vMerge w:val="continue"/>
            <w:tcBorders>
              <w:top w:val="nil"/>
            </w:tcBorders>
            <w:textDirection w:val="tbRlV"/>
            <w:vAlign w:val="top"/>
          </w:tcPr>
          <w:p w14:paraId="3E3D78AD">
            <w:pPr>
              <w:rPr>
                <w:rFonts w:hint="eastAsia" w:ascii="宋体" w:hAnsi="宋体" w:eastAsia="宋体" w:cs="宋体"/>
                <w:color w:val="auto"/>
                <w:sz w:val="21"/>
                <w:highlight w:val="none"/>
              </w:rPr>
            </w:pPr>
          </w:p>
        </w:tc>
        <w:tc>
          <w:tcPr>
            <w:tcW w:w="669" w:type="dxa"/>
            <w:vMerge w:val="continue"/>
            <w:tcBorders>
              <w:top w:val="nil"/>
            </w:tcBorders>
            <w:textDirection w:val="tbRlV"/>
            <w:vAlign w:val="top"/>
          </w:tcPr>
          <w:p w14:paraId="0F31DB8C">
            <w:pPr>
              <w:rPr>
                <w:rFonts w:hint="eastAsia" w:ascii="宋体" w:hAnsi="宋体" w:eastAsia="宋体" w:cs="宋体"/>
                <w:color w:val="auto"/>
                <w:sz w:val="21"/>
                <w:highlight w:val="none"/>
              </w:rPr>
            </w:pPr>
          </w:p>
        </w:tc>
        <w:tc>
          <w:tcPr>
            <w:tcW w:w="660" w:type="dxa"/>
            <w:vMerge w:val="continue"/>
            <w:tcBorders>
              <w:top w:val="nil"/>
            </w:tcBorders>
            <w:textDirection w:val="tbRlV"/>
            <w:vAlign w:val="top"/>
          </w:tcPr>
          <w:p w14:paraId="56BB6B8B">
            <w:pPr>
              <w:rPr>
                <w:rFonts w:hint="eastAsia" w:ascii="宋体" w:hAnsi="宋体" w:eastAsia="宋体" w:cs="宋体"/>
                <w:color w:val="auto"/>
                <w:sz w:val="21"/>
                <w:highlight w:val="none"/>
              </w:rPr>
            </w:pPr>
          </w:p>
        </w:tc>
        <w:tc>
          <w:tcPr>
            <w:tcW w:w="940" w:type="dxa"/>
            <w:vMerge w:val="continue"/>
            <w:tcBorders>
              <w:top w:val="nil"/>
            </w:tcBorders>
            <w:vAlign w:val="top"/>
          </w:tcPr>
          <w:p w14:paraId="2F48A04A">
            <w:pPr>
              <w:rPr>
                <w:rFonts w:hint="eastAsia" w:ascii="宋体" w:hAnsi="宋体" w:eastAsia="宋体" w:cs="宋体"/>
                <w:color w:val="auto"/>
                <w:sz w:val="21"/>
                <w:highlight w:val="none"/>
              </w:rPr>
            </w:pPr>
          </w:p>
        </w:tc>
        <w:tc>
          <w:tcPr>
            <w:tcW w:w="648" w:type="dxa"/>
            <w:vMerge w:val="continue"/>
            <w:tcBorders>
              <w:top w:val="nil"/>
            </w:tcBorders>
            <w:textDirection w:val="tbRlV"/>
            <w:vAlign w:val="top"/>
          </w:tcPr>
          <w:p w14:paraId="6543D3CD">
            <w:pPr>
              <w:rPr>
                <w:rFonts w:hint="eastAsia" w:ascii="宋体" w:hAnsi="宋体" w:eastAsia="宋体" w:cs="宋体"/>
                <w:color w:val="auto"/>
                <w:sz w:val="21"/>
                <w:highlight w:val="none"/>
              </w:rPr>
            </w:pPr>
          </w:p>
        </w:tc>
        <w:tc>
          <w:tcPr>
            <w:tcW w:w="430" w:type="dxa"/>
            <w:vMerge w:val="continue"/>
            <w:tcBorders>
              <w:top w:val="nil"/>
            </w:tcBorders>
            <w:textDirection w:val="tbRlV"/>
            <w:vAlign w:val="top"/>
          </w:tcPr>
          <w:p w14:paraId="07F6C0B0">
            <w:pPr>
              <w:rPr>
                <w:rFonts w:hint="eastAsia" w:ascii="宋体" w:hAnsi="宋体" w:eastAsia="宋体" w:cs="宋体"/>
                <w:color w:val="auto"/>
                <w:sz w:val="21"/>
                <w:highlight w:val="none"/>
              </w:rPr>
            </w:pPr>
          </w:p>
        </w:tc>
        <w:tc>
          <w:tcPr>
            <w:tcW w:w="557" w:type="dxa"/>
            <w:vAlign w:val="top"/>
          </w:tcPr>
          <w:p w14:paraId="2F577DA6">
            <w:pPr>
              <w:pStyle w:val="25"/>
              <w:spacing w:before="296" w:line="221" w:lineRule="auto"/>
              <w:ind w:left="115"/>
              <w:rPr>
                <w:rFonts w:hint="eastAsia" w:ascii="宋体" w:hAnsi="宋体" w:eastAsia="宋体" w:cs="宋体"/>
                <w:color w:val="auto"/>
                <w:sz w:val="22"/>
                <w:szCs w:val="22"/>
                <w:highlight w:val="none"/>
              </w:rPr>
            </w:pPr>
            <w:r>
              <w:rPr>
                <w:rFonts w:hint="eastAsia" w:ascii="宋体" w:hAnsi="宋体" w:eastAsia="宋体" w:cs="宋体"/>
                <w:color w:val="auto"/>
                <w:spacing w:val="-22"/>
                <w:sz w:val="22"/>
                <w:szCs w:val="22"/>
                <w:highlight w:val="none"/>
              </w:rPr>
              <w:t>自有</w:t>
            </w:r>
          </w:p>
        </w:tc>
        <w:tc>
          <w:tcPr>
            <w:tcW w:w="559" w:type="dxa"/>
            <w:vAlign w:val="top"/>
          </w:tcPr>
          <w:p w14:paraId="28673A9D">
            <w:pPr>
              <w:pStyle w:val="25"/>
              <w:spacing w:before="296" w:line="221" w:lineRule="auto"/>
              <w:ind w:left="82"/>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新购</w:t>
            </w:r>
          </w:p>
        </w:tc>
        <w:tc>
          <w:tcPr>
            <w:tcW w:w="558" w:type="dxa"/>
            <w:vAlign w:val="top"/>
          </w:tcPr>
          <w:p w14:paraId="5D2D3A0D">
            <w:pPr>
              <w:pStyle w:val="25"/>
              <w:spacing w:before="296" w:line="221" w:lineRule="auto"/>
              <w:ind w:left="83"/>
              <w:rPr>
                <w:rFonts w:hint="eastAsia" w:ascii="宋体" w:hAnsi="宋体" w:eastAsia="宋体" w:cs="宋体"/>
                <w:color w:val="auto"/>
                <w:sz w:val="22"/>
                <w:szCs w:val="22"/>
                <w:highlight w:val="none"/>
              </w:rPr>
            </w:pPr>
            <w:r>
              <w:rPr>
                <w:rFonts w:hint="eastAsia" w:ascii="宋体" w:hAnsi="宋体" w:eastAsia="宋体" w:cs="宋体"/>
                <w:color w:val="auto"/>
                <w:spacing w:val="-5"/>
                <w:sz w:val="22"/>
                <w:szCs w:val="22"/>
                <w:highlight w:val="none"/>
              </w:rPr>
              <w:t>租赁</w:t>
            </w:r>
          </w:p>
        </w:tc>
        <w:tc>
          <w:tcPr>
            <w:tcW w:w="955" w:type="dxa"/>
            <w:vMerge w:val="continue"/>
            <w:tcBorders>
              <w:top w:val="nil"/>
            </w:tcBorders>
            <w:vAlign w:val="top"/>
          </w:tcPr>
          <w:p w14:paraId="540D3ECA">
            <w:pPr>
              <w:rPr>
                <w:rFonts w:hint="eastAsia" w:ascii="宋体" w:hAnsi="宋体" w:eastAsia="宋体" w:cs="宋体"/>
                <w:color w:val="auto"/>
                <w:sz w:val="21"/>
                <w:highlight w:val="none"/>
              </w:rPr>
            </w:pPr>
          </w:p>
        </w:tc>
      </w:tr>
      <w:tr w14:paraId="317EF7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818" w:type="dxa"/>
            <w:vAlign w:val="top"/>
          </w:tcPr>
          <w:p w14:paraId="422D2DF4">
            <w:pPr>
              <w:rPr>
                <w:rFonts w:hint="eastAsia" w:ascii="宋体" w:hAnsi="宋体" w:eastAsia="宋体" w:cs="宋体"/>
                <w:color w:val="auto"/>
                <w:sz w:val="21"/>
                <w:highlight w:val="none"/>
              </w:rPr>
            </w:pPr>
          </w:p>
        </w:tc>
        <w:tc>
          <w:tcPr>
            <w:tcW w:w="1084" w:type="dxa"/>
            <w:vAlign w:val="top"/>
          </w:tcPr>
          <w:p w14:paraId="6FDFAEA4">
            <w:pPr>
              <w:rPr>
                <w:rFonts w:hint="eastAsia" w:ascii="宋体" w:hAnsi="宋体" w:eastAsia="宋体" w:cs="宋体"/>
                <w:color w:val="auto"/>
                <w:sz w:val="21"/>
                <w:highlight w:val="none"/>
              </w:rPr>
            </w:pPr>
          </w:p>
        </w:tc>
        <w:tc>
          <w:tcPr>
            <w:tcW w:w="758" w:type="dxa"/>
            <w:vAlign w:val="top"/>
          </w:tcPr>
          <w:p w14:paraId="4938CB2E">
            <w:pPr>
              <w:rPr>
                <w:rFonts w:hint="eastAsia" w:ascii="宋体" w:hAnsi="宋体" w:eastAsia="宋体" w:cs="宋体"/>
                <w:color w:val="auto"/>
                <w:sz w:val="21"/>
                <w:highlight w:val="none"/>
              </w:rPr>
            </w:pPr>
          </w:p>
        </w:tc>
        <w:tc>
          <w:tcPr>
            <w:tcW w:w="669" w:type="dxa"/>
            <w:vAlign w:val="top"/>
          </w:tcPr>
          <w:p w14:paraId="3F7346CE">
            <w:pPr>
              <w:rPr>
                <w:rFonts w:hint="eastAsia" w:ascii="宋体" w:hAnsi="宋体" w:eastAsia="宋体" w:cs="宋体"/>
                <w:color w:val="auto"/>
                <w:sz w:val="21"/>
                <w:highlight w:val="none"/>
              </w:rPr>
            </w:pPr>
          </w:p>
        </w:tc>
        <w:tc>
          <w:tcPr>
            <w:tcW w:w="660" w:type="dxa"/>
            <w:vAlign w:val="top"/>
          </w:tcPr>
          <w:p w14:paraId="79F93DEB">
            <w:pPr>
              <w:rPr>
                <w:rFonts w:hint="eastAsia" w:ascii="宋体" w:hAnsi="宋体" w:eastAsia="宋体" w:cs="宋体"/>
                <w:color w:val="auto"/>
                <w:sz w:val="21"/>
                <w:highlight w:val="none"/>
              </w:rPr>
            </w:pPr>
          </w:p>
        </w:tc>
        <w:tc>
          <w:tcPr>
            <w:tcW w:w="940" w:type="dxa"/>
            <w:vAlign w:val="top"/>
          </w:tcPr>
          <w:p w14:paraId="01BFD906">
            <w:pPr>
              <w:rPr>
                <w:rFonts w:hint="eastAsia" w:ascii="宋体" w:hAnsi="宋体" w:eastAsia="宋体" w:cs="宋体"/>
                <w:color w:val="auto"/>
                <w:sz w:val="21"/>
                <w:highlight w:val="none"/>
              </w:rPr>
            </w:pPr>
          </w:p>
        </w:tc>
        <w:tc>
          <w:tcPr>
            <w:tcW w:w="648" w:type="dxa"/>
            <w:vAlign w:val="top"/>
          </w:tcPr>
          <w:p w14:paraId="55D9EE0E">
            <w:pPr>
              <w:rPr>
                <w:rFonts w:hint="eastAsia" w:ascii="宋体" w:hAnsi="宋体" w:eastAsia="宋体" w:cs="宋体"/>
                <w:color w:val="auto"/>
                <w:sz w:val="21"/>
                <w:highlight w:val="none"/>
              </w:rPr>
            </w:pPr>
          </w:p>
        </w:tc>
        <w:tc>
          <w:tcPr>
            <w:tcW w:w="430" w:type="dxa"/>
            <w:vAlign w:val="top"/>
          </w:tcPr>
          <w:p w14:paraId="70F74740">
            <w:pPr>
              <w:rPr>
                <w:rFonts w:hint="eastAsia" w:ascii="宋体" w:hAnsi="宋体" w:eastAsia="宋体" w:cs="宋体"/>
                <w:color w:val="auto"/>
                <w:sz w:val="21"/>
                <w:highlight w:val="none"/>
              </w:rPr>
            </w:pPr>
          </w:p>
        </w:tc>
        <w:tc>
          <w:tcPr>
            <w:tcW w:w="557" w:type="dxa"/>
            <w:vAlign w:val="top"/>
          </w:tcPr>
          <w:p w14:paraId="5D616E1C">
            <w:pPr>
              <w:rPr>
                <w:rFonts w:hint="eastAsia" w:ascii="宋体" w:hAnsi="宋体" w:eastAsia="宋体" w:cs="宋体"/>
                <w:color w:val="auto"/>
                <w:sz w:val="21"/>
                <w:highlight w:val="none"/>
              </w:rPr>
            </w:pPr>
          </w:p>
        </w:tc>
        <w:tc>
          <w:tcPr>
            <w:tcW w:w="559" w:type="dxa"/>
            <w:vAlign w:val="top"/>
          </w:tcPr>
          <w:p w14:paraId="4F6425B7">
            <w:pPr>
              <w:rPr>
                <w:rFonts w:hint="eastAsia" w:ascii="宋体" w:hAnsi="宋体" w:eastAsia="宋体" w:cs="宋体"/>
                <w:color w:val="auto"/>
                <w:sz w:val="21"/>
                <w:highlight w:val="none"/>
              </w:rPr>
            </w:pPr>
          </w:p>
        </w:tc>
        <w:tc>
          <w:tcPr>
            <w:tcW w:w="558" w:type="dxa"/>
            <w:vAlign w:val="top"/>
          </w:tcPr>
          <w:p w14:paraId="444E144B">
            <w:pPr>
              <w:rPr>
                <w:rFonts w:hint="eastAsia" w:ascii="宋体" w:hAnsi="宋体" w:eastAsia="宋体" w:cs="宋体"/>
                <w:color w:val="auto"/>
                <w:sz w:val="21"/>
                <w:highlight w:val="none"/>
              </w:rPr>
            </w:pPr>
          </w:p>
        </w:tc>
        <w:tc>
          <w:tcPr>
            <w:tcW w:w="955" w:type="dxa"/>
            <w:vAlign w:val="top"/>
          </w:tcPr>
          <w:p w14:paraId="7CFA42AF">
            <w:pPr>
              <w:rPr>
                <w:rFonts w:hint="eastAsia" w:ascii="宋体" w:hAnsi="宋体" w:eastAsia="宋体" w:cs="宋体"/>
                <w:color w:val="auto"/>
                <w:sz w:val="21"/>
                <w:highlight w:val="none"/>
              </w:rPr>
            </w:pPr>
          </w:p>
        </w:tc>
      </w:tr>
      <w:tr w14:paraId="7511CA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818" w:type="dxa"/>
            <w:vAlign w:val="top"/>
          </w:tcPr>
          <w:p w14:paraId="49FA9EA0">
            <w:pPr>
              <w:rPr>
                <w:rFonts w:hint="eastAsia" w:ascii="宋体" w:hAnsi="宋体" w:eastAsia="宋体" w:cs="宋体"/>
                <w:color w:val="auto"/>
                <w:sz w:val="21"/>
                <w:highlight w:val="none"/>
              </w:rPr>
            </w:pPr>
          </w:p>
        </w:tc>
        <w:tc>
          <w:tcPr>
            <w:tcW w:w="1084" w:type="dxa"/>
            <w:vAlign w:val="top"/>
          </w:tcPr>
          <w:p w14:paraId="7D9E9290">
            <w:pPr>
              <w:rPr>
                <w:rFonts w:hint="eastAsia" w:ascii="宋体" w:hAnsi="宋体" w:eastAsia="宋体" w:cs="宋体"/>
                <w:color w:val="auto"/>
                <w:sz w:val="21"/>
                <w:highlight w:val="none"/>
              </w:rPr>
            </w:pPr>
          </w:p>
        </w:tc>
        <w:tc>
          <w:tcPr>
            <w:tcW w:w="758" w:type="dxa"/>
            <w:vAlign w:val="top"/>
          </w:tcPr>
          <w:p w14:paraId="1B19CB42">
            <w:pPr>
              <w:rPr>
                <w:rFonts w:hint="eastAsia" w:ascii="宋体" w:hAnsi="宋体" w:eastAsia="宋体" w:cs="宋体"/>
                <w:color w:val="auto"/>
                <w:sz w:val="21"/>
                <w:highlight w:val="none"/>
              </w:rPr>
            </w:pPr>
          </w:p>
        </w:tc>
        <w:tc>
          <w:tcPr>
            <w:tcW w:w="669" w:type="dxa"/>
            <w:vAlign w:val="top"/>
          </w:tcPr>
          <w:p w14:paraId="268FCA5C">
            <w:pPr>
              <w:rPr>
                <w:rFonts w:hint="eastAsia" w:ascii="宋体" w:hAnsi="宋体" w:eastAsia="宋体" w:cs="宋体"/>
                <w:color w:val="auto"/>
                <w:sz w:val="21"/>
                <w:highlight w:val="none"/>
              </w:rPr>
            </w:pPr>
          </w:p>
        </w:tc>
        <w:tc>
          <w:tcPr>
            <w:tcW w:w="660" w:type="dxa"/>
            <w:vAlign w:val="top"/>
          </w:tcPr>
          <w:p w14:paraId="791EB7A5">
            <w:pPr>
              <w:rPr>
                <w:rFonts w:hint="eastAsia" w:ascii="宋体" w:hAnsi="宋体" w:eastAsia="宋体" w:cs="宋体"/>
                <w:color w:val="auto"/>
                <w:sz w:val="21"/>
                <w:highlight w:val="none"/>
              </w:rPr>
            </w:pPr>
          </w:p>
        </w:tc>
        <w:tc>
          <w:tcPr>
            <w:tcW w:w="940" w:type="dxa"/>
            <w:vAlign w:val="top"/>
          </w:tcPr>
          <w:p w14:paraId="5C26207E">
            <w:pPr>
              <w:rPr>
                <w:rFonts w:hint="eastAsia" w:ascii="宋体" w:hAnsi="宋体" w:eastAsia="宋体" w:cs="宋体"/>
                <w:color w:val="auto"/>
                <w:sz w:val="21"/>
                <w:highlight w:val="none"/>
              </w:rPr>
            </w:pPr>
          </w:p>
        </w:tc>
        <w:tc>
          <w:tcPr>
            <w:tcW w:w="648" w:type="dxa"/>
            <w:vAlign w:val="top"/>
          </w:tcPr>
          <w:p w14:paraId="696DE3DB">
            <w:pPr>
              <w:rPr>
                <w:rFonts w:hint="eastAsia" w:ascii="宋体" w:hAnsi="宋体" w:eastAsia="宋体" w:cs="宋体"/>
                <w:color w:val="auto"/>
                <w:sz w:val="21"/>
                <w:highlight w:val="none"/>
              </w:rPr>
            </w:pPr>
          </w:p>
        </w:tc>
        <w:tc>
          <w:tcPr>
            <w:tcW w:w="430" w:type="dxa"/>
            <w:vAlign w:val="top"/>
          </w:tcPr>
          <w:p w14:paraId="2D4AB85A">
            <w:pPr>
              <w:rPr>
                <w:rFonts w:hint="eastAsia" w:ascii="宋体" w:hAnsi="宋体" w:eastAsia="宋体" w:cs="宋体"/>
                <w:color w:val="auto"/>
                <w:sz w:val="21"/>
                <w:highlight w:val="none"/>
              </w:rPr>
            </w:pPr>
          </w:p>
        </w:tc>
        <w:tc>
          <w:tcPr>
            <w:tcW w:w="557" w:type="dxa"/>
            <w:vAlign w:val="top"/>
          </w:tcPr>
          <w:p w14:paraId="097279A6">
            <w:pPr>
              <w:rPr>
                <w:rFonts w:hint="eastAsia" w:ascii="宋体" w:hAnsi="宋体" w:eastAsia="宋体" w:cs="宋体"/>
                <w:color w:val="auto"/>
                <w:sz w:val="21"/>
                <w:highlight w:val="none"/>
              </w:rPr>
            </w:pPr>
          </w:p>
        </w:tc>
        <w:tc>
          <w:tcPr>
            <w:tcW w:w="559" w:type="dxa"/>
            <w:vAlign w:val="top"/>
          </w:tcPr>
          <w:p w14:paraId="0FE07D82">
            <w:pPr>
              <w:rPr>
                <w:rFonts w:hint="eastAsia" w:ascii="宋体" w:hAnsi="宋体" w:eastAsia="宋体" w:cs="宋体"/>
                <w:color w:val="auto"/>
                <w:sz w:val="21"/>
                <w:highlight w:val="none"/>
              </w:rPr>
            </w:pPr>
          </w:p>
        </w:tc>
        <w:tc>
          <w:tcPr>
            <w:tcW w:w="558" w:type="dxa"/>
            <w:vAlign w:val="top"/>
          </w:tcPr>
          <w:p w14:paraId="624E8D0F">
            <w:pPr>
              <w:rPr>
                <w:rFonts w:hint="eastAsia" w:ascii="宋体" w:hAnsi="宋体" w:eastAsia="宋体" w:cs="宋体"/>
                <w:color w:val="auto"/>
                <w:sz w:val="21"/>
                <w:highlight w:val="none"/>
              </w:rPr>
            </w:pPr>
          </w:p>
        </w:tc>
        <w:tc>
          <w:tcPr>
            <w:tcW w:w="955" w:type="dxa"/>
            <w:vAlign w:val="top"/>
          </w:tcPr>
          <w:p w14:paraId="5FC31E4A">
            <w:pPr>
              <w:rPr>
                <w:rFonts w:hint="eastAsia" w:ascii="宋体" w:hAnsi="宋体" w:eastAsia="宋体" w:cs="宋体"/>
                <w:color w:val="auto"/>
                <w:sz w:val="21"/>
                <w:highlight w:val="none"/>
              </w:rPr>
            </w:pPr>
          </w:p>
        </w:tc>
      </w:tr>
      <w:tr w14:paraId="1C6A7F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818" w:type="dxa"/>
            <w:vAlign w:val="top"/>
          </w:tcPr>
          <w:p w14:paraId="2347389A">
            <w:pPr>
              <w:rPr>
                <w:rFonts w:hint="eastAsia" w:ascii="宋体" w:hAnsi="宋体" w:eastAsia="宋体" w:cs="宋体"/>
                <w:color w:val="auto"/>
                <w:sz w:val="21"/>
                <w:highlight w:val="none"/>
              </w:rPr>
            </w:pPr>
          </w:p>
        </w:tc>
        <w:tc>
          <w:tcPr>
            <w:tcW w:w="1084" w:type="dxa"/>
            <w:vAlign w:val="top"/>
          </w:tcPr>
          <w:p w14:paraId="4FACEEB5">
            <w:pPr>
              <w:rPr>
                <w:rFonts w:hint="eastAsia" w:ascii="宋体" w:hAnsi="宋体" w:eastAsia="宋体" w:cs="宋体"/>
                <w:color w:val="auto"/>
                <w:sz w:val="21"/>
                <w:highlight w:val="none"/>
              </w:rPr>
            </w:pPr>
          </w:p>
        </w:tc>
        <w:tc>
          <w:tcPr>
            <w:tcW w:w="758" w:type="dxa"/>
            <w:vAlign w:val="top"/>
          </w:tcPr>
          <w:p w14:paraId="1FC04A9E">
            <w:pPr>
              <w:rPr>
                <w:rFonts w:hint="eastAsia" w:ascii="宋体" w:hAnsi="宋体" w:eastAsia="宋体" w:cs="宋体"/>
                <w:color w:val="auto"/>
                <w:sz w:val="21"/>
                <w:highlight w:val="none"/>
              </w:rPr>
            </w:pPr>
          </w:p>
        </w:tc>
        <w:tc>
          <w:tcPr>
            <w:tcW w:w="669" w:type="dxa"/>
            <w:vAlign w:val="top"/>
          </w:tcPr>
          <w:p w14:paraId="7BE500B4">
            <w:pPr>
              <w:rPr>
                <w:rFonts w:hint="eastAsia" w:ascii="宋体" w:hAnsi="宋体" w:eastAsia="宋体" w:cs="宋体"/>
                <w:color w:val="auto"/>
                <w:sz w:val="21"/>
                <w:highlight w:val="none"/>
              </w:rPr>
            </w:pPr>
          </w:p>
        </w:tc>
        <w:tc>
          <w:tcPr>
            <w:tcW w:w="660" w:type="dxa"/>
            <w:vAlign w:val="top"/>
          </w:tcPr>
          <w:p w14:paraId="1FAA2895">
            <w:pPr>
              <w:rPr>
                <w:rFonts w:hint="eastAsia" w:ascii="宋体" w:hAnsi="宋体" w:eastAsia="宋体" w:cs="宋体"/>
                <w:color w:val="auto"/>
                <w:sz w:val="21"/>
                <w:highlight w:val="none"/>
              </w:rPr>
            </w:pPr>
          </w:p>
        </w:tc>
        <w:tc>
          <w:tcPr>
            <w:tcW w:w="940" w:type="dxa"/>
            <w:vAlign w:val="top"/>
          </w:tcPr>
          <w:p w14:paraId="63D392EA">
            <w:pPr>
              <w:rPr>
                <w:rFonts w:hint="eastAsia" w:ascii="宋体" w:hAnsi="宋体" w:eastAsia="宋体" w:cs="宋体"/>
                <w:color w:val="auto"/>
                <w:sz w:val="21"/>
                <w:highlight w:val="none"/>
              </w:rPr>
            </w:pPr>
          </w:p>
        </w:tc>
        <w:tc>
          <w:tcPr>
            <w:tcW w:w="648" w:type="dxa"/>
            <w:vAlign w:val="top"/>
          </w:tcPr>
          <w:p w14:paraId="7F8289D1">
            <w:pPr>
              <w:rPr>
                <w:rFonts w:hint="eastAsia" w:ascii="宋体" w:hAnsi="宋体" w:eastAsia="宋体" w:cs="宋体"/>
                <w:color w:val="auto"/>
                <w:sz w:val="21"/>
                <w:highlight w:val="none"/>
              </w:rPr>
            </w:pPr>
          </w:p>
        </w:tc>
        <w:tc>
          <w:tcPr>
            <w:tcW w:w="430" w:type="dxa"/>
            <w:vAlign w:val="top"/>
          </w:tcPr>
          <w:p w14:paraId="13FAEB2A">
            <w:pPr>
              <w:rPr>
                <w:rFonts w:hint="eastAsia" w:ascii="宋体" w:hAnsi="宋体" w:eastAsia="宋体" w:cs="宋体"/>
                <w:color w:val="auto"/>
                <w:sz w:val="21"/>
                <w:highlight w:val="none"/>
              </w:rPr>
            </w:pPr>
          </w:p>
        </w:tc>
        <w:tc>
          <w:tcPr>
            <w:tcW w:w="557" w:type="dxa"/>
            <w:vAlign w:val="top"/>
          </w:tcPr>
          <w:p w14:paraId="1309102A">
            <w:pPr>
              <w:rPr>
                <w:rFonts w:hint="eastAsia" w:ascii="宋体" w:hAnsi="宋体" w:eastAsia="宋体" w:cs="宋体"/>
                <w:color w:val="auto"/>
                <w:sz w:val="21"/>
                <w:highlight w:val="none"/>
              </w:rPr>
            </w:pPr>
          </w:p>
        </w:tc>
        <w:tc>
          <w:tcPr>
            <w:tcW w:w="559" w:type="dxa"/>
            <w:vAlign w:val="top"/>
          </w:tcPr>
          <w:p w14:paraId="20CA8887">
            <w:pPr>
              <w:rPr>
                <w:rFonts w:hint="eastAsia" w:ascii="宋体" w:hAnsi="宋体" w:eastAsia="宋体" w:cs="宋体"/>
                <w:color w:val="auto"/>
                <w:sz w:val="21"/>
                <w:highlight w:val="none"/>
              </w:rPr>
            </w:pPr>
          </w:p>
        </w:tc>
        <w:tc>
          <w:tcPr>
            <w:tcW w:w="558" w:type="dxa"/>
            <w:vAlign w:val="top"/>
          </w:tcPr>
          <w:p w14:paraId="3847CCE1">
            <w:pPr>
              <w:rPr>
                <w:rFonts w:hint="eastAsia" w:ascii="宋体" w:hAnsi="宋体" w:eastAsia="宋体" w:cs="宋体"/>
                <w:color w:val="auto"/>
                <w:sz w:val="21"/>
                <w:highlight w:val="none"/>
              </w:rPr>
            </w:pPr>
          </w:p>
        </w:tc>
        <w:tc>
          <w:tcPr>
            <w:tcW w:w="955" w:type="dxa"/>
            <w:vAlign w:val="top"/>
          </w:tcPr>
          <w:p w14:paraId="3012E5C9">
            <w:pPr>
              <w:rPr>
                <w:rFonts w:hint="eastAsia" w:ascii="宋体" w:hAnsi="宋体" w:eastAsia="宋体" w:cs="宋体"/>
                <w:color w:val="auto"/>
                <w:sz w:val="21"/>
                <w:highlight w:val="none"/>
              </w:rPr>
            </w:pPr>
          </w:p>
        </w:tc>
      </w:tr>
      <w:tr w14:paraId="61261C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818" w:type="dxa"/>
            <w:vAlign w:val="top"/>
          </w:tcPr>
          <w:p w14:paraId="0CB76E38">
            <w:pPr>
              <w:rPr>
                <w:rFonts w:hint="eastAsia" w:ascii="宋体" w:hAnsi="宋体" w:eastAsia="宋体" w:cs="宋体"/>
                <w:color w:val="auto"/>
                <w:sz w:val="21"/>
                <w:highlight w:val="none"/>
              </w:rPr>
            </w:pPr>
          </w:p>
        </w:tc>
        <w:tc>
          <w:tcPr>
            <w:tcW w:w="1084" w:type="dxa"/>
            <w:vAlign w:val="top"/>
          </w:tcPr>
          <w:p w14:paraId="7BF62697">
            <w:pPr>
              <w:rPr>
                <w:rFonts w:hint="eastAsia" w:ascii="宋体" w:hAnsi="宋体" w:eastAsia="宋体" w:cs="宋体"/>
                <w:color w:val="auto"/>
                <w:sz w:val="21"/>
                <w:highlight w:val="none"/>
              </w:rPr>
            </w:pPr>
          </w:p>
        </w:tc>
        <w:tc>
          <w:tcPr>
            <w:tcW w:w="758" w:type="dxa"/>
            <w:vAlign w:val="top"/>
          </w:tcPr>
          <w:p w14:paraId="2A7EFA78">
            <w:pPr>
              <w:rPr>
                <w:rFonts w:hint="eastAsia" w:ascii="宋体" w:hAnsi="宋体" w:eastAsia="宋体" w:cs="宋体"/>
                <w:color w:val="auto"/>
                <w:sz w:val="21"/>
                <w:highlight w:val="none"/>
              </w:rPr>
            </w:pPr>
          </w:p>
        </w:tc>
        <w:tc>
          <w:tcPr>
            <w:tcW w:w="669" w:type="dxa"/>
            <w:vAlign w:val="top"/>
          </w:tcPr>
          <w:p w14:paraId="14E5E1F8">
            <w:pPr>
              <w:rPr>
                <w:rFonts w:hint="eastAsia" w:ascii="宋体" w:hAnsi="宋体" w:eastAsia="宋体" w:cs="宋体"/>
                <w:color w:val="auto"/>
                <w:sz w:val="21"/>
                <w:highlight w:val="none"/>
              </w:rPr>
            </w:pPr>
          </w:p>
        </w:tc>
        <w:tc>
          <w:tcPr>
            <w:tcW w:w="660" w:type="dxa"/>
            <w:vAlign w:val="top"/>
          </w:tcPr>
          <w:p w14:paraId="1A88AE53">
            <w:pPr>
              <w:rPr>
                <w:rFonts w:hint="eastAsia" w:ascii="宋体" w:hAnsi="宋体" w:eastAsia="宋体" w:cs="宋体"/>
                <w:color w:val="auto"/>
                <w:sz w:val="21"/>
                <w:highlight w:val="none"/>
              </w:rPr>
            </w:pPr>
          </w:p>
        </w:tc>
        <w:tc>
          <w:tcPr>
            <w:tcW w:w="940" w:type="dxa"/>
            <w:vAlign w:val="top"/>
          </w:tcPr>
          <w:p w14:paraId="06B305C6">
            <w:pPr>
              <w:rPr>
                <w:rFonts w:hint="eastAsia" w:ascii="宋体" w:hAnsi="宋体" w:eastAsia="宋体" w:cs="宋体"/>
                <w:color w:val="auto"/>
                <w:sz w:val="21"/>
                <w:highlight w:val="none"/>
              </w:rPr>
            </w:pPr>
          </w:p>
        </w:tc>
        <w:tc>
          <w:tcPr>
            <w:tcW w:w="648" w:type="dxa"/>
            <w:vAlign w:val="top"/>
          </w:tcPr>
          <w:p w14:paraId="12D45751">
            <w:pPr>
              <w:rPr>
                <w:rFonts w:hint="eastAsia" w:ascii="宋体" w:hAnsi="宋体" w:eastAsia="宋体" w:cs="宋体"/>
                <w:color w:val="auto"/>
                <w:sz w:val="21"/>
                <w:highlight w:val="none"/>
              </w:rPr>
            </w:pPr>
          </w:p>
        </w:tc>
        <w:tc>
          <w:tcPr>
            <w:tcW w:w="430" w:type="dxa"/>
            <w:vAlign w:val="top"/>
          </w:tcPr>
          <w:p w14:paraId="2BEE6C7D">
            <w:pPr>
              <w:rPr>
                <w:rFonts w:hint="eastAsia" w:ascii="宋体" w:hAnsi="宋体" w:eastAsia="宋体" w:cs="宋体"/>
                <w:color w:val="auto"/>
                <w:sz w:val="21"/>
                <w:highlight w:val="none"/>
              </w:rPr>
            </w:pPr>
          </w:p>
        </w:tc>
        <w:tc>
          <w:tcPr>
            <w:tcW w:w="557" w:type="dxa"/>
            <w:vAlign w:val="top"/>
          </w:tcPr>
          <w:p w14:paraId="586366F9">
            <w:pPr>
              <w:rPr>
                <w:rFonts w:hint="eastAsia" w:ascii="宋体" w:hAnsi="宋体" w:eastAsia="宋体" w:cs="宋体"/>
                <w:color w:val="auto"/>
                <w:sz w:val="21"/>
                <w:highlight w:val="none"/>
              </w:rPr>
            </w:pPr>
          </w:p>
        </w:tc>
        <w:tc>
          <w:tcPr>
            <w:tcW w:w="559" w:type="dxa"/>
            <w:vAlign w:val="top"/>
          </w:tcPr>
          <w:p w14:paraId="19A05B27">
            <w:pPr>
              <w:rPr>
                <w:rFonts w:hint="eastAsia" w:ascii="宋体" w:hAnsi="宋体" w:eastAsia="宋体" w:cs="宋体"/>
                <w:color w:val="auto"/>
                <w:sz w:val="21"/>
                <w:highlight w:val="none"/>
              </w:rPr>
            </w:pPr>
          </w:p>
        </w:tc>
        <w:tc>
          <w:tcPr>
            <w:tcW w:w="558" w:type="dxa"/>
            <w:vAlign w:val="top"/>
          </w:tcPr>
          <w:p w14:paraId="21E4DFC4">
            <w:pPr>
              <w:rPr>
                <w:rFonts w:hint="eastAsia" w:ascii="宋体" w:hAnsi="宋体" w:eastAsia="宋体" w:cs="宋体"/>
                <w:color w:val="auto"/>
                <w:sz w:val="21"/>
                <w:highlight w:val="none"/>
              </w:rPr>
            </w:pPr>
          </w:p>
        </w:tc>
        <w:tc>
          <w:tcPr>
            <w:tcW w:w="955" w:type="dxa"/>
            <w:vAlign w:val="top"/>
          </w:tcPr>
          <w:p w14:paraId="4C7F84B7">
            <w:pPr>
              <w:rPr>
                <w:rFonts w:hint="eastAsia" w:ascii="宋体" w:hAnsi="宋体" w:eastAsia="宋体" w:cs="宋体"/>
                <w:color w:val="auto"/>
                <w:sz w:val="21"/>
                <w:highlight w:val="none"/>
              </w:rPr>
            </w:pPr>
          </w:p>
        </w:tc>
      </w:tr>
      <w:tr w14:paraId="1DB8D9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818" w:type="dxa"/>
            <w:vAlign w:val="top"/>
          </w:tcPr>
          <w:p w14:paraId="5CB432F3">
            <w:pPr>
              <w:rPr>
                <w:rFonts w:hint="eastAsia" w:ascii="宋体" w:hAnsi="宋体" w:eastAsia="宋体" w:cs="宋体"/>
                <w:color w:val="auto"/>
                <w:sz w:val="21"/>
                <w:highlight w:val="none"/>
              </w:rPr>
            </w:pPr>
          </w:p>
        </w:tc>
        <w:tc>
          <w:tcPr>
            <w:tcW w:w="1084" w:type="dxa"/>
            <w:vAlign w:val="top"/>
          </w:tcPr>
          <w:p w14:paraId="35E30B0B">
            <w:pPr>
              <w:rPr>
                <w:rFonts w:hint="eastAsia" w:ascii="宋体" w:hAnsi="宋体" w:eastAsia="宋体" w:cs="宋体"/>
                <w:color w:val="auto"/>
                <w:sz w:val="21"/>
                <w:highlight w:val="none"/>
              </w:rPr>
            </w:pPr>
          </w:p>
        </w:tc>
        <w:tc>
          <w:tcPr>
            <w:tcW w:w="758" w:type="dxa"/>
            <w:vAlign w:val="top"/>
          </w:tcPr>
          <w:p w14:paraId="135BD3AF">
            <w:pPr>
              <w:rPr>
                <w:rFonts w:hint="eastAsia" w:ascii="宋体" w:hAnsi="宋体" w:eastAsia="宋体" w:cs="宋体"/>
                <w:color w:val="auto"/>
                <w:sz w:val="21"/>
                <w:highlight w:val="none"/>
              </w:rPr>
            </w:pPr>
          </w:p>
        </w:tc>
        <w:tc>
          <w:tcPr>
            <w:tcW w:w="669" w:type="dxa"/>
            <w:vAlign w:val="top"/>
          </w:tcPr>
          <w:p w14:paraId="4159F1C4">
            <w:pPr>
              <w:rPr>
                <w:rFonts w:hint="eastAsia" w:ascii="宋体" w:hAnsi="宋体" w:eastAsia="宋体" w:cs="宋体"/>
                <w:color w:val="auto"/>
                <w:sz w:val="21"/>
                <w:highlight w:val="none"/>
              </w:rPr>
            </w:pPr>
          </w:p>
        </w:tc>
        <w:tc>
          <w:tcPr>
            <w:tcW w:w="660" w:type="dxa"/>
            <w:vAlign w:val="top"/>
          </w:tcPr>
          <w:p w14:paraId="24233F73">
            <w:pPr>
              <w:rPr>
                <w:rFonts w:hint="eastAsia" w:ascii="宋体" w:hAnsi="宋体" w:eastAsia="宋体" w:cs="宋体"/>
                <w:color w:val="auto"/>
                <w:sz w:val="21"/>
                <w:highlight w:val="none"/>
              </w:rPr>
            </w:pPr>
          </w:p>
        </w:tc>
        <w:tc>
          <w:tcPr>
            <w:tcW w:w="940" w:type="dxa"/>
            <w:vAlign w:val="top"/>
          </w:tcPr>
          <w:p w14:paraId="3E25B173">
            <w:pPr>
              <w:rPr>
                <w:rFonts w:hint="eastAsia" w:ascii="宋体" w:hAnsi="宋体" w:eastAsia="宋体" w:cs="宋体"/>
                <w:color w:val="auto"/>
                <w:sz w:val="21"/>
                <w:highlight w:val="none"/>
              </w:rPr>
            </w:pPr>
          </w:p>
        </w:tc>
        <w:tc>
          <w:tcPr>
            <w:tcW w:w="648" w:type="dxa"/>
            <w:vAlign w:val="top"/>
          </w:tcPr>
          <w:p w14:paraId="1869864A">
            <w:pPr>
              <w:rPr>
                <w:rFonts w:hint="eastAsia" w:ascii="宋体" w:hAnsi="宋体" w:eastAsia="宋体" w:cs="宋体"/>
                <w:color w:val="auto"/>
                <w:sz w:val="21"/>
                <w:highlight w:val="none"/>
              </w:rPr>
            </w:pPr>
          </w:p>
        </w:tc>
        <w:tc>
          <w:tcPr>
            <w:tcW w:w="430" w:type="dxa"/>
            <w:vAlign w:val="top"/>
          </w:tcPr>
          <w:p w14:paraId="57D29EAB">
            <w:pPr>
              <w:rPr>
                <w:rFonts w:hint="eastAsia" w:ascii="宋体" w:hAnsi="宋体" w:eastAsia="宋体" w:cs="宋体"/>
                <w:color w:val="auto"/>
                <w:sz w:val="21"/>
                <w:highlight w:val="none"/>
              </w:rPr>
            </w:pPr>
          </w:p>
        </w:tc>
        <w:tc>
          <w:tcPr>
            <w:tcW w:w="557" w:type="dxa"/>
            <w:vAlign w:val="top"/>
          </w:tcPr>
          <w:p w14:paraId="4A6E1182">
            <w:pPr>
              <w:rPr>
                <w:rFonts w:hint="eastAsia" w:ascii="宋体" w:hAnsi="宋体" w:eastAsia="宋体" w:cs="宋体"/>
                <w:color w:val="auto"/>
                <w:sz w:val="21"/>
                <w:highlight w:val="none"/>
              </w:rPr>
            </w:pPr>
          </w:p>
        </w:tc>
        <w:tc>
          <w:tcPr>
            <w:tcW w:w="559" w:type="dxa"/>
            <w:vAlign w:val="top"/>
          </w:tcPr>
          <w:p w14:paraId="5BF6ED69">
            <w:pPr>
              <w:rPr>
                <w:rFonts w:hint="eastAsia" w:ascii="宋体" w:hAnsi="宋体" w:eastAsia="宋体" w:cs="宋体"/>
                <w:color w:val="auto"/>
                <w:sz w:val="21"/>
                <w:highlight w:val="none"/>
              </w:rPr>
            </w:pPr>
          </w:p>
        </w:tc>
        <w:tc>
          <w:tcPr>
            <w:tcW w:w="558" w:type="dxa"/>
            <w:vAlign w:val="top"/>
          </w:tcPr>
          <w:p w14:paraId="4A3B0183">
            <w:pPr>
              <w:rPr>
                <w:rFonts w:hint="eastAsia" w:ascii="宋体" w:hAnsi="宋体" w:eastAsia="宋体" w:cs="宋体"/>
                <w:color w:val="auto"/>
                <w:sz w:val="21"/>
                <w:highlight w:val="none"/>
              </w:rPr>
            </w:pPr>
          </w:p>
        </w:tc>
        <w:tc>
          <w:tcPr>
            <w:tcW w:w="955" w:type="dxa"/>
            <w:vAlign w:val="top"/>
          </w:tcPr>
          <w:p w14:paraId="2019693E">
            <w:pPr>
              <w:rPr>
                <w:rFonts w:hint="eastAsia" w:ascii="宋体" w:hAnsi="宋体" w:eastAsia="宋体" w:cs="宋体"/>
                <w:color w:val="auto"/>
                <w:sz w:val="21"/>
                <w:highlight w:val="none"/>
              </w:rPr>
            </w:pPr>
          </w:p>
        </w:tc>
      </w:tr>
      <w:tr w14:paraId="70E6AB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818" w:type="dxa"/>
            <w:vAlign w:val="top"/>
          </w:tcPr>
          <w:p w14:paraId="4DAD1AA5">
            <w:pPr>
              <w:rPr>
                <w:rFonts w:hint="eastAsia" w:ascii="宋体" w:hAnsi="宋体" w:eastAsia="宋体" w:cs="宋体"/>
                <w:color w:val="auto"/>
                <w:sz w:val="21"/>
                <w:highlight w:val="none"/>
              </w:rPr>
            </w:pPr>
          </w:p>
        </w:tc>
        <w:tc>
          <w:tcPr>
            <w:tcW w:w="1084" w:type="dxa"/>
            <w:vAlign w:val="top"/>
          </w:tcPr>
          <w:p w14:paraId="34CAA729">
            <w:pPr>
              <w:rPr>
                <w:rFonts w:hint="eastAsia" w:ascii="宋体" w:hAnsi="宋体" w:eastAsia="宋体" w:cs="宋体"/>
                <w:color w:val="auto"/>
                <w:sz w:val="21"/>
                <w:highlight w:val="none"/>
              </w:rPr>
            </w:pPr>
          </w:p>
        </w:tc>
        <w:tc>
          <w:tcPr>
            <w:tcW w:w="758" w:type="dxa"/>
            <w:vAlign w:val="top"/>
          </w:tcPr>
          <w:p w14:paraId="19519225">
            <w:pPr>
              <w:rPr>
                <w:rFonts w:hint="eastAsia" w:ascii="宋体" w:hAnsi="宋体" w:eastAsia="宋体" w:cs="宋体"/>
                <w:color w:val="auto"/>
                <w:sz w:val="21"/>
                <w:highlight w:val="none"/>
              </w:rPr>
            </w:pPr>
          </w:p>
        </w:tc>
        <w:tc>
          <w:tcPr>
            <w:tcW w:w="669" w:type="dxa"/>
            <w:vAlign w:val="top"/>
          </w:tcPr>
          <w:p w14:paraId="0F24CA40">
            <w:pPr>
              <w:rPr>
                <w:rFonts w:hint="eastAsia" w:ascii="宋体" w:hAnsi="宋体" w:eastAsia="宋体" w:cs="宋体"/>
                <w:color w:val="auto"/>
                <w:sz w:val="21"/>
                <w:highlight w:val="none"/>
              </w:rPr>
            </w:pPr>
          </w:p>
        </w:tc>
        <w:tc>
          <w:tcPr>
            <w:tcW w:w="660" w:type="dxa"/>
            <w:vAlign w:val="top"/>
          </w:tcPr>
          <w:p w14:paraId="23D5DC51">
            <w:pPr>
              <w:rPr>
                <w:rFonts w:hint="eastAsia" w:ascii="宋体" w:hAnsi="宋体" w:eastAsia="宋体" w:cs="宋体"/>
                <w:color w:val="auto"/>
                <w:sz w:val="21"/>
                <w:highlight w:val="none"/>
              </w:rPr>
            </w:pPr>
          </w:p>
        </w:tc>
        <w:tc>
          <w:tcPr>
            <w:tcW w:w="940" w:type="dxa"/>
            <w:vAlign w:val="top"/>
          </w:tcPr>
          <w:p w14:paraId="3E3BE0A2">
            <w:pPr>
              <w:rPr>
                <w:rFonts w:hint="eastAsia" w:ascii="宋体" w:hAnsi="宋体" w:eastAsia="宋体" w:cs="宋体"/>
                <w:color w:val="auto"/>
                <w:sz w:val="21"/>
                <w:highlight w:val="none"/>
              </w:rPr>
            </w:pPr>
          </w:p>
        </w:tc>
        <w:tc>
          <w:tcPr>
            <w:tcW w:w="648" w:type="dxa"/>
            <w:vAlign w:val="top"/>
          </w:tcPr>
          <w:p w14:paraId="723310FB">
            <w:pPr>
              <w:rPr>
                <w:rFonts w:hint="eastAsia" w:ascii="宋体" w:hAnsi="宋体" w:eastAsia="宋体" w:cs="宋体"/>
                <w:color w:val="auto"/>
                <w:sz w:val="21"/>
                <w:highlight w:val="none"/>
              </w:rPr>
            </w:pPr>
          </w:p>
        </w:tc>
        <w:tc>
          <w:tcPr>
            <w:tcW w:w="430" w:type="dxa"/>
            <w:vAlign w:val="top"/>
          </w:tcPr>
          <w:p w14:paraId="74A4679B">
            <w:pPr>
              <w:rPr>
                <w:rFonts w:hint="eastAsia" w:ascii="宋体" w:hAnsi="宋体" w:eastAsia="宋体" w:cs="宋体"/>
                <w:color w:val="auto"/>
                <w:sz w:val="21"/>
                <w:highlight w:val="none"/>
              </w:rPr>
            </w:pPr>
          </w:p>
        </w:tc>
        <w:tc>
          <w:tcPr>
            <w:tcW w:w="557" w:type="dxa"/>
            <w:vAlign w:val="top"/>
          </w:tcPr>
          <w:p w14:paraId="5F361D67">
            <w:pPr>
              <w:rPr>
                <w:rFonts w:hint="eastAsia" w:ascii="宋体" w:hAnsi="宋体" w:eastAsia="宋体" w:cs="宋体"/>
                <w:color w:val="auto"/>
                <w:sz w:val="21"/>
                <w:highlight w:val="none"/>
              </w:rPr>
            </w:pPr>
          </w:p>
        </w:tc>
        <w:tc>
          <w:tcPr>
            <w:tcW w:w="559" w:type="dxa"/>
            <w:vAlign w:val="top"/>
          </w:tcPr>
          <w:p w14:paraId="3AE090CB">
            <w:pPr>
              <w:rPr>
                <w:rFonts w:hint="eastAsia" w:ascii="宋体" w:hAnsi="宋体" w:eastAsia="宋体" w:cs="宋体"/>
                <w:color w:val="auto"/>
                <w:sz w:val="21"/>
                <w:highlight w:val="none"/>
              </w:rPr>
            </w:pPr>
          </w:p>
        </w:tc>
        <w:tc>
          <w:tcPr>
            <w:tcW w:w="558" w:type="dxa"/>
            <w:vAlign w:val="top"/>
          </w:tcPr>
          <w:p w14:paraId="4B3695AD">
            <w:pPr>
              <w:rPr>
                <w:rFonts w:hint="eastAsia" w:ascii="宋体" w:hAnsi="宋体" w:eastAsia="宋体" w:cs="宋体"/>
                <w:color w:val="auto"/>
                <w:sz w:val="21"/>
                <w:highlight w:val="none"/>
              </w:rPr>
            </w:pPr>
          </w:p>
        </w:tc>
        <w:tc>
          <w:tcPr>
            <w:tcW w:w="955" w:type="dxa"/>
            <w:vAlign w:val="top"/>
          </w:tcPr>
          <w:p w14:paraId="6961D182">
            <w:pPr>
              <w:rPr>
                <w:rFonts w:hint="eastAsia" w:ascii="宋体" w:hAnsi="宋体" w:eastAsia="宋体" w:cs="宋体"/>
                <w:color w:val="auto"/>
                <w:sz w:val="21"/>
                <w:highlight w:val="none"/>
              </w:rPr>
            </w:pPr>
          </w:p>
        </w:tc>
      </w:tr>
      <w:tr w14:paraId="71DB1B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818" w:type="dxa"/>
            <w:vAlign w:val="top"/>
          </w:tcPr>
          <w:p w14:paraId="58B57A4A">
            <w:pPr>
              <w:rPr>
                <w:rFonts w:hint="eastAsia" w:ascii="宋体" w:hAnsi="宋体" w:eastAsia="宋体" w:cs="宋体"/>
                <w:color w:val="auto"/>
                <w:sz w:val="21"/>
                <w:highlight w:val="none"/>
              </w:rPr>
            </w:pPr>
          </w:p>
        </w:tc>
        <w:tc>
          <w:tcPr>
            <w:tcW w:w="1084" w:type="dxa"/>
            <w:vAlign w:val="top"/>
          </w:tcPr>
          <w:p w14:paraId="513762FF">
            <w:pPr>
              <w:rPr>
                <w:rFonts w:hint="eastAsia" w:ascii="宋体" w:hAnsi="宋体" w:eastAsia="宋体" w:cs="宋体"/>
                <w:color w:val="auto"/>
                <w:sz w:val="21"/>
                <w:highlight w:val="none"/>
              </w:rPr>
            </w:pPr>
          </w:p>
        </w:tc>
        <w:tc>
          <w:tcPr>
            <w:tcW w:w="758" w:type="dxa"/>
            <w:vAlign w:val="top"/>
          </w:tcPr>
          <w:p w14:paraId="3D07B796">
            <w:pPr>
              <w:rPr>
                <w:rFonts w:hint="eastAsia" w:ascii="宋体" w:hAnsi="宋体" w:eastAsia="宋体" w:cs="宋体"/>
                <w:color w:val="auto"/>
                <w:sz w:val="21"/>
                <w:highlight w:val="none"/>
              </w:rPr>
            </w:pPr>
          </w:p>
        </w:tc>
        <w:tc>
          <w:tcPr>
            <w:tcW w:w="669" w:type="dxa"/>
            <w:vAlign w:val="top"/>
          </w:tcPr>
          <w:p w14:paraId="756AFC0B">
            <w:pPr>
              <w:rPr>
                <w:rFonts w:hint="eastAsia" w:ascii="宋体" w:hAnsi="宋体" w:eastAsia="宋体" w:cs="宋体"/>
                <w:color w:val="auto"/>
                <w:sz w:val="21"/>
                <w:highlight w:val="none"/>
              </w:rPr>
            </w:pPr>
          </w:p>
        </w:tc>
        <w:tc>
          <w:tcPr>
            <w:tcW w:w="660" w:type="dxa"/>
            <w:vAlign w:val="top"/>
          </w:tcPr>
          <w:p w14:paraId="5AD407D8">
            <w:pPr>
              <w:rPr>
                <w:rFonts w:hint="eastAsia" w:ascii="宋体" w:hAnsi="宋体" w:eastAsia="宋体" w:cs="宋体"/>
                <w:color w:val="auto"/>
                <w:sz w:val="21"/>
                <w:highlight w:val="none"/>
              </w:rPr>
            </w:pPr>
          </w:p>
        </w:tc>
        <w:tc>
          <w:tcPr>
            <w:tcW w:w="940" w:type="dxa"/>
            <w:vAlign w:val="top"/>
          </w:tcPr>
          <w:p w14:paraId="1C0A49FF">
            <w:pPr>
              <w:rPr>
                <w:rFonts w:hint="eastAsia" w:ascii="宋体" w:hAnsi="宋体" w:eastAsia="宋体" w:cs="宋体"/>
                <w:color w:val="auto"/>
                <w:sz w:val="21"/>
                <w:highlight w:val="none"/>
              </w:rPr>
            </w:pPr>
          </w:p>
        </w:tc>
        <w:tc>
          <w:tcPr>
            <w:tcW w:w="648" w:type="dxa"/>
            <w:vAlign w:val="top"/>
          </w:tcPr>
          <w:p w14:paraId="2E9DF51C">
            <w:pPr>
              <w:rPr>
                <w:rFonts w:hint="eastAsia" w:ascii="宋体" w:hAnsi="宋体" w:eastAsia="宋体" w:cs="宋体"/>
                <w:color w:val="auto"/>
                <w:sz w:val="21"/>
                <w:highlight w:val="none"/>
              </w:rPr>
            </w:pPr>
          </w:p>
        </w:tc>
        <w:tc>
          <w:tcPr>
            <w:tcW w:w="430" w:type="dxa"/>
            <w:vAlign w:val="top"/>
          </w:tcPr>
          <w:p w14:paraId="01BFDEA3">
            <w:pPr>
              <w:rPr>
                <w:rFonts w:hint="eastAsia" w:ascii="宋体" w:hAnsi="宋体" w:eastAsia="宋体" w:cs="宋体"/>
                <w:color w:val="auto"/>
                <w:sz w:val="21"/>
                <w:highlight w:val="none"/>
              </w:rPr>
            </w:pPr>
          </w:p>
        </w:tc>
        <w:tc>
          <w:tcPr>
            <w:tcW w:w="557" w:type="dxa"/>
            <w:vAlign w:val="top"/>
          </w:tcPr>
          <w:p w14:paraId="1871C99F">
            <w:pPr>
              <w:rPr>
                <w:rFonts w:hint="eastAsia" w:ascii="宋体" w:hAnsi="宋体" w:eastAsia="宋体" w:cs="宋体"/>
                <w:color w:val="auto"/>
                <w:sz w:val="21"/>
                <w:highlight w:val="none"/>
              </w:rPr>
            </w:pPr>
          </w:p>
        </w:tc>
        <w:tc>
          <w:tcPr>
            <w:tcW w:w="559" w:type="dxa"/>
            <w:vAlign w:val="top"/>
          </w:tcPr>
          <w:p w14:paraId="1F6AED4C">
            <w:pPr>
              <w:rPr>
                <w:rFonts w:hint="eastAsia" w:ascii="宋体" w:hAnsi="宋体" w:eastAsia="宋体" w:cs="宋体"/>
                <w:color w:val="auto"/>
                <w:sz w:val="21"/>
                <w:highlight w:val="none"/>
              </w:rPr>
            </w:pPr>
          </w:p>
        </w:tc>
        <w:tc>
          <w:tcPr>
            <w:tcW w:w="558" w:type="dxa"/>
            <w:vAlign w:val="top"/>
          </w:tcPr>
          <w:p w14:paraId="62F97C71">
            <w:pPr>
              <w:rPr>
                <w:rFonts w:hint="eastAsia" w:ascii="宋体" w:hAnsi="宋体" w:eastAsia="宋体" w:cs="宋体"/>
                <w:color w:val="auto"/>
                <w:sz w:val="21"/>
                <w:highlight w:val="none"/>
              </w:rPr>
            </w:pPr>
          </w:p>
        </w:tc>
        <w:tc>
          <w:tcPr>
            <w:tcW w:w="955" w:type="dxa"/>
            <w:vAlign w:val="top"/>
          </w:tcPr>
          <w:p w14:paraId="20C0D2F4">
            <w:pPr>
              <w:rPr>
                <w:rFonts w:hint="eastAsia" w:ascii="宋体" w:hAnsi="宋体" w:eastAsia="宋体" w:cs="宋体"/>
                <w:color w:val="auto"/>
                <w:sz w:val="21"/>
                <w:highlight w:val="none"/>
              </w:rPr>
            </w:pPr>
          </w:p>
        </w:tc>
      </w:tr>
      <w:tr w14:paraId="5BF2D9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818" w:type="dxa"/>
            <w:vAlign w:val="top"/>
          </w:tcPr>
          <w:p w14:paraId="5F77FA52">
            <w:pPr>
              <w:rPr>
                <w:rFonts w:hint="eastAsia" w:ascii="宋体" w:hAnsi="宋体" w:eastAsia="宋体" w:cs="宋体"/>
                <w:color w:val="auto"/>
                <w:sz w:val="21"/>
                <w:highlight w:val="none"/>
              </w:rPr>
            </w:pPr>
          </w:p>
        </w:tc>
        <w:tc>
          <w:tcPr>
            <w:tcW w:w="1084" w:type="dxa"/>
            <w:vAlign w:val="top"/>
          </w:tcPr>
          <w:p w14:paraId="1013AFE3">
            <w:pPr>
              <w:rPr>
                <w:rFonts w:hint="eastAsia" w:ascii="宋体" w:hAnsi="宋体" w:eastAsia="宋体" w:cs="宋体"/>
                <w:color w:val="auto"/>
                <w:sz w:val="21"/>
                <w:highlight w:val="none"/>
              </w:rPr>
            </w:pPr>
          </w:p>
        </w:tc>
        <w:tc>
          <w:tcPr>
            <w:tcW w:w="758" w:type="dxa"/>
            <w:vAlign w:val="top"/>
          </w:tcPr>
          <w:p w14:paraId="1581E5A6">
            <w:pPr>
              <w:rPr>
                <w:rFonts w:hint="eastAsia" w:ascii="宋体" w:hAnsi="宋体" w:eastAsia="宋体" w:cs="宋体"/>
                <w:color w:val="auto"/>
                <w:sz w:val="21"/>
                <w:highlight w:val="none"/>
              </w:rPr>
            </w:pPr>
          </w:p>
        </w:tc>
        <w:tc>
          <w:tcPr>
            <w:tcW w:w="669" w:type="dxa"/>
            <w:vAlign w:val="top"/>
          </w:tcPr>
          <w:p w14:paraId="3457EB06">
            <w:pPr>
              <w:rPr>
                <w:rFonts w:hint="eastAsia" w:ascii="宋体" w:hAnsi="宋体" w:eastAsia="宋体" w:cs="宋体"/>
                <w:color w:val="auto"/>
                <w:sz w:val="21"/>
                <w:highlight w:val="none"/>
              </w:rPr>
            </w:pPr>
          </w:p>
        </w:tc>
        <w:tc>
          <w:tcPr>
            <w:tcW w:w="660" w:type="dxa"/>
            <w:vAlign w:val="top"/>
          </w:tcPr>
          <w:p w14:paraId="79DB157E">
            <w:pPr>
              <w:rPr>
                <w:rFonts w:hint="eastAsia" w:ascii="宋体" w:hAnsi="宋体" w:eastAsia="宋体" w:cs="宋体"/>
                <w:color w:val="auto"/>
                <w:sz w:val="21"/>
                <w:highlight w:val="none"/>
              </w:rPr>
            </w:pPr>
          </w:p>
        </w:tc>
        <w:tc>
          <w:tcPr>
            <w:tcW w:w="940" w:type="dxa"/>
            <w:vAlign w:val="top"/>
          </w:tcPr>
          <w:p w14:paraId="3CE6B283">
            <w:pPr>
              <w:rPr>
                <w:rFonts w:hint="eastAsia" w:ascii="宋体" w:hAnsi="宋体" w:eastAsia="宋体" w:cs="宋体"/>
                <w:color w:val="auto"/>
                <w:sz w:val="21"/>
                <w:highlight w:val="none"/>
              </w:rPr>
            </w:pPr>
          </w:p>
        </w:tc>
        <w:tc>
          <w:tcPr>
            <w:tcW w:w="648" w:type="dxa"/>
            <w:vAlign w:val="top"/>
          </w:tcPr>
          <w:p w14:paraId="47CEACFB">
            <w:pPr>
              <w:rPr>
                <w:rFonts w:hint="eastAsia" w:ascii="宋体" w:hAnsi="宋体" w:eastAsia="宋体" w:cs="宋体"/>
                <w:color w:val="auto"/>
                <w:sz w:val="21"/>
                <w:highlight w:val="none"/>
              </w:rPr>
            </w:pPr>
          </w:p>
        </w:tc>
        <w:tc>
          <w:tcPr>
            <w:tcW w:w="430" w:type="dxa"/>
            <w:vAlign w:val="top"/>
          </w:tcPr>
          <w:p w14:paraId="2EDB9AC4">
            <w:pPr>
              <w:rPr>
                <w:rFonts w:hint="eastAsia" w:ascii="宋体" w:hAnsi="宋体" w:eastAsia="宋体" w:cs="宋体"/>
                <w:color w:val="auto"/>
                <w:sz w:val="21"/>
                <w:highlight w:val="none"/>
              </w:rPr>
            </w:pPr>
          </w:p>
        </w:tc>
        <w:tc>
          <w:tcPr>
            <w:tcW w:w="557" w:type="dxa"/>
            <w:vAlign w:val="top"/>
          </w:tcPr>
          <w:p w14:paraId="3537D247">
            <w:pPr>
              <w:rPr>
                <w:rFonts w:hint="eastAsia" w:ascii="宋体" w:hAnsi="宋体" w:eastAsia="宋体" w:cs="宋体"/>
                <w:color w:val="auto"/>
                <w:sz w:val="21"/>
                <w:highlight w:val="none"/>
              </w:rPr>
            </w:pPr>
          </w:p>
        </w:tc>
        <w:tc>
          <w:tcPr>
            <w:tcW w:w="559" w:type="dxa"/>
            <w:vAlign w:val="top"/>
          </w:tcPr>
          <w:p w14:paraId="5747FE47">
            <w:pPr>
              <w:rPr>
                <w:rFonts w:hint="eastAsia" w:ascii="宋体" w:hAnsi="宋体" w:eastAsia="宋体" w:cs="宋体"/>
                <w:color w:val="auto"/>
                <w:sz w:val="21"/>
                <w:highlight w:val="none"/>
              </w:rPr>
            </w:pPr>
          </w:p>
        </w:tc>
        <w:tc>
          <w:tcPr>
            <w:tcW w:w="558" w:type="dxa"/>
            <w:vAlign w:val="top"/>
          </w:tcPr>
          <w:p w14:paraId="4F5F164F">
            <w:pPr>
              <w:rPr>
                <w:rFonts w:hint="eastAsia" w:ascii="宋体" w:hAnsi="宋体" w:eastAsia="宋体" w:cs="宋体"/>
                <w:color w:val="auto"/>
                <w:sz w:val="21"/>
                <w:highlight w:val="none"/>
              </w:rPr>
            </w:pPr>
          </w:p>
        </w:tc>
        <w:tc>
          <w:tcPr>
            <w:tcW w:w="955" w:type="dxa"/>
            <w:vAlign w:val="top"/>
          </w:tcPr>
          <w:p w14:paraId="4BEA2532">
            <w:pPr>
              <w:rPr>
                <w:rFonts w:hint="eastAsia" w:ascii="宋体" w:hAnsi="宋体" w:eastAsia="宋体" w:cs="宋体"/>
                <w:color w:val="auto"/>
                <w:sz w:val="21"/>
                <w:highlight w:val="none"/>
              </w:rPr>
            </w:pPr>
          </w:p>
        </w:tc>
      </w:tr>
      <w:tr w14:paraId="02C069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818" w:type="dxa"/>
            <w:vAlign w:val="top"/>
          </w:tcPr>
          <w:p w14:paraId="7E58C55D">
            <w:pPr>
              <w:rPr>
                <w:rFonts w:hint="eastAsia" w:ascii="宋体" w:hAnsi="宋体" w:eastAsia="宋体" w:cs="宋体"/>
                <w:color w:val="auto"/>
                <w:sz w:val="21"/>
                <w:highlight w:val="none"/>
              </w:rPr>
            </w:pPr>
          </w:p>
        </w:tc>
        <w:tc>
          <w:tcPr>
            <w:tcW w:w="1084" w:type="dxa"/>
            <w:vAlign w:val="top"/>
          </w:tcPr>
          <w:p w14:paraId="284E3647">
            <w:pPr>
              <w:rPr>
                <w:rFonts w:hint="eastAsia" w:ascii="宋体" w:hAnsi="宋体" w:eastAsia="宋体" w:cs="宋体"/>
                <w:color w:val="auto"/>
                <w:sz w:val="21"/>
                <w:highlight w:val="none"/>
              </w:rPr>
            </w:pPr>
          </w:p>
        </w:tc>
        <w:tc>
          <w:tcPr>
            <w:tcW w:w="758" w:type="dxa"/>
            <w:vAlign w:val="top"/>
          </w:tcPr>
          <w:p w14:paraId="19847EA5">
            <w:pPr>
              <w:rPr>
                <w:rFonts w:hint="eastAsia" w:ascii="宋体" w:hAnsi="宋体" w:eastAsia="宋体" w:cs="宋体"/>
                <w:color w:val="auto"/>
                <w:sz w:val="21"/>
                <w:highlight w:val="none"/>
              </w:rPr>
            </w:pPr>
          </w:p>
        </w:tc>
        <w:tc>
          <w:tcPr>
            <w:tcW w:w="669" w:type="dxa"/>
            <w:vAlign w:val="top"/>
          </w:tcPr>
          <w:p w14:paraId="0B86011F">
            <w:pPr>
              <w:rPr>
                <w:rFonts w:hint="eastAsia" w:ascii="宋体" w:hAnsi="宋体" w:eastAsia="宋体" w:cs="宋体"/>
                <w:color w:val="auto"/>
                <w:sz w:val="21"/>
                <w:highlight w:val="none"/>
              </w:rPr>
            </w:pPr>
          </w:p>
        </w:tc>
        <w:tc>
          <w:tcPr>
            <w:tcW w:w="660" w:type="dxa"/>
            <w:vAlign w:val="top"/>
          </w:tcPr>
          <w:p w14:paraId="2B9154D0">
            <w:pPr>
              <w:rPr>
                <w:rFonts w:hint="eastAsia" w:ascii="宋体" w:hAnsi="宋体" w:eastAsia="宋体" w:cs="宋体"/>
                <w:color w:val="auto"/>
                <w:sz w:val="21"/>
                <w:highlight w:val="none"/>
              </w:rPr>
            </w:pPr>
          </w:p>
        </w:tc>
        <w:tc>
          <w:tcPr>
            <w:tcW w:w="940" w:type="dxa"/>
            <w:vAlign w:val="top"/>
          </w:tcPr>
          <w:p w14:paraId="0B3FEDAA">
            <w:pPr>
              <w:rPr>
                <w:rFonts w:hint="eastAsia" w:ascii="宋体" w:hAnsi="宋体" w:eastAsia="宋体" w:cs="宋体"/>
                <w:color w:val="auto"/>
                <w:sz w:val="21"/>
                <w:highlight w:val="none"/>
              </w:rPr>
            </w:pPr>
          </w:p>
        </w:tc>
        <w:tc>
          <w:tcPr>
            <w:tcW w:w="648" w:type="dxa"/>
            <w:vAlign w:val="top"/>
          </w:tcPr>
          <w:p w14:paraId="5832F33D">
            <w:pPr>
              <w:rPr>
                <w:rFonts w:hint="eastAsia" w:ascii="宋体" w:hAnsi="宋体" w:eastAsia="宋体" w:cs="宋体"/>
                <w:color w:val="auto"/>
                <w:sz w:val="21"/>
                <w:highlight w:val="none"/>
              </w:rPr>
            </w:pPr>
          </w:p>
        </w:tc>
        <w:tc>
          <w:tcPr>
            <w:tcW w:w="430" w:type="dxa"/>
            <w:vAlign w:val="top"/>
          </w:tcPr>
          <w:p w14:paraId="0C118830">
            <w:pPr>
              <w:rPr>
                <w:rFonts w:hint="eastAsia" w:ascii="宋体" w:hAnsi="宋体" w:eastAsia="宋体" w:cs="宋体"/>
                <w:color w:val="auto"/>
                <w:sz w:val="21"/>
                <w:highlight w:val="none"/>
              </w:rPr>
            </w:pPr>
          </w:p>
        </w:tc>
        <w:tc>
          <w:tcPr>
            <w:tcW w:w="557" w:type="dxa"/>
            <w:vAlign w:val="top"/>
          </w:tcPr>
          <w:p w14:paraId="65ABDC08">
            <w:pPr>
              <w:rPr>
                <w:rFonts w:hint="eastAsia" w:ascii="宋体" w:hAnsi="宋体" w:eastAsia="宋体" w:cs="宋体"/>
                <w:color w:val="auto"/>
                <w:sz w:val="21"/>
                <w:highlight w:val="none"/>
              </w:rPr>
            </w:pPr>
          </w:p>
        </w:tc>
        <w:tc>
          <w:tcPr>
            <w:tcW w:w="559" w:type="dxa"/>
            <w:vAlign w:val="top"/>
          </w:tcPr>
          <w:p w14:paraId="03F4C948">
            <w:pPr>
              <w:rPr>
                <w:rFonts w:hint="eastAsia" w:ascii="宋体" w:hAnsi="宋体" w:eastAsia="宋体" w:cs="宋体"/>
                <w:color w:val="auto"/>
                <w:sz w:val="21"/>
                <w:highlight w:val="none"/>
              </w:rPr>
            </w:pPr>
          </w:p>
        </w:tc>
        <w:tc>
          <w:tcPr>
            <w:tcW w:w="558" w:type="dxa"/>
            <w:vAlign w:val="top"/>
          </w:tcPr>
          <w:p w14:paraId="29EEEA55">
            <w:pPr>
              <w:rPr>
                <w:rFonts w:hint="eastAsia" w:ascii="宋体" w:hAnsi="宋体" w:eastAsia="宋体" w:cs="宋体"/>
                <w:color w:val="auto"/>
                <w:sz w:val="21"/>
                <w:highlight w:val="none"/>
              </w:rPr>
            </w:pPr>
          </w:p>
        </w:tc>
        <w:tc>
          <w:tcPr>
            <w:tcW w:w="955" w:type="dxa"/>
            <w:vAlign w:val="top"/>
          </w:tcPr>
          <w:p w14:paraId="79CA3AD1">
            <w:pPr>
              <w:rPr>
                <w:rFonts w:hint="eastAsia" w:ascii="宋体" w:hAnsi="宋体" w:eastAsia="宋体" w:cs="宋体"/>
                <w:color w:val="auto"/>
                <w:sz w:val="21"/>
                <w:highlight w:val="none"/>
              </w:rPr>
            </w:pPr>
          </w:p>
        </w:tc>
      </w:tr>
      <w:tr w14:paraId="1C8228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818" w:type="dxa"/>
            <w:vAlign w:val="top"/>
          </w:tcPr>
          <w:p w14:paraId="04C5EA04">
            <w:pPr>
              <w:rPr>
                <w:rFonts w:hint="eastAsia" w:ascii="宋体" w:hAnsi="宋体" w:eastAsia="宋体" w:cs="宋体"/>
                <w:color w:val="auto"/>
                <w:sz w:val="21"/>
                <w:highlight w:val="none"/>
              </w:rPr>
            </w:pPr>
          </w:p>
        </w:tc>
        <w:tc>
          <w:tcPr>
            <w:tcW w:w="1084" w:type="dxa"/>
            <w:vAlign w:val="top"/>
          </w:tcPr>
          <w:p w14:paraId="407000E4">
            <w:pPr>
              <w:rPr>
                <w:rFonts w:hint="eastAsia" w:ascii="宋体" w:hAnsi="宋体" w:eastAsia="宋体" w:cs="宋体"/>
                <w:color w:val="auto"/>
                <w:sz w:val="21"/>
                <w:highlight w:val="none"/>
              </w:rPr>
            </w:pPr>
          </w:p>
        </w:tc>
        <w:tc>
          <w:tcPr>
            <w:tcW w:w="758" w:type="dxa"/>
            <w:vAlign w:val="top"/>
          </w:tcPr>
          <w:p w14:paraId="78B79DFD">
            <w:pPr>
              <w:rPr>
                <w:rFonts w:hint="eastAsia" w:ascii="宋体" w:hAnsi="宋体" w:eastAsia="宋体" w:cs="宋体"/>
                <w:color w:val="auto"/>
                <w:sz w:val="21"/>
                <w:highlight w:val="none"/>
              </w:rPr>
            </w:pPr>
          </w:p>
        </w:tc>
        <w:tc>
          <w:tcPr>
            <w:tcW w:w="669" w:type="dxa"/>
            <w:vAlign w:val="top"/>
          </w:tcPr>
          <w:p w14:paraId="26DB987C">
            <w:pPr>
              <w:rPr>
                <w:rFonts w:hint="eastAsia" w:ascii="宋体" w:hAnsi="宋体" w:eastAsia="宋体" w:cs="宋体"/>
                <w:color w:val="auto"/>
                <w:sz w:val="21"/>
                <w:highlight w:val="none"/>
              </w:rPr>
            </w:pPr>
          </w:p>
        </w:tc>
        <w:tc>
          <w:tcPr>
            <w:tcW w:w="660" w:type="dxa"/>
            <w:vAlign w:val="top"/>
          </w:tcPr>
          <w:p w14:paraId="428D8CC0">
            <w:pPr>
              <w:rPr>
                <w:rFonts w:hint="eastAsia" w:ascii="宋体" w:hAnsi="宋体" w:eastAsia="宋体" w:cs="宋体"/>
                <w:color w:val="auto"/>
                <w:sz w:val="21"/>
                <w:highlight w:val="none"/>
              </w:rPr>
            </w:pPr>
          </w:p>
        </w:tc>
        <w:tc>
          <w:tcPr>
            <w:tcW w:w="940" w:type="dxa"/>
            <w:vAlign w:val="top"/>
          </w:tcPr>
          <w:p w14:paraId="01EB35E0">
            <w:pPr>
              <w:rPr>
                <w:rFonts w:hint="eastAsia" w:ascii="宋体" w:hAnsi="宋体" w:eastAsia="宋体" w:cs="宋体"/>
                <w:color w:val="auto"/>
                <w:sz w:val="21"/>
                <w:highlight w:val="none"/>
              </w:rPr>
            </w:pPr>
          </w:p>
        </w:tc>
        <w:tc>
          <w:tcPr>
            <w:tcW w:w="648" w:type="dxa"/>
            <w:vAlign w:val="top"/>
          </w:tcPr>
          <w:p w14:paraId="0A2B65A7">
            <w:pPr>
              <w:rPr>
                <w:rFonts w:hint="eastAsia" w:ascii="宋体" w:hAnsi="宋体" w:eastAsia="宋体" w:cs="宋体"/>
                <w:color w:val="auto"/>
                <w:sz w:val="21"/>
                <w:highlight w:val="none"/>
              </w:rPr>
            </w:pPr>
          </w:p>
        </w:tc>
        <w:tc>
          <w:tcPr>
            <w:tcW w:w="430" w:type="dxa"/>
            <w:vAlign w:val="top"/>
          </w:tcPr>
          <w:p w14:paraId="0CA61392">
            <w:pPr>
              <w:rPr>
                <w:rFonts w:hint="eastAsia" w:ascii="宋体" w:hAnsi="宋体" w:eastAsia="宋体" w:cs="宋体"/>
                <w:color w:val="auto"/>
                <w:sz w:val="21"/>
                <w:highlight w:val="none"/>
              </w:rPr>
            </w:pPr>
          </w:p>
        </w:tc>
        <w:tc>
          <w:tcPr>
            <w:tcW w:w="557" w:type="dxa"/>
            <w:vAlign w:val="top"/>
          </w:tcPr>
          <w:p w14:paraId="4F59F9D6">
            <w:pPr>
              <w:rPr>
                <w:rFonts w:hint="eastAsia" w:ascii="宋体" w:hAnsi="宋体" w:eastAsia="宋体" w:cs="宋体"/>
                <w:color w:val="auto"/>
                <w:sz w:val="21"/>
                <w:highlight w:val="none"/>
              </w:rPr>
            </w:pPr>
          </w:p>
        </w:tc>
        <w:tc>
          <w:tcPr>
            <w:tcW w:w="559" w:type="dxa"/>
            <w:vAlign w:val="top"/>
          </w:tcPr>
          <w:p w14:paraId="0B6BB646">
            <w:pPr>
              <w:rPr>
                <w:rFonts w:hint="eastAsia" w:ascii="宋体" w:hAnsi="宋体" w:eastAsia="宋体" w:cs="宋体"/>
                <w:color w:val="auto"/>
                <w:sz w:val="21"/>
                <w:highlight w:val="none"/>
              </w:rPr>
            </w:pPr>
          </w:p>
        </w:tc>
        <w:tc>
          <w:tcPr>
            <w:tcW w:w="558" w:type="dxa"/>
            <w:vAlign w:val="top"/>
          </w:tcPr>
          <w:p w14:paraId="04FCCF33">
            <w:pPr>
              <w:rPr>
                <w:rFonts w:hint="eastAsia" w:ascii="宋体" w:hAnsi="宋体" w:eastAsia="宋体" w:cs="宋体"/>
                <w:color w:val="auto"/>
                <w:sz w:val="21"/>
                <w:highlight w:val="none"/>
              </w:rPr>
            </w:pPr>
          </w:p>
        </w:tc>
        <w:tc>
          <w:tcPr>
            <w:tcW w:w="955" w:type="dxa"/>
            <w:vAlign w:val="top"/>
          </w:tcPr>
          <w:p w14:paraId="3612D16F">
            <w:pPr>
              <w:rPr>
                <w:rFonts w:hint="eastAsia" w:ascii="宋体" w:hAnsi="宋体" w:eastAsia="宋体" w:cs="宋体"/>
                <w:color w:val="auto"/>
                <w:sz w:val="21"/>
                <w:highlight w:val="none"/>
              </w:rPr>
            </w:pPr>
          </w:p>
        </w:tc>
      </w:tr>
      <w:tr w14:paraId="798AAA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818" w:type="dxa"/>
            <w:vAlign w:val="top"/>
          </w:tcPr>
          <w:p w14:paraId="76733C79">
            <w:pPr>
              <w:rPr>
                <w:rFonts w:hint="eastAsia" w:ascii="宋体" w:hAnsi="宋体" w:eastAsia="宋体" w:cs="宋体"/>
                <w:color w:val="auto"/>
                <w:sz w:val="21"/>
                <w:highlight w:val="none"/>
              </w:rPr>
            </w:pPr>
          </w:p>
        </w:tc>
        <w:tc>
          <w:tcPr>
            <w:tcW w:w="1084" w:type="dxa"/>
            <w:vAlign w:val="top"/>
          </w:tcPr>
          <w:p w14:paraId="12D8AE6D">
            <w:pPr>
              <w:rPr>
                <w:rFonts w:hint="eastAsia" w:ascii="宋体" w:hAnsi="宋体" w:eastAsia="宋体" w:cs="宋体"/>
                <w:color w:val="auto"/>
                <w:sz w:val="21"/>
                <w:highlight w:val="none"/>
              </w:rPr>
            </w:pPr>
          </w:p>
        </w:tc>
        <w:tc>
          <w:tcPr>
            <w:tcW w:w="758" w:type="dxa"/>
            <w:vAlign w:val="top"/>
          </w:tcPr>
          <w:p w14:paraId="1FB4E089">
            <w:pPr>
              <w:rPr>
                <w:rFonts w:hint="eastAsia" w:ascii="宋体" w:hAnsi="宋体" w:eastAsia="宋体" w:cs="宋体"/>
                <w:color w:val="auto"/>
                <w:sz w:val="21"/>
                <w:highlight w:val="none"/>
              </w:rPr>
            </w:pPr>
          </w:p>
        </w:tc>
        <w:tc>
          <w:tcPr>
            <w:tcW w:w="669" w:type="dxa"/>
            <w:vAlign w:val="top"/>
          </w:tcPr>
          <w:p w14:paraId="09EC9431">
            <w:pPr>
              <w:rPr>
                <w:rFonts w:hint="eastAsia" w:ascii="宋体" w:hAnsi="宋体" w:eastAsia="宋体" w:cs="宋体"/>
                <w:color w:val="auto"/>
                <w:sz w:val="21"/>
                <w:highlight w:val="none"/>
              </w:rPr>
            </w:pPr>
          </w:p>
        </w:tc>
        <w:tc>
          <w:tcPr>
            <w:tcW w:w="660" w:type="dxa"/>
            <w:vAlign w:val="top"/>
          </w:tcPr>
          <w:p w14:paraId="234FB0A4">
            <w:pPr>
              <w:rPr>
                <w:rFonts w:hint="eastAsia" w:ascii="宋体" w:hAnsi="宋体" w:eastAsia="宋体" w:cs="宋体"/>
                <w:color w:val="auto"/>
                <w:sz w:val="21"/>
                <w:highlight w:val="none"/>
              </w:rPr>
            </w:pPr>
          </w:p>
        </w:tc>
        <w:tc>
          <w:tcPr>
            <w:tcW w:w="940" w:type="dxa"/>
            <w:vAlign w:val="top"/>
          </w:tcPr>
          <w:p w14:paraId="3EA544AC">
            <w:pPr>
              <w:rPr>
                <w:rFonts w:hint="eastAsia" w:ascii="宋体" w:hAnsi="宋体" w:eastAsia="宋体" w:cs="宋体"/>
                <w:color w:val="auto"/>
                <w:sz w:val="21"/>
                <w:highlight w:val="none"/>
              </w:rPr>
            </w:pPr>
          </w:p>
        </w:tc>
        <w:tc>
          <w:tcPr>
            <w:tcW w:w="648" w:type="dxa"/>
            <w:vAlign w:val="top"/>
          </w:tcPr>
          <w:p w14:paraId="669C108F">
            <w:pPr>
              <w:rPr>
                <w:rFonts w:hint="eastAsia" w:ascii="宋体" w:hAnsi="宋体" w:eastAsia="宋体" w:cs="宋体"/>
                <w:color w:val="auto"/>
                <w:sz w:val="21"/>
                <w:highlight w:val="none"/>
              </w:rPr>
            </w:pPr>
          </w:p>
        </w:tc>
        <w:tc>
          <w:tcPr>
            <w:tcW w:w="430" w:type="dxa"/>
            <w:vAlign w:val="top"/>
          </w:tcPr>
          <w:p w14:paraId="1CD2D22D">
            <w:pPr>
              <w:rPr>
                <w:rFonts w:hint="eastAsia" w:ascii="宋体" w:hAnsi="宋体" w:eastAsia="宋体" w:cs="宋体"/>
                <w:color w:val="auto"/>
                <w:sz w:val="21"/>
                <w:highlight w:val="none"/>
              </w:rPr>
            </w:pPr>
          </w:p>
        </w:tc>
        <w:tc>
          <w:tcPr>
            <w:tcW w:w="557" w:type="dxa"/>
            <w:vAlign w:val="top"/>
          </w:tcPr>
          <w:p w14:paraId="29392675">
            <w:pPr>
              <w:rPr>
                <w:rFonts w:hint="eastAsia" w:ascii="宋体" w:hAnsi="宋体" w:eastAsia="宋体" w:cs="宋体"/>
                <w:color w:val="auto"/>
                <w:sz w:val="21"/>
                <w:highlight w:val="none"/>
              </w:rPr>
            </w:pPr>
          </w:p>
        </w:tc>
        <w:tc>
          <w:tcPr>
            <w:tcW w:w="559" w:type="dxa"/>
            <w:vAlign w:val="top"/>
          </w:tcPr>
          <w:p w14:paraId="0C8A28B1">
            <w:pPr>
              <w:rPr>
                <w:rFonts w:hint="eastAsia" w:ascii="宋体" w:hAnsi="宋体" w:eastAsia="宋体" w:cs="宋体"/>
                <w:color w:val="auto"/>
                <w:sz w:val="21"/>
                <w:highlight w:val="none"/>
              </w:rPr>
            </w:pPr>
          </w:p>
        </w:tc>
        <w:tc>
          <w:tcPr>
            <w:tcW w:w="558" w:type="dxa"/>
            <w:vAlign w:val="top"/>
          </w:tcPr>
          <w:p w14:paraId="7A67A4AC">
            <w:pPr>
              <w:rPr>
                <w:rFonts w:hint="eastAsia" w:ascii="宋体" w:hAnsi="宋体" w:eastAsia="宋体" w:cs="宋体"/>
                <w:color w:val="auto"/>
                <w:sz w:val="21"/>
                <w:highlight w:val="none"/>
              </w:rPr>
            </w:pPr>
          </w:p>
        </w:tc>
        <w:tc>
          <w:tcPr>
            <w:tcW w:w="955" w:type="dxa"/>
            <w:vAlign w:val="top"/>
          </w:tcPr>
          <w:p w14:paraId="17BBCE88">
            <w:pPr>
              <w:rPr>
                <w:rFonts w:hint="eastAsia" w:ascii="宋体" w:hAnsi="宋体" w:eastAsia="宋体" w:cs="宋体"/>
                <w:color w:val="auto"/>
                <w:sz w:val="21"/>
                <w:highlight w:val="none"/>
              </w:rPr>
            </w:pPr>
          </w:p>
        </w:tc>
      </w:tr>
      <w:tr w14:paraId="5A0771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818" w:type="dxa"/>
            <w:vAlign w:val="top"/>
          </w:tcPr>
          <w:p w14:paraId="335D03C6">
            <w:pPr>
              <w:rPr>
                <w:rFonts w:hint="eastAsia" w:ascii="宋体" w:hAnsi="宋体" w:eastAsia="宋体" w:cs="宋体"/>
                <w:color w:val="auto"/>
                <w:sz w:val="21"/>
                <w:highlight w:val="none"/>
              </w:rPr>
            </w:pPr>
          </w:p>
        </w:tc>
        <w:tc>
          <w:tcPr>
            <w:tcW w:w="1084" w:type="dxa"/>
            <w:vAlign w:val="top"/>
          </w:tcPr>
          <w:p w14:paraId="69C56A8A">
            <w:pPr>
              <w:rPr>
                <w:rFonts w:hint="eastAsia" w:ascii="宋体" w:hAnsi="宋体" w:eastAsia="宋体" w:cs="宋体"/>
                <w:color w:val="auto"/>
                <w:sz w:val="21"/>
                <w:highlight w:val="none"/>
              </w:rPr>
            </w:pPr>
          </w:p>
        </w:tc>
        <w:tc>
          <w:tcPr>
            <w:tcW w:w="758" w:type="dxa"/>
            <w:vAlign w:val="top"/>
          </w:tcPr>
          <w:p w14:paraId="58EC580D">
            <w:pPr>
              <w:rPr>
                <w:rFonts w:hint="eastAsia" w:ascii="宋体" w:hAnsi="宋体" w:eastAsia="宋体" w:cs="宋体"/>
                <w:color w:val="auto"/>
                <w:sz w:val="21"/>
                <w:highlight w:val="none"/>
              </w:rPr>
            </w:pPr>
          </w:p>
        </w:tc>
        <w:tc>
          <w:tcPr>
            <w:tcW w:w="669" w:type="dxa"/>
            <w:vAlign w:val="top"/>
          </w:tcPr>
          <w:p w14:paraId="34DF3AB4">
            <w:pPr>
              <w:rPr>
                <w:rFonts w:hint="eastAsia" w:ascii="宋体" w:hAnsi="宋体" w:eastAsia="宋体" w:cs="宋体"/>
                <w:color w:val="auto"/>
                <w:sz w:val="21"/>
                <w:highlight w:val="none"/>
              </w:rPr>
            </w:pPr>
          </w:p>
        </w:tc>
        <w:tc>
          <w:tcPr>
            <w:tcW w:w="660" w:type="dxa"/>
            <w:vAlign w:val="top"/>
          </w:tcPr>
          <w:p w14:paraId="77BA3938">
            <w:pPr>
              <w:rPr>
                <w:rFonts w:hint="eastAsia" w:ascii="宋体" w:hAnsi="宋体" w:eastAsia="宋体" w:cs="宋体"/>
                <w:color w:val="auto"/>
                <w:sz w:val="21"/>
                <w:highlight w:val="none"/>
              </w:rPr>
            </w:pPr>
          </w:p>
        </w:tc>
        <w:tc>
          <w:tcPr>
            <w:tcW w:w="940" w:type="dxa"/>
            <w:vAlign w:val="top"/>
          </w:tcPr>
          <w:p w14:paraId="265687BC">
            <w:pPr>
              <w:rPr>
                <w:rFonts w:hint="eastAsia" w:ascii="宋体" w:hAnsi="宋体" w:eastAsia="宋体" w:cs="宋体"/>
                <w:color w:val="auto"/>
                <w:sz w:val="21"/>
                <w:highlight w:val="none"/>
              </w:rPr>
            </w:pPr>
          </w:p>
        </w:tc>
        <w:tc>
          <w:tcPr>
            <w:tcW w:w="648" w:type="dxa"/>
            <w:vAlign w:val="top"/>
          </w:tcPr>
          <w:p w14:paraId="38B18ABD">
            <w:pPr>
              <w:rPr>
                <w:rFonts w:hint="eastAsia" w:ascii="宋体" w:hAnsi="宋体" w:eastAsia="宋体" w:cs="宋体"/>
                <w:color w:val="auto"/>
                <w:sz w:val="21"/>
                <w:highlight w:val="none"/>
              </w:rPr>
            </w:pPr>
          </w:p>
        </w:tc>
        <w:tc>
          <w:tcPr>
            <w:tcW w:w="430" w:type="dxa"/>
            <w:vAlign w:val="top"/>
          </w:tcPr>
          <w:p w14:paraId="7E6C158C">
            <w:pPr>
              <w:rPr>
                <w:rFonts w:hint="eastAsia" w:ascii="宋体" w:hAnsi="宋体" w:eastAsia="宋体" w:cs="宋体"/>
                <w:color w:val="auto"/>
                <w:sz w:val="21"/>
                <w:highlight w:val="none"/>
              </w:rPr>
            </w:pPr>
          </w:p>
        </w:tc>
        <w:tc>
          <w:tcPr>
            <w:tcW w:w="557" w:type="dxa"/>
            <w:vAlign w:val="top"/>
          </w:tcPr>
          <w:p w14:paraId="0E790275">
            <w:pPr>
              <w:rPr>
                <w:rFonts w:hint="eastAsia" w:ascii="宋体" w:hAnsi="宋体" w:eastAsia="宋体" w:cs="宋体"/>
                <w:color w:val="auto"/>
                <w:sz w:val="21"/>
                <w:highlight w:val="none"/>
              </w:rPr>
            </w:pPr>
          </w:p>
        </w:tc>
        <w:tc>
          <w:tcPr>
            <w:tcW w:w="559" w:type="dxa"/>
            <w:vAlign w:val="top"/>
          </w:tcPr>
          <w:p w14:paraId="4533CE22">
            <w:pPr>
              <w:rPr>
                <w:rFonts w:hint="eastAsia" w:ascii="宋体" w:hAnsi="宋体" w:eastAsia="宋体" w:cs="宋体"/>
                <w:color w:val="auto"/>
                <w:sz w:val="21"/>
                <w:highlight w:val="none"/>
              </w:rPr>
            </w:pPr>
          </w:p>
        </w:tc>
        <w:tc>
          <w:tcPr>
            <w:tcW w:w="558" w:type="dxa"/>
            <w:vAlign w:val="top"/>
          </w:tcPr>
          <w:p w14:paraId="5D7F1B58">
            <w:pPr>
              <w:rPr>
                <w:rFonts w:hint="eastAsia" w:ascii="宋体" w:hAnsi="宋体" w:eastAsia="宋体" w:cs="宋体"/>
                <w:color w:val="auto"/>
                <w:sz w:val="21"/>
                <w:highlight w:val="none"/>
              </w:rPr>
            </w:pPr>
          </w:p>
        </w:tc>
        <w:tc>
          <w:tcPr>
            <w:tcW w:w="955" w:type="dxa"/>
            <w:vAlign w:val="top"/>
          </w:tcPr>
          <w:p w14:paraId="59175832">
            <w:pPr>
              <w:rPr>
                <w:rFonts w:hint="eastAsia" w:ascii="宋体" w:hAnsi="宋体" w:eastAsia="宋体" w:cs="宋体"/>
                <w:color w:val="auto"/>
                <w:sz w:val="21"/>
                <w:highlight w:val="none"/>
              </w:rPr>
            </w:pPr>
          </w:p>
        </w:tc>
      </w:tr>
      <w:tr w14:paraId="4036CA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818" w:type="dxa"/>
            <w:vAlign w:val="top"/>
          </w:tcPr>
          <w:p w14:paraId="378CFDEC">
            <w:pPr>
              <w:rPr>
                <w:rFonts w:hint="eastAsia" w:ascii="宋体" w:hAnsi="宋体" w:eastAsia="宋体" w:cs="宋体"/>
                <w:color w:val="auto"/>
                <w:sz w:val="21"/>
                <w:highlight w:val="none"/>
              </w:rPr>
            </w:pPr>
          </w:p>
        </w:tc>
        <w:tc>
          <w:tcPr>
            <w:tcW w:w="1084" w:type="dxa"/>
            <w:vAlign w:val="top"/>
          </w:tcPr>
          <w:p w14:paraId="0467A9A9">
            <w:pPr>
              <w:rPr>
                <w:rFonts w:hint="eastAsia" w:ascii="宋体" w:hAnsi="宋体" w:eastAsia="宋体" w:cs="宋体"/>
                <w:color w:val="auto"/>
                <w:sz w:val="21"/>
                <w:highlight w:val="none"/>
              </w:rPr>
            </w:pPr>
          </w:p>
        </w:tc>
        <w:tc>
          <w:tcPr>
            <w:tcW w:w="758" w:type="dxa"/>
            <w:vAlign w:val="top"/>
          </w:tcPr>
          <w:p w14:paraId="4F81C1ED">
            <w:pPr>
              <w:rPr>
                <w:rFonts w:hint="eastAsia" w:ascii="宋体" w:hAnsi="宋体" w:eastAsia="宋体" w:cs="宋体"/>
                <w:color w:val="auto"/>
                <w:sz w:val="21"/>
                <w:highlight w:val="none"/>
              </w:rPr>
            </w:pPr>
          </w:p>
        </w:tc>
        <w:tc>
          <w:tcPr>
            <w:tcW w:w="669" w:type="dxa"/>
            <w:vAlign w:val="top"/>
          </w:tcPr>
          <w:p w14:paraId="79B34809">
            <w:pPr>
              <w:rPr>
                <w:rFonts w:hint="eastAsia" w:ascii="宋体" w:hAnsi="宋体" w:eastAsia="宋体" w:cs="宋体"/>
                <w:color w:val="auto"/>
                <w:sz w:val="21"/>
                <w:highlight w:val="none"/>
              </w:rPr>
            </w:pPr>
          </w:p>
        </w:tc>
        <w:tc>
          <w:tcPr>
            <w:tcW w:w="660" w:type="dxa"/>
            <w:vAlign w:val="top"/>
          </w:tcPr>
          <w:p w14:paraId="195AA2D1">
            <w:pPr>
              <w:rPr>
                <w:rFonts w:hint="eastAsia" w:ascii="宋体" w:hAnsi="宋体" w:eastAsia="宋体" w:cs="宋体"/>
                <w:color w:val="auto"/>
                <w:sz w:val="21"/>
                <w:highlight w:val="none"/>
              </w:rPr>
            </w:pPr>
          </w:p>
        </w:tc>
        <w:tc>
          <w:tcPr>
            <w:tcW w:w="940" w:type="dxa"/>
            <w:vAlign w:val="top"/>
          </w:tcPr>
          <w:p w14:paraId="50EA08A3">
            <w:pPr>
              <w:rPr>
                <w:rFonts w:hint="eastAsia" w:ascii="宋体" w:hAnsi="宋体" w:eastAsia="宋体" w:cs="宋体"/>
                <w:color w:val="auto"/>
                <w:sz w:val="21"/>
                <w:highlight w:val="none"/>
              </w:rPr>
            </w:pPr>
          </w:p>
        </w:tc>
        <w:tc>
          <w:tcPr>
            <w:tcW w:w="648" w:type="dxa"/>
            <w:vAlign w:val="top"/>
          </w:tcPr>
          <w:p w14:paraId="3349D735">
            <w:pPr>
              <w:rPr>
                <w:rFonts w:hint="eastAsia" w:ascii="宋体" w:hAnsi="宋体" w:eastAsia="宋体" w:cs="宋体"/>
                <w:color w:val="auto"/>
                <w:sz w:val="21"/>
                <w:highlight w:val="none"/>
              </w:rPr>
            </w:pPr>
          </w:p>
        </w:tc>
        <w:tc>
          <w:tcPr>
            <w:tcW w:w="430" w:type="dxa"/>
            <w:vAlign w:val="top"/>
          </w:tcPr>
          <w:p w14:paraId="15BC4AD4">
            <w:pPr>
              <w:rPr>
                <w:rFonts w:hint="eastAsia" w:ascii="宋体" w:hAnsi="宋体" w:eastAsia="宋体" w:cs="宋体"/>
                <w:color w:val="auto"/>
                <w:sz w:val="21"/>
                <w:highlight w:val="none"/>
              </w:rPr>
            </w:pPr>
          </w:p>
        </w:tc>
        <w:tc>
          <w:tcPr>
            <w:tcW w:w="557" w:type="dxa"/>
            <w:vAlign w:val="top"/>
          </w:tcPr>
          <w:p w14:paraId="6DFE9B8C">
            <w:pPr>
              <w:rPr>
                <w:rFonts w:hint="eastAsia" w:ascii="宋体" w:hAnsi="宋体" w:eastAsia="宋体" w:cs="宋体"/>
                <w:color w:val="auto"/>
                <w:sz w:val="21"/>
                <w:highlight w:val="none"/>
              </w:rPr>
            </w:pPr>
          </w:p>
        </w:tc>
        <w:tc>
          <w:tcPr>
            <w:tcW w:w="559" w:type="dxa"/>
            <w:vAlign w:val="top"/>
          </w:tcPr>
          <w:p w14:paraId="0871B82E">
            <w:pPr>
              <w:rPr>
                <w:rFonts w:hint="eastAsia" w:ascii="宋体" w:hAnsi="宋体" w:eastAsia="宋体" w:cs="宋体"/>
                <w:color w:val="auto"/>
                <w:sz w:val="21"/>
                <w:highlight w:val="none"/>
              </w:rPr>
            </w:pPr>
          </w:p>
        </w:tc>
        <w:tc>
          <w:tcPr>
            <w:tcW w:w="558" w:type="dxa"/>
            <w:vAlign w:val="top"/>
          </w:tcPr>
          <w:p w14:paraId="04E76D39">
            <w:pPr>
              <w:rPr>
                <w:rFonts w:hint="eastAsia" w:ascii="宋体" w:hAnsi="宋体" w:eastAsia="宋体" w:cs="宋体"/>
                <w:color w:val="auto"/>
                <w:sz w:val="21"/>
                <w:highlight w:val="none"/>
              </w:rPr>
            </w:pPr>
          </w:p>
        </w:tc>
        <w:tc>
          <w:tcPr>
            <w:tcW w:w="955" w:type="dxa"/>
            <w:vAlign w:val="top"/>
          </w:tcPr>
          <w:p w14:paraId="79EE6698">
            <w:pPr>
              <w:rPr>
                <w:rFonts w:hint="eastAsia" w:ascii="宋体" w:hAnsi="宋体" w:eastAsia="宋体" w:cs="宋体"/>
                <w:color w:val="auto"/>
                <w:sz w:val="21"/>
                <w:highlight w:val="none"/>
              </w:rPr>
            </w:pPr>
          </w:p>
        </w:tc>
      </w:tr>
      <w:tr w14:paraId="1D5C10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818" w:type="dxa"/>
            <w:vAlign w:val="top"/>
          </w:tcPr>
          <w:p w14:paraId="3ABD335C">
            <w:pPr>
              <w:rPr>
                <w:rFonts w:hint="eastAsia" w:ascii="宋体" w:hAnsi="宋体" w:eastAsia="宋体" w:cs="宋体"/>
                <w:color w:val="auto"/>
                <w:sz w:val="21"/>
                <w:highlight w:val="none"/>
              </w:rPr>
            </w:pPr>
          </w:p>
        </w:tc>
        <w:tc>
          <w:tcPr>
            <w:tcW w:w="1084" w:type="dxa"/>
            <w:vAlign w:val="top"/>
          </w:tcPr>
          <w:p w14:paraId="779B2941">
            <w:pPr>
              <w:rPr>
                <w:rFonts w:hint="eastAsia" w:ascii="宋体" w:hAnsi="宋体" w:eastAsia="宋体" w:cs="宋体"/>
                <w:color w:val="auto"/>
                <w:sz w:val="21"/>
                <w:highlight w:val="none"/>
              </w:rPr>
            </w:pPr>
          </w:p>
        </w:tc>
        <w:tc>
          <w:tcPr>
            <w:tcW w:w="758" w:type="dxa"/>
            <w:vAlign w:val="top"/>
          </w:tcPr>
          <w:p w14:paraId="4100CF94">
            <w:pPr>
              <w:rPr>
                <w:rFonts w:hint="eastAsia" w:ascii="宋体" w:hAnsi="宋体" w:eastAsia="宋体" w:cs="宋体"/>
                <w:color w:val="auto"/>
                <w:sz w:val="21"/>
                <w:highlight w:val="none"/>
              </w:rPr>
            </w:pPr>
          </w:p>
        </w:tc>
        <w:tc>
          <w:tcPr>
            <w:tcW w:w="669" w:type="dxa"/>
            <w:vAlign w:val="top"/>
          </w:tcPr>
          <w:p w14:paraId="0B516641">
            <w:pPr>
              <w:rPr>
                <w:rFonts w:hint="eastAsia" w:ascii="宋体" w:hAnsi="宋体" w:eastAsia="宋体" w:cs="宋体"/>
                <w:color w:val="auto"/>
                <w:sz w:val="21"/>
                <w:highlight w:val="none"/>
              </w:rPr>
            </w:pPr>
          </w:p>
        </w:tc>
        <w:tc>
          <w:tcPr>
            <w:tcW w:w="660" w:type="dxa"/>
            <w:vAlign w:val="top"/>
          </w:tcPr>
          <w:p w14:paraId="374AABC6">
            <w:pPr>
              <w:rPr>
                <w:rFonts w:hint="eastAsia" w:ascii="宋体" w:hAnsi="宋体" w:eastAsia="宋体" w:cs="宋体"/>
                <w:color w:val="auto"/>
                <w:sz w:val="21"/>
                <w:highlight w:val="none"/>
              </w:rPr>
            </w:pPr>
          </w:p>
        </w:tc>
        <w:tc>
          <w:tcPr>
            <w:tcW w:w="940" w:type="dxa"/>
            <w:vAlign w:val="top"/>
          </w:tcPr>
          <w:p w14:paraId="591CC120">
            <w:pPr>
              <w:rPr>
                <w:rFonts w:hint="eastAsia" w:ascii="宋体" w:hAnsi="宋体" w:eastAsia="宋体" w:cs="宋体"/>
                <w:color w:val="auto"/>
                <w:sz w:val="21"/>
                <w:highlight w:val="none"/>
              </w:rPr>
            </w:pPr>
          </w:p>
        </w:tc>
        <w:tc>
          <w:tcPr>
            <w:tcW w:w="648" w:type="dxa"/>
            <w:vAlign w:val="top"/>
          </w:tcPr>
          <w:p w14:paraId="312AFF6D">
            <w:pPr>
              <w:rPr>
                <w:rFonts w:hint="eastAsia" w:ascii="宋体" w:hAnsi="宋体" w:eastAsia="宋体" w:cs="宋体"/>
                <w:color w:val="auto"/>
                <w:sz w:val="21"/>
                <w:highlight w:val="none"/>
              </w:rPr>
            </w:pPr>
          </w:p>
        </w:tc>
        <w:tc>
          <w:tcPr>
            <w:tcW w:w="430" w:type="dxa"/>
            <w:vAlign w:val="top"/>
          </w:tcPr>
          <w:p w14:paraId="0C24035F">
            <w:pPr>
              <w:rPr>
                <w:rFonts w:hint="eastAsia" w:ascii="宋体" w:hAnsi="宋体" w:eastAsia="宋体" w:cs="宋体"/>
                <w:color w:val="auto"/>
                <w:sz w:val="21"/>
                <w:highlight w:val="none"/>
              </w:rPr>
            </w:pPr>
          </w:p>
        </w:tc>
        <w:tc>
          <w:tcPr>
            <w:tcW w:w="557" w:type="dxa"/>
            <w:vAlign w:val="top"/>
          </w:tcPr>
          <w:p w14:paraId="5759D820">
            <w:pPr>
              <w:rPr>
                <w:rFonts w:hint="eastAsia" w:ascii="宋体" w:hAnsi="宋体" w:eastAsia="宋体" w:cs="宋体"/>
                <w:color w:val="auto"/>
                <w:sz w:val="21"/>
                <w:highlight w:val="none"/>
              </w:rPr>
            </w:pPr>
          </w:p>
        </w:tc>
        <w:tc>
          <w:tcPr>
            <w:tcW w:w="559" w:type="dxa"/>
            <w:vAlign w:val="top"/>
          </w:tcPr>
          <w:p w14:paraId="3AF23FF3">
            <w:pPr>
              <w:rPr>
                <w:rFonts w:hint="eastAsia" w:ascii="宋体" w:hAnsi="宋体" w:eastAsia="宋体" w:cs="宋体"/>
                <w:color w:val="auto"/>
                <w:sz w:val="21"/>
                <w:highlight w:val="none"/>
              </w:rPr>
            </w:pPr>
          </w:p>
        </w:tc>
        <w:tc>
          <w:tcPr>
            <w:tcW w:w="558" w:type="dxa"/>
            <w:vAlign w:val="top"/>
          </w:tcPr>
          <w:p w14:paraId="287326E8">
            <w:pPr>
              <w:rPr>
                <w:rFonts w:hint="eastAsia" w:ascii="宋体" w:hAnsi="宋体" w:eastAsia="宋体" w:cs="宋体"/>
                <w:color w:val="auto"/>
                <w:sz w:val="21"/>
                <w:highlight w:val="none"/>
              </w:rPr>
            </w:pPr>
          </w:p>
        </w:tc>
        <w:tc>
          <w:tcPr>
            <w:tcW w:w="955" w:type="dxa"/>
            <w:vAlign w:val="top"/>
          </w:tcPr>
          <w:p w14:paraId="4398868E">
            <w:pPr>
              <w:rPr>
                <w:rFonts w:hint="eastAsia" w:ascii="宋体" w:hAnsi="宋体" w:eastAsia="宋体" w:cs="宋体"/>
                <w:color w:val="auto"/>
                <w:sz w:val="21"/>
                <w:highlight w:val="none"/>
              </w:rPr>
            </w:pPr>
          </w:p>
        </w:tc>
      </w:tr>
      <w:tr w14:paraId="43EDED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818" w:type="dxa"/>
            <w:vAlign w:val="top"/>
          </w:tcPr>
          <w:p w14:paraId="3EE7F88B">
            <w:pPr>
              <w:rPr>
                <w:rFonts w:hint="eastAsia" w:ascii="宋体" w:hAnsi="宋体" w:eastAsia="宋体" w:cs="宋体"/>
                <w:color w:val="auto"/>
                <w:sz w:val="21"/>
                <w:highlight w:val="none"/>
              </w:rPr>
            </w:pPr>
          </w:p>
        </w:tc>
        <w:tc>
          <w:tcPr>
            <w:tcW w:w="1084" w:type="dxa"/>
            <w:vAlign w:val="top"/>
          </w:tcPr>
          <w:p w14:paraId="75B752A0">
            <w:pPr>
              <w:rPr>
                <w:rFonts w:hint="eastAsia" w:ascii="宋体" w:hAnsi="宋体" w:eastAsia="宋体" w:cs="宋体"/>
                <w:color w:val="auto"/>
                <w:sz w:val="21"/>
                <w:highlight w:val="none"/>
              </w:rPr>
            </w:pPr>
          </w:p>
        </w:tc>
        <w:tc>
          <w:tcPr>
            <w:tcW w:w="758" w:type="dxa"/>
            <w:vAlign w:val="top"/>
          </w:tcPr>
          <w:p w14:paraId="6AD87B87">
            <w:pPr>
              <w:rPr>
                <w:rFonts w:hint="eastAsia" w:ascii="宋体" w:hAnsi="宋体" w:eastAsia="宋体" w:cs="宋体"/>
                <w:color w:val="auto"/>
                <w:sz w:val="21"/>
                <w:highlight w:val="none"/>
              </w:rPr>
            </w:pPr>
          </w:p>
        </w:tc>
        <w:tc>
          <w:tcPr>
            <w:tcW w:w="669" w:type="dxa"/>
            <w:vAlign w:val="top"/>
          </w:tcPr>
          <w:p w14:paraId="7CFF3594">
            <w:pPr>
              <w:rPr>
                <w:rFonts w:hint="eastAsia" w:ascii="宋体" w:hAnsi="宋体" w:eastAsia="宋体" w:cs="宋体"/>
                <w:color w:val="auto"/>
                <w:sz w:val="21"/>
                <w:highlight w:val="none"/>
              </w:rPr>
            </w:pPr>
          </w:p>
        </w:tc>
        <w:tc>
          <w:tcPr>
            <w:tcW w:w="660" w:type="dxa"/>
            <w:vAlign w:val="top"/>
          </w:tcPr>
          <w:p w14:paraId="0800F6AC">
            <w:pPr>
              <w:rPr>
                <w:rFonts w:hint="eastAsia" w:ascii="宋体" w:hAnsi="宋体" w:eastAsia="宋体" w:cs="宋体"/>
                <w:color w:val="auto"/>
                <w:sz w:val="21"/>
                <w:highlight w:val="none"/>
              </w:rPr>
            </w:pPr>
          </w:p>
        </w:tc>
        <w:tc>
          <w:tcPr>
            <w:tcW w:w="940" w:type="dxa"/>
            <w:vAlign w:val="top"/>
          </w:tcPr>
          <w:p w14:paraId="19EA746B">
            <w:pPr>
              <w:rPr>
                <w:rFonts w:hint="eastAsia" w:ascii="宋体" w:hAnsi="宋体" w:eastAsia="宋体" w:cs="宋体"/>
                <w:color w:val="auto"/>
                <w:sz w:val="21"/>
                <w:highlight w:val="none"/>
              </w:rPr>
            </w:pPr>
          </w:p>
        </w:tc>
        <w:tc>
          <w:tcPr>
            <w:tcW w:w="648" w:type="dxa"/>
            <w:vAlign w:val="top"/>
          </w:tcPr>
          <w:p w14:paraId="30662383">
            <w:pPr>
              <w:rPr>
                <w:rFonts w:hint="eastAsia" w:ascii="宋体" w:hAnsi="宋体" w:eastAsia="宋体" w:cs="宋体"/>
                <w:color w:val="auto"/>
                <w:sz w:val="21"/>
                <w:highlight w:val="none"/>
              </w:rPr>
            </w:pPr>
          </w:p>
        </w:tc>
        <w:tc>
          <w:tcPr>
            <w:tcW w:w="430" w:type="dxa"/>
            <w:vAlign w:val="top"/>
          </w:tcPr>
          <w:p w14:paraId="455D14ED">
            <w:pPr>
              <w:rPr>
                <w:rFonts w:hint="eastAsia" w:ascii="宋体" w:hAnsi="宋体" w:eastAsia="宋体" w:cs="宋体"/>
                <w:color w:val="auto"/>
                <w:sz w:val="21"/>
                <w:highlight w:val="none"/>
              </w:rPr>
            </w:pPr>
          </w:p>
        </w:tc>
        <w:tc>
          <w:tcPr>
            <w:tcW w:w="557" w:type="dxa"/>
            <w:vAlign w:val="top"/>
          </w:tcPr>
          <w:p w14:paraId="6039F5E5">
            <w:pPr>
              <w:rPr>
                <w:rFonts w:hint="eastAsia" w:ascii="宋体" w:hAnsi="宋体" w:eastAsia="宋体" w:cs="宋体"/>
                <w:color w:val="auto"/>
                <w:sz w:val="21"/>
                <w:highlight w:val="none"/>
              </w:rPr>
            </w:pPr>
          </w:p>
        </w:tc>
        <w:tc>
          <w:tcPr>
            <w:tcW w:w="559" w:type="dxa"/>
            <w:vAlign w:val="top"/>
          </w:tcPr>
          <w:p w14:paraId="58D0ED3E">
            <w:pPr>
              <w:rPr>
                <w:rFonts w:hint="eastAsia" w:ascii="宋体" w:hAnsi="宋体" w:eastAsia="宋体" w:cs="宋体"/>
                <w:color w:val="auto"/>
                <w:sz w:val="21"/>
                <w:highlight w:val="none"/>
              </w:rPr>
            </w:pPr>
          </w:p>
        </w:tc>
        <w:tc>
          <w:tcPr>
            <w:tcW w:w="558" w:type="dxa"/>
            <w:vAlign w:val="top"/>
          </w:tcPr>
          <w:p w14:paraId="7FBED8AC">
            <w:pPr>
              <w:rPr>
                <w:rFonts w:hint="eastAsia" w:ascii="宋体" w:hAnsi="宋体" w:eastAsia="宋体" w:cs="宋体"/>
                <w:color w:val="auto"/>
                <w:sz w:val="21"/>
                <w:highlight w:val="none"/>
              </w:rPr>
            </w:pPr>
          </w:p>
        </w:tc>
        <w:tc>
          <w:tcPr>
            <w:tcW w:w="955" w:type="dxa"/>
            <w:vAlign w:val="top"/>
          </w:tcPr>
          <w:p w14:paraId="0CD3AD1C">
            <w:pPr>
              <w:rPr>
                <w:rFonts w:hint="eastAsia" w:ascii="宋体" w:hAnsi="宋体" w:eastAsia="宋体" w:cs="宋体"/>
                <w:color w:val="auto"/>
                <w:sz w:val="21"/>
                <w:highlight w:val="none"/>
              </w:rPr>
            </w:pPr>
          </w:p>
        </w:tc>
      </w:tr>
      <w:tr w14:paraId="6545F1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818" w:type="dxa"/>
            <w:vAlign w:val="top"/>
          </w:tcPr>
          <w:p w14:paraId="156ABAE9">
            <w:pPr>
              <w:rPr>
                <w:rFonts w:hint="eastAsia" w:ascii="宋体" w:hAnsi="宋体" w:eastAsia="宋体" w:cs="宋体"/>
                <w:color w:val="auto"/>
                <w:sz w:val="21"/>
                <w:highlight w:val="none"/>
              </w:rPr>
            </w:pPr>
          </w:p>
        </w:tc>
        <w:tc>
          <w:tcPr>
            <w:tcW w:w="1084" w:type="dxa"/>
            <w:vAlign w:val="top"/>
          </w:tcPr>
          <w:p w14:paraId="74209A38">
            <w:pPr>
              <w:rPr>
                <w:rFonts w:hint="eastAsia" w:ascii="宋体" w:hAnsi="宋体" w:eastAsia="宋体" w:cs="宋体"/>
                <w:color w:val="auto"/>
                <w:sz w:val="21"/>
                <w:highlight w:val="none"/>
              </w:rPr>
            </w:pPr>
          </w:p>
        </w:tc>
        <w:tc>
          <w:tcPr>
            <w:tcW w:w="758" w:type="dxa"/>
            <w:vAlign w:val="top"/>
          </w:tcPr>
          <w:p w14:paraId="7ABE71AD">
            <w:pPr>
              <w:rPr>
                <w:rFonts w:hint="eastAsia" w:ascii="宋体" w:hAnsi="宋体" w:eastAsia="宋体" w:cs="宋体"/>
                <w:color w:val="auto"/>
                <w:sz w:val="21"/>
                <w:highlight w:val="none"/>
              </w:rPr>
            </w:pPr>
          </w:p>
        </w:tc>
        <w:tc>
          <w:tcPr>
            <w:tcW w:w="669" w:type="dxa"/>
            <w:vAlign w:val="top"/>
          </w:tcPr>
          <w:p w14:paraId="6A3B3C64">
            <w:pPr>
              <w:rPr>
                <w:rFonts w:hint="eastAsia" w:ascii="宋体" w:hAnsi="宋体" w:eastAsia="宋体" w:cs="宋体"/>
                <w:color w:val="auto"/>
                <w:sz w:val="21"/>
                <w:highlight w:val="none"/>
              </w:rPr>
            </w:pPr>
          </w:p>
        </w:tc>
        <w:tc>
          <w:tcPr>
            <w:tcW w:w="660" w:type="dxa"/>
            <w:vAlign w:val="top"/>
          </w:tcPr>
          <w:p w14:paraId="31AD27C8">
            <w:pPr>
              <w:rPr>
                <w:rFonts w:hint="eastAsia" w:ascii="宋体" w:hAnsi="宋体" w:eastAsia="宋体" w:cs="宋体"/>
                <w:color w:val="auto"/>
                <w:sz w:val="21"/>
                <w:highlight w:val="none"/>
              </w:rPr>
            </w:pPr>
          </w:p>
        </w:tc>
        <w:tc>
          <w:tcPr>
            <w:tcW w:w="940" w:type="dxa"/>
            <w:vAlign w:val="top"/>
          </w:tcPr>
          <w:p w14:paraId="718BDD5E">
            <w:pPr>
              <w:rPr>
                <w:rFonts w:hint="eastAsia" w:ascii="宋体" w:hAnsi="宋体" w:eastAsia="宋体" w:cs="宋体"/>
                <w:color w:val="auto"/>
                <w:sz w:val="21"/>
                <w:highlight w:val="none"/>
              </w:rPr>
            </w:pPr>
          </w:p>
        </w:tc>
        <w:tc>
          <w:tcPr>
            <w:tcW w:w="648" w:type="dxa"/>
            <w:vAlign w:val="top"/>
          </w:tcPr>
          <w:p w14:paraId="2E5E5E87">
            <w:pPr>
              <w:rPr>
                <w:rFonts w:hint="eastAsia" w:ascii="宋体" w:hAnsi="宋体" w:eastAsia="宋体" w:cs="宋体"/>
                <w:color w:val="auto"/>
                <w:sz w:val="21"/>
                <w:highlight w:val="none"/>
              </w:rPr>
            </w:pPr>
          </w:p>
        </w:tc>
        <w:tc>
          <w:tcPr>
            <w:tcW w:w="430" w:type="dxa"/>
            <w:vAlign w:val="top"/>
          </w:tcPr>
          <w:p w14:paraId="6F28C9FE">
            <w:pPr>
              <w:rPr>
                <w:rFonts w:hint="eastAsia" w:ascii="宋体" w:hAnsi="宋体" w:eastAsia="宋体" w:cs="宋体"/>
                <w:color w:val="auto"/>
                <w:sz w:val="21"/>
                <w:highlight w:val="none"/>
              </w:rPr>
            </w:pPr>
          </w:p>
        </w:tc>
        <w:tc>
          <w:tcPr>
            <w:tcW w:w="557" w:type="dxa"/>
            <w:vAlign w:val="top"/>
          </w:tcPr>
          <w:p w14:paraId="2675574B">
            <w:pPr>
              <w:rPr>
                <w:rFonts w:hint="eastAsia" w:ascii="宋体" w:hAnsi="宋体" w:eastAsia="宋体" w:cs="宋体"/>
                <w:color w:val="auto"/>
                <w:sz w:val="21"/>
                <w:highlight w:val="none"/>
              </w:rPr>
            </w:pPr>
          </w:p>
        </w:tc>
        <w:tc>
          <w:tcPr>
            <w:tcW w:w="559" w:type="dxa"/>
            <w:vAlign w:val="top"/>
          </w:tcPr>
          <w:p w14:paraId="36BBA242">
            <w:pPr>
              <w:rPr>
                <w:rFonts w:hint="eastAsia" w:ascii="宋体" w:hAnsi="宋体" w:eastAsia="宋体" w:cs="宋体"/>
                <w:color w:val="auto"/>
                <w:sz w:val="21"/>
                <w:highlight w:val="none"/>
              </w:rPr>
            </w:pPr>
          </w:p>
        </w:tc>
        <w:tc>
          <w:tcPr>
            <w:tcW w:w="558" w:type="dxa"/>
            <w:vAlign w:val="top"/>
          </w:tcPr>
          <w:p w14:paraId="455171CA">
            <w:pPr>
              <w:rPr>
                <w:rFonts w:hint="eastAsia" w:ascii="宋体" w:hAnsi="宋体" w:eastAsia="宋体" w:cs="宋体"/>
                <w:color w:val="auto"/>
                <w:sz w:val="21"/>
                <w:highlight w:val="none"/>
              </w:rPr>
            </w:pPr>
          </w:p>
        </w:tc>
        <w:tc>
          <w:tcPr>
            <w:tcW w:w="955" w:type="dxa"/>
            <w:vAlign w:val="top"/>
          </w:tcPr>
          <w:p w14:paraId="2AD2E155">
            <w:pPr>
              <w:rPr>
                <w:rFonts w:hint="eastAsia" w:ascii="宋体" w:hAnsi="宋体" w:eastAsia="宋体" w:cs="宋体"/>
                <w:color w:val="auto"/>
                <w:sz w:val="21"/>
                <w:highlight w:val="none"/>
              </w:rPr>
            </w:pPr>
          </w:p>
        </w:tc>
      </w:tr>
      <w:tr w14:paraId="0295AD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818" w:type="dxa"/>
            <w:vAlign w:val="top"/>
          </w:tcPr>
          <w:p w14:paraId="133A0C42">
            <w:pPr>
              <w:rPr>
                <w:rFonts w:hint="eastAsia" w:ascii="宋体" w:hAnsi="宋体" w:eastAsia="宋体" w:cs="宋体"/>
                <w:color w:val="auto"/>
                <w:sz w:val="21"/>
                <w:highlight w:val="none"/>
              </w:rPr>
            </w:pPr>
          </w:p>
        </w:tc>
        <w:tc>
          <w:tcPr>
            <w:tcW w:w="1084" w:type="dxa"/>
            <w:vAlign w:val="top"/>
          </w:tcPr>
          <w:p w14:paraId="50752722">
            <w:pPr>
              <w:rPr>
                <w:rFonts w:hint="eastAsia" w:ascii="宋体" w:hAnsi="宋体" w:eastAsia="宋体" w:cs="宋体"/>
                <w:color w:val="auto"/>
                <w:sz w:val="21"/>
                <w:highlight w:val="none"/>
              </w:rPr>
            </w:pPr>
          </w:p>
        </w:tc>
        <w:tc>
          <w:tcPr>
            <w:tcW w:w="758" w:type="dxa"/>
            <w:vAlign w:val="top"/>
          </w:tcPr>
          <w:p w14:paraId="3F620ABA">
            <w:pPr>
              <w:rPr>
                <w:rFonts w:hint="eastAsia" w:ascii="宋体" w:hAnsi="宋体" w:eastAsia="宋体" w:cs="宋体"/>
                <w:color w:val="auto"/>
                <w:sz w:val="21"/>
                <w:highlight w:val="none"/>
              </w:rPr>
            </w:pPr>
          </w:p>
        </w:tc>
        <w:tc>
          <w:tcPr>
            <w:tcW w:w="669" w:type="dxa"/>
            <w:vAlign w:val="top"/>
          </w:tcPr>
          <w:p w14:paraId="60ACA8DA">
            <w:pPr>
              <w:rPr>
                <w:rFonts w:hint="eastAsia" w:ascii="宋体" w:hAnsi="宋体" w:eastAsia="宋体" w:cs="宋体"/>
                <w:color w:val="auto"/>
                <w:sz w:val="21"/>
                <w:highlight w:val="none"/>
              </w:rPr>
            </w:pPr>
          </w:p>
        </w:tc>
        <w:tc>
          <w:tcPr>
            <w:tcW w:w="660" w:type="dxa"/>
            <w:vAlign w:val="top"/>
          </w:tcPr>
          <w:p w14:paraId="0E7B42A8">
            <w:pPr>
              <w:rPr>
                <w:rFonts w:hint="eastAsia" w:ascii="宋体" w:hAnsi="宋体" w:eastAsia="宋体" w:cs="宋体"/>
                <w:color w:val="auto"/>
                <w:sz w:val="21"/>
                <w:highlight w:val="none"/>
              </w:rPr>
            </w:pPr>
          </w:p>
        </w:tc>
        <w:tc>
          <w:tcPr>
            <w:tcW w:w="940" w:type="dxa"/>
            <w:vAlign w:val="top"/>
          </w:tcPr>
          <w:p w14:paraId="2771FFB0">
            <w:pPr>
              <w:rPr>
                <w:rFonts w:hint="eastAsia" w:ascii="宋体" w:hAnsi="宋体" w:eastAsia="宋体" w:cs="宋体"/>
                <w:color w:val="auto"/>
                <w:sz w:val="21"/>
                <w:highlight w:val="none"/>
              </w:rPr>
            </w:pPr>
          </w:p>
        </w:tc>
        <w:tc>
          <w:tcPr>
            <w:tcW w:w="648" w:type="dxa"/>
            <w:vAlign w:val="top"/>
          </w:tcPr>
          <w:p w14:paraId="7AB9FAC5">
            <w:pPr>
              <w:rPr>
                <w:rFonts w:hint="eastAsia" w:ascii="宋体" w:hAnsi="宋体" w:eastAsia="宋体" w:cs="宋体"/>
                <w:color w:val="auto"/>
                <w:sz w:val="21"/>
                <w:highlight w:val="none"/>
              </w:rPr>
            </w:pPr>
          </w:p>
        </w:tc>
        <w:tc>
          <w:tcPr>
            <w:tcW w:w="430" w:type="dxa"/>
            <w:vAlign w:val="top"/>
          </w:tcPr>
          <w:p w14:paraId="505B9D28">
            <w:pPr>
              <w:rPr>
                <w:rFonts w:hint="eastAsia" w:ascii="宋体" w:hAnsi="宋体" w:eastAsia="宋体" w:cs="宋体"/>
                <w:color w:val="auto"/>
                <w:sz w:val="21"/>
                <w:highlight w:val="none"/>
              </w:rPr>
            </w:pPr>
          </w:p>
        </w:tc>
        <w:tc>
          <w:tcPr>
            <w:tcW w:w="557" w:type="dxa"/>
            <w:vAlign w:val="top"/>
          </w:tcPr>
          <w:p w14:paraId="4EEC3C4C">
            <w:pPr>
              <w:rPr>
                <w:rFonts w:hint="eastAsia" w:ascii="宋体" w:hAnsi="宋体" w:eastAsia="宋体" w:cs="宋体"/>
                <w:color w:val="auto"/>
                <w:sz w:val="21"/>
                <w:highlight w:val="none"/>
              </w:rPr>
            </w:pPr>
          </w:p>
        </w:tc>
        <w:tc>
          <w:tcPr>
            <w:tcW w:w="559" w:type="dxa"/>
            <w:vAlign w:val="top"/>
          </w:tcPr>
          <w:p w14:paraId="666A87F0">
            <w:pPr>
              <w:rPr>
                <w:rFonts w:hint="eastAsia" w:ascii="宋体" w:hAnsi="宋体" w:eastAsia="宋体" w:cs="宋体"/>
                <w:color w:val="auto"/>
                <w:sz w:val="21"/>
                <w:highlight w:val="none"/>
              </w:rPr>
            </w:pPr>
          </w:p>
        </w:tc>
        <w:tc>
          <w:tcPr>
            <w:tcW w:w="558" w:type="dxa"/>
            <w:vAlign w:val="top"/>
          </w:tcPr>
          <w:p w14:paraId="339E4739">
            <w:pPr>
              <w:rPr>
                <w:rFonts w:hint="eastAsia" w:ascii="宋体" w:hAnsi="宋体" w:eastAsia="宋体" w:cs="宋体"/>
                <w:color w:val="auto"/>
                <w:sz w:val="21"/>
                <w:highlight w:val="none"/>
              </w:rPr>
            </w:pPr>
          </w:p>
        </w:tc>
        <w:tc>
          <w:tcPr>
            <w:tcW w:w="955" w:type="dxa"/>
            <w:vAlign w:val="top"/>
          </w:tcPr>
          <w:p w14:paraId="49CB7FC2">
            <w:pPr>
              <w:rPr>
                <w:rFonts w:hint="eastAsia" w:ascii="宋体" w:hAnsi="宋体" w:eastAsia="宋体" w:cs="宋体"/>
                <w:color w:val="auto"/>
                <w:sz w:val="21"/>
                <w:highlight w:val="none"/>
              </w:rPr>
            </w:pPr>
          </w:p>
        </w:tc>
      </w:tr>
      <w:tr w14:paraId="5D0AA0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818" w:type="dxa"/>
            <w:vAlign w:val="top"/>
          </w:tcPr>
          <w:p w14:paraId="4CAC0F6F">
            <w:pPr>
              <w:rPr>
                <w:rFonts w:hint="eastAsia" w:ascii="宋体" w:hAnsi="宋体" w:eastAsia="宋体" w:cs="宋体"/>
                <w:color w:val="auto"/>
                <w:sz w:val="21"/>
                <w:highlight w:val="none"/>
              </w:rPr>
            </w:pPr>
          </w:p>
        </w:tc>
        <w:tc>
          <w:tcPr>
            <w:tcW w:w="1084" w:type="dxa"/>
            <w:vAlign w:val="top"/>
          </w:tcPr>
          <w:p w14:paraId="368E9670">
            <w:pPr>
              <w:rPr>
                <w:rFonts w:hint="eastAsia" w:ascii="宋体" w:hAnsi="宋体" w:eastAsia="宋体" w:cs="宋体"/>
                <w:color w:val="auto"/>
                <w:sz w:val="21"/>
                <w:highlight w:val="none"/>
              </w:rPr>
            </w:pPr>
          </w:p>
        </w:tc>
        <w:tc>
          <w:tcPr>
            <w:tcW w:w="758" w:type="dxa"/>
            <w:vAlign w:val="top"/>
          </w:tcPr>
          <w:p w14:paraId="785252EF">
            <w:pPr>
              <w:rPr>
                <w:rFonts w:hint="eastAsia" w:ascii="宋体" w:hAnsi="宋体" w:eastAsia="宋体" w:cs="宋体"/>
                <w:color w:val="auto"/>
                <w:sz w:val="21"/>
                <w:highlight w:val="none"/>
              </w:rPr>
            </w:pPr>
          </w:p>
        </w:tc>
        <w:tc>
          <w:tcPr>
            <w:tcW w:w="669" w:type="dxa"/>
            <w:vAlign w:val="top"/>
          </w:tcPr>
          <w:p w14:paraId="1E77C6BC">
            <w:pPr>
              <w:rPr>
                <w:rFonts w:hint="eastAsia" w:ascii="宋体" w:hAnsi="宋体" w:eastAsia="宋体" w:cs="宋体"/>
                <w:color w:val="auto"/>
                <w:sz w:val="21"/>
                <w:highlight w:val="none"/>
              </w:rPr>
            </w:pPr>
          </w:p>
        </w:tc>
        <w:tc>
          <w:tcPr>
            <w:tcW w:w="660" w:type="dxa"/>
            <w:vAlign w:val="top"/>
          </w:tcPr>
          <w:p w14:paraId="7D10B7B8">
            <w:pPr>
              <w:rPr>
                <w:rFonts w:hint="eastAsia" w:ascii="宋体" w:hAnsi="宋体" w:eastAsia="宋体" w:cs="宋体"/>
                <w:color w:val="auto"/>
                <w:sz w:val="21"/>
                <w:highlight w:val="none"/>
              </w:rPr>
            </w:pPr>
          </w:p>
        </w:tc>
        <w:tc>
          <w:tcPr>
            <w:tcW w:w="940" w:type="dxa"/>
            <w:vAlign w:val="top"/>
          </w:tcPr>
          <w:p w14:paraId="6981088F">
            <w:pPr>
              <w:rPr>
                <w:rFonts w:hint="eastAsia" w:ascii="宋体" w:hAnsi="宋体" w:eastAsia="宋体" w:cs="宋体"/>
                <w:color w:val="auto"/>
                <w:sz w:val="21"/>
                <w:highlight w:val="none"/>
              </w:rPr>
            </w:pPr>
          </w:p>
        </w:tc>
        <w:tc>
          <w:tcPr>
            <w:tcW w:w="648" w:type="dxa"/>
            <w:vAlign w:val="top"/>
          </w:tcPr>
          <w:p w14:paraId="13AE7FF2">
            <w:pPr>
              <w:rPr>
                <w:rFonts w:hint="eastAsia" w:ascii="宋体" w:hAnsi="宋体" w:eastAsia="宋体" w:cs="宋体"/>
                <w:color w:val="auto"/>
                <w:sz w:val="21"/>
                <w:highlight w:val="none"/>
              </w:rPr>
            </w:pPr>
          </w:p>
        </w:tc>
        <w:tc>
          <w:tcPr>
            <w:tcW w:w="430" w:type="dxa"/>
            <w:vAlign w:val="top"/>
          </w:tcPr>
          <w:p w14:paraId="2E44B89E">
            <w:pPr>
              <w:rPr>
                <w:rFonts w:hint="eastAsia" w:ascii="宋体" w:hAnsi="宋体" w:eastAsia="宋体" w:cs="宋体"/>
                <w:color w:val="auto"/>
                <w:sz w:val="21"/>
                <w:highlight w:val="none"/>
              </w:rPr>
            </w:pPr>
          </w:p>
        </w:tc>
        <w:tc>
          <w:tcPr>
            <w:tcW w:w="557" w:type="dxa"/>
            <w:vAlign w:val="top"/>
          </w:tcPr>
          <w:p w14:paraId="3E209B50">
            <w:pPr>
              <w:rPr>
                <w:rFonts w:hint="eastAsia" w:ascii="宋体" w:hAnsi="宋体" w:eastAsia="宋体" w:cs="宋体"/>
                <w:color w:val="auto"/>
                <w:sz w:val="21"/>
                <w:highlight w:val="none"/>
              </w:rPr>
            </w:pPr>
          </w:p>
        </w:tc>
        <w:tc>
          <w:tcPr>
            <w:tcW w:w="559" w:type="dxa"/>
            <w:vAlign w:val="top"/>
          </w:tcPr>
          <w:p w14:paraId="32857CE3">
            <w:pPr>
              <w:rPr>
                <w:rFonts w:hint="eastAsia" w:ascii="宋体" w:hAnsi="宋体" w:eastAsia="宋体" w:cs="宋体"/>
                <w:color w:val="auto"/>
                <w:sz w:val="21"/>
                <w:highlight w:val="none"/>
              </w:rPr>
            </w:pPr>
          </w:p>
        </w:tc>
        <w:tc>
          <w:tcPr>
            <w:tcW w:w="558" w:type="dxa"/>
            <w:vAlign w:val="top"/>
          </w:tcPr>
          <w:p w14:paraId="57D82E5C">
            <w:pPr>
              <w:rPr>
                <w:rFonts w:hint="eastAsia" w:ascii="宋体" w:hAnsi="宋体" w:eastAsia="宋体" w:cs="宋体"/>
                <w:color w:val="auto"/>
                <w:sz w:val="21"/>
                <w:highlight w:val="none"/>
              </w:rPr>
            </w:pPr>
          </w:p>
        </w:tc>
        <w:tc>
          <w:tcPr>
            <w:tcW w:w="955" w:type="dxa"/>
            <w:vAlign w:val="top"/>
          </w:tcPr>
          <w:p w14:paraId="62CD584C">
            <w:pPr>
              <w:rPr>
                <w:rFonts w:hint="eastAsia" w:ascii="宋体" w:hAnsi="宋体" w:eastAsia="宋体" w:cs="宋体"/>
                <w:color w:val="auto"/>
                <w:sz w:val="21"/>
                <w:highlight w:val="none"/>
              </w:rPr>
            </w:pPr>
          </w:p>
        </w:tc>
      </w:tr>
      <w:tr w14:paraId="25C25E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818" w:type="dxa"/>
            <w:vAlign w:val="top"/>
          </w:tcPr>
          <w:p w14:paraId="121F2EF1">
            <w:pPr>
              <w:rPr>
                <w:rFonts w:hint="eastAsia" w:ascii="宋体" w:hAnsi="宋体" w:eastAsia="宋体" w:cs="宋体"/>
                <w:color w:val="auto"/>
                <w:sz w:val="21"/>
                <w:highlight w:val="none"/>
              </w:rPr>
            </w:pPr>
          </w:p>
        </w:tc>
        <w:tc>
          <w:tcPr>
            <w:tcW w:w="1084" w:type="dxa"/>
            <w:vAlign w:val="top"/>
          </w:tcPr>
          <w:p w14:paraId="4698057B">
            <w:pPr>
              <w:rPr>
                <w:rFonts w:hint="eastAsia" w:ascii="宋体" w:hAnsi="宋体" w:eastAsia="宋体" w:cs="宋体"/>
                <w:color w:val="auto"/>
                <w:sz w:val="21"/>
                <w:highlight w:val="none"/>
              </w:rPr>
            </w:pPr>
          </w:p>
        </w:tc>
        <w:tc>
          <w:tcPr>
            <w:tcW w:w="758" w:type="dxa"/>
            <w:vAlign w:val="top"/>
          </w:tcPr>
          <w:p w14:paraId="139A867C">
            <w:pPr>
              <w:rPr>
                <w:rFonts w:hint="eastAsia" w:ascii="宋体" w:hAnsi="宋体" w:eastAsia="宋体" w:cs="宋体"/>
                <w:color w:val="auto"/>
                <w:sz w:val="21"/>
                <w:highlight w:val="none"/>
              </w:rPr>
            </w:pPr>
          </w:p>
        </w:tc>
        <w:tc>
          <w:tcPr>
            <w:tcW w:w="669" w:type="dxa"/>
            <w:vAlign w:val="top"/>
          </w:tcPr>
          <w:p w14:paraId="5D9FD577">
            <w:pPr>
              <w:rPr>
                <w:rFonts w:hint="eastAsia" w:ascii="宋体" w:hAnsi="宋体" w:eastAsia="宋体" w:cs="宋体"/>
                <w:color w:val="auto"/>
                <w:sz w:val="21"/>
                <w:highlight w:val="none"/>
              </w:rPr>
            </w:pPr>
          </w:p>
        </w:tc>
        <w:tc>
          <w:tcPr>
            <w:tcW w:w="660" w:type="dxa"/>
            <w:vAlign w:val="top"/>
          </w:tcPr>
          <w:p w14:paraId="309043F8">
            <w:pPr>
              <w:rPr>
                <w:rFonts w:hint="eastAsia" w:ascii="宋体" w:hAnsi="宋体" w:eastAsia="宋体" w:cs="宋体"/>
                <w:color w:val="auto"/>
                <w:sz w:val="21"/>
                <w:highlight w:val="none"/>
              </w:rPr>
            </w:pPr>
          </w:p>
        </w:tc>
        <w:tc>
          <w:tcPr>
            <w:tcW w:w="940" w:type="dxa"/>
            <w:vAlign w:val="top"/>
          </w:tcPr>
          <w:p w14:paraId="1D821E55">
            <w:pPr>
              <w:rPr>
                <w:rFonts w:hint="eastAsia" w:ascii="宋体" w:hAnsi="宋体" w:eastAsia="宋体" w:cs="宋体"/>
                <w:color w:val="auto"/>
                <w:sz w:val="21"/>
                <w:highlight w:val="none"/>
              </w:rPr>
            </w:pPr>
          </w:p>
        </w:tc>
        <w:tc>
          <w:tcPr>
            <w:tcW w:w="648" w:type="dxa"/>
            <w:vAlign w:val="top"/>
          </w:tcPr>
          <w:p w14:paraId="7E198B1F">
            <w:pPr>
              <w:rPr>
                <w:rFonts w:hint="eastAsia" w:ascii="宋体" w:hAnsi="宋体" w:eastAsia="宋体" w:cs="宋体"/>
                <w:color w:val="auto"/>
                <w:sz w:val="21"/>
                <w:highlight w:val="none"/>
              </w:rPr>
            </w:pPr>
          </w:p>
        </w:tc>
        <w:tc>
          <w:tcPr>
            <w:tcW w:w="430" w:type="dxa"/>
            <w:vAlign w:val="top"/>
          </w:tcPr>
          <w:p w14:paraId="78F6A088">
            <w:pPr>
              <w:rPr>
                <w:rFonts w:hint="eastAsia" w:ascii="宋体" w:hAnsi="宋体" w:eastAsia="宋体" w:cs="宋体"/>
                <w:color w:val="auto"/>
                <w:sz w:val="21"/>
                <w:highlight w:val="none"/>
              </w:rPr>
            </w:pPr>
          </w:p>
        </w:tc>
        <w:tc>
          <w:tcPr>
            <w:tcW w:w="557" w:type="dxa"/>
            <w:vAlign w:val="top"/>
          </w:tcPr>
          <w:p w14:paraId="347C364F">
            <w:pPr>
              <w:rPr>
                <w:rFonts w:hint="eastAsia" w:ascii="宋体" w:hAnsi="宋体" w:eastAsia="宋体" w:cs="宋体"/>
                <w:color w:val="auto"/>
                <w:sz w:val="21"/>
                <w:highlight w:val="none"/>
              </w:rPr>
            </w:pPr>
          </w:p>
        </w:tc>
        <w:tc>
          <w:tcPr>
            <w:tcW w:w="559" w:type="dxa"/>
            <w:vAlign w:val="top"/>
          </w:tcPr>
          <w:p w14:paraId="28FFE80C">
            <w:pPr>
              <w:rPr>
                <w:rFonts w:hint="eastAsia" w:ascii="宋体" w:hAnsi="宋体" w:eastAsia="宋体" w:cs="宋体"/>
                <w:color w:val="auto"/>
                <w:sz w:val="21"/>
                <w:highlight w:val="none"/>
              </w:rPr>
            </w:pPr>
          </w:p>
        </w:tc>
        <w:tc>
          <w:tcPr>
            <w:tcW w:w="558" w:type="dxa"/>
            <w:vAlign w:val="top"/>
          </w:tcPr>
          <w:p w14:paraId="63A64724">
            <w:pPr>
              <w:rPr>
                <w:rFonts w:hint="eastAsia" w:ascii="宋体" w:hAnsi="宋体" w:eastAsia="宋体" w:cs="宋体"/>
                <w:color w:val="auto"/>
                <w:sz w:val="21"/>
                <w:highlight w:val="none"/>
              </w:rPr>
            </w:pPr>
          </w:p>
        </w:tc>
        <w:tc>
          <w:tcPr>
            <w:tcW w:w="955" w:type="dxa"/>
            <w:vAlign w:val="top"/>
          </w:tcPr>
          <w:p w14:paraId="7629AE12">
            <w:pPr>
              <w:rPr>
                <w:rFonts w:hint="eastAsia" w:ascii="宋体" w:hAnsi="宋体" w:eastAsia="宋体" w:cs="宋体"/>
                <w:color w:val="auto"/>
                <w:sz w:val="21"/>
                <w:highlight w:val="none"/>
              </w:rPr>
            </w:pPr>
          </w:p>
        </w:tc>
      </w:tr>
      <w:tr w14:paraId="40BDE3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818" w:type="dxa"/>
            <w:vAlign w:val="top"/>
          </w:tcPr>
          <w:p w14:paraId="78211409">
            <w:pPr>
              <w:rPr>
                <w:rFonts w:hint="eastAsia" w:ascii="宋体" w:hAnsi="宋体" w:eastAsia="宋体" w:cs="宋体"/>
                <w:color w:val="auto"/>
                <w:sz w:val="21"/>
                <w:highlight w:val="none"/>
              </w:rPr>
            </w:pPr>
          </w:p>
        </w:tc>
        <w:tc>
          <w:tcPr>
            <w:tcW w:w="1084" w:type="dxa"/>
            <w:vAlign w:val="top"/>
          </w:tcPr>
          <w:p w14:paraId="4DC53107">
            <w:pPr>
              <w:rPr>
                <w:rFonts w:hint="eastAsia" w:ascii="宋体" w:hAnsi="宋体" w:eastAsia="宋体" w:cs="宋体"/>
                <w:color w:val="auto"/>
                <w:sz w:val="21"/>
                <w:highlight w:val="none"/>
              </w:rPr>
            </w:pPr>
          </w:p>
        </w:tc>
        <w:tc>
          <w:tcPr>
            <w:tcW w:w="758" w:type="dxa"/>
            <w:vAlign w:val="top"/>
          </w:tcPr>
          <w:p w14:paraId="3296A9B7">
            <w:pPr>
              <w:rPr>
                <w:rFonts w:hint="eastAsia" w:ascii="宋体" w:hAnsi="宋体" w:eastAsia="宋体" w:cs="宋体"/>
                <w:color w:val="auto"/>
                <w:sz w:val="21"/>
                <w:highlight w:val="none"/>
              </w:rPr>
            </w:pPr>
          </w:p>
        </w:tc>
        <w:tc>
          <w:tcPr>
            <w:tcW w:w="669" w:type="dxa"/>
            <w:vAlign w:val="top"/>
          </w:tcPr>
          <w:p w14:paraId="0B5DF274">
            <w:pPr>
              <w:rPr>
                <w:rFonts w:hint="eastAsia" w:ascii="宋体" w:hAnsi="宋体" w:eastAsia="宋体" w:cs="宋体"/>
                <w:color w:val="auto"/>
                <w:sz w:val="21"/>
                <w:highlight w:val="none"/>
              </w:rPr>
            </w:pPr>
          </w:p>
        </w:tc>
        <w:tc>
          <w:tcPr>
            <w:tcW w:w="660" w:type="dxa"/>
            <w:vAlign w:val="top"/>
          </w:tcPr>
          <w:p w14:paraId="7DCAB4C3">
            <w:pPr>
              <w:rPr>
                <w:rFonts w:hint="eastAsia" w:ascii="宋体" w:hAnsi="宋体" w:eastAsia="宋体" w:cs="宋体"/>
                <w:color w:val="auto"/>
                <w:sz w:val="21"/>
                <w:highlight w:val="none"/>
              </w:rPr>
            </w:pPr>
          </w:p>
        </w:tc>
        <w:tc>
          <w:tcPr>
            <w:tcW w:w="940" w:type="dxa"/>
            <w:vAlign w:val="top"/>
          </w:tcPr>
          <w:p w14:paraId="22839E17">
            <w:pPr>
              <w:rPr>
                <w:rFonts w:hint="eastAsia" w:ascii="宋体" w:hAnsi="宋体" w:eastAsia="宋体" w:cs="宋体"/>
                <w:color w:val="auto"/>
                <w:sz w:val="21"/>
                <w:highlight w:val="none"/>
              </w:rPr>
            </w:pPr>
          </w:p>
        </w:tc>
        <w:tc>
          <w:tcPr>
            <w:tcW w:w="648" w:type="dxa"/>
            <w:vAlign w:val="top"/>
          </w:tcPr>
          <w:p w14:paraId="5809982B">
            <w:pPr>
              <w:rPr>
                <w:rFonts w:hint="eastAsia" w:ascii="宋体" w:hAnsi="宋体" w:eastAsia="宋体" w:cs="宋体"/>
                <w:color w:val="auto"/>
                <w:sz w:val="21"/>
                <w:highlight w:val="none"/>
              </w:rPr>
            </w:pPr>
          </w:p>
        </w:tc>
        <w:tc>
          <w:tcPr>
            <w:tcW w:w="430" w:type="dxa"/>
            <w:vAlign w:val="top"/>
          </w:tcPr>
          <w:p w14:paraId="5CB126FF">
            <w:pPr>
              <w:rPr>
                <w:rFonts w:hint="eastAsia" w:ascii="宋体" w:hAnsi="宋体" w:eastAsia="宋体" w:cs="宋体"/>
                <w:color w:val="auto"/>
                <w:sz w:val="21"/>
                <w:highlight w:val="none"/>
              </w:rPr>
            </w:pPr>
          </w:p>
        </w:tc>
        <w:tc>
          <w:tcPr>
            <w:tcW w:w="557" w:type="dxa"/>
            <w:vAlign w:val="top"/>
          </w:tcPr>
          <w:p w14:paraId="67878D53">
            <w:pPr>
              <w:rPr>
                <w:rFonts w:hint="eastAsia" w:ascii="宋体" w:hAnsi="宋体" w:eastAsia="宋体" w:cs="宋体"/>
                <w:color w:val="auto"/>
                <w:sz w:val="21"/>
                <w:highlight w:val="none"/>
              </w:rPr>
            </w:pPr>
          </w:p>
        </w:tc>
        <w:tc>
          <w:tcPr>
            <w:tcW w:w="559" w:type="dxa"/>
            <w:vAlign w:val="top"/>
          </w:tcPr>
          <w:p w14:paraId="3CAACDC9">
            <w:pPr>
              <w:rPr>
                <w:rFonts w:hint="eastAsia" w:ascii="宋体" w:hAnsi="宋体" w:eastAsia="宋体" w:cs="宋体"/>
                <w:color w:val="auto"/>
                <w:sz w:val="21"/>
                <w:highlight w:val="none"/>
              </w:rPr>
            </w:pPr>
          </w:p>
        </w:tc>
        <w:tc>
          <w:tcPr>
            <w:tcW w:w="558" w:type="dxa"/>
            <w:vAlign w:val="top"/>
          </w:tcPr>
          <w:p w14:paraId="06BFB45A">
            <w:pPr>
              <w:rPr>
                <w:rFonts w:hint="eastAsia" w:ascii="宋体" w:hAnsi="宋体" w:eastAsia="宋体" w:cs="宋体"/>
                <w:color w:val="auto"/>
                <w:sz w:val="21"/>
                <w:highlight w:val="none"/>
              </w:rPr>
            </w:pPr>
          </w:p>
        </w:tc>
        <w:tc>
          <w:tcPr>
            <w:tcW w:w="955" w:type="dxa"/>
            <w:vAlign w:val="top"/>
          </w:tcPr>
          <w:p w14:paraId="3E31C702">
            <w:pPr>
              <w:rPr>
                <w:rFonts w:hint="eastAsia" w:ascii="宋体" w:hAnsi="宋体" w:eastAsia="宋体" w:cs="宋体"/>
                <w:color w:val="auto"/>
                <w:sz w:val="21"/>
                <w:highlight w:val="none"/>
              </w:rPr>
            </w:pPr>
          </w:p>
        </w:tc>
      </w:tr>
      <w:tr w14:paraId="1C3600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trPr>
        <w:tc>
          <w:tcPr>
            <w:tcW w:w="818" w:type="dxa"/>
            <w:vAlign w:val="top"/>
          </w:tcPr>
          <w:p w14:paraId="477C8F59">
            <w:pPr>
              <w:rPr>
                <w:rFonts w:hint="eastAsia" w:ascii="宋体" w:hAnsi="宋体" w:eastAsia="宋体" w:cs="宋体"/>
                <w:color w:val="auto"/>
                <w:sz w:val="21"/>
                <w:highlight w:val="none"/>
              </w:rPr>
            </w:pPr>
          </w:p>
        </w:tc>
        <w:tc>
          <w:tcPr>
            <w:tcW w:w="1084" w:type="dxa"/>
            <w:vAlign w:val="top"/>
          </w:tcPr>
          <w:p w14:paraId="49343F70">
            <w:pPr>
              <w:rPr>
                <w:rFonts w:hint="eastAsia" w:ascii="宋体" w:hAnsi="宋体" w:eastAsia="宋体" w:cs="宋体"/>
                <w:color w:val="auto"/>
                <w:sz w:val="21"/>
                <w:highlight w:val="none"/>
              </w:rPr>
            </w:pPr>
          </w:p>
        </w:tc>
        <w:tc>
          <w:tcPr>
            <w:tcW w:w="758" w:type="dxa"/>
            <w:vAlign w:val="top"/>
          </w:tcPr>
          <w:p w14:paraId="277F4FF1">
            <w:pPr>
              <w:rPr>
                <w:rFonts w:hint="eastAsia" w:ascii="宋体" w:hAnsi="宋体" w:eastAsia="宋体" w:cs="宋体"/>
                <w:color w:val="auto"/>
                <w:sz w:val="21"/>
                <w:highlight w:val="none"/>
              </w:rPr>
            </w:pPr>
          </w:p>
        </w:tc>
        <w:tc>
          <w:tcPr>
            <w:tcW w:w="669" w:type="dxa"/>
            <w:vAlign w:val="top"/>
          </w:tcPr>
          <w:p w14:paraId="14B9E105">
            <w:pPr>
              <w:rPr>
                <w:rFonts w:hint="eastAsia" w:ascii="宋体" w:hAnsi="宋体" w:eastAsia="宋体" w:cs="宋体"/>
                <w:color w:val="auto"/>
                <w:sz w:val="21"/>
                <w:highlight w:val="none"/>
              </w:rPr>
            </w:pPr>
          </w:p>
        </w:tc>
        <w:tc>
          <w:tcPr>
            <w:tcW w:w="660" w:type="dxa"/>
            <w:vAlign w:val="top"/>
          </w:tcPr>
          <w:p w14:paraId="167745AE">
            <w:pPr>
              <w:rPr>
                <w:rFonts w:hint="eastAsia" w:ascii="宋体" w:hAnsi="宋体" w:eastAsia="宋体" w:cs="宋体"/>
                <w:color w:val="auto"/>
                <w:sz w:val="21"/>
                <w:highlight w:val="none"/>
              </w:rPr>
            </w:pPr>
          </w:p>
        </w:tc>
        <w:tc>
          <w:tcPr>
            <w:tcW w:w="940" w:type="dxa"/>
            <w:vAlign w:val="top"/>
          </w:tcPr>
          <w:p w14:paraId="7A4829E5">
            <w:pPr>
              <w:rPr>
                <w:rFonts w:hint="eastAsia" w:ascii="宋体" w:hAnsi="宋体" w:eastAsia="宋体" w:cs="宋体"/>
                <w:color w:val="auto"/>
                <w:sz w:val="21"/>
                <w:highlight w:val="none"/>
              </w:rPr>
            </w:pPr>
          </w:p>
        </w:tc>
        <w:tc>
          <w:tcPr>
            <w:tcW w:w="648" w:type="dxa"/>
            <w:vAlign w:val="top"/>
          </w:tcPr>
          <w:p w14:paraId="41049322">
            <w:pPr>
              <w:rPr>
                <w:rFonts w:hint="eastAsia" w:ascii="宋体" w:hAnsi="宋体" w:eastAsia="宋体" w:cs="宋体"/>
                <w:color w:val="auto"/>
                <w:sz w:val="21"/>
                <w:highlight w:val="none"/>
              </w:rPr>
            </w:pPr>
          </w:p>
        </w:tc>
        <w:tc>
          <w:tcPr>
            <w:tcW w:w="430" w:type="dxa"/>
            <w:vAlign w:val="top"/>
          </w:tcPr>
          <w:p w14:paraId="3623649E">
            <w:pPr>
              <w:rPr>
                <w:rFonts w:hint="eastAsia" w:ascii="宋体" w:hAnsi="宋体" w:eastAsia="宋体" w:cs="宋体"/>
                <w:color w:val="auto"/>
                <w:sz w:val="21"/>
                <w:highlight w:val="none"/>
              </w:rPr>
            </w:pPr>
          </w:p>
        </w:tc>
        <w:tc>
          <w:tcPr>
            <w:tcW w:w="557" w:type="dxa"/>
            <w:vAlign w:val="top"/>
          </w:tcPr>
          <w:p w14:paraId="70510E5D">
            <w:pPr>
              <w:rPr>
                <w:rFonts w:hint="eastAsia" w:ascii="宋体" w:hAnsi="宋体" w:eastAsia="宋体" w:cs="宋体"/>
                <w:color w:val="auto"/>
                <w:sz w:val="21"/>
                <w:highlight w:val="none"/>
              </w:rPr>
            </w:pPr>
          </w:p>
        </w:tc>
        <w:tc>
          <w:tcPr>
            <w:tcW w:w="559" w:type="dxa"/>
            <w:vAlign w:val="top"/>
          </w:tcPr>
          <w:p w14:paraId="1DD3D43A">
            <w:pPr>
              <w:rPr>
                <w:rFonts w:hint="eastAsia" w:ascii="宋体" w:hAnsi="宋体" w:eastAsia="宋体" w:cs="宋体"/>
                <w:color w:val="auto"/>
                <w:sz w:val="21"/>
                <w:highlight w:val="none"/>
              </w:rPr>
            </w:pPr>
          </w:p>
        </w:tc>
        <w:tc>
          <w:tcPr>
            <w:tcW w:w="558" w:type="dxa"/>
            <w:vAlign w:val="top"/>
          </w:tcPr>
          <w:p w14:paraId="5CC41F87">
            <w:pPr>
              <w:rPr>
                <w:rFonts w:hint="eastAsia" w:ascii="宋体" w:hAnsi="宋体" w:eastAsia="宋体" w:cs="宋体"/>
                <w:color w:val="auto"/>
                <w:sz w:val="21"/>
                <w:highlight w:val="none"/>
              </w:rPr>
            </w:pPr>
          </w:p>
        </w:tc>
        <w:tc>
          <w:tcPr>
            <w:tcW w:w="955" w:type="dxa"/>
            <w:vAlign w:val="top"/>
          </w:tcPr>
          <w:p w14:paraId="5E333B6D">
            <w:pPr>
              <w:rPr>
                <w:rFonts w:hint="eastAsia" w:ascii="宋体" w:hAnsi="宋体" w:eastAsia="宋体" w:cs="宋体"/>
                <w:color w:val="auto"/>
                <w:sz w:val="21"/>
                <w:highlight w:val="none"/>
              </w:rPr>
            </w:pPr>
          </w:p>
        </w:tc>
      </w:tr>
    </w:tbl>
    <w:p w14:paraId="5129BE1A">
      <w:pPr>
        <w:spacing w:before="159" w:line="227" w:lineRule="auto"/>
        <w:ind w:left="283"/>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注：本表填报的设备应满足招标文件第二章“投标人须知”前附表附录7的要求。</w:t>
      </w:r>
    </w:p>
    <w:p w14:paraId="1A61A026">
      <w:pPr>
        <w:spacing w:line="227" w:lineRule="auto"/>
        <w:rPr>
          <w:rFonts w:hint="eastAsia" w:ascii="宋体" w:hAnsi="宋体" w:eastAsia="宋体" w:cs="宋体"/>
          <w:color w:val="auto"/>
          <w:sz w:val="20"/>
          <w:szCs w:val="20"/>
          <w:highlight w:val="none"/>
        </w:rPr>
        <w:sectPr>
          <w:headerReference r:id="rId287" w:type="default"/>
          <w:footerReference r:id="rId288" w:type="default"/>
          <w:pgSz w:w="11907" w:h="16840"/>
          <w:pgMar w:top="1182" w:right="1214" w:bottom="1014" w:left="1786" w:header="849" w:footer="852" w:gutter="0"/>
          <w:pgNumType w:fmt="decimal"/>
          <w:cols w:space="720" w:num="1"/>
        </w:sectPr>
      </w:pPr>
    </w:p>
    <w:p w14:paraId="56BD9675">
      <w:pPr>
        <w:pStyle w:val="4"/>
        <w:rPr>
          <w:rFonts w:hint="eastAsia" w:ascii="宋体" w:hAnsi="宋体" w:eastAsia="宋体" w:cs="宋体"/>
          <w:color w:val="auto"/>
          <w:highlight w:val="none"/>
        </w:rPr>
      </w:pPr>
    </w:p>
    <w:p w14:paraId="09E98253">
      <w:pPr>
        <w:pStyle w:val="4"/>
        <w:spacing w:line="241" w:lineRule="auto"/>
        <w:rPr>
          <w:rFonts w:hint="eastAsia" w:ascii="宋体" w:hAnsi="宋体" w:eastAsia="宋体" w:cs="宋体"/>
          <w:color w:val="auto"/>
          <w:highlight w:val="none"/>
        </w:rPr>
      </w:pPr>
    </w:p>
    <w:p w14:paraId="0E055178">
      <w:pPr>
        <w:spacing w:before="78" w:line="226" w:lineRule="auto"/>
        <w:ind w:left="1282"/>
        <w:outlineLvl w:val="2"/>
        <w:rPr>
          <w:rFonts w:hint="eastAsia" w:ascii="宋体" w:hAnsi="宋体" w:eastAsia="宋体" w:cs="宋体"/>
          <w:color w:val="auto"/>
          <w:sz w:val="12"/>
          <w:szCs w:val="12"/>
          <w:highlight w:val="none"/>
        </w:rPr>
      </w:pPr>
      <w:bookmarkStart w:id="985" w:name="_Toc5892"/>
      <w:bookmarkStart w:id="986" w:name="_Toc7819"/>
      <w:bookmarkStart w:id="987" w:name="_Toc23275"/>
      <w:bookmarkStart w:id="988" w:name="_Toc16675"/>
      <w:bookmarkStart w:id="989" w:name="_Toc5338"/>
      <w:r>
        <w:rPr>
          <w:rFonts w:hint="eastAsia" w:ascii="宋体" w:hAnsi="宋体" w:eastAsia="宋体" w:cs="宋体"/>
          <w:color w:val="auto"/>
          <w:spacing w:val="-1"/>
          <w:sz w:val="24"/>
          <w:szCs w:val="24"/>
          <w:highlight w:val="none"/>
        </w:rPr>
        <w:t>（十）拟配备本标段的主要材料试验、测量、质检仪器设</w:t>
      </w:r>
      <w:r>
        <w:rPr>
          <w:rFonts w:hint="eastAsia" w:ascii="宋体" w:hAnsi="宋体" w:eastAsia="宋体" w:cs="宋体"/>
          <w:color w:val="auto"/>
          <w:spacing w:val="-2"/>
          <w:sz w:val="24"/>
          <w:szCs w:val="24"/>
          <w:highlight w:val="none"/>
        </w:rPr>
        <w:t>备表</w:t>
      </w:r>
      <w:r>
        <w:rPr>
          <w:rFonts w:hint="eastAsia" w:ascii="宋体" w:hAnsi="宋体" w:eastAsia="宋体" w:cs="宋体"/>
          <w:color w:val="auto"/>
          <w:spacing w:val="-2"/>
          <w:position w:val="10"/>
          <w:sz w:val="12"/>
          <w:szCs w:val="12"/>
          <w:highlight w:val="none"/>
        </w:rPr>
        <w:t>①</w:t>
      </w:r>
      <w:bookmarkEnd w:id="985"/>
      <w:bookmarkEnd w:id="986"/>
      <w:bookmarkEnd w:id="987"/>
      <w:bookmarkEnd w:id="988"/>
      <w:bookmarkEnd w:id="989"/>
    </w:p>
    <w:p w14:paraId="41DDA627">
      <w:pPr>
        <w:spacing w:before="155"/>
        <w:rPr>
          <w:rFonts w:hint="eastAsia" w:ascii="宋体" w:hAnsi="宋体" w:eastAsia="宋体" w:cs="宋体"/>
          <w:color w:val="auto"/>
          <w:highlight w:val="none"/>
        </w:rPr>
      </w:pPr>
    </w:p>
    <w:tbl>
      <w:tblPr>
        <w:tblStyle w:val="24"/>
        <w:tblW w:w="8711" w:type="dxa"/>
        <w:tblInd w:w="26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10"/>
        <w:gridCol w:w="1617"/>
        <w:gridCol w:w="1028"/>
        <w:gridCol w:w="1015"/>
        <w:gridCol w:w="1026"/>
        <w:gridCol w:w="1023"/>
        <w:gridCol w:w="1693"/>
        <w:gridCol w:w="699"/>
      </w:tblGrid>
      <w:tr w14:paraId="45FFC9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9" w:hRule="atLeast"/>
        </w:trPr>
        <w:tc>
          <w:tcPr>
            <w:tcW w:w="610" w:type="dxa"/>
            <w:vAlign w:val="top"/>
          </w:tcPr>
          <w:p w14:paraId="18BCB940">
            <w:pPr>
              <w:pStyle w:val="25"/>
              <w:spacing w:before="286" w:line="222" w:lineRule="auto"/>
              <w:ind w:left="104"/>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序号</w:t>
            </w:r>
          </w:p>
        </w:tc>
        <w:tc>
          <w:tcPr>
            <w:tcW w:w="1617" w:type="dxa"/>
            <w:vAlign w:val="top"/>
          </w:tcPr>
          <w:p w14:paraId="23FD1C7B">
            <w:pPr>
              <w:pStyle w:val="25"/>
              <w:spacing w:before="287" w:line="220" w:lineRule="auto"/>
              <w:ind w:left="187"/>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仪器设备名称</w:t>
            </w:r>
          </w:p>
        </w:tc>
        <w:tc>
          <w:tcPr>
            <w:tcW w:w="1028" w:type="dxa"/>
            <w:vAlign w:val="top"/>
          </w:tcPr>
          <w:p w14:paraId="1FBDE87D">
            <w:pPr>
              <w:pStyle w:val="25"/>
              <w:spacing w:before="287" w:line="220" w:lineRule="auto"/>
              <w:ind w:left="109"/>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型号规格</w:t>
            </w:r>
          </w:p>
        </w:tc>
        <w:tc>
          <w:tcPr>
            <w:tcW w:w="1015" w:type="dxa"/>
            <w:vAlign w:val="top"/>
          </w:tcPr>
          <w:p w14:paraId="04A581A1">
            <w:pPr>
              <w:pStyle w:val="25"/>
              <w:spacing w:before="287" w:line="220" w:lineRule="auto"/>
              <w:ind w:left="307"/>
              <w:rPr>
                <w:rFonts w:hint="eastAsia" w:ascii="宋体" w:hAnsi="宋体" w:eastAsia="宋体" w:cs="宋体"/>
                <w:color w:val="auto"/>
                <w:sz w:val="22"/>
                <w:szCs w:val="22"/>
                <w:highlight w:val="none"/>
              </w:rPr>
            </w:pPr>
            <w:r>
              <w:rPr>
                <w:rFonts w:hint="eastAsia" w:ascii="宋体" w:hAnsi="宋体" w:eastAsia="宋体" w:cs="宋体"/>
                <w:color w:val="auto"/>
                <w:spacing w:val="-5"/>
                <w:sz w:val="22"/>
                <w:szCs w:val="22"/>
                <w:highlight w:val="none"/>
              </w:rPr>
              <w:t>数量</w:t>
            </w:r>
          </w:p>
        </w:tc>
        <w:tc>
          <w:tcPr>
            <w:tcW w:w="1026" w:type="dxa"/>
            <w:vAlign w:val="top"/>
          </w:tcPr>
          <w:p w14:paraId="4D18D066">
            <w:pPr>
              <w:pStyle w:val="25"/>
              <w:spacing w:before="287" w:line="220" w:lineRule="auto"/>
              <w:ind w:left="124"/>
              <w:rPr>
                <w:rFonts w:hint="eastAsia" w:ascii="宋体" w:hAnsi="宋体" w:eastAsia="宋体" w:cs="宋体"/>
                <w:color w:val="auto"/>
                <w:sz w:val="22"/>
                <w:szCs w:val="22"/>
                <w:highlight w:val="none"/>
              </w:rPr>
            </w:pPr>
            <w:r>
              <w:rPr>
                <w:rFonts w:hint="eastAsia" w:ascii="宋体" w:hAnsi="宋体" w:eastAsia="宋体" w:cs="宋体"/>
                <w:color w:val="auto"/>
                <w:spacing w:val="-8"/>
                <w:sz w:val="22"/>
                <w:szCs w:val="22"/>
                <w:highlight w:val="none"/>
              </w:rPr>
              <w:t>国别产地</w:t>
            </w:r>
          </w:p>
        </w:tc>
        <w:tc>
          <w:tcPr>
            <w:tcW w:w="1023" w:type="dxa"/>
            <w:vAlign w:val="top"/>
          </w:tcPr>
          <w:p w14:paraId="2A787A82">
            <w:pPr>
              <w:pStyle w:val="25"/>
              <w:spacing w:before="287" w:line="220" w:lineRule="auto"/>
              <w:ind w:left="104"/>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制造年份</w:t>
            </w:r>
          </w:p>
        </w:tc>
        <w:tc>
          <w:tcPr>
            <w:tcW w:w="1693" w:type="dxa"/>
            <w:vAlign w:val="top"/>
          </w:tcPr>
          <w:p w14:paraId="649AA953">
            <w:pPr>
              <w:pStyle w:val="25"/>
              <w:spacing w:before="286" w:line="222" w:lineRule="auto"/>
              <w:ind w:left="642"/>
              <w:rPr>
                <w:rFonts w:hint="eastAsia" w:ascii="宋体" w:hAnsi="宋体" w:eastAsia="宋体" w:cs="宋体"/>
                <w:color w:val="auto"/>
                <w:sz w:val="22"/>
                <w:szCs w:val="22"/>
                <w:highlight w:val="none"/>
              </w:rPr>
            </w:pPr>
            <w:r>
              <w:rPr>
                <w:rFonts w:hint="eastAsia" w:ascii="宋体" w:hAnsi="宋体" w:eastAsia="宋体" w:cs="宋体"/>
                <w:color w:val="auto"/>
                <w:spacing w:val="-5"/>
                <w:sz w:val="22"/>
                <w:szCs w:val="22"/>
                <w:highlight w:val="none"/>
              </w:rPr>
              <w:t>用途</w:t>
            </w:r>
          </w:p>
        </w:tc>
        <w:tc>
          <w:tcPr>
            <w:tcW w:w="699" w:type="dxa"/>
            <w:vAlign w:val="top"/>
          </w:tcPr>
          <w:p w14:paraId="1DC2D0F4">
            <w:pPr>
              <w:pStyle w:val="25"/>
              <w:spacing w:before="286" w:line="222" w:lineRule="auto"/>
              <w:ind w:left="155"/>
              <w:rPr>
                <w:rFonts w:hint="eastAsia" w:ascii="宋体" w:hAnsi="宋体" w:eastAsia="宋体" w:cs="宋体"/>
                <w:color w:val="auto"/>
                <w:sz w:val="22"/>
                <w:szCs w:val="22"/>
                <w:highlight w:val="none"/>
              </w:rPr>
            </w:pPr>
            <w:r>
              <w:rPr>
                <w:rFonts w:hint="eastAsia" w:ascii="宋体" w:hAnsi="宋体" w:eastAsia="宋体" w:cs="宋体"/>
                <w:color w:val="auto"/>
                <w:spacing w:val="-5"/>
                <w:sz w:val="22"/>
                <w:szCs w:val="22"/>
                <w:highlight w:val="none"/>
              </w:rPr>
              <w:t>备注</w:t>
            </w:r>
          </w:p>
        </w:tc>
      </w:tr>
      <w:tr w14:paraId="7383F8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610" w:type="dxa"/>
            <w:vAlign w:val="top"/>
          </w:tcPr>
          <w:p w14:paraId="112669BD">
            <w:pPr>
              <w:rPr>
                <w:rFonts w:hint="eastAsia" w:ascii="宋体" w:hAnsi="宋体" w:eastAsia="宋体" w:cs="宋体"/>
                <w:color w:val="auto"/>
                <w:sz w:val="21"/>
                <w:highlight w:val="none"/>
              </w:rPr>
            </w:pPr>
          </w:p>
        </w:tc>
        <w:tc>
          <w:tcPr>
            <w:tcW w:w="1617" w:type="dxa"/>
            <w:vAlign w:val="top"/>
          </w:tcPr>
          <w:p w14:paraId="70C23FD7">
            <w:pPr>
              <w:rPr>
                <w:rFonts w:hint="eastAsia" w:ascii="宋体" w:hAnsi="宋体" w:eastAsia="宋体" w:cs="宋体"/>
                <w:color w:val="auto"/>
                <w:sz w:val="21"/>
                <w:highlight w:val="none"/>
              </w:rPr>
            </w:pPr>
          </w:p>
        </w:tc>
        <w:tc>
          <w:tcPr>
            <w:tcW w:w="1028" w:type="dxa"/>
            <w:vAlign w:val="top"/>
          </w:tcPr>
          <w:p w14:paraId="473EDBA1">
            <w:pPr>
              <w:rPr>
                <w:rFonts w:hint="eastAsia" w:ascii="宋体" w:hAnsi="宋体" w:eastAsia="宋体" w:cs="宋体"/>
                <w:color w:val="auto"/>
                <w:sz w:val="21"/>
                <w:highlight w:val="none"/>
              </w:rPr>
            </w:pPr>
          </w:p>
        </w:tc>
        <w:tc>
          <w:tcPr>
            <w:tcW w:w="1015" w:type="dxa"/>
            <w:vAlign w:val="top"/>
          </w:tcPr>
          <w:p w14:paraId="54132D38">
            <w:pPr>
              <w:rPr>
                <w:rFonts w:hint="eastAsia" w:ascii="宋体" w:hAnsi="宋体" w:eastAsia="宋体" w:cs="宋体"/>
                <w:color w:val="auto"/>
                <w:sz w:val="21"/>
                <w:highlight w:val="none"/>
              </w:rPr>
            </w:pPr>
          </w:p>
        </w:tc>
        <w:tc>
          <w:tcPr>
            <w:tcW w:w="1026" w:type="dxa"/>
            <w:vAlign w:val="top"/>
          </w:tcPr>
          <w:p w14:paraId="49EF74A6">
            <w:pPr>
              <w:rPr>
                <w:rFonts w:hint="eastAsia" w:ascii="宋体" w:hAnsi="宋体" w:eastAsia="宋体" w:cs="宋体"/>
                <w:color w:val="auto"/>
                <w:sz w:val="21"/>
                <w:highlight w:val="none"/>
              </w:rPr>
            </w:pPr>
          </w:p>
        </w:tc>
        <w:tc>
          <w:tcPr>
            <w:tcW w:w="1023" w:type="dxa"/>
            <w:vAlign w:val="top"/>
          </w:tcPr>
          <w:p w14:paraId="7652CF3F">
            <w:pPr>
              <w:rPr>
                <w:rFonts w:hint="eastAsia" w:ascii="宋体" w:hAnsi="宋体" w:eastAsia="宋体" w:cs="宋体"/>
                <w:color w:val="auto"/>
                <w:sz w:val="21"/>
                <w:highlight w:val="none"/>
              </w:rPr>
            </w:pPr>
          </w:p>
        </w:tc>
        <w:tc>
          <w:tcPr>
            <w:tcW w:w="1693" w:type="dxa"/>
            <w:vAlign w:val="top"/>
          </w:tcPr>
          <w:p w14:paraId="636C4A52">
            <w:pPr>
              <w:rPr>
                <w:rFonts w:hint="eastAsia" w:ascii="宋体" w:hAnsi="宋体" w:eastAsia="宋体" w:cs="宋体"/>
                <w:color w:val="auto"/>
                <w:sz w:val="21"/>
                <w:highlight w:val="none"/>
              </w:rPr>
            </w:pPr>
          </w:p>
        </w:tc>
        <w:tc>
          <w:tcPr>
            <w:tcW w:w="699" w:type="dxa"/>
            <w:vAlign w:val="top"/>
          </w:tcPr>
          <w:p w14:paraId="6CAC0798">
            <w:pPr>
              <w:rPr>
                <w:rFonts w:hint="eastAsia" w:ascii="宋体" w:hAnsi="宋体" w:eastAsia="宋体" w:cs="宋体"/>
                <w:color w:val="auto"/>
                <w:sz w:val="21"/>
                <w:highlight w:val="none"/>
              </w:rPr>
            </w:pPr>
          </w:p>
        </w:tc>
      </w:tr>
      <w:tr w14:paraId="2E6AAA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6" w:hRule="atLeast"/>
        </w:trPr>
        <w:tc>
          <w:tcPr>
            <w:tcW w:w="610" w:type="dxa"/>
            <w:vAlign w:val="top"/>
          </w:tcPr>
          <w:p w14:paraId="343B8901">
            <w:pPr>
              <w:rPr>
                <w:rFonts w:hint="eastAsia" w:ascii="宋体" w:hAnsi="宋体" w:eastAsia="宋体" w:cs="宋体"/>
                <w:color w:val="auto"/>
                <w:sz w:val="21"/>
                <w:highlight w:val="none"/>
              </w:rPr>
            </w:pPr>
          </w:p>
        </w:tc>
        <w:tc>
          <w:tcPr>
            <w:tcW w:w="1617" w:type="dxa"/>
            <w:vAlign w:val="top"/>
          </w:tcPr>
          <w:p w14:paraId="5D465D70">
            <w:pPr>
              <w:rPr>
                <w:rFonts w:hint="eastAsia" w:ascii="宋体" w:hAnsi="宋体" w:eastAsia="宋体" w:cs="宋体"/>
                <w:color w:val="auto"/>
                <w:sz w:val="21"/>
                <w:highlight w:val="none"/>
              </w:rPr>
            </w:pPr>
          </w:p>
        </w:tc>
        <w:tc>
          <w:tcPr>
            <w:tcW w:w="1028" w:type="dxa"/>
            <w:vAlign w:val="top"/>
          </w:tcPr>
          <w:p w14:paraId="37061F23">
            <w:pPr>
              <w:rPr>
                <w:rFonts w:hint="eastAsia" w:ascii="宋体" w:hAnsi="宋体" w:eastAsia="宋体" w:cs="宋体"/>
                <w:color w:val="auto"/>
                <w:sz w:val="21"/>
                <w:highlight w:val="none"/>
              </w:rPr>
            </w:pPr>
          </w:p>
        </w:tc>
        <w:tc>
          <w:tcPr>
            <w:tcW w:w="1015" w:type="dxa"/>
            <w:vAlign w:val="top"/>
          </w:tcPr>
          <w:p w14:paraId="402CE1E9">
            <w:pPr>
              <w:rPr>
                <w:rFonts w:hint="eastAsia" w:ascii="宋体" w:hAnsi="宋体" w:eastAsia="宋体" w:cs="宋体"/>
                <w:color w:val="auto"/>
                <w:sz w:val="21"/>
                <w:highlight w:val="none"/>
              </w:rPr>
            </w:pPr>
          </w:p>
        </w:tc>
        <w:tc>
          <w:tcPr>
            <w:tcW w:w="1026" w:type="dxa"/>
            <w:vAlign w:val="top"/>
          </w:tcPr>
          <w:p w14:paraId="507D276F">
            <w:pPr>
              <w:rPr>
                <w:rFonts w:hint="eastAsia" w:ascii="宋体" w:hAnsi="宋体" w:eastAsia="宋体" w:cs="宋体"/>
                <w:color w:val="auto"/>
                <w:sz w:val="21"/>
                <w:highlight w:val="none"/>
              </w:rPr>
            </w:pPr>
          </w:p>
        </w:tc>
        <w:tc>
          <w:tcPr>
            <w:tcW w:w="1023" w:type="dxa"/>
            <w:vAlign w:val="top"/>
          </w:tcPr>
          <w:p w14:paraId="1F09AF9E">
            <w:pPr>
              <w:rPr>
                <w:rFonts w:hint="eastAsia" w:ascii="宋体" w:hAnsi="宋体" w:eastAsia="宋体" w:cs="宋体"/>
                <w:color w:val="auto"/>
                <w:sz w:val="21"/>
                <w:highlight w:val="none"/>
              </w:rPr>
            </w:pPr>
          </w:p>
        </w:tc>
        <w:tc>
          <w:tcPr>
            <w:tcW w:w="1693" w:type="dxa"/>
            <w:vAlign w:val="top"/>
          </w:tcPr>
          <w:p w14:paraId="107E04DF">
            <w:pPr>
              <w:rPr>
                <w:rFonts w:hint="eastAsia" w:ascii="宋体" w:hAnsi="宋体" w:eastAsia="宋体" w:cs="宋体"/>
                <w:color w:val="auto"/>
                <w:sz w:val="21"/>
                <w:highlight w:val="none"/>
              </w:rPr>
            </w:pPr>
          </w:p>
        </w:tc>
        <w:tc>
          <w:tcPr>
            <w:tcW w:w="699" w:type="dxa"/>
            <w:vAlign w:val="top"/>
          </w:tcPr>
          <w:p w14:paraId="1C1575CE">
            <w:pPr>
              <w:rPr>
                <w:rFonts w:hint="eastAsia" w:ascii="宋体" w:hAnsi="宋体" w:eastAsia="宋体" w:cs="宋体"/>
                <w:color w:val="auto"/>
                <w:sz w:val="21"/>
                <w:highlight w:val="none"/>
              </w:rPr>
            </w:pPr>
          </w:p>
        </w:tc>
      </w:tr>
      <w:tr w14:paraId="1A43EC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610" w:type="dxa"/>
            <w:vAlign w:val="top"/>
          </w:tcPr>
          <w:p w14:paraId="7CFFE61C">
            <w:pPr>
              <w:rPr>
                <w:rFonts w:hint="eastAsia" w:ascii="宋体" w:hAnsi="宋体" w:eastAsia="宋体" w:cs="宋体"/>
                <w:color w:val="auto"/>
                <w:sz w:val="21"/>
                <w:highlight w:val="none"/>
              </w:rPr>
            </w:pPr>
          </w:p>
        </w:tc>
        <w:tc>
          <w:tcPr>
            <w:tcW w:w="1617" w:type="dxa"/>
            <w:vAlign w:val="top"/>
          </w:tcPr>
          <w:p w14:paraId="493F3C00">
            <w:pPr>
              <w:rPr>
                <w:rFonts w:hint="eastAsia" w:ascii="宋体" w:hAnsi="宋体" w:eastAsia="宋体" w:cs="宋体"/>
                <w:color w:val="auto"/>
                <w:sz w:val="21"/>
                <w:highlight w:val="none"/>
              </w:rPr>
            </w:pPr>
          </w:p>
        </w:tc>
        <w:tc>
          <w:tcPr>
            <w:tcW w:w="1028" w:type="dxa"/>
            <w:vAlign w:val="top"/>
          </w:tcPr>
          <w:p w14:paraId="0E1AF322">
            <w:pPr>
              <w:rPr>
                <w:rFonts w:hint="eastAsia" w:ascii="宋体" w:hAnsi="宋体" w:eastAsia="宋体" w:cs="宋体"/>
                <w:color w:val="auto"/>
                <w:sz w:val="21"/>
                <w:highlight w:val="none"/>
              </w:rPr>
            </w:pPr>
          </w:p>
        </w:tc>
        <w:tc>
          <w:tcPr>
            <w:tcW w:w="1015" w:type="dxa"/>
            <w:vAlign w:val="top"/>
          </w:tcPr>
          <w:p w14:paraId="37ED9706">
            <w:pPr>
              <w:rPr>
                <w:rFonts w:hint="eastAsia" w:ascii="宋体" w:hAnsi="宋体" w:eastAsia="宋体" w:cs="宋体"/>
                <w:color w:val="auto"/>
                <w:sz w:val="21"/>
                <w:highlight w:val="none"/>
              </w:rPr>
            </w:pPr>
          </w:p>
        </w:tc>
        <w:tc>
          <w:tcPr>
            <w:tcW w:w="1026" w:type="dxa"/>
            <w:vAlign w:val="top"/>
          </w:tcPr>
          <w:p w14:paraId="0593CEAB">
            <w:pPr>
              <w:rPr>
                <w:rFonts w:hint="eastAsia" w:ascii="宋体" w:hAnsi="宋体" w:eastAsia="宋体" w:cs="宋体"/>
                <w:color w:val="auto"/>
                <w:sz w:val="21"/>
                <w:highlight w:val="none"/>
              </w:rPr>
            </w:pPr>
          </w:p>
        </w:tc>
        <w:tc>
          <w:tcPr>
            <w:tcW w:w="1023" w:type="dxa"/>
            <w:vAlign w:val="top"/>
          </w:tcPr>
          <w:p w14:paraId="41D24BEA">
            <w:pPr>
              <w:rPr>
                <w:rFonts w:hint="eastAsia" w:ascii="宋体" w:hAnsi="宋体" w:eastAsia="宋体" w:cs="宋体"/>
                <w:color w:val="auto"/>
                <w:sz w:val="21"/>
                <w:highlight w:val="none"/>
              </w:rPr>
            </w:pPr>
          </w:p>
        </w:tc>
        <w:tc>
          <w:tcPr>
            <w:tcW w:w="1693" w:type="dxa"/>
            <w:vAlign w:val="top"/>
          </w:tcPr>
          <w:p w14:paraId="526B3F98">
            <w:pPr>
              <w:rPr>
                <w:rFonts w:hint="eastAsia" w:ascii="宋体" w:hAnsi="宋体" w:eastAsia="宋体" w:cs="宋体"/>
                <w:color w:val="auto"/>
                <w:sz w:val="21"/>
                <w:highlight w:val="none"/>
              </w:rPr>
            </w:pPr>
          </w:p>
        </w:tc>
        <w:tc>
          <w:tcPr>
            <w:tcW w:w="699" w:type="dxa"/>
            <w:vAlign w:val="top"/>
          </w:tcPr>
          <w:p w14:paraId="3D784BF5">
            <w:pPr>
              <w:rPr>
                <w:rFonts w:hint="eastAsia" w:ascii="宋体" w:hAnsi="宋体" w:eastAsia="宋体" w:cs="宋体"/>
                <w:color w:val="auto"/>
                <w:sz w:val="21"/>
                <w:highlight w:val="none"/>
              </w:rPr>
            </w:pPr>
          </w:p>
        </w:tc>
      </w:tr>
      <w:tr w14:paraId="796068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610" w:type="dxa"/>
            <w:vAlign w:val="top"/>
          </w:tcPr>
          <w:p w14:paraId="75AC436D">
            <w:pPr>
              <w:rPr>
                <w:rFonts w:hint="eastAsia" w:ascii="宋体" w:hAnsi="宋体" w:eastAsia="宋体" w:cs="宋体"/>
                <w:color w:val="auto"/>
                <w:sz w:val="21"/>
                <w:highlight w:val="none"/>
              </w:rPr>
            </w:pPr>
          </w:p>
        </w:tc>
        <w:tc>
          <w:tcPr>
            <w:tcW w:w="1617" w:type="dxa"/>
            <w:vAlign w:val="top"/>
          </w:tcPr>
          <w:p w14:paraId="036C3926">
            <w:pPr>
              <w:rPr>
                <w:rFonts w:hint="eastAsia" w:ascii="宋体" w:hAnsi="宋体" w:eastAsia="宋体" w:cs="宋体"/>
                <w:color w:val="auto"/>
                <w:sz w:val="21"/>
                <w:highlight w:val="none"/>
              </w:rPr>
            </w:pPr>
          </w:p>
        </w:tc>
        <w:tc>
          <w:tcPr>
            <w:tcW w:w="1028" w:type="dxa"/>
            <w:vAlign w:val="top"/>
          </w:tcPr>
          <w:p w14:paraId="6D644C60">
            <w:pPr>
              <w:rPr>
                <w:rFonts w:hint="eastAsia" w:ascii="宋体" w:hAnsi="宋体" w:eastAsia="宋体" w:cs="宋体"/>
                <w:color w:val="auto"/>
                <w:sz w:val="21"/>
                <w:highlight w:val="none"/>
              </w:rPr>
            </w:pPr>
          </w:p>
        </w:tc>
        <w:tc>
          <w:tcPr>
            <w:tcW w:w="1015" w:type="dxa"/>
            <w:vAlign w:val="top"/>
          </w:tcPr>
          <w:p w14:paraId="435A1697">
            <w:pPr>
              <w:rPr>
                <w:rFonts w:hint="eastAsia" w:ascii="宋体" w:hAnsi="宋体" w:eastAsia="宋体" w:cs="宋体"/>
                <w:color w:val="auto"/>
                <w:sz w:val="21"/>
                <w:highlight w:val="none"/>
              </w:rPr>
            </w:pPr>
          </w:p>
        </w:tc>
        <w:tc>
          <w:tcPr>
            <w:tcW w:w="1026" w:type="dxa"/>
            <w:vAlign w:val="top"/>
          </w:tcPr>
          <w:p w14:paraId="3303238D">
            <w:pPr>
              <w:rPr>
                <w:rFonts w:hint="eastAsia" w:ascii="宋体" w:hAnsi="宋体" w:eastAsia="宋体" w:cs="宋体"/>
                <w:color w:val="auto"/>
                <w:sz w:val="21"/>
                <w:highlight w:val="none"/>
              </w:rPr>
            </w:pPr>
          </w:p>
        </w:tc>
        <w:tc>
          <w:tcPr>
            <w:tcW w:w="1023" w:type="dxa"/>
            <w:vAlign w:val="top"/>
          </w:tcPr>
          <w:p w14:paraId="130FDCB5">
            <w:pPr>
              <w:rPr>
                <w:rFonts w:hint="eastAsia" w:ascii="宋体" w:hAnsi="宋体" w:eastAsia="宋体" w:cs="宋体"/>
                <w:color w:val="auto"/>
                <w:sz w:val="21"/>
                <w:highlight w:val="none"/>
              </w:rPr>
            </w:pPr>
          </w:p>
        </w:tc>
        <w:tc>
          <w:tcPr>
            <w:tcW w:w="1693" w:type="dxa"/>
            <w:vAlign w:val="top"/>
          </w:tcPr>
          <w:p w14:paraId="6768A4CD">
            <w:pPr>
              <w:rPr>
                <w:rFonts w:hint="eastAsia" w:ascii="宋体" w:hAnsi="宋体" w:eastAsia="宋体" w:cs="宋体"/>
                <w:color w:val="auto"/>
                <w:sz w:val="21"/>
                <w:highlight w:val="none"/>
              </w:rPr>
            </w:pPr>
          </w:p>
        </w:tc>
        <w:tc>
          <w:tcPr>
            <w:tcW w:w="699" w:type="dxa"/>
            <w:vAlign w:val="top"/>
          </w:tcPr>
          <w:p w14:paraId="4CB2C540">
            <w:pPr>
              <w:rPr>
                <w:rFonts w:hint="eastAsia" w:ascii="宋体" w:hAnsi="宋体" w:eastAsia="宋体" w:cs="宋体"/>
                <w:color w:val="auto"/>
                <w:sz w:val="21"/>
                <w:highlight w:val="none"/>
              </w:rPr>
            </w:pPr>
          </w:p>
        </w:tc>
      </w:tr>
      <w:tr w14:paraId="143C90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610" w:type="dxa"/>
            <w:vAlign w:val="top"/>
          </w:tcPr>
          <w:p w14:paraId="24EE73B3">
            <w:pPr>
              <w:rPr>
                <w:rFonts w:hint="eastAsia" w:ascii="宋体" w:hAnsi="宋体" w:eastAsia="宋体" w:cs="宋体"/>
                <w:color w:val="auto"/>
                <w:sz w:val="21"/>
                <w:highlight w:val="none"/>
              </w:rPr>
            </w:pPr>
          </w:p>
        </w:tc>
        <w:tc>
          <w:tcPr>
            <w:tcW w:w="1617" w:type="dxa"/>
            <w:vAlign w:val="top"/>
          </w:tcPr>
          <w:p w14:paraId="77257A12">
            <w:pPr>
              <w:rPr>
                <w:rFonts w:hint="eastAsia" w:ascii="宋体" w:hAnsi="宋体" w:eastAsia="宋体" w:cs="宋体"/>
                <w:color w:val="auto"/>
                <w:sz w:val="21"/>
                <w:highlight w:val="none"/>
              </w:rPr>
            </w:pPr>
          </w:p>
        </w:tc>
        <w:tc>
          <w:tcPr>
            <w:tcW w:w="1028" w:type="dxa"/>
            <w:vAlign w:val="top"/>
          </w:tcPr>
          <w:p w14:paraId="4212A699">
            <w:pPr>
              <w:rPr>
                <w:rFonts w:hint="eastAsia" w:ascii="宋体" w:hAnsi="宋体" w:eastAsia="宋体" w:cs="宋体"/>
                <w:color w:val="auto"/>
                <w:sz w:val="21"/>
                <w:highlight w:val="none"/>
              </w:rPr>
            </w:pPr>
          </w:p>
        </w:tc>
        <w:tc>
          <w:tcPr>
            <w:tcW w:w="1015" w:type="dxa"/>
            <w:vAlign w:val="top"/>
          </w:tcPr>
          <w:p w14:paraId="7A959EED">
            <w:pPr>
              <w:rPr>
                <w:rFonts w:hint="eastAsia" w:ascii="宋体" w:hAnsi="宋体" w:eastAsia="宋体" w:cs="宋体"/>
                <w:color w:val="auto"/>
                <w:sz w:val="21"/>
                <w:highlight w:val="none"/>
              </w:rPr>
            </w:pPr>
          </w:p>
        </w:tc>
        <w:tc>
          <w:tcPr>
            <w:tcW w:w="1026" w:type="dxa"/>
            <w:vAlign w:val="top"/>
          </w:tcPr>
          <w:p w14:paraId="4E33A2F8">
            <w:pPr>
              <w:rPr>
                <w:rFonts w:hint="eastAsia" w:ascii="宋体" w:hAnsi="宋体" w:eastAsia="宋体" w:cs="宋体"/>
                <w:color w:val="auto"/>
                <w:sz w:val="21"/>
                <w:highlight w:val="none"/>
              </w:rPr>
            </w:pPr>
          </w:p>
        </w:tc>
        <w:tc>
          <w:tcPr>
            <w:tcW w:w="1023" w:type="dxa"/>
            <w:vAlign w:val="top"/>
          </w:tcPr>
          <w:p w14:paraId="4CF33150">
            <w:pPr>
              <w:rPr>
                <w:rFonts w:hint="eastAsia" w:ascii="宋体" w:hAnsi="宋体" w:eastAsia="宋体" w:cs="宋体"/>
                <w:color w:val="auto"/>
                <w:sz w:val="21"/>
                <w:highlight w:val="none"/>
              </w:rPr>
            </w:pPr>
          </w:p>
        </w:tc>
        <w:tc>
          <w:tcPr>
            <w:tcW w:w="1693" w:type="dxa"/>
            <w:vAlign w:val="top"/>
          </w:tcPr>
          <w:p w14:paraId="0BA75F0A">
            <w:pPr>
              <w:rPr>
                <w:rFonts w:hint="eastAsia" w:ascii="宋体" w:hAnsi="宋体" w:eastAsia="宋体" w:cs="宋体"/>
                <w:color w:val="auto"/>
                <w:sz w:val="21"/>
                <w:highlight w:val="none"/>
              </w:rPr>
            </w:pPr>
          </w:p>
        </w:tc>
        <w:tc>
          <w:tcPr>
            <w:tcW w:w="699" w:type="dxa"/>
            <w:vAlign w:val="top"/>
          </w:tcPr>
          <w:p w14:paraId="21A8DAB8">
            <w:pPr>
              <w:rPr>
                <w:rFonts w:hint="eastAsia" w:ascii="宋体" w:hAnsi="宋体" w:eastAsia="宋体" w:cs="宋体"/>
                <w:color w:val="auto"/>
                <w:sz w:val="21"/>
                <w:highlight w:val="none"/>
              </w:rPr>
            </w:pPr>
          </w:p>
        </w:tc>
      </w:tr>
      <w:tr w14:paraId="618353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5" w:hRule="atLeast"/>
        </w:trPr>
        <w:tc>
          <w:tcPr>
            <w:tcW w:w="610" w:type="dxa"/>
            <w:vAlign w:val="top"/>
          </w:tcPr>
          <w:p w14:paraId="18845A22">
            <w:pPr>
              <w:rPr>
                <w:rFonts w:hint="eastAsia" w:ascii="宋体" w:hAnsi="宋体" w:eastAsia="宋体" w:cs="宋体"/>
                <w:color w:val="auto"/>
                <w:sz w:val="21"/>
                <w:highlight w:val="none"/>
              </w:rPr>
            </w:pPr>
          </w:p>
        </w:tc>
        <w:tc>
          <w:tcPr>
            <w:tcW w:w="1617" w:type="dxa"/>
            <w:vAlign w:val="top"/>
          </w:tcPr>
          <w:p w14:paraId="619C480B">
            <w:pPr>
              <w:rPr>
                <w:rFonts w:hint="eastAsia" w:ascii="宋体" w:hAnsi="宋体" w:eastAsia="宋体" w:cs="宋体"/>
                <w:color w:val="auto"/>
                <w:sz w:val="21"/>
                <w:highlight w:val="none"/>
              </w:rPr>
            </w:pPr>
          </w:p>
        </w:tc>
        <w:tc>
          <w:tcPr>
            <w:tcW w:w="1028" w:type="dxa"/>
            <w:vAlign w:val="top"/>
          </w:tcPr>
          <w:p w14:paraId="2A32AF65">
            <w:pPr>
              <w:rPr>
                <w:rFonts w:hint="eastAsia" w:ascii="宋体" w:hAnsi="宋体" w:eastAsia="宋体" w:cs="宋体"/>
                <w:color w:val="auto"/>
                <w:sz w:val="21"/>
                <w:highlight w:val="none"/>
              </w:rPr>
            </w:pPr>
          </w:p>
        </w:tc>
        <w:tc>
          <w:tcPr>
            <w:tcW w:w="1015" w:type="dxa"/>
            <w:vAlign w:val="top"/>
          </w:tcPr>
          <w:p w14:paraId="47E58758">
            <w:pPr>
              <w:rPr>
                <w:rFonts w:hint="eastAsia" w:ascii="宋体" w:hAnsi="宋体" w:eastAsia="宋体" w:cs="宋体"/>
                <w:color w:val="auto"/>
                <w:sz w:val="21"/>
                <w:highlight w:val="none"/>
              </w:rPr>
            </w:pPr>
          </w:p>
        </w:tc>
        <w:tc>
          <w:tcPr>
            <w:tcW w:w="1026" w:type="dxa"/>
            <w:vAlign w:val="top"/>
          </w:tcPr>
          <w:p w14:paraId="4AAB2373">
            <w:pPr>
              <w:rPr>
                <w:rFonts w:hint="eastAsia" w:ascii="宋体" w:hAnsi="宋体" w:eastAsia="宋体" w:cs="宋体"/>
                <w:color w:val="auto"/>
                <w:sz w:val="21"/>
                <w:highlight w:val="none"/>
              </w:rPr>
            </w:pPr>
          </w:p>
        </w:tc>
        <w:tc>
          <w:tcPr>
            <w:tcW w:w="1023" w:type="dxa"/>
            <w:vAlign w:val="top"/>
          </w:tcPr>
          <w:p w14:paraId="003D2715">
            <w:pPr>
              <w:rPr>
                <w:rFonts w:hint="eastAsia" w:ascii="宋体" w:hAnsi="宋体" w:eastAsia="宋体" w:cs="宋体"/>
                <w:color w:val="auto"/>
                <w:sz w:val="21"/>
                <w:highlight w:val="none"/>
              </w:rPr>
            </w:pPr>
          </w:p>
        </w:tc>
        <w:tc>
          <w:tcPr>
            <w:tcW w:w="1693" w:type="dxa"/>
            <w:vAlign w:val="top"/>
          </w:tcPr>
          <w:p w14:paraId="44725433">
            <w:pPr>
              <w:rPr>
                <w:rFonts w:hint="eastAsia" w:ascii="宋体" w:hAnsi="宋体" w:eastAsia="宋体" w:cs="宋体"/>
                <w:color w:val="auto"/>
                <w:sz w:val="21"/>
                <w:highlight w:val="none"/>
              </w:rPr>
            </w:pPr>
          </w:p>
        </w:tc>
        <w:tc>
          <w:tcPr>
            <w:tcW w:w="699" w:type="dxa"/>
            <w:vAlign w:val="top"/>
          </w:tcPr>
          <w:p w14:paraId="4AFAB826">
            <w:pPr>
              <w:rPr>
                <w:rFonts w:hint="eastAsia" w:ascii="宋体" w:hAnsi="宋体" w:eastAsia="宋体" w:cs="宋体"/>
                <w:color w:val="auto"/>
                <w:sz w:val="21"/>
                <w:highlight w:val="none"/>
              </w:rPr>
            </w:pPr>
          </w:p>
        </w:tc>
      </w:tr>
      <w:tr w14:paraId="2F45CE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5" w:hRule="atLeast"/>
        </w:trPr>
        <w:tc>
          <w:tcPr>
            <w:tcW w:w="610" w:type="dxa"/>
            <w:vAlign w:val="top"/>
          </w:tcPr>
          <w:p w14:paraId="72E9F2E1">
            <w:pPr>
              <w:rPr>
                <w:rFonts w:hint="eastAsia" w:ascii="宋体" w:hAnsi="宋体" w:eastAsia="宋体" w:cs="宋体"/>
                <w:color w:val="auto"/>
                <w:sz w:val="21"/>
                <w:highlight w:val="none"/>
              </w:rPr>
            </w:pPr>
          </w:p>
        </w:tc>
        <w:tc>
          <w:tcPr>
            <w:tcW w:w="1617" w:type="dxa"/>
            <w:vAlign w:val="top"/>
          </w:tcPr>
          <w:p w14:paraId="6114E6C8">
            <w:pPr>
              <w:rPr>
                <w:rFonts w:hint="eastAsia" w:ascii="宋体" w:hAnsi="宋体" w:eastAsia="宋体" w:cs="宋体"/>
                <w:color w:val="auto"/>
                <w:sz w:val="21"/>
                <w:highlight w:val="none"/>
              </w:rPr>
            </w:pPr>
          </w:p>
        </w:tc>
        <w:tc>
          <w:tcPr>
            <w:tcW w:w="1028" w:type="dxa"/>
            <w:vAlign w:val="top"/>
          </w:tcPr>
          <w:p w14:paraId="3EF5C73E">
            <w:pPr>
              <w:rPr>
                <w:rFonts w:hint="eastAsia" w:ascii="宋体" w:hAnsi="宋体" w:eastAsia="宋体" w:cs="宋体"/>
                <w:color w:val="auto"/>
                <w:sz w:val="21"/>
                <w:highlight w:val="none"/>
              </w:rPr>
            </w:pPr>
          </w:p>
        </w:tc>
        <w:tc>
          <w:tcPr>
            <w:tcW w:w="1015" w:type="dxa"/>
            <w:vAlign w:val="top"/>
          </w:tcPr>
          <w:p w14:paraId="04F35C2A">
            <w:pPr>
              <w:rPr>
                <w:rFonts w:hint="eastAsia" w:ascii="宋体" w:hAnsi="宋体" w:eastAsia="宋体" w:cs="宋体"/>
                <w:color w:val="auto"/>
                <w:sz w:val="21"/>
                <w:highlight w:val="none"/>
              </w:rPr>
            </w:pPr>
          </w:p>
        </w:tc>
        <w:tc>
          <w:tcPr>
            <w:tcW w:w="1026" w:type="dxa"/>
            <w:vAlign w:val="top"/>
          </w:tcPr>
          <w:p w14:paraId="6657AB7B">
            <w:pPr>
              <w:rPr>
                <w:rFonts w:hint="eastAsia" w:ascii="宋体" w:hAnsi="宋体" w:eastAsia="宋体" w:cs="宋体"/>
                <w:color w:val="auto"/>
                <w:sz w:val="21"/>
                <w:highlight w:val="none"/>
              </w:rPr>
            </w:pPr>
          </w:p>
        </w:tc>
        <w:tc>
          <w:tcPr>
            <w:tcW w:w="1023" w:type="dxa"/>
            <w:vAlign w:val="top"/>
          </w:tcPr>
          <w:p w14:paraId="73851F60">
            <w:pPr>
              <w:rPr>
                <w:rFonts w:hint="eastAsia" w:ascii="宋体" w:hAnsi="宋体" w:eastAsia="宋体" w:cs="宋体"/>
                <w:color w:val="auto"/>
                <w:sz w:val="21"/>
                <w:highlight w:val="none"/>
              </w:rPr>
            </w:pPr>
          </w:p>
        </w:tc>
        <w:tc>
          <w:tcPr>
            <w:tcW w:w="1693" w:type="dxa"/>
            <w:vAlign w:val="top"/>
          </w:tcPr>
          <w:p w14:paraId="65408196">
            <w:pPr>
              <w:rPr>
                <w:rFonts w:hint="eastAsia" w:ascii="宋体" w:hAnsi="宋体" w:eastAsia="宋体" w:cs="宋体"/>
                <w:color w:val="auto"/>
                <w:sz w:val="21"/>
                <w:highlight w:val="none"/>
              </w:rPr>
            </w:pPr>
          </w:p>
        </w:tc>
        <w:tc>
          <w:tcPr>
            <w:tcW w:w="699" w:type="dxa"/>
            <w:vAlign w:val="top"/>
          </w:tcPr>
          <w:p w14:paraId="39769780">
            <w:pPr>
              <w:rPr>
                <w:rFonts w:hint="eastAsia" w:ascii="宋体" w:hAnsi="宋体" w:eastAsia="宋体" w:cs="宋体"/>
                <w:color w:val="auto"/>
                <w:sz w:val="21"/>
                <w:highlight w:val="none"/>
              </w:rPr>
            </w:pPr>
          </w:p>
        </w:tc>
      </w:tr>
      <w:tr w14:paraId="1E6208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5" w:hRule="atLeast"/>
        </w:trPr>
        <w:tc>
          <w:tcPr>
            <w:tcW w:w="610" w:type="dxa"/>
            <w:vAlign w:val="top"/>
          </w:tcPr>
          <w:p w14:paraId="0B48818A">
            <w:pPr>
              <w:rPr>
                <w:rFonts w:hint="eastAsia" w:ascii="宋体" w:hAnsi="宋体" w:eastAsia="宋体" w:cs="宋体"/>
                <w:color w:val="auto"/>
                <w:sz w:val="21"/>
                <w:highlight w:val="none"/>
              </w:rPr>
            </w:pPr>
          </w:p>
        </w:tc>
        <w:tc>
          <w:tcPr>
            <w:tcW w:w="1617" w:type="dxa"/>
            <w:vAlign w:val="top"/>
          </w:tcPr>
          <w:p w14:paraId="5A379C1C">
            <w:pPr>
              <w:rPr>
                <w:rFonts w:hint="eastAsia" w:ascii="宋体" w:hAnsi="宋体" w:eastAsia="宋体" w:cs="宋体"/>
                <w:color w:val="auto"/>
                <w:sz w:val="21"/>
                <w:highlight w:val="none"/>
              </w:rPr>
            </w:pPr>
          </w:p>
        </w:tc>
        <w:tc>
          <w:tcPr>
            <w:tcW w:w="1028" w:type="dxa"/>
            <w:vAlign w:val="top"/>
          </w:tcPr>
          <w:p w14:paraId="3AE1CF5E">
            <w:pPr>
              <w:rPr>
                <w:rFonts w:hint="eastAsia" w:ascii="宋体" w:hAnsi="宋体" w:eastAsia="宋体" w:cs="宋体"/>
                <w:color w:val="auto"/>
                <w:sz w:val="21"/>
                <w:highlight w:val="none"/>
              </w:rPr>
            </w:pPr>
          </w:p>
        </w:tc>
        <w:tc>
          <w:tcPr>
            <w:tcW w:w="1015" w:type="dxa"/>
            <w:vAlign w:val="top"/>
          </w:tcPr>
          <w:p w14:paraId="518C0F44">
            <w:pPr>
              <w:rPr>
                <w:rFonts w:hint="eastAsia" w:ascii="宋体" w:hAnsi="宋体" w:eastAsia="宋体" w:cs="宋体"/>
                <w:color w:val="auto"/>
                <w:sz w:val="21"/>
                <w:highlight w:val="none"/>
              </w:rPr>
            </w:pPr>
          </w:p>
        </w:tc>
        <w:tc>
          <w:tcPr>
            <w:tcW w:w="1026" w:type="dxa"/>
            <w:vAlign w:val="top"/>
          </w:tcPr>
          <w:p w14:paraId="58745C64">
            <w:pPr>
              <w:rPr>
                <w:rFonts w:hint="eastAsia" w:ascii="宋体" w:hAnsi="宋体" w:eastAsia="宋体" w:cs="宋体"/>
                <w:color w:val="auto"/>
                <w:sz w:val="21"/>
                <w:highlight w:val="none"/>
              </w:rPr>
            </w:pPr>
          </w:p>
        </w:tc>
        <w:tc>
          <w:tcPr>
            <w:tcW w:w="1023" w:type="dxa"/>
            <w:vAlign w:val="top"/>
          </w:tcPr>
          <w:p w14:paraId="4C45A1B7">
            <w:pPr>
              <w:rPr>
                <w:rFonts w:hint="eastAsia" w:ascii="宋体" w:hAnsi="宋体" w:eastAsia="宋体" w:cs="宋体"/>
                <w:color w:val="auto"/>
                <w:sz w:val="21"/>
                <w:highlight w:val="none"/>
              </w:rPr>
            </w:pPr>
          </w:p>
        </w:tc>
        <w:tc>
          <w:tcPr>
            <w:tcW w:w="1693" w:type="dxa"/>
            <w:vAlign w:val="top"/>
          </w:tcPr>
          <w:p w14:paraId="475DD76A">
            <w:pPr>
              <w:rPr>
                <w:rFonts w:hint="eastAsia" w:ascii="宋体" w:hAnsi="宋体" w:eastAsia="宋体" w:cs="宋体"/>
                <w:color w:val="auto"/>
                <w:sz w:val="21"/>
                <w:highlight w:val="none"/>
              </w:rPr>
            </w:pPr>
          </w:p>
        </w:tc>
        <w:tc>
          <w:tcPr>
            <w:tcW w:w="699" w:type="dxa"/>
            <w:vAlign w:val="top"/>
          </w:tcPr>
          <w:p w14:paraId="4313EB0F">
            <w:pPr>
              <w:rPr>
                <w:rFonts w:hint="eastAsia" w:ascii="宋体" w:hAnsi="宋体" w:eastAsia="宋体" w:cs="宋体"/>
                <w:color w:val="auto"/>
                <w:sz w:val="21"/>
                <w:highlight w:val="none"/>
              </w:rPr>
            </w:pPr>
          </w:p>
        </w:tc>
      </w:tr>
      <w:tr w14:paraId="797CCB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5" w:hRule="atLeast"/>
        </w:trPr>
        <w:tc>
          <w:tcPr>
            <w:tcW w:w="610" w:type="dxa"/>
            <w:vAlign w:val="top"/>
          </w:tcPr>
          <w:p w14:paraId="1DED71E7">
            <w:pPr>
              <w:rPr>
                <w:rFonts w:hint="eastAsia" w:ascii="宋体" w:hAnsi="宋体" w:eastAsia="宋体" w:cs="宋体"/>
                <w:color w:val="auto"/>
                <w:sz w:val="21"/>
                <w:highlight w:val="none"/>
              </w:rPr>
            </w:pPr>
          </w:p>
        </w:tc>
        <w:tc>
          <w:tcPr>
            <w:tcW w:w="1617" w:type="dxa"/>
            <w:vAlign w:val="top"/>
          </w:tcPr>
          <w:p w14:paraId="41696B2A">
            <w:pPr>
              <w:rPr>
                <w:rFonts w:hint="eastAsia" w:ascii="宋体" w:hAnsi="宋体" w:eastAsia="宋体" w:cs="宋体"/>
                <w:color w:val="auto"/>
                <w:sz w:val="21"/>
                <w:highlight w:val="none"/>
              </w:rPr>
            </w:pPr>
          </w:p>
        </w:tc>
        <w:tc>
          <w:tcPr>
            <w:tcW w:w="1028" w:type="dxa"/>
            <w:vAlign w:val="top"/>
          </w:tcPr>
          <w:p w14:paraId="44186FEB">
            <w:pPr>
              <w:rPr>
                <w:rFonts w:hint="eastAsia" w:ascii="宋体" w:hAnsi="宋体" w:eastAsia="宋体" w:cs="宋体"/>
                <w:color w:val="auto"/>
                <w:sz w:val="21"/>
                <w:highlight w:val="none"/>
              </w:rPr>
            </w:pPr>
          </w:p>
        </w:tc>
        <w:tc>
          <w:tcPr>
            <w:tcW w:w="1015" w:type="dxa"/>
            <w:vAlign w:val="top"/>
          </w:tcPr>
          <w:p w14:paraId="4EAB58D9">
            <w:pPr>
              <w:rPr>
                <w:rFonts w:hint="eastAsia" w:ascii="宋体" w:hAnsi="宋体" w:eastAsia="宋体" w:cs="宋体"/>
                <w:color w:val="auto"/>
                <w:sz w:val="21"/>
                <w:highlight w:val="none"/>
              </w:rPr>
            </w:pPr>
          </w:p>
        </w:tc>
        <w:tc>
          <w:tcPr>
            <w:tcW w:w="1026" w:type="dxa"/>
            <w:vAlign w:val="top"/>
          </w:tcPr>
          <w:p w14:paraId="2AFB5A44">
            <w:pPr>
              <w:rPr>
                <w:rFonts w:hint="eastAsia" w:ascii="宋体" w:hAnsi="宋体" w:eastAsia="宋体" w:cs="宋体"/>
                <w:color w:val="auto"/>
                <w:sz w:val="21"/>
                <w:highlight w:val="none"/>
              </w:rPr>
            </w:pPr>
          </w:p>
        </w:tc>
        <w:tc>
          <w:tcPr>
            <w:tcW w:w="1023" w:type="dxa"/>
            <w:vAlign w:val="top"/>
          </w:tcPr>
          <w:p w14:paraId="3826135D">
            <w:pPr>
              <w:rPr>
                <w:rFonts w:hint="eastAsia" w:ascii="宋体" w:hAnsi="宋体" w:eastAsia="宋体" w:cs="宋体"/>
                <w:color w:val="auto"/>
                <w:sz w:val="21"/>
                <w:highlight w:val="none"/>
              </w:rPr>
            </w:pPr>
          </w:p>
        </w:tc>
        <w:tc>
          <w:tcPr>
            <w:tcW w:w="1693" w:type="dxa"/>
            <w:vAlign w:val="top"/>
          </w:tcPr>
          <w:p w14:paraId="591F4547">
            <w:pPr>
              <w:rPr>
                <w:rFonts w:hint="eastAsia" w:ascii="宋体" w:hAnsi="宋体" w:eastAsia="宋体" w:cs="宋体"/>
                <w:color w:val="auto"/>
                <w:sz w:val="21"/>
                <w:highlight w:val="none"/>
              </w:rPr>
            </w:pPr>
          </w:p>
        </w:tc>
        <w:tc>
          <w:tcPr>
            <w:tcW w:w="699" w:type="dxa"/>
            <w:vAlign w:val="top"/>
          </w:tcPr>
          <w:p w14:paraId="5F612F37">
            <w:pPr>
              <w:rPr>
                <w:rFonts w:hint="eastAsia" w:ascii="宋体" w:hAnsi="宋体" w:eastAsia="宋体" w:cs="宋体"/>
                <w:color w:val="auto"/>
                <w:sz w:val="21"/>
                <w:highlight w:val="none"/>
              </w:rPr>
            </w:pPr>
          </w:p>
        </w:tc>
      </w:tr>
      <w:tr w14:paraId="23FE27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610" w:type="dxa"/>
            <w:vAlign w:val="top"/>
          </w:tcPr>
          <w:p w14:paraId="7C953252">
            <w:pPr>
              <w:rPr>
                <w:rFonts w:hint="eastAsia" w:ascii="宋体" w:hAnsi="宋体" w:eastAsia="宋体" w:cs="宋体"/>
                <w:color w:val="auto"/>
                <w:sz w:val="21"/>
                <w:highlight w:val="none"/>
              </w:rPr>
            </w:pPr>
          </w:p>
        </w:tc>
        <w:tc>
          <w:tcPr>
            <w:tcW w:w="1617" w:type="dxa"/>
            <w:vAlign w:val="top"/>
          </w:tcPr>
          <w:p w14:paraId="4E894EB1">
            <w:pPr>
              <w:rPr>
                <w:rFonts w:hint="eastAsia" w:ascii="宋体" w:hAnsi="宋体" w:eastAsia="宋体" w:cs="宋体"/>
                <w:color w:val="auto"/>
                <w:sz w:val="21"/>
                <w:highlight w:val="none"/>
              </w:rPr>
            </w:pPr>
          </w:p>
        </w:tc>
        <w:tc>
          <w:tcPr>
            <w:tcW w:w="1028" w:type="dxa"/>
            <w:vAlign w:val="top"/>
          </w:tcPr>
          <w:p w14:paraId="2B543B4E">
            <w:pPr>
              <w:rPr>
                <w:rFonts w:hint="eastAsia" w:ascii="宋体" w:hAnsi="宋体" w:eastAsia="宋体" w:cs="宋体"/>
                <w:color w:val="auto"/>
                <w:sz w:val="21"/>
                <w:highlight w:val="none"/>
              </w:rPr>
            </w:pPr>
          </w:p>
        </w:tc>
        <w:tc>
          <w:tcPr>
            <w:tcW w:w="1015" w:type="dxa"/>
            <w:vAlign w:val="top"/>
          </w:tcPr>
          <w:p w14:paraId="58903570">
            <w:pPr>
              <w:rPr>
                <w:rFonts w:hint="eastAsia" w:ascii="宋体" w:hAnsi="宋体" w:eastAsia="宋体" w:cs="宋体"/>
                <w:color w:val="auto"/>
                <w:sz w:val="21"/>
                <w:highlight w:val="none"/>
              </w:rPr>
            </w:pPr>
          </w:p>
        </w:tc>
        <w:tc>
          <w:tcPr>
            <w:tcW w:w="1026" w:type="dxa"/>
            <w:vAlign w:val="top"/>
          </w:tcPr>
          <w:p w14:paraId="01BE3F1C">
            <w:pPr>
              <w:rPr>
                <w:rFonts w:hint="eastAsia" w:ascii="宋体" w:hAnsi="宋体" w:eastAsia="宋体" w:cs="宋体"/>
                <w:color w:val="auto"/>
                <w:sz w:val="21"/>
                <w:highlight w:val="none"/>
              </w:rPr>
            </w:pPr>
          </w:p>
        </w:tc>
        <w:tc>
          <w:tcPr>
            <w:tcW w:w="1023" w:type="dxa"/>
            <w:vAlign w:val="top"/>
          </w:tcPr>
          <w:p w14:paraId="6411DBBB">
            <w:pPr>
              <w:rPr>
                <w:rFonts w:hint="eastAsia" w:ascii="宋体" w:hAnsi="宋体" w:eastAsia="宋体" w:cs="宋体"/>
                <w:color w:val="auto"/>
                <w:sz w:val="21"/>
                <w:highlight w:val="none"/>
              </w:rPr>
            </w:pPr>
          </w:p>
        </w:tc>
        <w:tc>
          <w:tcPr>
            <w:tcW w:w="1693" w:type="dxa"/>
            <w:vAlign w:val="top"/>
          </w:tcPr>
          <w:p w14:paraId="7211ECDC">
            <w:pPr>
              <w:rPr>
                <w:rFonts w:hint="eastAsia" w:ascii="宋体" w:hAnsi="宋体" w:eastAsia="宋体" w:cs="宋体"/>
                <w:color w:val="auto"/>
                <w:sz w:val="21"/>
                <w:highlight w:val="none"/>
              </w:rPr>
            </w:pPr>
          </w:p>
        </w:tc>
        <w:tc>
          <w:tcPr>
            <w:tcW w:w="699" w:type="dxa"/>
            <w:vAlign w:val="top"/>
          </w:tcPr>
          <w:p w14:paraId="3688ABFB">
            <w:pPr>
              <w:rPr>
                <w:rFonts w:hint="eastAsia" w:ascii="宋体" w:hAnsi="宋体" w:eastAsia="宋体" w:cs="宋体"/>
                <w:color w:val="auto"/>
                <w:sz w:val="21"/>
                <w:highlight w:val="none"/>
              </w:rPr>
            </w:pPr>
          </w:p>
        </w:tc>
      </w:tr>
      <w:tr w14:paraId="063E4C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5" w:hRule="atLeast"/>
        </w:trPr>
        <w:tc>
          <w:tcPr>
            <w:tcW w:w="610" w:type="dxa"/>
            <w:vAlign w:val="top"/>
          </w:tcPr>
          <w:p w14:paraId="1802FD84">
            <w:pPr>
              <w:rPr>
                <w:rFonts w:hint="eastAsia" w:ascii="宋体" w:hAnsi="宋体" w:eastAsia="宋体" w:cs="宋体"/>
                <w:color w:val="auto"/>
                <w:sz w:val="21"/>
                <w:highlight w:val="none"/>
              </w:rPr>
            </w:pPr>
          </w:p>
        </w:tc>
        <w:tc>
          <w:tcPr>
            <w:tcW w:w="1617" w:type="dxa"/>
            <w:vAlign w:val="top"/>
          </w:tcPr>
          <w:p w14:paraId="2C3182EC">
            <w:pPr>
              <w:rPr>
                <w:rFonts w:hint="eastAsia" w:ascii="宋体" w:hAnsi="宋体" w:eastAsia="宋体" w:cs="宋体"/>
                <w:color w:val="auto"/>
                <w:sz w:val="21"/>
                <w:highlight w:val="none"/>
              </w:rPr>
            </w:pPr>
          </w:p>
        </w:tc>
        <w:tc>
          <w:tcPr>
            <w:tcW w:w="1028" w:type="dxa"/>
            <w:vAlign w:val="top"/>
          </w:tcPr>
          <w:p w14:paraId="3D53DA82">
            <w:pPr>
              <w:rPr>
                <w:rFonts w:hint="eastAsia" w:ascii="宋体" w:hAnsi="宋体" w:eastAsia="宋体" w:cs="宋体"/>
                <w:color w:val="auto"/>
                <w:sz w:val="21"/>
                <w:highlight w:val="none"/>
              </w:rPr>
            </w:pPr>
          </w:p>
        </w:tc>
        <w:tc>
          <w:tcPr>
            <w:tcW w:w="1015" w:type="dxa"/>
            <w:vAlign w:val="top"/>
          </w:tcPr>
          <w:p w14:paraId="70B3A2A8">
            <w:pPr>
              <w:rPr>
                <w:rFonts w:hint="eastAsia" w:ascii="宋体" w:hAnsi="宋体" w:eastAsia="宋体" w:cs="宋体"/>
                <w:color w:val="auto"/>
                <w:sz w:val="21"/>
                <w:highlight w:val="none"/>
              </w:rPr>
            </w:pPr>
          </w:p>
        </w:tc>
        <w:tc>
          <w:tcPr>
            <w:tcW w:w="1026" w:type="dxa"/>
            <w:vAlign w:val="top"/>
          </w:tcPr>
          <w:p w14:paraId="6B63FB97">
            <w:pPr>
              <w:rPr>
                <w:rFonts w:hint="eastAsia" w:ascii="宋体" w:hAnsi="宋体" w:eastAsia="宋体" w:cs="宋体"/>
                <w:color w:val="auto"/>
                <w:sz w:val="21"/>
                <w:highlight w:val="none"/>
              </w:rPr>
            </w:pPr>
          </w:p>
        </w:tc>
        <w:tc>
          <w:tcPr>
            <w:tcW w:w="1023" w:type="dxa"/>
            <w:vAlign w:val="top"/>
          </w:tcPr>
          <w:p w14:paraId="7A0C1980">
            <w:pPr>
              <w:rPr>
                <w:rFonts w:hint="eastAsia" w:ascii="宋体" w:hAnsi="宋体" w:eastAsia="宋体" w:cs="宋体"/>
                <w:color w:val="auto"/>
                <w:sz w:val="21"/>
                <w:highlight w:val="none"/>
              </w:rPr>
            </w:pPr>
          </w:p>
        </w:tc>
        <w:tc>
          <w:tcPr>
            <w:tcW w:w="1693" w:type="dxa"/>
            <w:vAlign w:val="top"/>
          </w:tcPr>
          <w:p w14:paraId="031A8598">
            <w:pPr>
              <w:rPr>
                <w:rFonts w:hint="eastAsia" w:ascii="宋体" w:hAnsi="宋体" w:eastAsia="宋体" w:cs="宋体"/>
                <w:color w:val="auto"/>
                <w:sz w:val="21"/>
                <w:highlight w:val="none"/>
              </w:rPr>
            </w:pPr>
          </w:p>
        </w:tc>
        <w:tc>
          <w:tcPr>
            <w:tcW w:w="699" w:type="dxa"/>
            <w:vAlign w:val="top"/>
          </w:tcPr>
          <w:p w14:paraId="60CED116">
            <w:pPr>
              <w:rPr>
                <w:rFonts w:hint="eastAsia" w:ascii="宋体" w:hAnsi="宋体" w:eastAsia="宋体" w:cs="宋体"/>
                <w:color w:val="auto"/>
                <w:sz w:val="21"/>
                <w:highlight w:val="none"/>
              </w:rPr>
            </w:pPr>
          </w:p>
        </w:tc>
      </w:tr>
      <w:tr w14:paraId="7863EA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5" w:hRule="atLeast"/>
        </w:trPr>
        <w:tc>
          <w:tcPr>
            <w:tcW w:w="610" w:type="dxa"/>
            <w:vAlign w:val="top"/>
          </w:tcPr>
          <w:p w14:paraId="11BDC2ED">
            <w:pPr>
              <w:rPr>
                <w:rFonts w:hint="eastAsia" w:ascii="宋体" w:hAnsi="宋体" w:eastAsia="宋体" w:cs="宋体"/>
                <w:color w:val="auto"/>
                <w:sz w:val="21"/>
                <w:highlight w:val="none"/>
              </w:rPr>
            </w:pPr>
          </w:p>
        </w:tc>
        <w:tc>
          <w:tcPr>
            <w:tcW w:w="1617" w:type="dxa"/>
            <w:vAlign w:val="top"/>
          </w:tcPr>
          <w:p w14:paraId="58F5CA17">
            <w:pPr>
              <w:rPr>
                <w:rFonts w:hint="eastAsia" w:ascii="宋体" w:hAnsi="宋体" w:eastAsia="宋体" w:cs="宋体"/>
                <w:color w:val="auto"/>
                <w:sz w:val="21"/>
                <w:highlight w:val="none"/>
              </w:rPr>
            </w:pPr>
          </w:p>
        </w:tc>
        <w:tc>
          <w:tcPr>
            <w:tcW w:w="1028" w:type="dxa"/>
            <w:vAlign w:val="top"/>
          </w:tcPr>
          <w:p w14:paraId="6F8D123B">
            <w:pPr>
              <w:rPr>
                <w:rFonts w:hint="eastAsia" w:ascii="宋体" w:hAnsi="宋体" w:eastAsia="宋体" w:cs="宋体"/>
                <w:color w:val="auto"/>
                <w:sz w:val="21"/>
                <w:highlight w:val="none"/>
              </w:rPr>
            </w:pPr>
          </w:p>
        </w:tc>
        <w:tc>
          <w:tcPr>
            <w:tcW w:w="1015" w:type="dxa"/>
            <w:vAlign w:val="top"/>
          </w:tcPr>
          <w:p w14:paraId="4ABCBB11">
            <w:pPr>
              <w:rPr>
                <w:rFonts w:hint="eastAsia" w:ascii="宋体" w:hAnsi="宋体" w:eastAsia="宋体" w:cs="宋体"/>
                <w:color w:val="auto"/>
                <w:sz w:val="21"/>
                <w:highlight w:val="none"/>
              </w:rPr>
            </w:pPr>
          </w:p>
        </w:tc>
        <w:tc>
          <w:tcPr>
            <w:tcW w:w="1026" w:type="dxa"/>
            <w:vAlign w:val="top"/>
          </w:tcPr>
          <w:p w14:paraId="0098405B">
            <w:pPr>
              <w:rPr>
                <w:rFonts w:hint="eastAsia" w:ascii="宋体" w:hAnsi="宋体" w:eastAsia="宋体" w:cs="宋体"/>
                <w:color w:val="auto"/>
                <w:sz w:val="21"/>
                <w:highlight w:val="none"/>
              </w:rPr>
            </w:pPr>
          </w:p>
        </w:tc>
        <w:tc>
          <w:tcPr>
            <w:tcW w:w="1023" w:type="dxa"/>
            <w:vAlign w:val="top"/>
          </w:tcPr>
          <w:p w14:paraId="266787B9">
            <w:pPr>
              <w:rPr>
                <w:rFonts w:hint="eastAsia" w:ascii="宋体" w:hAnsi="宋体" w:eastAsia="宋体" w:cs="宋体"/>
                <w:color w:val="auto"/>
                <w:sz w:val="21"/>
                <w:highlight w:val="none"/>
              </w:rPr>
            </w:pPr>
          </w:p>
        </w:tc>
        <w:tc>
          <w:tcPr>
            <w:tcW w:w="1693" w:type="dxa"/>
            <w:vAlign w:val="top"/>
          </w:tcPr>
          <w:p w14:paraId="7954A14E">
            <w:pPr>
              <w:rPr>
                <w:rFonts w:hint="eastAsia" w:ascii="宋体" w:hAnsi="宋体" w:eastAsia="宋体" w:cs="宋体"/>
                <w:color w:val="auto"/>
                <w:sz w:val="21"/>
                <w:highlight w:val="none"/>
              </w:rPr>
            </w:pPr>
          </w:p>
        </w:tc>
        <w:tc>
          <w:tcPr>
            <w:tcW w:w="699" w:type="dxa"/>
            <w:vAlign w:val="top"/>
          </w:tcPr>
          <w:p w14:paraId="134C2203">
            <w:pPr>
              <w:rPr>
                <w:rFonts w:hint="eastAsia" w:ascii="宋体" w:hAnsi="宋体" w:eastAsia="宋体" w:cs="宋体"/>
                <w:color w:val="auto"/>
                <w:sz w:val="21"/>
                <w:highlight w:val="none"/>
              </w:rPr>
            </w:pPr>
          </w:p>
        </w:tc>
      </w:tr>
      <w:tr w14:paraId="3C10D8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5" w:hRule="atLeast"/>
        </w:trPr>
        <w:tc>
          <w:tcPr>
            <w:tcW w:w="610" w:type="dxa"/>
            <w:vAlign w:val="top"/>
          </w:tcPr>
          <w:p w14:paraId="062E821F">
            <w:pPr>
              <w:rPr>
                <w:rFonts w:hint="eastAsia" w:ascii="宋体" w:hAnsi="宋体" w:eastAsia="宋体" w:cs="宋体"/>
                <w:color w:val="auto"/>
                <w:sz w:val="21"/>
                <w:highlight w:val="none"/>
              </w:rPr>
            </w:pPr>
          </w:p>
        </w:tc>
        <w:tc>
          <w:tcPr>
            <w:tcW w:w="1617" w:type="dxa"/>
            <w:vAlign w:val="top"/>
          </w:tcPr>
          <w:p w14:paraId="5A6C59F4">
            <w:pPr>
              <w:rPr>
                <w:rFonts w:hint="eastAsia" w:ascii="宋体" w:hAnsi="宋体" w:eastAsia="宋体" w:cs="宋体"/>
                <w:color w:val="auto"/>
                <w:sz w:val="21"/>
                <w:highlight w:val="none"/>
              </w:rPr>
            </w:pPr>
          </w:p>
        </w:tc>
        <w:tc>
          <w:tcPr>
            <w:tcW w:w="1028" w:type="dxa"/>
            <w:vAlign w:val="top"/>
          </w:tcPr>
          <w:p w14:paraId="24506132">
            <w:pPr>
              <w:rPr>
                <w:rFonts w:hint="eastAsia" w:ascii="宋体" w:hAnsi="宋体" w:eastAsia="宋体" w:cs="宋体"/>
                <w:color w:val="auto"/>
                <w:sz w:val="21"/>
                <w:highlight w:val="none"/>
              </w:rPr>
            </w:pPr>
          </w:p>
        </w:tc>
        <w:tc>
          <w:tcPr>
            <w:tcW w:w="1015" w:type="dxa"/>
            <w:vAlign w:val="top"/>
          </w:tcPr>
          <w:p w14:paraId="28B46BE6">
            <w:pPr>
              <w:rPr>
                <w:rFonts w:hint="eastAsia" w:ascii="宋体" w:hAnsi="宋体" w:eastAsia="宋体" w:cs="宋体"/>
                <w:color w:val="auto"/>
                <w:sz w:val="21"/>
                <w:highlight w:val="none"/>
              </w:rPr>
            </w:pPr>
          </w:p>
        </w:tc>
        <w:tc>
          <w:tcPr>
            <w:tcW w:w="1026" w:type="dxa"/>
            <w:vAlign w:val="top"/>
          </w:tcPr>
          <w:p w14:paraId="5A85CC2D">
            <w:pPr>
              <w:rPr>
                <w:rFonts w:hint="eastAsia" w:ascii="宋体" w:hAnsi="宋体" w:eastAsia="宋体" w:cs="宋体"/>
                <w:color w:val="auto"/>
                <w:sz w:val="21"/>
                <w:highlight w:val="none"/>
              </w:rPr>
            </w:pPr>
          </w:p>
        </w:tc>
        <w:tc>
          <w:tcPr>
            <w:tcW w:w="1023" w:type="dxa"/>
            <w:vAlign w:val="top"/>
          </w:tcPr>
          <w:p w14:paraId="10821A3A">
            <w:pPr>
              <w:rPr>
                <w:rFonts w:hint="eastAsia" w:ascii="宋体" w:hAnsi="宋体" w:eastAsia="宋体" w:cs="宋体"/>
                <w:color w:val="auto"/>
                <w:sz w:val="21"/>
                <w:highlight w:val="none"/>
              </w:rPr>
            </w:pPr>
          </w:p>
        </w:tc>
        <w:tc>
          <w:tcPr>
            <w:tcW w:w="1693" w:type="dxa"/>
            <w:vAlign w:val="top"/>
          </w:tcPr>
          <w:p w14:paraId="0E0B9404">
            <w:pPr>
              <w:rPr>
                <w:rFonts w:hint="eastAsia" w:ascii="宋体" w:hAnsi="宋体" w:eastAsia="宋体" w:cs="宋体"/>
                <w:color w:val="auto"/>
                <w:sz w:val="21"/>
                <w:highlight w:val="none"/>
              </w:rPr>
            </w:pPr>
          </w:p>
        </w:tc>
        <w:tc>
          <w:tcPr>
            <w:tcW w:w="699" w:type="dxa"/>
            <w:vAlign w:val="top"/>
          </w:tcPr>
          <w:p w14:paraId="733EABC3">
            <w:pPr>
              <w:rPr>
                <w:rFonts w:hint="eastAsia" w:ascii="宋体" w:hAnsi="宋体" w:eastAsia="宋体" w:cs="宋体"/>
                <w:color w:val="auto"/>
                <w:sz w:val="21"/>
                <w:highlight w:val="none"/>
              </w:rPr>
            </w:pPr>
          </w:p>
        </w:tc>
      </w:tr>
      <w:tr w14:paraId="467226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5" w:hRule="atLeast"/>
        </w:trPr>
        <w:tc>
          <w:tcPr>
            <w:tcW w:w="610" w:type="dxa"/>
            <w:vAlign w:val="top"/>
          </w:tcPr>
          <w:p w14:paraId="3FDC6617">
            <w:pPr>
              <w:rPr>
                <w:rFonts w:hint="eastAsia" w:ascii="宋体" w:hAnsi="宋体" w:eastAsia="宋体" w:cs="宋体"/>
                <w:color w:val="auto"/>
                <w:sz w:val="21"/>
                <w:highlight w:val="none"/>
              </w:rPr>
            </w:pPr>
          </w:p>
        </w:tc>
        <w:tc>
          <w:tcPr>
            <w:tcW w:w="1617" w:type="dxa"/>
            <w:vAlign w:val="top"/>
          </w:tcPr>
          <w:p w14:paraId="0BB28973">
            <w:pPr>
              <w:rPr>
                <w:rFonts w:hint="eastAsia" w:ascii="宋体" w:hAnsi="宋体" w:eastAsia="宋体" w:cs="宋体"/>
                <w:color w:val="auto"/>
                <w:sz w:val="21"/>
                <w:highlight w:val="none"/>
              </w:rPr>
            </w:pPr>
          </w:p>
        </w:tc>
        <w:tc>
          <w:tcPr>
            <w:tcW w:w="1028" w:type="dxa"/>
            <w:vAlign w:val="top"/>
          </w:tcPr>
          <w:p w14:paraId="03DDC50B">
            <w:pPr>
              <w:rPr>
                <w:rFonts w:hint="eastAsia" w:ascii="宋体" w:hAnsi="宋体" w:eastAsia="宋体" w:cs="宋体"/>
                <w:color w:val="auto"/>
                <w:sz w:val="21"/>
                <w:highlight w:val="none"/>
              </w:rPr>
            </w:pPr>
          </w:p>
        </w:tc>
        <w:tc>
          <w:tcPr>
            <w:tcW w:w="1015" w:type="dxa"/>
            <w:vAlign w:val="top"/>
          </w:tcPr>
          <w:p w14:paraId="2753DD46">
            <w:pPr>
              <w:rPr>
                <w:rFonts w:hint="eastAsia" w:ascii="宋体" w:hAnsi="宋体" w:eastAsia="宋体" w:cs="宋体"/>
                <w:color w:val="auto"/>
                <w:sz w:val="21"/>
                <w:highlight w:val="none"/>
              </w:rPr>
            </w:pPr>
          </w:p>
        </w:tc>
        <w:tc>
          <w:tcPr>
            <w:tcW w:w="1026" w:type="dxa"/>
            <w:vAlign w:val="top"/>
          </w:tcPr>
          <w:p w14:paraId="1028CBEB">
            <w:pPr>
              <w:rPr>
                <w:rFonts w:hint="eastAsia" w:ascii="宋体" w:hAnsi="宋体" w:eastAsia="宋体" w:cs="宋体"/>
                <w:color w:val="auto"/>
                <w:sz w:val="21"/>
                <w:highlight w:val="none"/>
              </w:rPr>
            </w:pPr>
          </w:p>
        </w:tc>
        <w:tc>
          <w:tcPr>
            <w:tcW w:w="1023" w:type="dxa"/>
            <w:vAlign w:val="top"/>
          </w:tcPr>
          <w:p w14:paraId="53AE0101">
            <w:pPr>
              <w:rPr>
                <w:rFonts w:hint="eastAsia" w:ascii="宋体" w:hAnsi="宋体" w:eastAsia="宋体" w:cs="宋体"/>
                <w:color w:val="auto"/>
                <w:sz w:val="21"/>
                <w:highlight w:val="none"/>
              </w:rPr>
            </w:pPr>
          </w:p>
        </w:tc>
        <w:tc>
          <w:tcPr>
            <w:tcW w:w="1693" w:type="dxa"/>
            <w:vAlign w:val="top"/>
          </w:tcPr>
          <w:p w14:paraId="095E5092">
            <w:pPr>
              <w:rPr>
                <w:rFonts w:hint="eastAsia" w:ascii="宋体" w:hAnsi="宋体" w:eastAsia="宋体" w:cs="宋体"/>
                <w:color w:val="auto"/>
                <w:sz w:val="21"/>
                <w:highlight w:val="none"/>
              </w:rPr>
            </w:pPr>
          </w:p>
        </w:tc>
        <w:tc>
          <w:tcPr>
            <w:tcW w:w="699" w:type="dxa"/>
            <w:vAlign w:val="top"/>
          </w:tcPr>
          <w:p w14:paraId="39A8A52B">
            <w:pPr>
              <w:rPr>
                <w:rFonts w:hint="eastAsia" w:ascii="宋体" w:hAnsi="宋体" w:eastAsia="宋体" w:cs="宋体"/>
                <w:color w:val="auto"/>
                <w:sz w:val="21"/>
                <w:highlight w:val="none"/>
              </w:rPr>
            </w:pPr>
          </w:p>
        </w:tc>
      </w:tr>
      <w:tr w14:paraId="4942C0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5" w:hRule="atLeast"/>
        </w:trPr>
        <w:tc>
          <w:tcPr>
            <w:tcW w:w="610" w:type="dxa"/>
            <w:vAlign w:val="top"/>
          </w:tcPr>
          <w:p w14:paraId="3AA75184">
            <w:pPr>
              <w:rPr>
                <w:rFonts w:hint="eastAsia" w:ascii="宋体" w:hAnsi="宋体" w:eastAsia="宋体" w:cs="宋体"/>
                <w:color w:val="auto"/>
                <w:sz w:val="21"/>
                <w:highlight w:val="none"/>
              </w:rPr>
            </w:pPr>
          </w:p>
        </w:tc>
        <w:tc>
          <w:tcPr>
            <w:tcW w:w="1617" w:type="dxa"/>
            <w:vAlign w:val="top"/>
          </w:tcPr>
          <w:p w14:paraId="798A2BFE">
            <w:pPr>
              <w:rPr>
                <w:rFonts w:hint="eastAsia" w:ascii="宋体" w:hAnsi="宋体" w:eastAsia="宋体" w:cs="宋体"/>
                <w:color w:val="auto"/>
                <w:sz w:val="21"/>
                <w:highlight w:val="none"/>
              </w:rPr>
            </w:pPr>
          </w:p>
        </w:tc>
        <w:tc>
          <w:tcPr>
            <w:tcW w:w="1028" w:type="dxa"/>
            <w:vAlign w:val="top"/>
          </w:tcPr>
          <w:p w14:paraId="2199A17F">
            <w:pPr>
              <w:rPr>
                <w:rFonts w:hint="eastAsia" w:ascii="宋体" w:hAnsi="宋体" w:eastAsia="宋体" w:cs="宋体"/>
                <w:color w:val="auto"/>
                <w:sz w:val="21"/>
                <w:highlight w:val="none"/>
              </w:rPr>
            </w:pPr>
          </w:p>
        </w:tc>
        <w:tc>
          <w:tcPr>
            <w:tcW w:w="1015" w:type="dxa"/>
            <w:vAlign w:val="top"/>
          </w:tcPr>
          <w:p w14:paraId="235A7790">
            <w:pPr>
              <w:rPr>
                <w:rFonts w:hint="eastAsia" w:ascii="宋体" w:hAnsi="宋体" w:eastAsia="宋体" w:cs="宋体"/>
                <w:color w:val="auto"/>
                <w:sz w:val="21"/>
                <w:highlight w:val="none"/>
              </w:rPr>
            </w:pPr>
          </w:p>
        </w:tc>
        <w:tc>
          <w:tcPr>
            <w:tcW w:w="1026" w:type="dxa"/>
            <w:vAlign w:val="top"/>
          </w:tcPr>
          <w:p w14:paraId="7620891E">
            <w:pPr>
              <w:rPr>
                <w:rFonts w:hint="eastAsia" w:ascii="宋体" w:hAnsi="宋体" w:eastAsia="宋体" w:cs="宋体"/>
                <w:color w:val="auto"/>
                <w:sz w:val="21"/>
                <w:highlight w:val="none"/>
              </w:rPr>
            </w:pPr>
          </w:p>
        </w:tc>
        <w:tc>
          <w:tcPr>
            <w:tcW w:w="1023" w:type="dxa"/>
            <w:vAlign w:val="top"/>
          </w:tcPr>
          <w:p w14:paraId="7FB0A87B">
            <w:pPr>
              <w:rPr>
                <w:rFonts w:hint="eastAsia" w:ascii="宋体" w:hAnsi="宋体" w:eastAsia="宋体" w:cs="宋体"/>
                <w:color w:val="auto"/>
                <w:sz w:val="21"/>
                <w:highlight w:val="none"/>
              </w:rPr>
            </w:pPr>
          </w:p>
        </w:tc>
        <w:tc>
          <w:tcPr>
            <w:tcW w:w="1693" w:type="dxa"/>
            <w:vAlign w:val="top"/>
          </w:tcPr>
          <w:p w14:paraId="1010BA07">
            <w:pPr>
              <w:rPr>
                <w:rFonts w:hint="eastAsia" w:ascii="宋体" w:hAnsi="宋体" w:eastAsia="宋体" w:cs="宋体"/>
                <w:color w:val="auto"/>
                <w:sz w:val="21"/>
                <w:highlight w:val="none"/>
              </w:rPr>
            </w:pPr>
          </w:p>
        </w:tc>
        <w:tc>
          <w:tcPr>
            <w:tcW w:w="699" w:type="dxa"/>
            <w:vAlign w:val="top"/>
          </w:tcPr>
          <w:p w14:paraId="1641326A">
            <w:pPr>
              <w:rPr>
                <w:rFonts w:hint="eastAsia" w:ascii="宋体" w:hAnsi="宋体" w:eastAsia="宋体" w:cs="宋体"/>
                <w:color w:val="auto"/>
                <w:sz w:val="21"/>
                <w:highlight w:val="none"/>
              </w:rPr>
            </w:pPr>
          </w:p>
        </w:tc>
      </w:tr>
      <w:tr w14:paraId="393A7C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9" w:hRule="atLeast"/>
        </w:trPr>
        <w:tc>
          <w:tcPr>
            <w:tcW w:w="610" w:type="dxa"/>
            <w:vAlign w:val="top"/>
          </w:tcPr>
          <w:p w14:paraId="1F25B54E">
            <w:pPr>
              <w:rPr>
                <w:rFonts w:hint="eastAsia" w:ascii="宋体" w:hAnsi="宋体" w:eastAsia="宋体" w:cs="宋体"/>
                <w:color w:val="auto"/>
                <w:sz w:val="21"/>
                <w:highlight w:val="none"/>
              </w:rPr>
            </w:pPr>
          </w:p>
        </w:tc>
        <w:tc>
          <w:tcPr>
            <w:tcW w:w="1617" w:type="dxa"/>
            <w:vAlign w:val="top"/>
          </w:tcPr>
          <w:p w14:paraId="210F70B1">
            <w:pPr>
              <w:rPr>
                <w:rFonts w:hint="eastAsia" w:ascii="宋体" w:hAnsi="宋体" w:eastAsia="宋体" w:cs="宋体"/>
                <w:color w:val="auto"/>
                <w:sz w:val="21"/>
                <w:highlight w:val="none"/>
              </w:rPr>
            </w:pPr>
          </w:p>
        </w:tc>
        <w:tc>
          <w:tcPr>
            <w:tcW w:w="1028" w:type="dxa"/>
            <w:vAlign w:val="top"/>
          </w:tcPr>
          <w:p w14:paraId="086E46C8">
            <w:pPr>
              <w:rPr>
                <w:rFonts w:hint="eastAsia" w:ascii="宋体" w:hAnsi="宋体" w:eastAsia="宋体" w:cs="宋体"/>
                <w:color w:val="auto"/>
                <w:sz w:val="21"/>
                <w:highlight w:val="none"/>
              </w:rPr>
            </w:pPr>
          </w:p>
        </w:tc>
        <w:tc>
          <w:tcPr>
            <w:tcW w:w="1015" w:type="dxa"/>
            <w:vAlign w:val="top"/>
          </w:tcPr>
          <w:p w14:paraId="00A1DE24">
            <w:pPr>
              <w:rPr>
                <w:rFonts w:hint="eastAsia" w:ascii="宋体" w:hAnsi="宋体" w:eastAsia="宋体" w:cs="宋体"/>
                <w:color w:val="auto"/>
                <w:sz w:val="21"/>
                <w:highlight w:val="none"/>
              </w:rPr>
            </w:pPr>
          </w:p>
        </w:tc>
        <w:tc>
          <w:tcPr>
            <w:tcW w:w="1026" w:type="dxa"/>
            <w:vAlign w:val="top"/>
          </w:tcPr>
          <w:p w14:paraId="1AB53751">
            <w:pPr>
              <w:rPr>
                <w:rFonts w:hint="eastAsia" w:ascii="宋体" w:hAnsi="宋体" w:eastAsia="宋体" w:cs="宋体"/>
                <w:color w:val="auto"/>
                <w:sz w:val="21"/>
                <w:highlight w:val="none"/>
              </w:rPr>
            </w:pPr>
          </w:p>
        </w:tc>
        <w:tc>
          <w:tcPr>
            <w:tcW w:w="1023" w:type="dxa"/>
            <w:vAlign w:val="top"/>
          </w:tcPr>
          <w:p w14:paraId="21BAD320">
            <w:pPr>
              <w:rPr>
                <w:rFonts w:hint="eastAsia" w:ascii="宋体" w:hAnsi="宋体" w:eastAsia="宋体" w:cs="宋体"/>
                <w:color w:val="auto"/>
                <w:sz w:val="21"/>
                <w:highlight w:val="none"/>
              </w:rPr>
            </w:pPr>
          </w:p>
        </w:tc>
        <w:tc>
          <w:tcPr>
            <w:tcW w:w="1693" w:type="dxa"/>
            <w:vAlign w:val="top"/>
          </w:tcPr>
          <w:p w14:paraId="5620C6FA">
            <w:pPr>
              <w:rPr>
                <w:rFonts w:hint="eastAsia" w:ascii="宋体" w:hAnsi="宋体" w:eastAsia="宋体" w:cs="宋体"/>
                <w:color w:val="auto"/>
                <w:sz w:val="21"/>
                <w:highlight w:val="none"/>
              </w:rPr>
            </w:pPr>
          </w:p>
        </w:tc>
        <w:tc>
          <w:tcPr>
            <w:tcW w:w="699" w:type="dxa"/>
            <w:vAlign w:val="top"/>
          </w:tcPr>
          <w:p w14:paraId="339085B7">
            <w:pPr>
              <w:rPr>
                <w:rFonts w:hint="eastAsia" w:ascii="宋体" w:hAnsi="宋体" w:eastAsia="宋体" w:cs="宋体"/>
                <w:color w:val="auto"/>
                <w:sz w:val="21"/>
                <w:highlight w:val="none"/>
              </w:rPr>
            </w:pPr>
          </w:p>
        </w:tc>
      </w:tr>
    </w:tbl>
    <w:p w14:paraId="20F7F687">
      <w:pPr>
        <w:spacing w:before="32" w:line="227" w:lineRule="auto"/>
        <w:ind w:left="19"/>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注：本表填报的设备应满足招标文件第二章“投标人须知”前附表附录7的要求。</w:t>
      </w:r>
    </w:p>
    <w:p w14:paraId="1700226C">
      <w:pPr>
        <w:spacing w:line="227" w:lineRule="auto"/>
        <w:rPr>
          <w:rFonts w:hint="eastAsia" w:ascii="宋体" w:hAnsi="宋体" w:eastAsia="宋体" w:cs="宋体"/>
          <w:color w:val="auto"/>
          <w:sz w:val="20"/>
          <w:szCs w:val="20"/>
          <w:highlight w:val="none"/>
        </w:rPr>
        <w:sectPr>
          <w:headerReference r:id="rId289" w:type="default"/>
          <w:footerReference r:id="rId290" w:type="default"/>
          <w:pgSz w:w="11907" w:h="16840"/>
          <w:pgMar w:top="1182" w:right="1139" w:bottom="1014" w:left="1786" w:header="849" w:footer="852" w:gutter="0"/>
          <w:pgNumType w:fmt="decimal"/>
          <w:cols w:space="720" w:num="1"/>
        </w:sectPr>
      </w:pPr>
    </w:p>
    <w:p w14:paraId="056447D0">
      <w:pPr>
        <w:pStyle w:val="4"/>
        <w:spacing w:line="276" w:lineRule="auto"/>
        <w:rPr>
          <w:rFonts w:hint="eastAsia" w:ascii="宋体" w:hAnsi="宋体" w:eastAsia="宋体" w:cs="宋体"/>
          <w:color w:val="auto"/>
          <w:highlight w:val="none"/>
        </w:rPr>
      </w:pPr>
    </w:p>
    <w:p w14:paraId="7D1B2D0B">
      <w:pPr>
        <w:pStyle w:val="4"/>
        <w:spacing w:line="276" w:lineRule="auto"/>
        <w:rPr>
          <w:rFonts w:hint="eastAsia" w:ascii="宋体" w:hAnsi="宋体" w:eastAsia="宋体" w:cs="宋体"/>
          <w:color w:val="auto"/>
          <w:highlight w:val="none"/>
        </w:rPr>
      </w:pPr>
    </w:p>
    <w:p w14:paraId="2934F61B">
      <w:pPr>
        <w:spacing w:before="78" w:line="222" w:lineRule="auto"/>
        <w:ind w:left="3256"/>
        <w:outlineLvl w:val="2"/>
        <w:rPr>
          <w:rFonts w:hint="eastAsia" w:ascii="宋体" w:hAnsi="宋体" w:eastAsia="宋体" w:cs="宋体"/>
          <w:color w:val="auto"/>
          <w:sz w:val="24"/>
          <w:szCs w:val="24"/>
          <w:highlight w:val="none"/>
        </w:rPr>
      </w:pPr>
      <w:bookmarkStart w:id="990" w:name="_Toc20463"/>
      <w:bookmarkStart w:id="991" w:name="_Toc32191"/>
      <w:bookmarkStart w:id="992" w:name="_Toc23967"/>
      <w:bookmarkStart w:id="993" w:name="_Toc9008"/>
      <w:bookmarkStart w:id="994" w:name="_Toc6308"/>
      <w:r>
        <w:rPr>
          <w:rFonts w:hint="eastAsia" w:ascii="宋体" w:hAnsi="宋体" w:eastAsia="宋体" w:cs="宋体"/>
          <w:color w:val="auto"/>
          <w:spacing w:val="-1"/>
          <w:sz w:val="24"/>
          <w:szCs w:val="24"/>
          <w:highlight w:val="none"/>
        </w:rPr>
        <w:t>投标人的信誉情况表</w:t>
      </w:r>
      <w:bookmarkEnd w:id="990"/>
      <w:bookmarkEnd w:id="991"/>
      <w:bookmarkEnd w:id="992"/>
      <w:bookmarkEnd w:id="993"/>
      <w:bookmarkEnd w:id="994"/>
    </w:p>
    <w:p w14:paraId="5DA701EA">
      <w:pPr>
        <w:spacing w:before="6"/>
        <w:rPr>
          <w:rFonts w:hint="eastAsia" w:ascii="宋体" w:hAnsi="宋体" w:eastAsia="宋体" w:cs="宋体"/>
          <w:color w:val="auto"/>
          <w:highlight w:val="none"/>
        </w:rPr>
      </w:pPr>
    </w:p>
    <w:tbl>
      <w:tblPr>
        <w:tblStyle w:val="24"/>
        <w:tblW w:w="8529" w:type="dxa"/>
        <w:tblInd w:w="15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263"/>
        <w:gridCol w:w="4266"/>
      </w:tblGrid>
      <w:tr w14:paraId="362EF9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64" w:hRule="atLeast"/>
        </w:trPr>
        <w:tc>
          <w:tcPr>
            <w:tcW w:w="4263" w:type="dxa"/>
            <w:vAlign w:val="top"/>
          </w:tcPr>
          <w:p w14:paraId="7B0062DF">
            <w:pPr>
              <w:spacing w:line="429" w:lineRule="auto"/>
              <w:rPr>
                <w:rFonts w:hint="eastAsia" w:ascii="宋体" w:hAnsi="宋体" w:eastAsia="宋体" w:cs="宋体"/>
                <w:color w:val="auto"/>
                <w:sz w:val="24"/>
                <w:szCs w:val="24"/>
                <w:highlight w:val="none"/>
              </w:rPr>
            </w:pPr>
          </w:p>
          <w:p w14:paraId="3ABC7C62">
            <w:pPr>
              <w:pStyle w:val="25"/>
              <w:spacing w:before="65" w:line="228" w:lineRule="auto"/>
              <w:ind w:left="188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项目</w:t>
            </w:r>
          </w:p>
        </w:tc>
        <w:tc>
          <w:tcPr>
            <w:tcW w:w="4266" w:type="dxa"/>
            <w:vAlign w:val="top"/>
          </w:tcPr>
          <w:p w14:paraId="76027125">
            <w:pPr>
              <w:spacing w:line="429" w:lineRule="auto"/>
              <w:rPr>
                <w:rFonts w:hint="eastAsia" w:ascii="宋体" w:hAnsi="宋体" w:eastAsia="宋体" w:cs="宋体"/>
                <w:color w:val="auto"/>
                <w:sz w:val="24"/>
                <w:szCs w:val="24"/>
                <w:highlight w:val="none"/>
              </w:rPr>
            </w:pPr>
          </w:p>
          <w:p w14:paraId="726E9517">
            <w:pPr>
              <w:pStyle w:val="25"/>
              <w:spacing w:before="65" w:line="228" w:lineRule="auto"/>
              <w:ind w:left="1407"/>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投标人情况说明</w:t>
            </w:r>
          </w:p>
        </w:tc>
      </w:tr>
      <w:tr w14:paraId="400B45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9" w:hRule="atLeast"/>
        </w:trPr>
        <w:tc>
          <w:tcPr>
            <w:tcW w:w="4263" w:type="dxa"/>
            <w:vAlign w:val="top"/>
          </w:tcPr>
          <w:p w14:paraId="4276B147">
            <w:pPr>
              <w:rPr>
                <w:rFonts w:hint="eastAsia" w:ascii="宋体" w:hAnsi="宋体" w:eastAsia="宋体" w:cs="宋体"/>
                <w:color w:val="auto"/>
                <w:sz w:val="21"/>
                <w:highlight w:val="none"/>
              </w:rPr>
            </w:pPr>
          </w:p>
        </w:tc>
        <w:tc>
          <w:tcPr>
            <w:tcW w:w="4266" w:type="dxa"/>
            <w:vAlign w:val="top"/>
          </w:tcPr>
          <w:p w14:paraId="415F2756">
            <w:pPr>
              <w:rPr>
                <w:rFonts w:hint="eastAsia" w:ascii="宋体" w:hAnsi="宋体" w:eastAsia="宋体" w:cs="宋体"/>
                <w:color w:val="auto"/>
                <w:sz w:val="21"/>
                <w:highlight w:val="none"/>
              </w:rPr>
            </w:pPr>
          </w:p>
        </w:tc>
      </w:tr>
      <w:tr w14:paraId="7F0C50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9" w:hRule="atLeast"/>
        </w:trPr>
        <w:tc>
          <w:tcPr>
            <w:tcW w:w="4263" w:type="dxa"/>
            <w:vAlign w:val="top"/>
          </w:tcPr>
          <w:p w14:paraId="1724638D">
            <w:pPr>
              <w:rPr>
                <w:rFonts w:hint="eastAsia" w:ascii="宋体" w:hAnsi="宋体" w:eastAsia="宋体" w:cs="宋体"/>
                <w:color w:val="auto"/>
                <w:sz w:val="21"/>
                <w:highlight w:val="none"/>
              </w:rPr>
            </w:pPr>
          </w:p>
        </w:tc>
        <w:tc>
          <w:tcPr>
            <w:tcW w:w="4266" w:type="dxa"/>
            <w:vAlign w:val="top"/>
          </w:tcPr>
          <w:p w14:paraId="6E6627DA">
            <w:pPr>
              <w:rPr>
                <w:rFonts w:hint="eastAsia" w:ascii="宋体" w:hAnsi="宋体" w:eastAsia="宋体" w:cs="宋体"/>
                <w:color w:val="auto"/>
                <w:sz w:val="21"/>
                <w:highlight w:val="none"/>
              </w:rPr>
            </w:pPr>
          </w:p>
        </w:tc>
      </w:tr>
      <w:tr w14:paraId="3AA938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9" w:hRule="atLeast"/>
        </w:trPr>
        <w:tc>
          <w:tcPr>
            <w:tcW w:w="4263" w:type="dxa"/>
            <w:vAlign w:val="top"/>
          </w:tcPr>
          <w:p w14:paraId="58E958ED">
            <w:pPr>
              <w:rPr>
                <w:rFonts w:hint="eastAsia" w:ascii="宋体" w:hAnsi="宋体" w:eastAsia="宋体" w:cs="宋体"/>
                <w:color w:val="auto"/>
                <w:sz w:val="21"/>
                <w:highlight w:val="none"/>
              </w:rPr>
            </w:pPr>
          </w:p>
        </w:tc>
        <w:tc>
          <w:tcPr>
            <w:tcW w:w="4266" w:type="dxa"/>
            <w:vAlign w:val="top"/>
          </w:tcPr>
          <w:p w14:paraId="221ECBF7">
            <w:pPr>
              <w:rPr>
                <w:rFonts w:hint="eastAsia" w:ascii="宋体" w:hAnsi="宋体" w:eastAsia="宋体" w:cs="宋体"/>
                <w:color w:val="auto"/>
                <w:sz w:val="21"/>
                <w:highlight w:val="none"/>
              </w:rPr>
            </w:pPr>
          </w:p>
        </w:tc>
      </w:tr>
      <w:tr w14:paraId="4BD2B6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0" w:hRule="atLeast"/>
        </w:trPr>
        <w:tc>
          <w:tcPr>
            <w:tcW w:w="4263" w:type="dxa"/>
            <w:vAlign w:val="top"/>
          </w:tcPr>
          <w:p w14:paraId="21B0C60B">
            <w:pPr>
              <w:rPr>
                <w:rFonts w:hint="eastAsia" w:ascii="宋体" w:hAnsi="宋体" w:eastAsia="宋体" w:cs="宋体"/>
                <w:color w:val="auto"/>
                <w:sz w:val="21"/>
                <w:highlight w:val="none"/>
              </w:rPr>
            </w:pPr>
          </w:p>
        </w:tc>
        <w:tc>
          <w:tcPr>
            <w:tcW w:w="4266" w:type="dxa"/>
            <w:vAlign w:val="top"/>
          </w:tcPr>
          <w:p w14:paraId="27642065">
            <w:pPr>
              <w:rPr>
                <w:rFonts w:hint="eastAsia" w:ascii="宋体" w:hAnsi="宋体" w:eastAsia="宋体" w:cs="宋体"/>
                <w:color w:val="auto"/>
                <w:sz w:val="21"/>
                <w:highlight w:val="none"/>
              </w:rPr>
            </w:pPr>
          </w:p>
        </w:tc>
      </w:tr>
      <w:tr w14:paraId="2E94E3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9" w:hRule="atLeast"/>
        </w:trPr>
        <w:tc>
          <w:tcPr>
            <w:tcW w:w="4263" w:type="dxa"/>
            <w:vAlign w:val="top"/>
          </w:tcPr>
          <w:p w14:paraId="747D9491">
            <w:pPr>
              <w:rPr>
                <w:rFonts w:hint="eastAsia" w:ascii="宋体" w:hAnsi="宋体" w:eastAsia="宋体" w:cs="宋体"/>
                <w:color w:val="auto"/>
                <w:sz w:val="21"/>
                <w:highlight w:val="none"/>
              </w:rPr>
            </w:pPr>
          </w:p>
        </w:tc>
        <w:tc>
          <w:tcPr>
            <w:tcW w:w="4266" w:type="dxa"/>
            <w:vAlign w:val="top"/>
          </w:tcPr>
          <w:p w14:paraId="0B63EB1B">
            <w:pPr>
              <w:rPr>
                <w:rFonts w:hint="eastAsia" w:ascii="宋体" w:hAnsi="宋体" w:eastAsia="宋体" w:cs="宋体"/>
                <w:color w:val="auto"/>
                <w:sz w:val="21"/>
                <w:highlight w:val="none"/>
              </w:rPr>
            </w:pPr>
          </w:p>
        </w:tc>
      </w:tr>
      <w:tr w14:paraId="7DE44D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0" w:hRule="atLeast"/>
        </w:trPr>
        <w:tc>
          <w:tcPr>
            <w:tcW w:w="4263" w:type="dxa"/>
            <w:vAlign w:val="top"/>
          </w:tcPr>
          <w:p w14:paraId="4A0641B7">
            <w:pPr>
              <w:rPr>
                <w:rFonts w:hint="eastAsia" w:ascii="宋体" w:hAnsi="宋体" w:eastAsia="宋体" w:cs="宋体"/>
                <w:color w:val="auto"/>
                <w:sz w:val="21"/>
                <w:highlight w:val="none"/>
              </w:rPr>
            </w:pPr>
          </w:p>
        </w:tc>
        <w:tc>
          <w:tcPr>
            <w:tcW w:w="4266" w:type="dxa"/>
            <w:vAlign w:val="top"/>
          </w:tcPr>
          <w:p w14:paraId="433E95FC">
            <w:pPr>
              <w:rPr>
                <w:rFonts w:hint="eastAsia" w:ascii="宋体" w:hAnsi="宋体" w:eastAsia="宋体" w:cs="宋体"/>
                <w:color w:val="auto"/>
                <w:sz w:val="21"/>
                <w:highlight w:val="none"/>
              </w:rPr>
            </w:pPr>
          </w:p>
        </w:tc>
      </w:tr>
      <w:tr w14:paraId="03484A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0" w:hRule="atLeast"/>
        </w:trPr>
        <w:tc>
          <w:tcPr>
            <w:tcW w:w="4263" w:type="dxa"/>
            <w:vAlign w:val="top"/>
          </w:tcPr>
          <w:p w14:paraId="0D887554">
            <w:pPr>
              <w:rPr>
                <w:rFonts w:hint="eastAsia" w:ascii="宋体" w:hAnsi="宋体" w:eastAsia="宋体" w:cs="宋体"/>
                <w:color w:val="auto"/>
                <w:sz w:val="21"/>
                <w:highlight w:val="none"/>
              </w:rPr>
            </w:pPr>
          </w:p>
        </w:tc>
        <w:tc>
          <w:tcPr>
            <w:tcW w:w="4266" w:type="dxa"/>
            <w:vAlign w:val="top"/>
          </w:tcPr>
          <w:p w14:paraId="0B6A3D62">
            <w:pPr>
              <w:rPr>
                <w:rFonts w:hint="eastAsia" w:ascii="宋体" w:hAnsi="宋体" w:eastAsia="宋体" w:cs="宋体"/>
                <w:color w:val="auto"/>
                <w:sz w:val="21"/>
                <w:highlight w:val="none"/>
              </w:rPr>
            </w:pPr>
          </w:p>
        </w:tc>
      </w:tr>
      <w:tr w14:paraId="3EBE2D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4" w:hRule="atLeast"/>
        </w:trPr>
        <w:tc>
          <w:tcPr>
            <w:tcW w:w="4263" w:type="dxa"/>
            <w:vAlign w:val="top"/>
          </w:tcPr>
          <w:p w14:paraId="669E28ED">
            <w:pPr>
              <w:rPr>
                <w:rFonts w:hint="eastAsia" w:ascii="宋体" w:hAnsi="宋体" w:eastAsia="宋体" w:cs="宋体"/>
                <w:color w:val="auto"/>
                <w:sz w:val="21"/>
                <w:highlight w:val="none"/>
              </w:rPr>
            </w:pPr>
          </w:p>
        </w:tc>
        <w:tc>
          <w:tcPr>
            <w:tcW w:w="4266" w:type="dxa"/>
            <w:vAlign w:val="top"/>
          </w:tcPr>
          <w:p w14:paraId="3E1B43CF">
            <w:pPr>
              <w:rPr>
                <w:rFonts w:hint="eastAsia" w:ascii="宋体" w:hAnsi="宋体" w:eastAsia="宋体" w:cs="宋体"/>
                <w:color w:val="auto"/>
                <w:sz w:val="21"/>
                <w:highlight w:val="none"/>
              </w:rPr>
            </w:pPr>
          </w:p>
        </w:tc>
      </w:tr>
    </w:tbl>
    <w:p w14:paraId="71F339D2">
      <w:pPr>
        <w:spacing w:before="158" w:line="227" w:lineRule="auto"/>
        <w:ind w:left="283"/>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注：1.投标人应按照招标文件第二章“投标人须知”前附表附录4和“投标人须知”正文第</w:t>
      </w:r>
    </w:p>
    <w:p w14:paraId="6DEA2301">
      <w:pPr>
        <w:spacing w:before="159" w:line="227" w:lineRule="auto"/>
        <w:ind w:left="720"/>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1.4.4项规定，逐条说明其信誉情况。</w:t>
      </w:r>
    </w:p>
    <w:p w14:paraId="21632DDB">
      <w:pPr>
        <w:spacing w:before="159" w:line="238" w:lineRule="auto"/>
        <w:ind w:left="702" w:right="210" w:hanging="3"/>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2.投标人应根据招标文件第二章“投标人须知”第3.5.4</w:t>
      </w:r>
      <w:r>
        <w:rPr>
          <w:rFonts w:hint="eastAsia" w:ascii="宋体" w:hAnsi="宋体" w:eastAsia="宋体" w:cs="宋体"/>
          <w:color w:val="auto"/>
          <w:spacing w:val="7"/>
          <w:sz w:val="20"/>
          <w:szCs w:val="20"/>
          <w:highlight w:val="none"/>
        </w:rPr>
        <w:t>项的要求在本表后附相关证明</w:t>
      </w:r>
      <w:r>
        <w:rPr>
          <w:rFonts w:hint="eastAsia" w:ascii="宋体" w:hAnsi="宋体" w:eastAsia="宋体" w:cs="宋体"/>
          <w:color w:val="auto"/>
          <w:spacing w:val="3"/>
          <w:sz w:val="20"/>
          <w:szCs w:val="20"/>
          <w:highlight w:val="none"/>
        </w:rPr>
        <w:t>材料。</w:t>
      </w:r>
    </w:p>
    <w:p w14:paraId="03EBEECB">
      <w:pPr>
        <w:spacing w:before="150" w:line="228" w:lineRule="auto"/>
        <w:ind w:left="704"/>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3.以联合体形式参与投标的，联合体各成员应分别填写。</w:t>
      </w:r>
    </w:p>
    <w:p w14:paraId="607008B1">
      <w:pPr>
        <w:spacing w:line="228" w:lineRule="auto"/>
        <w:rPr>
          <w:rFonts w:hint="eastAsia" w:ascii="宋体" w:hAnsi="宋体" w:eastAsia="宋体" w:cs="宋体"/>
          <w:color w:val="auto"/>
          <w:sz w:val="20"/>
          <w:szCs w:val="20"/>
          <w:highlight w:val="none"/>
        </w:rPr>
        <w:sectPr>
          <w:headerReference r:id="rId291" w:type="default"/>
          <w:footerReference r:id="rId292" w:type="default"/>
          <w:pgSz w:w="11907" w:h="16840"/>
          <w:pgMar w:top="1182" w:right="1290" w:bottom="1014" w:left="1786" w:header="849" w:footer="852" w:gutter="0"/>
          <w:pgNumType w:fmt="decimal"/>
          <w:cols w:space="720" w:num="1"/>
        </w:sectPr>
      </w:pPr>
    </w:p>
    <w:p w14:paraId="35F5BBA3">
      <w:pPr>
        <w:pStyle w:val="4"/>
        <w:rPr>
          <w:rFonts w:hint="eastAsia" w:ascii="宋体" w:hAnsi="宋体" w:eastAsia="宋体" w:cs="宋体"/>
          <w:color w:val="auto"/>
          <w:highlight w:val="none"/>
        </w:rPr>
      </w:pPr>
    </w:p>
    <w:p w14:paraId="3825A155">
      <w:pPr>
        <w:pStyle w:val="4"/>
        <w:rPr>
          <w:rFonts w:hint="eastAsia" w:ascii="宋体" w:hAnsi="宋体" w:eastAsia="宋体" w:cs="宋体"/>
          <w:color w:val="auto"/>
          <w:highlight w:val="none"/>
        </w:rPr>
      </w:pPr>
    </w:p>
    <w:p w14:paraId="6E194293">
      <w:pPr>
        <w:spacing w:before="91" w:line="219" w:lineRule="auto"/>
        <w:ind w:left="2885"/>
        <w:outlineLvl w:val="2"/>
        <w:rPr>
          <w:rFonts w:hint="eastAsia" w:ascii="宋体" w:hAnsi="宋体" w:eastAsia="宋体" w:cs="宋体"/>
          <w:color w:val="auto"/>
          <w:sz w:val="28"/>
          <w:szCs w:val="28"/>
          <w:highlight w:val="none"/>
        </w:rPr>
      </w:pPr>
      <w:bookmarkStart w:id="995" w:name="_Toc18328"/>
      <w:bookmarkStart w:id="996" w:name="_Toc22577"/>
      <w:bookmarkStart w:id="997" w:name="_Toc3508"/>
      <w:bookmarkStart w:id="998" w:name="_Toc4808"/>
      <w:bookmarkStart w:id="999" w:name="_Toc21641"/>
      <w:r>
        <w:rPr>
          <w:rFonts w:hint="eastAsia" w:ascii="宋体" w:hAnsi="宋体" w:eastAsia="宋体" w:cs="宋体"/>
          <w:b/>
          <w:bCs/>
          <w:color w:val="auto"/>
          <w:spacing w:val="-3"/>
          <w:sz w:val="28"/>
          <w:szCs w:val="28"/>
          <w:highlight w:val="none"/>
        </w:rPr>
        <w:t>农民工工资保证金承诺书</w:t>
      </w:r>
      <w:bookmarkEnd w:id="995"/>
      <w:bookmarkEnd w:id="996"/>
      <w:bookmarkEnd w:id="997"/>
      <w:bookmarkEnd w:id="998"/>
      <w:bookmarkEnd w:id="999"/>
    </w:p>
    <w:p w14:paraId="4ED011F7">
      <w:pPr>
        <w:spacing w:before="26" w:line="220" w:lineRule="auto"/>
        <w:ind w:left="20"/>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致</w:t>
      </w:r>
      <w:r>
        <w:rPr>
          <w:rFonts w:hint="eastAsia" w:ascii="宋体" w:hAnsi="宋体" w:eastAsia="宋体" w:cs="宋体"/>
          <w:color w:val="auto"/>
          <w:spacing w:val="-33"/>
          <w:sz w:val="24"/>
          <w:szCs w:val="24"/>
          <w:highlight w:val="none"/>
        </w:rPr>
        <w:t>：</w:t>
      </w:r>
      <w:r>
        <w:rPr>
          <w:rFonts w:hint="eastAsia" w:ascii="宋体" w:hAnsi="宋体" w:eastAsia="宋体" w:cs="宋体"/>
          <w:color w:val="auto"/>
          <w:spacing w:val="-33"/>
          <w:sz w:val="24"/>
          <w:szCs w:val="24"/>
          <w:highlight w:val="none"/>
          <w:u w:val="single" w:color="auto"/>
        </w:rPr>
        <w:t>（</w:t>
      </w:r>
      <w:r>
        <w:rPr>
          <w:rFonts w:hint="eastAsia" w:ascii="宋体" w:hAnsi="宋体" w:eastAsia="宋体" w:cs="宋体"/>
          <w:color w:val="auto"/>
          <w:spacing w:val="11"/>
          <w:sz w:val="24"/>
          <w:szCs w:val="24"/>
          <w:highlight w:val="none"/>
          <w:u w:val="single" w:color="auto"/>
        </w:rPr>
        <w:t>招标人）</w:t>
      </w:r>
    </w:p>
    <w:p w14:paraId="0749F838">
      <w:pPr>
        <w:tabs>
          <w:tab w:val="left" w:pos="267"/>
        </w:tabs>
        <w:spacing w:before="179" w:line="359" w:lineRule="auto"/>
        <w:ind w:left="10" w:firstLine="9"/>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根据《关于建立交通行业农民工工资保证金制度的通知</w:t>
      </w:r>
      <w:r>
        <w:rPr>
          <w:rFonts w:hint="eastAsia" w:ascii="宋体" w:hAnsi="宋体" w:eastAsia="宋体" w:cs="宋体"/>
          <w:color w:val="auto"/>
          <w:spacing w:val="-5"/>
          <w:sz w:val="24"/>
          <w:szCs w:val="24"/>
          <w:highlight w:val="none"/>
        </w:rPr>
        <w:t>》（桂劳社发[2007]147号）、</w:t>
      </w:r>
      <w:r>
        <w:rPr>
          <w:rFonts w:hint="eastAsia" w:ascii="宋体" w:hAnsi="宋体" w:eastAsia="宋体" w:cs="宋体"/>
          <w:color w:val="auto"/>
          <w:spacing w:val="-3"/>
          <w:sz w:val="24"/>
          <w:szCs w:val="24"/>
          <w:highlight w:val="none"/>
        </w:rPr>
        <w:t>《关于明确农民工工资保证金制度有关问题的通知》（桂薪联发〔2016〕2号</w:t>
      </w:r>
      <w:r>
        <w:rPr>
          <w:rFonts w:hint="eastAsia" w:ascii="宋体" w:hAnsi="宋体" w:eastAsia="宋体" w:cs="宋体"/>
          <w:color w:val="auto"/>
          <w:spacing w:val="-12"/>
          <w:sz w:val="24"/>
          <w:szCs w:val="24"/>
          <w:highlight w:val="none"/>
        </w:rPr>
        <w:t>），</w:t>
      </w:r>
      <w:r>
        <w:rPr>
          <w:rFonts w:hint="eastAsia" w:ascii="宋体" w:hAnsi="宋体" w:eastAsia="宋体" w:cs="宋体"/>
          <w:color w:val="auto"/>
          <w:spacing w:val="-3"/>
          <w:sz w:val="24"/>
          <w:szCs w:val="24"/>
          <w:highlight w:val="none"/>
        </w:rPr>
        <w:t>在</w:t>
      </w:r>
      <w:r>
        <w:rPr>
          <w:rFonts w:hint="eastAsia" w:ascii="宋体" w:hAnsi="宋体" w:eastAsia="宋体" w:cs="宋体"/>
          <w:color w:val="auto"/>
          <w:sz w:val="24"/>
          <w:szCs w:val="24"/>
          <w:highlight w:val="none"/>
          <w:u w:val="single" w:color="auto"/>
        </w:rPr>
        <w:tab/>
      </w:r>
      <w:r>
        <w:rPr>
          <w:rFonts w:hint="eastAsia" w:ascii="宋体" w:hAnsi="宋体" w:eastAsia="宋体" w:cs="宋体"/>
          <w:color w:val="auto"/>
          <w:spacing w:val="-2"/>
          <w:sz w:val="24"/>
          <w:szCs w:val="24"/>
          <w:highlight w:val="none"/>
          <w:u w:val="single" w:color="auto"/>
        </w:rPr>
        <w:t>（项目名称）</w:t>
      </w:r>
      <w:r>
        <w:rPr>
          <w:rFonts w:hint="eastAsia" w:ascii="宋体" w:hAnsi="宋体" w:eastAsia="宋体" w:cs="宋体"/>
          <w:color w:val="auto"/>
          <w:spacing w:val="-2"/>
          <w:sz w:val="24"/>
          <w:szCs w:val="24"/>
          <w:highlight w:val="none"/>
        </w:rPr>
        <w:t>招标的投标中，我单位对农民工工资的支付</w:t>
      </w:r>
      <w:r>
        <w:rPr>
          <w:rFonts w:hint="eastAsia" w:ascii="宋体" w:hAnsi="宋体" w:eastAsia="宋体" w:cs="宋体"/>
          <w:color w:val="auto"/>
          <w:spacing w:val="-3"/>
          <w:sz w:val="24"/>
          <w:szCs w:val="24"/>
          <w:highlight w:val="none"/>
        </w:rPr>
        <w:t>作出以下郑重</w:t>
      </w:r>
      <w:r>
        <w:rPr>
          <w:rFonts w:hint="eastAsia" w:ascii="宋体" w:hAnsi="宋体" w:eastAsia="宋体" w:cs="宋体"/>
          <w:color w:val="auto"/>
          <w:sz w:val="24"/>
          <w:szCs w:val="24"/>
          <w:highlight w:val="none"/>
        </w:rPr>
        <w:t>承诺：</w:t>
      </w:r>
    </w:p>
    <w:p w14:paraId="22DE7D13">
      <w:pPr>
        <w:spacing w:before="2" w:line="289" w:lineRule="auto"/>
        <w:ind w:left="20" w:right="80" w:firstLine="491"/>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（一）我单位在本招标项目递交投标文件截止时间</w:t>
      </w:r>
      <w:r>
        <w:rPr>
          <w:rFonts w:hint="eastAsia" w:ascii="宋体" w:hAnsi="宋体" w:eastAsia="宋体" w:cs="宋体"/>
          <w:color w:val="auto"/>
          <w:spacing w:val="-5"/>
          <w:sz w:val="24"/>
          <w:szCs w:val="24"/>
          <w:highlight w:val="none"/>
          <w:u w:val="single" w:color="auto"/>
        </w:rPr>
        <w:t>20年月日（开标</w:t>
      </w:r>
      <w:r>
        <w:rPr>
          <w:rFonts w:hint="eastAsia" w:ascii="宋体" w:hAnsi="宋体" w:eastAsia="宋体" w:cs="宋体"/>
          <w:color w:val="auto"/>
          <w:spacing w:val="-6"/>
          <w:sz w:val="24"/>
          <w:szCs w:val="24"/>
          <w:highlight w:val="none"/>
          <w:u w:val="single" w:color="auto"/>
        </w:rPr>
        <w:t>日）</w:t>
      </w:r>
      <w:r>
        <w:rPr>
          <w:rFonts w:hint="eastAsia" w:ascii="宋体" w:hAnsi="宋体" w:eastAsia="宋体" w:cs="宋体"/>
          <w:color w:val="auto"/>
          <w:spacing w:val="-6"/>
          <w:sz w:val="24"/>
          <w:szCs w:val="24"/>
          <w:highlight w:val="none"/>
        </w:rPr>
        <w:t>前</w:t>
      </w:r>
      <w:r>
        <w:rPr>
          <w:rFonts w:hint="eastAsia" w:ascii="宋体" w:hAnsi="宋体" w:eastAsia="宋体" w:cs="宋体"/>
          <w:color w:val="auto"/>
          <w:spacing w:val="-1"/>
          <w:sz w:val="24"/>
          <w:szCs w:val="24"/>
          <w:highlight w:val="none"/>
        </w:rPr>
        <w:t>所承建的工程项目，不存在拖欠或克扣农民工工资的行为。</w:t>
      </w:r>
    </w:p>
    <w:p w14:paraId="45779FFF">
      <w:pPr>
        <w:spacing w:before="181" w:line="324" w:lineRule="auto"/>
        <w:ind w:left="19" w:right="80" w:firstLine="49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（二）投标中标后，我单位同意在工程项目所在地商</w:t>
      </w:r>
      <w:r>
        <w:rPr>
          <w:rFonts w:hint="eastAsia" w:ascii="宋体" w:hAnsi="宋体" w:eastAsia="宋体" w:cs="宋体"/>
          <w:color w:val="auto"/>
          <w:spacing w:val="-3"/>
          <w:sz w:val="24"/>
          <w:szCs w:val="24"/>
          <w:highlight w:val="none"/>
        </w:rPr>
        <w:t>业银行开设农民工工资保证</w:t>
      </w:r>
      <w:r>
        <w:rPr>
          <w:rFonts w:hint="eastAsia" w:ascii="宋体" w:hAnsi="宋体" w:eastAsia="宋体" w:cs="宋体"/>
          <w:color w:val="auto"/>
          <w:spacing w:val="-2"/>
          <w:sz w:val="24"/>
          <w:szCs w:val="24"/>
          <w:highlight w:val="none"/>
        </w:rPr>
        <w:t>金专用账户，并按招标文件规定的投标保证金额度预存一定数额的资金作为农民工工资保证金或出具工程项目所在地的商业银行的银行保函，并到工程项目所在地具有管</w:t>
      </w:r>
      <w:r>
        <w:rPr>
          <w:rFonts w:hint="eastAsia" w:ascii="宋体" w:hAnsi="宋体" w:eastAsia="宋体" w:cs="宋体"/>
          <w:color w:val="auto"/>
          <w:spacing w:val="-1"/>
          <w:sz w:val="24"/>
          <w:szCs w:val="24"/>
          <w:highlight w:val="none"/>
        </w:rPr>
        <w:t>辖权的人力资源社会保障部门备案。</w:t>
      </w:r>
    </w:p>
    <w:p w14:paraId="361C7483">
      <w:pPr>
        <w:spacing w:before="183" w:line="324" w:lineRule="auto"/>
        <w:ind w:left="20" w:right="80"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（三）我单位向建设单位承诺依法足额支付农民工工</w:t>
      </w:r>
      <w:r>
        <w:rPr>
          <w:rFonts w:hint="eastAsia" w:ascii="宋体" w:hAnsi="宋体" w:eastAsia="宋体" w:cs="宋体"/>
          <w:color w:val="auto"/>
          <w:spacing w:val="-3"/>
          <w:sz w:val="24"/>
          <w:szCs w:val="24"/>
          <w:highlight w:val="none"/>
        </w:rPr>
        <w:t>资，一旦我单位（包含我单</w:t>
      </w:r>
      <w:r>
        <w:rPr>
          <w:rFonts w:hint="eastAsia" w:ascii="宋体" w:hAnsi="宋体" w:eastAsia="宋体" w:cs="宋体"/>
          <w:color w:val="auto"/>
          <w:spacing w:val="-2"/>
          <w:sz w:val="24"/>
          <w:szCs w:val="24"/>
          <w:highlight w:val="none"/>
        </w:rPr>
        <w:t>位的分包商）承建的</w:t>
      </w:r>
      <w:r>
        <w:rPr>
          <w:rFonts w:hint="eastAsia" w:ascii="宋体" w:hAnsi="宋体" w:eastAsia="宋体" w:cs="宋体"/>
          <w:color w:val="auto"/>
          <w:spacing w:val="-2"/>
          <w:sz w:val="24"/>
          <w:szCs w:val="24"/>
          <w:highlight w:val="none"/>
          <w:u w:val="single" w:color="auto"/>
        </w:rPr>
        <w:t>（项目名称）</w:t>
      </w:r>
      <w:r>
        <w:rPr>
          <w:rFonts w:hint="eastAsia" w:ascii="宋体" w:hAnsi="宋体" w:eastAsia="宋体" w:cs="宋体"/>
          <w:color w:val="auto"/>
          <w:spacing w:val="-2"/>
          <w:sz w:val="24"/>
          <w:szCs w:val="24"/>
          <w:highlight w:val="none"/>
        </w:rPr>
        <w:t>施工出现拖欠农民工工资情况的，可由劳动保障、交通主管部门（或授权机构）及建设单位根据相关规定从其农民</w:t>
      </w:r>
      <w:r>
        <w:rPr>
          <w:rFonts w:hint="eastAsia" w:ascii="宋体" w:hAnsi="宋体" w:eastAsia="宋体" w:cs="宋体"/>
          <w:color w:val="auto"/>
          <w:spacing w:val="-1"/>
          <w:sz w:val="24"/>
          <w:szCs w:val="24"/>
          <w:highlight w:val="none"/>
        </w:rPr>
        <w:t>工工资保证金中先予支取。</w:t>
      </w:r>
    </w:p>
    <w:p w14:paraId="186D198C">
      <w:pPr>
        <w:spacing w:before="183" w:line="312" w:lineRule="auto"/>
        <w:ind w:left="21" w:right="80" w:firstLine="49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（四）其它未尽事宜按《关于建立交通行业农民工工</w:t>
      </w:r>
      <w:r>
        <w:rPr>
          <w:rFonts w:hint="eastAsia" w:ascii="宋体" w:hAnsi="宋体" w:eastAsia="宋体" w:cs="宋体"/>
          <w:color w:val="auto"/>
          <w:spacing w:val="-3"/>
          <w:sz w:val="24"/>
          <w:szCs w:val="24"/>
          <w:highlight w:val="none"/>
        </w:rPr>
        <w:t>资保证金制度的通知》（桂</w:t>
      </w:r>
      <w:r>
        <w:rPr>
          <w:rFonts w:hint="eastAsia" w:ascii="宋体" w:hAnsi="宋体" w:eastAsia="宋体" w:cs="宋体"/>
          <w:color w:val="auto"/>
          <w:spacing w:val="2"/>
          <w:sz w:val="24"/>
          <w:szCs w:val="24"/>
          <w:highlight w:val="none"/>
        </w:rPr>
        <w:t>劳社发[2007]147号）、《关于明确农民工</w:t>
      </w:r>
      <w:r>
        <w:rPr>
          <w:rFonts w:hint="eastAsia" w:ascii="宋体" w:hAnsi="宋体" w:eastAsia="宋体" w:cs="宋体"/>
          <w:color w:val="auto"/>
          <w:spacing w:val="1"/>
          <w:sz w:val="24"/>
          <w:szCs w:val="24"/>
          <w:highlight w:val="none"/>
        </w:rPr>
        <w:t>工资保证金制度有关问题的通知》（桂薪</w:t>
      </w:r>
      <w:r>
        <w:rPr>
          <w:rFonts w:hint="eastAsia" w:ascii="宋体" w:hAnsi="宋体" w:eastAsia="宋体" w:cs="宋体"/>
          <w:color w:val="auto"/>
          <w:spacing w:val="-2"/>
          <w:sz w:val="24"/>
          <w:szCs w:val="24"/>
          <w:highlight w:val="none"/>
        </w:rPr>
        <w:t>联发〔2016〕2号）的有关规定执行。</w:t>
      </w:r>
    </w:p>
    <w:p w14:paraId="795B6F2A">
      <w:pPr>
        <w:pStyle w:val="4"/>
        <w:spacing w:line="308" w:lineRule="auto"/>
        <w:rPr>
          <w:rFonts w:hint="eastAsia" w:ascii="宋体" w:hAnsi="宋体" w:eastAsia="宋体" w:cs="宋体"/>
          <w:color w:val="auto"/>
          <w:highlight w:val="none"/>
        </w:rPr>
      </w:pPr>
    </w:p>
    <w:p w14:paraId="15D628DA">
      <w:pPr>
        <w:pStyle w:val="4"/>
        <w:spacing w:line="309" w:lineRule="auto"/>
        <w:rPr>
          <w:rFonts w:hint="eastAsia" w:ascii="宋体" w:hAnsi="宋体" w:eastAsia="宋体" w:cs="宋体"/>
          <w:color w:val="auto"/>
          <w:highlight w:val="none"/>
        </w:rPr>
      </w:pPr>
    </w:p>
    <w:p w14:paraId="21669412">
      <w:pPr>
        <w:pStyle w:val="4"/>
        <w:spacing w:line="309" w:lineRule="auto"/>
        <w:rPr>
          <w:rFonts w:hint="eastAsia" w:ascii="宋体" w:hAnsi="宋体" w:eastAsia="宋体" w:cs="宋体"/>
          <w:color w:val="auto"/>
          <w:highlight w:val="none"/>
        </w:rPr>
      </w:pPr>
    </w:p>
    <w:p w14:paraId="55B40463">
      <w:pPr>
        <w:spacing w:before="78" w:line="219" w:lineRule="auto"/>
        <w:ind w:left="410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承诺人</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4"/>
          <w:sz w:val="24"/>
          <w:szCs w:val="24"/>
          <w:highlight w:val="none"/>
        </w:rPr>
        <w:t>投标单位全称</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4"/>
          <w:sz w:val="24"/>
          <w:szCs w:val="24"/>
          <w:highlight w:val="none"/>
        </w:rPr>
        <w:t>盖单位公章）</w:t>
      </w:r>
    </w:p>
    <w:p w14:paraId="57E5CDEB">
      <w:pPr>
        <w:spacing w:before="182" w:line="219" w:lineRule="auto"/>
        <w:ind w:left="170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法定代表人或其授权的代理人</w:t>
      </w:r>
      <w:r>
        <w:rPr>
          <w:rFonts w:hint="eastAsia" w:ascii="宋体" w:hAnsi="宋体" w:eastAsia="宋体" w:cs="宋体"/>
          <w:color w:val="auto"/>
          <w:spacing w:val="-17"/>
          <w:sz w:val="24"/>
          <w:szCs w:val="24"/>
          <w:highlight w:val="none"/>
        </w:rPr>
        <w:t>：（</w:t>
      </w:r>
      <w:r>
        <w:rPr>
          <w:rFonts w:hint="eastAsia" w:ascii="宋体" w:hAnsi="宋体" w:eastAsia="宋体" w:cs="宋体"/>
          <w:color w:val="auto"/>
          <w:spacing w:val="3"/>
          <w:sz w:val="24"/>
          <w:szCs w:val="24"/>
          <w:highlight w:val="none"/>
        </w:rPr>
        <w:t>姓名</w:t>
      </w:r>
      <w:r>
        <w:rPr>
          <w:rFonts w:hint="eastAsia" w:ascii="宋体" w:hAnsi="宋体" w:eastAsia="宋体" w:cs="宋体"/>
          <w:color w:val="auto"/>
          <w:spacing w:val="-17"/>
          <w:sz w:val="24"/>
          <w:szCs w:val="24"/>
          <w:highlight w:val="none"/>
        </w:rPr>
        <w:t>）（</w:t>
      </w:r>
      <w:r>
        <w:rPr>
          <w:rFonts w:hint="eastAsia" w:ascii="宋体" w:hAnsi="宋体" w:eastAsia="宋体" w:cs="宋体"/>
          <w:color w:val="auto"/>
          <w:spacing w:val="3"/>
          <w:sz w:val="24"/>
          <w:szCs w:val="24"/>
          <w:highlight w:val="none"/>
        </w:rPr>
        <w:t>签字）</w:t>
      </w:r>
    </w:p>
    <w:p w14:paraId="49AED6B1">
      <w:pPr>
        <w:spacing w:before="184" w:line="219" w:lineRule="auto"/>
        <w:ind w:left="4862"/>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日期：20年月日</w:t>
      </w:r>
    </w:p>
    <w:p w14:paraId="7B68BBC3">
      <w:pPr>
        <w:pStyle w:val="4"/>
        <w:spacing w:line="377" w:lineRule="auto"/>
        <w:rPr>
          <w:rFonts w:hint="eastAsia" w:ascii="宋体" w:hAnsi="宋体" w:eastAsia="宋体" w:cs="宋体"/>
          <w:color w:val="auto"/>
          <w:highlight w:val="none"/>
        </w:rPr>
      </w:pPr>
    </w:p>
    <w:p w14:paraId="666537FD">
      <w:pPr>
        <w:spacing w:before="65" w:line="227" w:lineRule="auto"/>
        <w:ind w:left="19"/>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注：如是联合体投标应分别出具承诺书。</w:t>
      </w:r>
    </w:p>
    <w:p w14:paraId="3381BF2D">
      <w:pPr>
        <w:spacing w:line="227" w:lineRule="auto"/>
        <w:rPr>
          <w:rFonts w:hint="eastAsia" w:ascii="宋体" w:hAnsi="宋体" w:eastAsia="宋体" w:cs="宋体"/>
          <w:color w:val="auto"/>
          <w:sz w:val="20"/>
          <w:szCs w:val="20"/>
          <w:highlight w:val="none"/>
        </w:rPr>
        <w:sectPr>
          <w:headerReference r:id="rId293" w:type="default"/>
          <w:footerReference r:id="rId294" w:type="default"/>
          <w:pgSz w:w="11907" w:h="16840"/>
          <w:pgMar w:top="1182" w:right="1209" w:bottom="1014" w:left="1786" w:header="849" w:footer="852" w:gutter="0"/>
          <w:pgNumType w:fmt="decimal"/>
          <w:cols w:space="720" w:num="1"/>
        </w:sectPr>
      </w:pPr>
    </w:p>
    <w:p w14:paraId="4274C960">
      <w:pPr>
        <w:pStyle w:val="4"/>
        <w:spacing w:line="267" w:lineRule="auto"/>
        <w:rPr>
          <w:rFonts w:hint="eastAsia" w:ascii="宋体" w:hAnsi="宋体" w:eastAsia="宋体" w:cs="宋体"/>
          <w:color w:val="auto"/>
          <w:highlight w:val="none"/>
        </w:rPr>
      </w:pPr>
    </w:p>
    <w:p w14:paraId="23986D3C">
      <w:pPr>
        <w:pStyle w:val="4"/>
        <w:spacing w:line="268" w:lineRule="auto"/>
        <w:rPr>
          <w:rFonts w:hint="eastAsia" w:ascii="宋体" w:hAnsi="宋体" w:eastAsia="宋体" w:cs="宋体"/>
          <w:color w:val="auto"/>
          <w:highlight w:val="none"/>
        </w:rPr>
      </w:pPr>
    </w:p>
    <w:p w14:paraId="6F1B1C02">
      <w:pPr>
        <w:spacing w:before="91" w:line="222" w:lineRule="auto"/>
        <w:ind w:left="3511"/>
        <w:outlineLvl w:val="1"/>
        <w:rPr>
          <w:rFonts w:hint="eastAsia" w:ascii="宋体" w:hAnsi="宋体" w:eastAsia="宋体" w:cs="宋体"/>
          <w:color w:val="auto"/>
          <w:sz w:val="28"/>
          <w:szCs w:val="28"/>
          <w:highlight w:val="none"/>
        </w:rPr>
      </w:pPr>
      <w:bookmarkStart w:id="1000" w:name="_Toc6196"/>
      <w:bookmarkStart w:id="1001" w:name="_Toc20121"/>
      <w:bookmarkStart w:id="1002" w:name="_Toc26302"/>
      <w:bookmarkStart w:id="1003" w:name="_Toc7405"/>
      <w:bookmarkStart w:id="1004" w:name="_Toc10940"/>
      <w:r>
        <w:rPr>
          <w:rFonts w:hint="eastAsia" w:ascii="宋体" w:hAnsi="宋体" w:eastAsia="宋体" w:cs="宋体"/>
          <w:color w:val="auto"/>
          <w:spacing w:val="-3"/>
          <w:sz w:val="28"/>
          <w:szCs w:val="28"/>
          <w:highlight w:val="none"/>
        </w:rPr>
        <w:t>九、其他资料</w:t>
      </w:r>
      <w:bookmarkEnd w:id="1000"/>
      <w:bookmarkEnd w:id="1001"/>
      <w:bookmarkEnd w:id="1002"/>
      <w:bookmarkEnd w:id="1003"/>
      <w:bookmarkEnd w:id="1004"/>
    </w:p>
    <w:p w14:paraId="24AA9FDD">
      <w:pPr>
        <w:spacing w:line="222" w:lineRule="auto"/>
        <w:rPr>
          <w:rFonts w:hint="eastAsia" w:ascii="宋体" w:hAnsi="宋体" w:eastAsia="宋体" w:cs="宋体"/>
          <w:color w:val="auto"/>
          <w:sz w:val="28"/>
          <w:szCs w:val="28"/>
          <w:highlight w:val="none"/>
        </w:rPr>
      </w:pPr>
    </w:p>
    <w:p w14:paraId="5C428154">
      <w:pPr>
        <w:spacing w:before="63" w:line="225" w:lineRule="auto"/>
        <w:ind w:left="2441"/>
        <w:rPr>
          <w:rFonts w:ascii="宋体" w:hAnsi="宋体" w:eastAsia="宋体" w:cs="宋体"/>
          <w:color w:val="auto"/>
          <w:sz w:val="31"/>
          <w:szCs w:val="31"/>
          <w:highlight w:val="none"/>
        </w:rPr>
      </w:pPr>
      <w:r>
        <w:rPr>
          <w:rFonts w:ascii="宋体" w:hAnsi="宋体" w:eastAsia="宋体" w:cs="宋体"/>
          <w:b/>
          <w:bCs/>
          <w:color w:val="auto"/>
          <w:spacing w:val="2"/>
          <w:sz w:val="31"/>
          <w:szCs w:val="31"/>
          <w:highlight w:val="none"/>
        </w:rPr>
        <w:t>中小企业声明函（工程）</w:t>
      </w:r>
    </w:p>
    <w:p w14:paraId="6BF89120">
      <w:pPr>
        <w:spacing w:line="310" w:lineRule="auto"/>
        <w:rPr>
          <w:rFonts w:ascii="Arial"/>
          <w:color w:val="auto"/>
          <w:sz w:val="21"/>
          <w:highlight w:val="none"/>
        </w:rPr>
      </w:pPr>
    </w:p>
    <w:p w14:paraId="0DC77ACE">
      <w:pPr>
        <w:spacing w:before="78" w:line="380" w:lineRule="auto"/>
        <w:ind w:left="26" w:right="157" w:firstLine="707"/>
        <w:jc w:val="both"/>
        <w:rPr>
          <w:rFonts w:ascii="宋体" w:hAnsi="宋体" w:eastAsia="宋体" w:cs="宋体"/>
          <w:color w:val="auto"/>
          <w:sz w:val="24"/>
          <w:szCs w:val="24"/>
          <w:highlight w:val="none"/>
        </w:rPr>
      </w:pPr>
      <w:r>
        <w:rPr>
          <w:rFonts w:ascii="宋体" w:hAnsi="宋体" w:eastAsia="宋体" w:cs="宋体"/>
          <w:color w:val="auto"/>
          <w:sz w:val="24"/>
          <w:szCs w:val="24"/>
          <w:highlight w:val="none"/>
        </w:rPr>
        <w:t>本公司（联合体）郑重声明，根据《政府采购促进中小企业</w:t>
      </w:r>
      <w:r>
        <w:rPr>
          <w:rFonts w:ascii="宋体" w:hAnsi="宋体" w:eastAsia="宋体" w:cs="宋体"/>
          <w:color w:val="auto"/>
          <w:spacing w:val="-1"/>
          <w:sz w:val="24"/>
          <w:szCs w:val="24"/>
          <w:highlight w:val="none"/>
        </w:rPr>
        <w:t>发展管理办</w:t>
      </w:r>
      <w:r>
        <w:rPr>
          <w:rFonts w:ascii="宋体" w:hAnsi="宋体" w:eastAsia="宋体" w:cs="宋体"/>
          <w:color w:val="auto"/>
          <w:sz w:val="24"/>
          <w:szCs w:val="24"/>
          <w:highlight w:val="none"/>
        </w:rPr>
        <w:t xml:space="preserve"> </w:t>
      </w:r>
      <w:r>
        <w:rPr>
          <w:rFonts w:ascii="宋体" w:hAnsi="宋体" w:eastAsia="宋体" w:cs="宋体"/>
          <w:color w:val="auto"/>
          <w:spacing w:val="-11"/>
          <w:sz w:val="24"/>
          <w:szCs w:val="24"/>
          <w:highlight w:val="none"/>
        </w:rPr>
        <w:t>法》（财库﹝</w:t>
      </w:r>
      <w:r>
        <w:rPr>
          <w:rFonts w:ascii="宋体" w:hAnsi="宋体" w:eastAsia="宋体" w:cs="宋体"/>
          <w:color w:val="auto"/>
          <w:spacing w:val="-48"/>
          <w:sz w:val="24"/>
          <w:szCs w:val="24"/>
          <w:highlight w:val="none"/>
        </w:rPr>
        <w:t xml:space="preserve"> </w:t>
      </w:r>
      <w:r>
        <w:rPr>
          <w:rFonts w:ascii="宋体" w:hAnsi="宋体" w:eastAsia="宋体" w:cs="宋体"/>
          <w:color w:val="auto"/>
          <w:spacing w:val="-11"/>
          <w:sz w:val="24"/>
          <w:szCs w:val="24"/>
          <w:highlight w:val="none"/>
        </w:rPr>
        <w:t>2020﹞46</w:t>
      </w:r>
      <w:r>
        <w:rPr>
          <w:rFonts w:ascii="宋体" w:hAnsi="宋体" w:eastAsia="宋体" w:cs="宋体"/>
          <w:color w:val="auto"/>
          <w:spacing w:val="-44"/>
          <w:sz w:val="24"/>
          <w:szCs w:val="24"/>
          <w:highlight w:val="none"/>
        </w:rPr>
        <w:t xml:space="preserve"> </w:t>
      </w:r>
      <w:r>
        <w:rPr>
          <w:rFonts w:ascii="宋体" w:hAnsi="宋体" w:eastAsia="宋体" w:cs="宋体"/>
          <w:color w:val="auto"/>
          <w:spacing w:val="-11"/>
          <w:sz w:val="24"/>
          <w:szCs w:val="24"/>
          <w:highlight w:val="none"/>
        </w:rPr>
        <w:t>号）的规定，本公司（联合体）参加</w:t>
      </w:r>
      <w:r>
        <w:rPr>
          <w:rFonts w:ascii="宋体" w:hAnsi="宋体" w:eastAsia="宋体" w:cs="宋体"/>
          <w:color w:val="auto"/>
          <w:spacing w:val="-11"/>
          <w:sz w:val="24"/>
          <w:szCs w:val="24"/>
          <w:highlight w:val="none"/>
          <w:u w:val="single" w:color="auto"/>
        </w:rPr>
        <w:t>（单位名称）</w:t>
      </w:r>
      <w:r>
        <w:rPr>
          <w:rFonts w:ascii="宋体" w:hAnsi="宋体" w:eastAsia="宋体" w:cs="宋体"/>
          <w:color w:val="auto"/>
          <w:spacing w:val="-11"/>
          <w:sz w:val="24"/>
          <w:szCs w:val="24"/>
          <w:highlight w:val="none"/>
        </w:rPr>
        <w:t>的</w:t>
      </w:r>
      <w:r>
        <w:rPr>
          <w:rFonts w:ascii="宋体" w:hAnsi="宋体" w:eastAsia="宋体" w:cs="宋体"/>
          <w:color w:val="auto"/>
          <w:spacing w:val="-11"/>
          <w:sz w:val="24"/>
          <w:szCs w:val="24"/>
          <w:highlight w:val="none"/>
          <w:u w:val="single" w:color="auto"/>
        </w:rPr>
        <w:t>（项</w:t>
      </w:r>
      <w:r>
        <w:rPr>
          <w:rFonts w:ascii="宋体" w:hAnsi="宋体" w:eastAsia="宋体" w:cs="宋体"/>
          <w:color w:val="auto"/>
          <w:sz w:val="24"/>
          <w:szCs w:val="24"/>
          <w:highlight w:val="none"/>
        </w:rPr>
        <w:t xml:space="preserve"> </w:t>
      </w:r>
      <w:r>
        <w:rPr>
          <w:rFonts w:ascii="宋体" w:hAnsi="宋体" w:eastAsia="宋体" w:cs="宋体"/>
          <w:color w:val="auto"/>
          <w:spacing w:val="-1"/>
          <w:sz w:val="24"/>
          <w:szCs w:val="24"/>
          <w:highlight w:val="none"/>
          <w:u w:val="single" w:color="auto"/>
        </w:rPr>
        <w:t>目名称）</w:t>
      </w:r>
      <w:r>
        <w:rPr>
          <w:rFonts w:ascii="宋体" w:hAnsi="宋体" w:eastAsia="宋体" w:cs="宋体"/>
          <w:color w:val="auto"/>
          <w:spacing w:val="-1"/>
          <w:sz w:val="24"/>
          <w:szCs w:val="24"/>
          <w:highlight w:val="none"/>
        </w:rPr>
        <w:t>采购活动，工程的施工单位全部为符合政策要求的中小企业。相关企</w:t>
      </w:r>
      <w:r>
        <w:rPr>
          <w:rFonts w:ascii="宋体" w:hAnsi="宋体" w:eastAsia="宋体" w:cs="宋体"/>
          <w:color w:val="auto"/>
          <w:spacing w:val="18"/>
          <w:sz w:val="24"/>
          <w:szCs w:val="24"/>
          <w:highlight w:val="none"/>
        </w:rPr>
        <w:t xml:space="preserve"> </w:t>
      </w:r>
      <w:r>
        <w:rPr>
          <w:rFonts w:ascii="宋体" w:hAnsi="宋体" w:eastAsia="宋体" w:cs="宋体"/>
          <w:color w:val="auto"/>
          <w:spacing w:val="7"/>
          <w:sz w:val="24"/>
          <w:szCs w:val="24"/>
          <w:highlight w:val="none"/>
        </w:rPr>
        <w:t>业（含联合体中的中小企业、签订分包意向协议的中</w:t>
      </w:r>
      <w:r>
        <w:rPr>
          <w:rFonts w:ascii="宋体" w:hAnsi="宋体" w:eastAsia="宋体" w:cs="宋体"/>
          <w:color w:val="auto"/>
          <w:spacing w:val="6"/>
          <w:sz w:val="24"/>
          <w:szCs w:val="24"/>
          <w:highlight w:val="none"/>
        </w:rPr>
        <w:t>小企业）的具体情况如</w:t>
      </w:r>
      <w:r>
        <w:rPr>
          <w:rFonts w:ascii="宋体" w:hAnsi="宋体" w:eastAsia="宋体" w:cs="宋体"/>
          <w:color w:val="auto"/>
          <w:sz w:val="24"/>
          <w:szCs w:val="24"/>
          <w:highlight w:val="none"/>
        </w:rPr>
        <w:t xml:space="preserve"> </w:t>
      </w:r>
      <w:r>
        <w:rPr>
          <w:rFonts w:ascii="宋体" w:hAnsi="宋体" w:eastAsia="宋体" w:cs="宋体"/>
          <w:color w:val="auto"/>
          <w:spacing w:val="-16"/>
          <w:sz w:val="24"/>
          <w:szCs w:val="24"/>
          <w:highlight w:val="none"/>
        </w:rPr>
        <w:t>下：</w:t>
      </w:r>
    </w:p>
    <w:p w14:paraId="4F52777F">
      <w:pPr>
        <w:spacing w:before="152" w:line="376" w:lineRule="auto"/>
        <w:ind w:left="26" w:right="159" w:firstLine="791"/>
        <w:jc w:val="both"/>
        <w:rPr>
          <w:rFonts w:ascii="宋体" w:hAnsi="宋体" w:eastAsia="宋体" w:cs="宋体"/>
          <w:color w:val="auto"/>
          <w:sz w:val="24"/>
          <w:szCs w:val="24"/>
          <w:highlight w:val="none"/>
        </w:rPr>
      </w:pPr>
      <w:r>
        <w:rPr>
          <w:rFonts w:ascii="宋体" w:hAnsi="宋体" w:eastAsia="宋体" w:cs="宋体"/>
          <w:color w:val="auto"/>
          <w:spacing w:val="-7"/>
          <w:sz w:val="24"/>
          <w:szCs w:val="24"/>
          <w:highlight w:val="none"/>
        </w:rPr>
        <w:t>1.</w:t>
      </w:r>
      <w:r>
        <w:rPr>
          <w:rFonts w:ascii="宋体" w:hAnsi="宋体" w:eastAsia="宋体" w:cs="宋体"/>
          <w:color w:val="auto"/>
          <w:spacing w:val="-7"/>
          <w:sz w:val="24"/>
          <w:szCs w:val="24"/>
          <w:highlight w:val="none"/>
          <w:u w:val="single" w:color="auto"/>
        </w:rPr>
        <w:t>（标的名称</w:t>
      </w:r>
      <w:r>
        <w:rPr>
          <w:rFonts w:ascii="宋体" w:hAnsi="宋体" w:eastAsia="宋体" w:cs="宋体"/>
          <w:color w:val="auto"/>
          <w:spacing w:val="-35"/>
          <w:sz w:val="24"/>
          <w:szCs w:val="24"/>
          <w:highlight w:val="none"/>
          <w:u w:val="single" w:color="auto"/>
        </w:rPr>
        <w:t>）</w:t>
      </w:r>
      <w:r>
        <w:rPr>
          <w:rFonts w:ascii="宋体" w:hAnsi="宋体" w:eastAsia="宋体" w:cs="宋体"/>
          <w:color w:val="auto"/>
          <w:spacing w:val="-35"/>
          <w:sz w:val="24"/>
          <w:szCs w:val="24"/>
          <w:highlight w:val="none"/>
        </w:rPr>
        <w:t>，</w:t>
      </w:r>
      <w:r>
        <w:rPr>
          <w:rFonts w:ascii="宋体" w:hAnsi="宋体" w:eastAsia="宋体" w:cs="宋体"/>
          <w:color w:val="auto"/>
          <w:spacing w:val="-7"/>
          <w:sz w:val="24"/>
          <w:szCs w:val="24"/>
          <w:highlight w:val="none"/>
        </w:rPr>
        <w:t>属于</w:t>
      </w:r>
      <w:r>
        <w:rPr>
          <w:rFonts w:ascii="宋体" w:hAnsi="宋体" w:eastAsia="宋体" w:cs="宋体"/>
          <w:color w:val="auto"/>
          <w:spacing w:val="-7"/>
          <w:sz w:val="24"/>
          <w:szCs w:val="24"/>
          <w:highlight w:val="none"/>
          <w:u w:val="single" w:color="auto"/>
        </w:rPr>
        <w:t>（采购文件中明确的所属行业</w:t>
      </w:r>
      <w:r>
        <w:rPr>
          <w:rFonts w:ascii="宋体" w:hAnsi="宋体" w:eastAsia="宋体" w:cs="宋体"/>
          <w:color w:val="auto"/>
          <w:spacing w:val="-35"/>
          <w:sz w:val="24"/>
          <w:szCs w:val="24"/>
          <w:highlight w:val="none"/>
          <w:u w:val="single" w:color="auto"/>
        </w:rPr>
        <w:t>）</w:t>
      </w:r>
      <w:r>
        <w:rPr>
          <w:rFonts w:ascii="宋体" w:hAnsi="宋体" w:eastAsia="宋体" w:cs="宋体"/>
          <w:color w:val="auto"/>
          <w:spacing w:val="-35"/>
          <w:sz w:val="24"/>
          <w:szCs w:val="24"/>
          <w:highlight w:val="none"/>
        </w:rPr>
        <w:t>；</w:t>
      </w:r>
      <w:r>
        <w:rPr>
          <w:rFonts w:ascii="宋体" w:hAnsi="宋体" w:eastAsia="宋体" w:cs="宋体"/>
          <w:color w:val="auto"/>
          <w:spacing w:val="-7"/>
          <w:sz w:val="24"/>
          <w:szCs w:val="24"/>
          <w:highlight w:val="none"/>
        </w:rPr>
        <w:t>承建企业为</w:t>
      </w:r>
      <w:r>
        <w:rPr>
          <w:rFonts w:ascii="宋体" w:hAnsi="宋体" w:eastAsia="宋体" w:cs="宋体"/>
          <w:color w:val="auto"/>
          <w:spacing w:val="-7"/>
          <w:sz w:val="24"/>
          <w:szCs w:val="24"/>
          <w:highlight w:val="none"/>
          <w:u w:val="single" w:color="auto"/>
        </w:rPr>
        <w:t>（企</w:t>
      </w:r>
      <w:r>
        <w:rPr>
          <w:rFonts w:ascii="宋体" w:hAnsi="宋体" w:eastAsia="宋体" w:cs="宋体"/>
          <w:color w:val="auto"/>
          <w:spacing w:val="3"/>
          <w:sz w:val="24"/>
          <w:szCs w:val="24"/>
          <w:highlight w:val="none"/>
        </w:rPr>
        <w:t xml:space="preserve"> </w:t>
      </w:r>
      <w:r>
        <w:rPr>
          <w:rFonts w:ascii="宋体" w:hAnsi="宋体" w:eastAsia="宋体" w:cs="宋体"/>
          <w:color w:val="auto"/>
          <w:spacing w:val="-3"/>
          <w:sz w:val="24"/>
          <w:szCs w:val="24"/>
          <w:highlight w:val="none"/>
          <w:u w:val="single" w:color="auto"/>
        </w:rPr>
        <w:t>业名称</w:t>
      </w:r>
      <w:r>
        <w:rPr>
          <w:rFonts w:ascii="宋体" w:hAnsi="宋体" w:eastAsia="宋体" w:cs="宋体"/>
          <w:color w:val="auto"/>
          <w:spacing w:val="4"/>
          <w:sz w:val="24"/>
          <w:szCs w:val="24"/>
          <w:highlight w:val="none"/>
          <w:u w:val="single" w:color="auto"/>
        </w:rPr>
        <w:t>）</w:t>
      </w:r>
      <w:r>
        <w:rPr>
          <w:rFonts w:ascii="宋体" w:hAnsi="宋体" w:eastAsia="宋体" w:cs="宋体"/>
          <w:color w:val="auto"/>
          <w:spacing w:val="4"/>
          <w:sz w:val="24"/>
          <w:szCs w:val="24"/>
          <w:highlight w:val="none"/>
        </w:rPr>
        <w:t>，</w:t>
      </w:r>
      <w:r>
        <w:rPr>
          <w:rFonts w:ascii="宋体" w:hAnsi="宋体" w:eastAsia="宋体" w:cs="宋体"/>
          <w:color w:val="auto"/>
          <w:spacing w:val="-3"/>
          <w:sz w:val="24"/>
          <w:szCs w:val="24"/>
          <w:highlight w:val="none"/>
        </w:rPr>
        <w:t>从业人员</w:t>
      </w:r>
      <w:r>
        <w:rPr>
          <w:rFonts w:ascii="宋体" w:hAnsi="宋体" w:eastAsia="宋体" w:cs="宋体"/>
          <w:color w:val="auto"/>
          <w:spacing w:val="-119"/>
          <w:sz w:val="24"/>
          <w:szCs w:val="24"/>
          <w:highlight w:val="none"/>
        </w:rPr>
        <w:t xml:space="preserve"> </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09"/>
          <w:sz w:val="24"/>
          <w:szCs w:val="24"/>
          <w:highlight w:val="none"/>
        </w:rPr>
        <w:t xml:space="preserve"> </w:t>
      </w:r>
      <w:r>
        <w:rPr>
          <w:rFonts w:ascii="宋体" w:hAnsi="宋体" w:eastAsia="宋体" w:cs="宋体"/>
          <w:color w:val="auto"/>
          <w:spacing w:val="-3"/>
          <w:sz w:val="24"/>
          <w:szCs w:val="24"/>
          <w:highlight w:val="none"/>
        </w:rPr>
        <w:t>人，营业收入为</w:t>
      </w:r>
      <w:r>
        <w:rPr>
          <w:rFonts w:ascii="宋体" w:hAnsi="宋体" w:eastAsia="宋体" w:cs="宋体"/>
          <w:color w:val="auto"/>
          <w:spacing w:val="-120"/>
          <w:sz w:val="24"/>
          <w:szCs w:val="24"/>
          <w:highlight w:val="none"/>
        </w:rPr>
        <w:t xml:space="preserve"> </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05"/>
          <w:sz w:val="24"/>
          <w:szCs w:val="24"/>
          <w:highlight w:val="none"/>
        </w:rPr>
        <w:t xml:space="preserve"> </w:t>
      </w:r>
      <w:r>
        <w:rPr>
          <w:rFonts w:ascii="宋体" w:hAnsi="宋体" w:eastAsia="宋体" w:cs="宋体"/>
          <w:color w:val="auto"/>
          <w:spacing w:val="-3"/>
          <w:sz w:val="24"/>
          <w:szCs w:val="24"/>
          <w:highlight w:val="none"/>
        </w:rPr>
        <w:t>万元，资产总额为</w:t>
      </w:r>
      <w:r>
        <w:rPr>
          <w:rFonts w:ascii="宋体" w:hAnsi="宋体" w:eastAsia="宋体" w:cs="宋体"/>
          <w:color w:val="auto"/>
          <w:spacing w:val="-119"/>
          <w:sz w:val="24"/>
          <w:szCs w:val="24"/>
          <w:highlight w:val="none"/>
        </w:rPr>
        <w:t xml:space="preserve"> </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05"/>
          <w:sz w:val="24"/>
          <w:szCs w:val="24"/>
          <w:highlight w:val="none"/>
        </w:rPr>
        <w:t xml:space="preserve"> </w:t>
      </w:r>
      <w:r>
        <w:rPr>
          <w:rFonts w:ascii="宋体" w:hAnsi="宋体" w:eastAsia="宋体" w:cs="宋体"/>
          <w:color w:val="auto"/>
          <w:spacing w:val="-3"/>
          <w:sz w:val="24"/>
          <w:szCs w:val="24"/>
          <w:highlight w:val="none"/>
        </w:rPr>
        <w:t>万</w:t>
      </w:r>
      <w:r>
        <w:rPr>
          <w:rFonts w:ascii="宋体" w:hAnsi="宋体" w:eastAsia="宋体" w:cs="宋体"/>
          <w:color w:val="auto"/>
          <w:sz w:val="24"/>
          <w:szCs w:val="24"/>
          <w:highlight w:val="none"/>
        </w:rPr>
        <w:t xml:space="preserve"> </w:t>
      </w:r>
      <w:r>
        <w:rPr>
          <w:rFonts w:ascii="宋体" w:hAnsi="宋体" w:eastAsia="宋体" w:cs="宋体"/>
          <w:color w:val="auto"/>
          <w:spacing w:val="-1"/>
          <w:sz w:val="24"/>
          <w:szCs w:val="24"/>
          <w:highlight w:val="none"/>
        </w:rPr>
        <w:t>元，属于</w:t>
      </w:r>
      <w:r>
        <w:rPr>
          <w:rFonts w:ascii="宋体" w:hAnsi="宋体" w:eastAsia="宋体" w:cs="宋体"/>
          <w:color w:val="auto"/>
          <w:spacing w:val="-1"/>
          <w:sz w:val="24"/>
          <w:szCs w:val="24"/>
          <w:highlight w:val="none"/>
          <w:u w:val="single" w:color="auto"/>
        </w:rPr>
        <w:t>（中型企业、小型企业、微型企业</w:t>
      </w:r>
      <w:r>
        <w:rPr>
          <w:rFonts w:ascii="宋体" w:hAnsi="宋体" w:eastAsia="宋体" w:cs="宋体"/>
          <w:color w:val="auto"/>
          <w:spacing w:val="5"/>
          <w:sz w:val="24"/>
          <w:szCs w:val="24"/>
          <w:highlight w:val="none"/>
          <w:u w:val="single" w:color="auto"/>
        </w:rPr>
        <w:t>）</w:t>
      </w:r>
      <w:r>
        <w:rPr>
          <w:rFonts w:ascii="宋体" w:hAnsi="宋体" w:eastAsia="宋体" w:cs="宋体"/>
          <w:color w:val="auto"/>
          <w:spacing w:val="5"/>
          <w:sz w:val="24"/>
          <w:szCs w:val="24"/>
          <w:highlight w:val="none"/>
        </w:rPr>
        <w:t>；</w:t>
      </w:r>
    </w:p>
    <w:p w14:paraId="42F9549C">
      <w:pPr>
        <w:spacing w:before="52" w:line="376" w:lineRule="auto"/>
        <w:ind w:left="26" w:right="99" w:firstLine="776"/>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2.</w:t>
      </w:r>
      <w:r>
        <w:rPr>
          <w:rFonts w:ascii="宋体" w:hAnsi="宋体" w:eastAsia="宋体" w:cs="宋体"/>
          <w:color w:val="auto"/>
          <w:spacing w:val="-5"/>
          <w:sz w:val="24"/>
          <w:szCs w:val="24"/>
          <w:highlight w:val="none"/>
          <w:u w:val="single" w:color="auto"/>
        </w:rPr>
        <w:t>（标的名称</w:t>
      </w:r>
      <w:r>
        <w:rPr>
          <w:rFonts w:ascii="宋体" w:hAnsi="宋体" w:eastAsia="宋体" w:cs="宋体"/>
          <w:color w:val="auto"/>
          <w:spacing w:val="-29"/>
          <w:sz w:val="24"/>
          <w:szCs w:val="24"/>
          <w:highlight w:val="none"/>
          <w:u w:val="single" w:color="auto"/>
        </w:rPr>
        <w:t>）</w:t>
      </w:r>
      <w:r>
        <w:rPr>
          <w:rFonts w:ascii="宋体" w:hAnsi="宋体" w:eastAsia="宋体" w:cs="宋体"/>
          <w:color w:val="auto"/>
          <w:spacing w:val="-29"/>
          <w:sz w:val="24"/>
          <w:szCs w:val="24"/>
          <w:highlight w:val="none"/>
        </w:rPr>
        <w:t>，</w:t>
      </w:r>
      <w:r>
        <w:rPr>
          <w:rFonts w:ascii="宋体" w:hAnsi="宋体" w:eastAsia="宋体" w:cs="宋体"/>
          <w:color w:val="auto"/>
          <w:spacing w:val="-5"/>
          <w:sz w:val="24"/>
          <w:szCs w:val="24"/>
          <w:highlight w:val="none"/>
        </w:rPr>
        <w:t>属于</w:t>
      </w:r>
      <w:r>
        <w:rPr>
          <w:rFonts w:ascii="宋体" w:hAnsi="宋体" w:eastAsia="宋体" w:cs="宋体"/>
          <w:color w:val="auto"/>
          <w:spacing w:val="-5"/>
          <w:sz w:val="24"/>
          <w:szCs w:val="24"/>
          <w:highlight w:val="none"/>
          <w:u w:val="single" w:color="auto"/>
        </w:rPr>
        <w:t>（采购文件中明确的所属行业</w:t>
      </w:r>
      <w:r>
        <w:rPr>
          <w:rFonts w:ascii="宋体" w:hAnsi="宋体" w:eastAsia="宋体" w:cs="宋体"/>
          <w:color w:val="auto"/>
          <w:spacing w:val="-29"/>
          <w:sz w:val="24"/>
          <w:szCs w:val="24"/>
          <w:highlight w:val="none"/>
          <w:u w:val="single" w:color="auto"/>
        </w:rPr>
        <w:t>）</w:t>
      </w:r>
      <w:r>
        <w:rPr>
          <w:rFonts w:ascii="宋体" w:hAnsi="宋体" w:eastAsia="宋体" w:cs="宋体"/>
          <w:color w:val="auto"/>
          <w:spacing w:val="-29"/>
          <w:sz w:val="24"/>
          <w:szCs w:val="24"/>
          <w:highlight w:val="none"/>
        </w:rPr>
        <w:t>；</w:t>
      </w:r>
      <w:r>
        <w:rPr>
          <w:rFonts w:ascii="宋体" w:hAnsi="宋体" w:eastAsia="宋体" w:cs="宋体"/>
          <w:color w:val="auto"/>
          <w:spacing w:val="-5"/>
          <w:sz w:val="24"/>
          <w:szCs w:val="24"/>
          <w:highlight w:val="none"/>
        </w:rPr>
        <w:t>承建企业</w:t>
      </w:r>
      <w:r>
        <w:rPr>
          <w:rFonts w:ascii="宋体" w:hAnsi="宋体" w:eastAsia="宋体" w:cs="宋体"/>
          <w:color w:val="auto"/>
          <w:spacing w:val="-6"/>
          <w:sz w:val="24"/>
          <w:szCs w:val="24"/>
          <w:highlight w:val="none"/>
        </w:rPr>
        <w:t>为</w:t>
      </w:r>
      <w:r>
        <w:rPr>
          <w:rFonts w:ascii="宋体" w:hAnsi="宋体" w:eastAsia="宋体" w:cs="宋体"/>
          <w:color w:val="auto"/>
          <w:spacing w:val="-6"/>
          <w:sz w:val="24"/>
          <w:szCs w:val="24"/>
          <w:highlight w:val="none"/>
          <w:u w:val="single" w:color="auto"/>
        </w:rPr>
        <w:t>（企</w:t>
      </w:r>
      <w:r>
        <w:rPr>
          <w:rFonts w:ascii="宋体" w:hAnsi="宋体" w:eastAsia="宋体" w:cs="宋体"/>
          <w:color w:val="auto"/>
          <w:spacing w:val="2"/>
          <w:sz w:val="24"/>
          <w:szCs w:val="24"/>
          <w:highlight w:val="none"/>
        </w:rPr>
        <w:t xml:space="preserve"> </w:t>
      </w:r>
      <w:r>
        <w:rPr>
          <w:rFonts w:ascii="宋体" w:hAnsi="宋体" w:eastAsia="宋体" w:cs="宋体"/>
          <w:color w:val="auto"/>
          <w:spacing w:val="-1"/>
          <w:sz w:val="24"/>
          <w:szCs w:val="24"/>
          <w:highlight w:val="none"/>
          <w:u w:val="single" w:color="auto"/>
        </w:rPr>
        <w:t>业名称）</w:t>
      </w:r>
      <w:r>
        <w:rPr>
          <w:rFonts w:ascii="宋体" w:hAnsi="宋体" w:eastAsia="宋体" w:cs="宋体"/>
          <w:color w:val="auto"/>
          <w:spacing w:val="-1"/>
          <w:sz w:val="24"/>
          <w:szCs w:val="24"/>
          <w:highlight w:val="none"/>
        </w:rPr>
        <w:t>，从业人员</w:t>
      </w:r>
      <w:r>
        <w:rPr>
          <w:rFonts w:ascii="宋体" w:hAnsi="宋体" w:eastAsia="宋体" w:cs="宋体"/>
          <w:color w:val="auto"/>
          <w:spacing w:val="-119"/>
          <w:sz w:val="24"/>
          <w:szCs w:val="24"/>
          <w:highlight w:val="none"/>
        </w:rPr>
        <w:t xml:space="preserve"> </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105"/>
          <w:sz w:val="24"/>
          <w:szCs w:val="24"/>
          <w:highlight w:val="none"/>
        </w:rPr>
        <w:t xml:space="preserve"> </w:t>
      </w:r>
      <w:r>
        <w:rPr>
          <w:rFonts w:ascii="宋体" w:hAnsi="宋体" w:eastAsia="宋体" w:cs="宋体"/>
          <w:color w:val="auto"/>
          <w:spacing w:val="-1"/>
          <w:sz w:val="24"/>
          <w:szCs w:val="24"/>
          <w:highlight w:val="none"/>
        </w:rPr>
        <w:t>人，营业收入为</w:t>
      </w:r>
      <w:r>
        <w:rPr>
          <w:rFonts w:ascii="宋体" w:hAnsi="宋体" w:eastAsia="宋体" w:cs="宋体"/>
          <w:color w:val="auto"/>
          <w:spacing w:val="-119"/>
          <w:sz w:val="24"/>
          <w:szCs w:val="24"/>
          <w:highlight w:val="none"/>
        </w:rPr>
        <w:t xml:space="preserve"> </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102"/>
          <w:sz w:val="24"/>
          <w:szCs w:val="24"/>
          <w:highlight w:val="none"/>
        </w:rPr>
        <w:t xml:space="preserve"> </w:t>
      </w:r>
      <w:r>
        <w:rPr>
          <w:rFonts w:ascii="宋体" w:hAnsi="宋体" w:eastAsia="宋体" w:cs="宋体"/>
          <w:color w:val="auto"/>
          <w:spacing w:val="-1"/>
          <w:sz w:val="24"/>
          <w:szCs w:val="24"/>
          <w:highlight w:val="none"/>
        </w:rPr>
        <w:t>万元，资产</w:t>
      </w:r>
      <w:r>
        <w:rPr>
          <w:rFonts w:ascii="宋体" w:hAnsi="宋体" w:eastAsia="宋体" w:cs="宋体"/>
          <w:color w:val="auto"/>
          <w:spacing w:val="-2"/>
          <w:sz w:val="24"/>
          <w:szCs w:val="24"/>
          <w:highlight w:val="none"/>
        </w:rPr>
        <w:t>总额为</w:t>
      </w:r>
      <w:r>
        <w:rPr>
          <w:rFonts w:ascii="宋体" w:hAnsi="宋体" w:eastAsia="宋体" w:cs="宋体"/>
          <w:color w:val="auto"/>
          <w:spacing w:val="-116"/>
          <w:sz w:val="24"/>
          <w:szCs w:val="24"/>
          <w:highlight w:val="none"/>
        </w:rPr>
        <w:t xml:space="preserve"> </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00"/>
          <w:sz w:val="24"/>
          <w:szCs w:val="24"/>
          <w:highlight w:val="none"/>
        </w:rPr>
        <w:t xml:space="preserve"> </w:t>
      </w:r>
      <w:r>
        <w:rPr>
          <w:rFonts w:ascii="宋体" w:hAnsi="宋体" w:eastAsia="宋体" w:cs="宋体"/>
          <w:color w:val="auto"/>
          <w:spacing w:val="-2"/>
          <w:sz w:val="24"/>
          <w:szCs w:val="24"/>
          <w:highlight w:val="none"/>
        </w:rPr>
        <w:t>万</w:t>
      </w:r>
      <w:r>
        <w:rPr>
          <w:rFonts w:ascii="宋体" w:hAnsi="宋体" w:eastAsia="宋体" w:cs="宋体"/>
          <w:color w:val="auto"/>
          <w:sz w:val="24"/>
          <w:szCs w:val="24"/>
          <w:highlight w:val="none"/>
        </w:rPr>
        <w:t xml:space="preserve"> </w:t>
      </w:r>
      <w:r>
        <w:rPr>
          <w:rFonts w:ascii="宋体" w:hAnsi="宋体" w:eastAsia="宋体" w:cs="宋体"/>
          <w:color w:val="auto"/>
          <w:spacing w:val="-1"/>
          <w:sz w:val="24"/>
          <w:szCs w:val="24"/>
          <w:highlight w:val="none"/>
        </w:rPr>
        <w:t>元，属于</w:t>
      </w:r>
      <w:r>
        <w:rPr>
          <w:rFonts w:ascii="宋体" w:hAnsi="宋体" w:eastAsia="宋体" w:cs="宋体"/>
          <w:color w:val="auto"/>
          <w:spacing w:val="-1"/>
          <w:sz w:val="24"/>
          <w:szCs w:val="24"/>
          <w:highlight w:val="none"/>
          <w:u w:val="single" w:color="auto"/>
        </w:rPr>
        <w:t>（中型企业、小型企业、微型企业</w:t>
      </w:r>
      <w:r>
        <w:rPr>
          <w:rFonts w:ascii="宋体" w:hAnsi="宋体" w:eastAsia="宋体" w:cs="宋体"/>
          <w:color w:val="auto"/>
          <w:spacing w:val="5"/>
          <w:sz w:val="24"/>
          <w:szCs w:val="24"/>
          <w:highlight w:val="none"/>
          <w:u w:val="single" w:color="auto"/>
        </w:rPr>
        <w:t>）</w:t>
      </w:r>
      <w:r>
        <w:rPr>
          <w:rFonts w:ascii="宋体" w:hAnsi="宋体" w:eastAsia="宋体" w:cs="宋体"/>
          <w:color w:val="auto"/>
          <w:spacing w:val="5"/>
          <w:sz w:val="24"/>
          <w:szCs w:val="24"/>
          <w:highlight w:val="none"/>
        </w:rPr>
        <w:t>；</w:t>
      </w:r>
    </w:p>
    <w:p w14:paraId="7288FB66">
      <w:pPr>
        <w:spacing w:before="67" w:line="378" w:lineRule="exact"/>
        <w:ind w:left="747"/>
        <w:rPr>
          <w:rFonts w:ascii="宋体" w:hAnsi="宋体" w:eastAsia="宋体" w:cs="宋体"/>
          <w:color w:val="auto"/>
          <w:sz w:val="24"/>
          <w:szCs w:val="24"/>
          <w:highlight w:val="none"/>
        </w:rPr>
      </w:pPr>
      <w:r>
        <w:rPr>
          <w:rFonts w:ascii="宋体" w:hAnsi="宋体" w:eastAsia="宋体" w:cs="宋体"/>
          <w:color w:val="auto"/>
          <w:spacing w:val="-7"/>
          <w:position w:val="3"/>
          <w:sz w:val="24"/>
          <w:szCs w:val="24"/>
          <w:highlight w:val="none"/>
        </w:rPr>
        <w:t>……</w:t>
      </w:r>
    </w:p>
    <w:p w14:paraId="28720D77">
      <w:pPr>
        <w:spacing w:before="243" w:line="371" w:lineRule="auto"/>
        <w:ind w:left="30" w:right="163" w:firstLine="729"/>
        <w:rPr>
          <w:rFonts w:ascii="宋体" w:hAnsi="宋体" w:eastAsia="宋体" w:cs="宋体"/>
          <w:color w:val="auto"/>
          <w:sz w:val="24"/>
          <w:szCs w:val="24"/>
          <w:highlight w:val="none"/>
        </w:rPr>
      </w:pPr>
      <w:r>
        <w:rPr>
          <w:rFonts w:ascii="宋体" w:hAnsi="宋体" w:eastAsia="宋体" w:cs="宋体"/>
          <w:color w:val="auto"/>
          <w:spacing w:val="7"/>
          <w:sz w:val="24"/>
          <w:szCs w:val="24"/>
          <w:highlight w:val="none"/>
        </w:rPr>
        <w:t>以上企业，不属于大企业的分支机构，不存在控股股东为</w:t>
      </w:r>
      <w:r>
        <w:rPr>
          <w:rFonts w:ascii="宋体" w:hAnsi="宋体" w:eastAsia="宋体" w:cs="宋体"/>
          <w:color w:val="auto"/>
          <w:spacing w:val="6"/>
          <w:sz w:val="24"/>
          <w:szCs w:val="24"/>
          <w:highlight w:val="none"/>
        </w:rPr>
        <w:t>大企业的情</w:t>
      </w:r>
      <w:r>
        <w:rPr>
          <w:rFonts w:ascii="宋体" w:hAnsi="宋体" w:eastAsia="宋体" w:cs="宋体"/>
          <w:color w:val="auto"/>
          <w:sz w:val="24"/>
          <w:szCs w:val="24"/>
          <w:highlight w:val="none"/>
        </w:rPr>
        <w:t xml:space="preserve"> </w:t>
      </w:r>
      <w:r>
        <w:rPr>
          <w:rFonts w:ascii="宋体" w:hAnsi="宋体" w:eastAsia="宋体" w:cs="宋体"/>
          <w:color w:val="auto"/>
          <w:spacing w:val="-2"/>
          <w:sz w:val="24"/>
          <w:szCs w:val="24"/>
          <w:highlight w:val="none"/>
        </w:rPr>
        <w:t>形，也不存在与大企业的负责人为同一人的情形。</w:t>
      </w:r>
    </w:p>
    <w:p w14:paraId="14C0EE54">
      <w:pPr>
        <w:spacing w:before="156" w:line="371" w:lineRule="auto"/>
        <w:ind w:left="26" w:right="163" w:firstLine="707"/>
        <w:rPr>
          <w:rFonts w:ascii="宋体" w:hAnsi="宋体" w:eastAsia="宋体" w:cs="宋体"/>
          <w:color w:val="auto"/>
          <w:sz w:val="24"/>
          <w:szCs w:val="24"/>
          <w:highlight w:val="none"/>
        </w:rPr>
      </w:pPr>
      <w:r>
        <w:rPr>
          <w:rFonts w:ascii="宋体" w:hAnsi="宋体" w:eastAsia="宋体" w:cs="宋体"/>
          <w:color w:val="auto"/>
          <w:spacing w:val="8"/>
          <w:sz w:val="24"/>
          <w:szCs w:val="24"/>
          <w:highlight w:val="none"/>
        </w:rPr>
        <w:t>本企业对上述声明内容的真实性负责。如有虚假</w:t>
      </w:r>
      <w:r>
        <w:rPr>
          <w:rFonts w:ascii="宋体" w:hAnsi="宋体" w:eastAsia="宋体" w:cs="宋体"/>
          <w:color w:val="auto"/>
          <w:spacing w:val="7"/>
          <w:sz w:val="24"/>
          <w:szCs w:val="24"/>
          <w:highlight w:val="none"/>
        </w:rPr>
        <w:t>，将依法承担相应责</w:t>
      </w:r>
      <w:r>
        <w:rPr>
          <w:rFonts w:ascii="宋体" w:hAnsi="宋体" w:eastAsia="宋体" w:cs="宋体"/>
          <w:color w:val="auto"/>
          <w:sz w:val="24"/>
          <w:szCs w:val="24"/>
          <w:highlight w:val="none"/>
        </w:rPr>
        <w:t xml:space="preserve"> </w:t>
      </w:r>
      <w:r>
        <w:rPr>
          <w:rFonts w:ascii="宋体" w:hAnsi="宋体" w:eastAsia="宋体" w:cs="宋体"/>
          <w:color w:val="auto"/>
          <w:spacing w:val="-11"/>
          <w:sz w:val="24"/>
          <w:szCs w:val="24"/>
          <w:highlight w:val="none"/>
        </w:rPr>
        <w:t>任。</w:t>
      </w:r>
    </w:p>
    <w:p w14:paraId="4C32828E">
      <w:pPr>
        <w:spacing w:before="155" w:line="462" w:lineRule="auto"/>
        <w:ind w:left="5694" w:right="820" w:hanging="37"/>
        <w:rPr>
          <w:rFonts w:ascii="宋体" w:hAnsi="宋体" w:eastAsia="宋体" w:cs="宋体"/>
          <w:color w:val="auto"/>
          <w:sz w:val="24"/>
          <w:szCs w:val="24"/>
          <w:highlight w:val="none"/>
        </w:rPr>
      </w:pPr>
      <w:r>
        <w:rPr>
          <w:rFonts w:ascii="宋体" w:hAnsi="宋体" w:eastAsia="宋体" w:cs="宋体"/>
          <w:color w:val="auto"/>
          <w:spacing w:val="-9"/>
          <w:sz w:val="24"/>
          <w:szCs w:val="24"/>
          <w:highlight w:val="none"/>
        </w:rPr>
        <w:t>企业名称（章</w:t>
      </w:r>
      <w:r>
        <w:rPr>
          <w:rFonts w:ascii="宋体" w:hAnsi="宋体" w:eastAsia="宋体" w:cs="宋体"/>
          <w:color w:val="auto"/>
          <w:spacing w:val="-8"/>
          <w:sz w:val="24"/>
          <w:szCs w:val="24"/>
          <w:highlight w:val="none"/>
        </w:rPr>
        <w:t>）：</w:t>
      </w:r>
      <w:r>
        <w:rPr>
          <w:rFonts w:ascii="宋体" w:hAnsi="宋体" w:eastAsia="宋体" w:cs="宋体"/>
          <w:color w:val="auto"/>
          <w:sz w:val="24"/>
          <w:szCs w:val="24"/>
          <w:highlight w:val="none"/>
        </w:rPr>
        <w:t xml:space="preserve"> </w:t>
      </w:r>
      <w:r>
        <w:rPr>
          <w:rFonts w:ascii="宋体" w:hAnsi="宋体" w:eastAsia="宋体" w:cs="宋体"/>
          <w:color w:val="auto"/>
          <w:spacing w:val="-29"/>
          <w:sz w:val="24"/>
          <w:szCs w:val="24"/>
          <w:highlight w:val="none"/>
        </w:rPr>
        <w:t>日</w:t>
      </w:r>
      <w:r>
        <w:rPr>
          <w:rFonts w:ascii="宋体" w:hAnsi="宋体" w:eastAsia="宋体" w:cs="宋体"/>
          <w:color w:val="auto"/>
          <w:spacing w:val="13"/>
          <w:sz w:val="24"/>
          <w:szCs w:val="24"/>
          <w:highlight w:val="none"/>
        </w:rPr>
        <w:t xml:space="preserve"> </w:t>
      </w:r>
      <w:r>
        <w:rPr>
          <w:rFonts w:ascii="宋体" w:hAnsi="宋体" w:eastAsia="宋体" w:cs="宋体"/>
          <w:color w:val="auto"/>
          <w:spacing w:val="-29"/>
          <w:sz w:val="24"/>
          <w:szCs w:val="24"/>
          <w:highlight w:val="none"/>
        </w:rPr>
        <w:t>期：</w:t>
      </w:r>
    </w:p>
    <w:p w14:paraId="36FFC500">
      <w:pPr>
        <w:spacing w:before="1" w:line="360" w:lineRule="auto"/>
        <w:ind w:left="28" w:right="114" w:firstLine="417"/>
        <w:jc w:val="both"/>
        <w:rPr>
          <w:rFonts w:ascii="宋体" w:hAnsi="宋体" w:eastAsia="宋体" w:cs="宋体"/>
          <w:color w:val="auto"/>
          <w:sz w:val="21"/>
          <w:szCs w:val="21"/>
          <w:highlight w:val="none"/>
        </w:rPr>
      </w:pPr>
      <w:r>
        <w:rPr>
          <w:rFonts w:ascii="宋体" w:hAnsi="宋体" w:eastAsia="宋体" w:cs="宋体"/>
          <w:color w:val="auto"/>
          <w:sz w:val="21"/>
          <w:szCs w:val="21"/>
          <w:highlight w:val="none"/>
        </w:rPr>
        <w:t>注：1.对于联合体中由中小企业承担的部分，或者分包给中小企业的部分，供</w:t>
      </w:r>
      <w:r>
        <w:rPr>
          <w:rFonts w:ascii="宋体" w:hAnsi="宋体" w:eastAsia="宋体" w:cs="宋体"/>
          <w:color w:val="auto"/>
          <w:spacing w:val="-1"/>
          <w:sz w:val="21"/>
          <w:szCs w:val="21"/>
          <w:highlight w:val="none"/>
        </w:rPr>
        <w:t>应商应</w:t>
      </w:r>
      <w:r>
        <w:rPr>
          <w:rFonts w:ascii="宋体" w:hAnsi="宋体" w:eastAsia="宋体" w:cs="宋体"/>
          <w:color w:val="auto"/>
          <w:sz w:val="21"/>
          <w:szCs w:val="21"/>
          <w:highlight w:val="none"/>
        </w:rPr>
        <w:t xml:space="preserve"> 当在声明函“项目名称”部分标明联合体中中小企业承担的具体内容或者中小</w:t>
      </w:r>
      <w:r>
        <w:rPr>
          <w:rFonts w:ascii="宋体" w:hAnsi="宋体" w:eastAsia="宋体" w:cs="宋体"/>
          <w:color w:val="auto"/>
          <w:spacing w:val="-1"/>
          <w:sz w:val="21"/>
          <w:szCs w:val="21"/>
          <w:highlight w:val="none"/>
        </w:rPr>
        <w:t>企业的具体</w:t>
      </w:r>
      <w:r>
        <w:rPr>
          <w:rFonts w:ascii="宋体" w:hAnsi="宋体" w:eastAsia="宋体" w:cs="宋体"/>
          <w:color w:val="auto"/>
          <w:sz w:val="21"/>
          <w:szCs w:val="21"/>
          <w:highlight w:val="none"/>
        </w:rPr>
        <w:t xml:space="preserve"> </w:t>
      </w:r>
      <w:r>
        <w:rPr>
          <w:rFonts w:ascii="宋体" w:hAnsi="宋体" w:eastAsia="宋体" w:cs="宋体"/>
          <w:color w:val="auto"/>
          <w:spacing w:val="-5"/>
          <w:sz w:val="21"/>
          <w:szCs w:val="21"/>
          <w:highlight w:val="none"/>
        </w:rPr>
        <w:t>分包内容。</w:t>
      </w:r>
    </w:p>
    <w:p w14:paraId="685F5AA6">
      <w:pPr>
        <w:spacing w:before="29" w:line="363" w:lineRule="auto"/>
        <w:ind w:left="25" w:right="63" w:firstLine="423"/>
        <w:jc w:val="both"/>
        <w:rPr>
          <w:rFonts w:ascii="宋体" w:hAnsi="宋体" w:eastAsia="宋体" w:cs="宋体"/>
          <w:color w:val="auto"/>
          <w:sz w:val="21"/>
          <w:szCs w:val="21"/>
          <w:highlight w:val="none"/>
        </w:rPr>
      </w:pPr>
      <w:r>
        <w:rPr>
          <w:rFonts w:ascii="宋体" w:hAnsi="宋体" w:eastAsia="宋体" w:cs="宋体"/>
          <w:color w:val="auto"/>
          <w:sz w:val="21"/>
          <w:szCs w:val="21"/>
          <w:highlight w:val="none"/>
        </w:rPr>
        <w:t>2.享受《政府采购促进中小企业发展管理办法</w:t>
      </w:r>
      <w:r>
        <w:rPr>
          <w:rFonts w:ascii="宋体" w:hAnsi="宋体" w:eastAsia="宋体" w:cs="宋体"/>
          <w:color w:val="auto"/>
          <w:spacing w:val="-1"/>
          <w:sz w:val="21"/>
          <w:szCs w:val="21"/>
          <w:highlight w:val="none"/>
        </w:rPr>
        <w:t>》（财库〔2020〕46</w:t>
      </w:r>
      <w:r>
        <w:rPr>
          <w:rFonts w:ascii="宋体" w:hAnsi="宋体" w:eastAsia="宋体" w:cs="宋体"/>
          <w:color w:val="auto"/>
          <w:spacing w:val="-39"/>
          <w:sz w:val="21"/>
          <w:szCs w:val="21"/>
          <w:highlight w:val="none"/>
        </w:rPr>
        <w:t xml:space="preserve"> </w:t>
      </w:r>
      <w:r>
        <w:rPr>
          <w:rFonts w:ascii="宋体" w:hAnsi="宋体" w:eastAsia="宋体" w:cs="宋体"/>
          <w:color w:val="auto"/>
          <w:spacing w:val="-1"/>
          <w:sz w:val="21"/>
          <w:szCs w:val="21"/>
          <w:highlight w:val="none"/>
        </w:rPr>
        <w:t>号）规定的中小企</w:t>
      </w:r>
      <w:r>
        <w:rPr>
          <w:rFonts w:ascii="宋体" w:hAnsi="宋体" w:eastAsia="宋体" w:cs="宋体"/>
          <w:color w:val="auto"/>
          <w:sz w:val="21"/>
          <w:szCs w:val="21"/>
          <w:highlight w:val="none"/>
        </w:rPr>
        <w:t xml:space="preserve"> 业扶持政策的，采购人、采购代理机构应当随成交结果公开成交供应商的《中小企业声明 函》。从业人员、营业收入、资产总额填报上一年度数据，无上一年度数据的新成立</w:t>
      </w:r>
      <w:r>
        <w:rPr>
          <w:rFonts w:ascii="宋体" w:hAnsi="宋体" w:eastAsia="宋体" w:cs="宋体"/>
          <w:color w:val="auto"/>
          <w:spacing w:val="-1"/>
          <w:sz w:val="21"/>
          <w:szCs w:val="21"/>
          <w:highlight w:val="none"/>
        </w:rPr>
        <w:t>企业</w:t>
      </w:r>
      <w:r>
        <w:rPr>
          <w:rFonts w:ascii="宋体" w:hAnsi="宋体" w:eastAsia="宋体" w:cs="宋体"/>
          <w:color w:val="auto"/>
          <w:sz w:val="21"/>
          <w:szCs w:val="21"/>
          <w:highlight w:val="none"/>
        </w:rPr>
        <w:t xml:space="preserve"> </w:t>
      </w:r>
      <w:r>
        <w:rPr>
          <w:rFonts w:ascii="宋体" w:hAnsi="宋体" w:eastAsia="宋体" w:cs="宋体"/>
          <w:color w:val="auto"/>
          <w:spacing w:val="-4"/>
          <w:sz w:val="21"/>
          <w:szCs w:val="21"/>
          <w:highlight w:val="none"/>
        </w:rPr>
        <w:t>可不填报。</w:t>
      </w:r>
    </w:p>
    <w:p w14:paraId="5C9307B8">
      <w:pPr>
        <w:spacing w:line="363" w:lineRule="auto"/>
        <w:rPr>
          <w:rFonts w:ascii="宋体" w:hAnsi="宋体" w:eastAsia="宋体" w:cs="宋体"/>
          <w:color w:val="auto"/>
          <w:sz w:val="21"/>
          <w:szCs w:val="21"/>
          <w:highlight w:val="none"/>
        </w:rPr>
        <w:sectPr>
          <w:footerReference r:id="rId295" w:type="default"/>
          <w:pgSz w:w="11900" w:h="16832"/>
          <w:pgMar w:top="1423" w:right="1784" w:bottom="808" w:left="1784" w:header="0" w:footer="647" w:gutter="0"/>
          <w:pgNumType w:fmt="decimal"/>
          <w:cols w:space="720" w:num="1"/>
        </w:sectPr>
      </w:pPr>
    </w:p>
    <w:p w14:paraId="12179B23">
      <w:pPr>
        <w:spacing w:before="150" w:line="225" w:lineRule="auto"/>
        <w:ind w:left="2411"/>
        <w:rPr>
          <w:rFonts w:ascii="宋体" w:hAnsi="宋体" w:eastAsia="宋体" w:cs="宋体"/>
          <w:color w:val="auto"/>
          <w:sz w:val="31"/>
          <w:szCs w:val="31"/>
          <w:highlight w:val="none"/>
        </w:rPr>
      </w:pPr>
      <w:r>
        <w:rPr>
          <w:rFonts w:ascii="宋体" w:hAnsi="宋体" w:eastAsia="宋体" w:cs="宋体"/>
          <w:b/>
          <w:bCs/>
          <w:color w:val="auto"/>
          <w:spacing w:val="6"/>
          <w:sz w:val="31"/>
          <w:szCs w:val="31"/>
          <w:highlight w:val="none"/>
        </w:rPr>
        <w:t>残疾人福利性单位声明函</w:t>
      </w:r>
    </w:p>
    <w:p w14:paraId="5A7EAE59">
      <w:pPr>
        <w:spacing w:line="286" w:lineRule="auto"/>
        <w:rPr>
          <w:rFonts w:ascii="Arial"/>
          <w:color w:val="auto"/>
          <w:sz w:val="21"/>
          <w:highlight w:val="none"/>
        </w:rPr>
      </w:pPr>
    </w:p>
    <w:p w14:paraId="5D83EFA8">
      <w:pPr>
        <w:spacing w:line="287" w:lineRule="auto"/>
        <w:rPr>
          <w:rFonts w:ascii="Arial"/>
          <w:color w:val="auto"/>
          <w:sz w:val="21"/>
          <w:highlight w:val="none"/>
        </w:rPr>
      </w:pPr>
    </w:p>
    <w:p w14:paraId="79813481">
      <w:pPr>
        <w:spacing w:before="78" w:line="354" w:lineRule="auto"/>
        <w:ind w:left="28" w:right="15" w:firstLine="479"/>
        <w:jc w:val="both"/>
        <w:rPr>
          <w:rFonts w:ascii="宋体" w:hAnsi="宋体" w:eastAsia="宋体" w:cs="宋体"/>
          <w:color w:val="auto"/>
          <w:sz w:val="24"/>
          <w:szCs w:val="24"/>
          <w:highlight w:val="none"/>
        </w:rPr>
      </w:pPr>
      <w:r>
        <w:rPr>
          <w:rFonts w:ascii="宋体" w:hAnsi="宋体" w:eastAsia="宋体" w:cs="宋体"/>
          <w:color w:val="auto"/>
          <w:spacing w:val="-6"/>
          <w:sz w:val="24"/>
          <w:szCs w:val="24"/>
          <w:highlight w:val="none"/>
        </w:rPr>
        <w:t>本单位郑重声明，根据《财政部</w:t>
      </w:r>
      <w:r>
        <w:rPr>
          <w:rFonts w:ascii="宋体" w:hAnsi="宋体" w:eastAsia="宋体" w:cs="宋体"/>
          <w:color w:val="auto"/>
          <w:spacing w:val="47"/>
          <w:sz w:val="24"/>
          <w:szCs w:val="24"/>
          <w:highlight w:val="none"/>
        </w:rPr>
        <w:t xml:space="preserve"> </w:t>
      </w:r>
      <w:r>
        <w:rPr>
          <w:rFonts w:ascii="宋体" w:hAnsi="宋体" w:eastAsia="宋体" w:cs="宋体"/>
          <w:color w:val="auto"/>
          <w:spacing w:val="-6"/>
          <w:sz w:val="24"/>
          <w:szCs w:val="24"/>
          <w:highlight w:val="none"/>
        </w:rPr>
        <w:t>民政部</w:t>
      </w:r>
      <w:r>
        <w:rPr>
          <w:rFonts w:ascii="宋体" w:hAnsi="宋体" w:eastAsia="宋体" w:cs="宋体"/>
          <w:color w:val="auto"/>
          <w:spacing w:val="32"/>
          <w:sz w:val="24"/>
          <w:szCs w:val="24"/>
          <w:highlight w:val="none"/>
        </w:rPr>
        <w:t xml:space="preserve"> </w:t>
      </w:r>
      <w:r>
        <w:rPr>
          <w:rFonts w:ascii="宋体" w:hAnsi="宋体" w:eastAsia="宋体" w:cs="宋体"/>
          <w:color w:val="auto"/>
          <w:spacing w:val="-6"/>
          <w:sz w:val="24"/>
          <w:szCs w:val="24"/>
          <w:highlight w:val="none"/>
        </w:rPr>
        <w:t>中国残疾人联合会关于促进</w:t>
      </w:r>
      <w:r>
        <w:rPr>
          <w:rFonts w:ascii="宋体" w:hAnsi="宋体" w:eastAsia="宋体" w:cs="宋体"/>
          <w:color w:val="auto"/>
          <w:spacing w:val="-7"/>
          <w:sz w:val="24"/>
          <w:szCs w:val="24"/>
          <w:highlight w:val="none"/>
        </w:rPr>
        <w:t>残疾人</w:t>
      </w:r>
      <w:r>
        <w:rPr>
          <w:rFonts w:ascii="宋体" w:hAnsi="宋体" w:eastAsia="宋体" w:cs="宋体"/>
          <w:color w:val="auto"/>
          <w:sz w:val="24"/>
          <w:szCs w:val="24"/>
          <w:highlight w:val="none"/>
        </w:rPr>
        <w:t xml:space="preserve"> </w:t>
      </w:r>
      <w:r>
        <w:rPr>
          <w:rFonts w:ascii="宋体" w:hAnsi="宋体" w:eastAsia="宋体" w:cs="宋体"/>
          <w:color w:val="auto"/>
          <w:spacing w:val="-2"/>
          <w:sz w:val="24"/>
          <w:szCs w:val="24"/>
          <w:highlight w:val="none"/>
        </w:rPr>
        <w:t>就业政府采购政策的通知》（财库〔2017〕141</w:t>
      </w:r>
      <w:r>
        <w:rPr>
          <w:rFonts w:ascii="宋体" w:hAnsi="宋体" w:eastAsia="宋体" w:cs="宋体"/>
          <w:color w:val="auto"/>
          <w:spacing w:val="-41"/>
          <w:sz w:val="24"/>
          <w:szCs w:val="24"/>
          <w:highlight w:val="none"/>
        </w:rPr>
        <w:t xml:space="preserve"> </w:t>
      </w:r>
      <w:r>
        <w:rPr>
          <w:rFonts w:ascii="宋体" w:hAnsi="宋体" w:eastAsia="宋体" w:cs="宋体"/>
          <w:color w:val="auto"/>
          <w:spacing w:val="-2"/>
          <w:sz w:val="24"/>
          <w:szCs w:val="24"/>
          <w:highlight w:val="none"/>
        </w:rPr>
        <w:t>号）的规定，本单位为符合条件</w:t>
      </w:r>
      <w:r>
        <w:rPr>
          <w:rFonts w:ascii="宋体" w:hAnsi="宋体" w:eastAsia="宋体" w:cs="宋体"/>
          <w:color w:val="auto"/>
          <w:sz w:val="24"/>
          <w:szCs w:val="24"/>
          <w:highlight w:val="none"/>
        </w:rPr>
        <w:t xml:space="preserve"> </w:t>
      </w:r>
      <w:r>
        <w:rPr>
          <w:rFonts w:ascii="宋体" w:hAnsi="宋体" w:eastAsia="宋体" w:cs="宋体"/>
          <w:color w:val="auto"/>
          <w:spacing w:val="-1"/>
          <w:sz w:val="24"/>
          <w:szCs w:val="24"/>
          <w:highlight w:val="none"/>
        </w:rPr>
        <w:t>的残疾人福利性单位，且本单位参加</w:t>
      </w:r>
      <w:r>
        <w:rPr>
          <w:rFonts w:ascii="宋体" w:hAnsi="宋体" w:eastAsia="宋体" w:cs="宋体"/>
          <w:color w:val="auto"/>
          <w:spacing w:val="-111"/>
          <w:sz w:val="24"/>
          <w:szCs w:val="24"/>
          <w:highlight w:val="none"/>
        </w:rPr>
        <w:t xml:space="preserve"> </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03"/>
          <w:sz w:val="24"/>
          <w:szCs w:val="24"/>
          <w:highlight w:val="none"/>
        </w:rPr>
        <w:t xml:space="preserve"> </w:t>
      </w:r>
      <w:r>
        <w:rPr>
          <w:rFonts w:ascii="宋体" w:hAnsi="宋体" w:eastAsia="宋体" w:cs="宋体"/>
          <w:color w:val="auto"/>
          <w:spacing w:val="-1"/>
          <w:sz w:val="24"/>
          <w:szCs w:val="24"/>
          <w:highlight w:val="none"/>
        </w:rPr>
        <w:t>单位的</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107"/>
          <w:sz w:val="24"/>
          <w:szCs w:val="24"/>
          <w:highlight w:val="none"/>
        </w:rPr>
        <w:t xml:space="preserve"> </w:t>
      </w:r>
      <w:r>
        <w:rPr>
          <w:rFonts w:ascii="宋体" w:hAnsi="宋体" w:eastAsia="宋体" w:cs="宋体"/>
          <w:color w:val="auto"/>
          <w:spacing w:val="-1"/>
          <w:sz w:val="24"/>
          <w:szCs w:val="24"/>
          <w:highlight w:val="none"/>
        </w:rPr>
        <w:t>项目采购活动提供</w:t>
      </w:r>
      <w:r>
        <w:rPr>
          <w:rFonts w:ascii="宋体" w:hAnsi="宋体" w:eastAsia="宋体" w:cs="宋体"/>
          <w:color w:val="auto"/>
          <w:sz w:val="24"/>
          <w:szCs w:val="24"/>
          <w:highlight w:val="none"/>
        </w:rPr>
        <w:t xml:space="preserve"> 本单位制造的货物（由本单位承担工程/提供服务</w:t>
      </w:r>
      <w:r>
        <w:rPr>
          <w:rFonts w:ascii="宋体" w:hAnsi="宋体" w:eastAsia="宋体" w:cs="宋体"/>
          <w:color w:val="auto"/>
          <w:spacing w:val="1"/>
          <w:sz w:val="24"/>
          <w:szCs w:val="24"/>
          <w:highlight w:val="none"/>
        </w:rPr>
        <w:t>），</w:t>
      </w:r>
      <w:r>
        <w:rPr>
          <w:rFonts w:ascii="宋体" w:hAnsi="宋体" w:eastAsia="宋体" w:cs="宋体"/>
          <w:color w:val="auto"/>
          <w:sz w:val="24"/>
          <w:szCs w:val="24"/>
          <w:highlight w:val="none"/>
        </w:rPr>
        <w:t>或者提供其他残疾人福利</w:t>
      </w:r>
      <w:r>
        <w:rPr>
          <w:rFonts w:ascii="宋体" w:hAnsi="宋体" w:eastAsia="宋体" w:cs="宋体"/>
          <w:color w:val="auto"/>
          <w:spacing w:val="1"/>
          <w:sz w:val="24"/>
          <w:szCs w:val="24"/>
          <w:highlight w:val="none"/>
        </w:rPr>
        <w:t xml:space="preserve"> </w:t>
      </w:r>
      <w:r>
        <w:rPr>
          <w:rFonts w:ascii="宋体" w:hAnsi="宋体" w:eastAsia="宋体" w:cs="宋体"/>
          <w:color w:val="auto"/>
          <w:spacing w:val="-1"/>
          <w:sz w:val="24"/>
          <w:szCs w:val="24"/>
          <w:highlight w:val="none"/>
        </w:rPr>
        <w:t>性单位制造的货物（不包括使用非残疾人福</w:t>
      </w:r>
      <w:r>
        <w:rPr>
          <w:rFonts w:ascii="宋体" w:hAnsi="宋体" w:eastAsia="宋体" w:cs="宋体"/>
          <w:color w:val="auto"/>
          <w:spacing w:val="-2"/>
          <w:sz w:val="24"/>
          <w:szCs w:val="24"/>
          <w:highlight w:val="none"/>
        </w:rPr>
        <w:t>利性单位注册商标的货物）。</w:t>
      </w:r>
    </w:p>
    <w:p w14:paraId="20C431EE">
      <w:pPr>
        <w:spacing w:before="37" w:line="219" w:lineRule="auto"/>
        <w:ind w:left="508"/>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本单位对上述声明的真实性负责。如有虚假，将依法承担相应责任。</w:t>
      </w:r>
    </w:p>
    <w:p w14:paraId="0CC67007">
      <w:pPr>
        <w:spacing w:line="249" w:lineRule="auto"/>
        <w:rPr>
          <w:rFonts w:ascii="Arial"/>
          <w:color w:val="auto"/>
          <w:sz w:val="21"/>
          <w:highlight w:val="none"/>
        </w:rPr>
      </w:pPr>
    </w:p>
    <w:p w14:paraId="5555AB6A">
      <w:pPr>
        <w:spacing w:line="249" w:lineRule="auto"/>
        <w:rPr>
          <w:rFonts w:ascii="Arial"/>
          <w:color w:val="auto"/>
          <w:sz w:val="21"/>
          <w:highlight w:val="none"/>
        </w:rPr>
      </w:pPr>
    </w:p>
    <w:p w14:paraId="769418EB">
      <w:pPr>
        <w:spacing w:line="249" w:lineRule="auto"/>
        <w:rPr>
          <w:rFonts w:ascii="Arial"/>
          <w:color w:val="auto"/>
          <w:sz w:val="21"/>
          <w:highlight w:val="none"/>
        </w:rPr>
      </w:pPr>
    </w:p>
    <w:p w14:paraId="1BF342B0">
      <w:pPr>
        <w:spacing w:line="249" w:lineRule="auto"/>
        <w:rPr>
          <w:rFonts w:ascii="Arial"/>
          <w:color w:val="auto"/>
          <w:sz w:val="21"/>
          <w:highlight w:val="none"/>
        </w:rPr>
      </w:pPr>
    </w:p>
    <w:p w14:paraId="2FA2FBC9">
      <w:pPr>
        <w:spacing w:line="250" w:lineRule="auto"/>
        <w:rPr>
          <w:rFonts w:ascii="Arial"/>
          <w:color w:val="auto"/>
          <w:sz w:val="21"/>
          <w:highlight w:val="none"/>
        </w:rPr>
      </w:pPr>
    </w:p>
    <w:p w14:paraId="3C5CFB76">
      <w:pPr>
        <w:spacing w:line="250" w:lineRule="auto"/>
        <w:rPr>
          <w:rFonts w:ascii="Arial"/>
          <w:color w:val="auto"/>
          <w:sz w:val="21"/>
          <w:highlight w:val="none"/>
        </w:rPr>
      </w:pPr>
    </w:p>
    <w:p w14:paraId="15892C41">
      <w:pPr>
        <w:spacing w:before="78" w:line="345" w:lineRule="auto"/>
        <w:ind w:left="2429" w:right="3805"/>
        <w:jc w:val="right"/>
        <w:rPr>
          <w:rFonts w:ascii="宋体" w:hAnsi="宋体" w:eastAsia="宋体" w:cs="宋体"/>
          <w:color w:val="auto"/>
          <w:sz w:val="24"/>
          <w:szCs w:val="24"/>
          <w:highlight w:val="none"/>
        </w:rPr>
      </w:pPr>
      <w:r>
        <w:rPr>
          <w:rFonts w:ascii="宋体" w:hAnsi="宋体" w:eastAsia="宋体" w:cs="宋体"/>
          <w:color w:val="auto"/>
          <w:spacing w:val="-8"/>
          <w:sz w:val="24"/>
          <w:szCs w:val="24"/>
          <w:highlight w:val="none"/>
        </w:rPr>
        <w:t>单位名称（盖章</w:t>
      </w:r>
      <w:r>
        <w:rPr>
          <w:rFonts w:ascii="宋体" w:hAnsi="宋体" w:eastAsia="宋体" w:cs="宋体"/>
          <w:color w:val="auto"/>
          <w:spacing w:val="-6"/>
          <w:sz w:val="24"/>
          <w:szCs w:val="24"/>
          <w:highlight w:val="none"/>
        </w:rPr>
        <w:t>）：</w:t>
      </w:r>
      <w:r>
        <w:rPr>
          <w:rFonts w:ascii="宋体" w:hAnsi="宋体" w:eastAsia="宋体" w:cs="宋体"/>
          <w:color w:val="auto"/>
          <w:sz w:val="24"/>
          <w:szCs w:val="24"/>
          <w:highlight w:val="none"/>
        </w:rPr>
        <w:t xml:space="preserve"> </w:t>
      </w:r>
      <w:r>
        <w:rPr>
          <w:rFonts w:ascii="宋体" w:hAnsi="宋体" w:eastAsia="宋体" w:cs="宋体"/>
          <w:color w:val="auto"/>
          <w:spacing w:val="-29"/>
          <w:sz w:val="24"/>
          <w:szCs w:val="24"/>
          <w:highlight w:val="none"/>
        </w:rPr>
        <w:t>日</w:t>
      </w:r>
      <w:r>
        <w:rPr>
          <w:rFonts w:ascii="宋体" w:hAnsi="宋体" w:eastAsia="宋体" w:cs="宋体"/>
          <w:color w:val="auto"/>
          <w:spacing w:val="7"/>
          <w:sz w:val="24"/>
          <w:szCs w:val="24"/>
          <w:highlight w:val="none"/>
        </w:rPr>
        <w:t xml:space="preserve">  </w:t>
      </w:r>
      <w:r>
        <w:rPr>
          <w:rFonts w:ascii="宋体" w:hAnsi="宋体" w:eastAsia="宋体" w:cs="宋体"/>
          <w:color w:val="auto"/>
          <w:spacing w:val="-29"/>
          <w:sz w:val="24"/>
          <w:szCs w:val="24"/>
          <w:highlight w:val="none"/>
        </w:rPr>
        <w:t>期：</w:t>
      </w:r>
    </w:p>
    <w:p w14:paraId="53192A11">
      <w:pPr>
        <w:spacing w:line="270" w:lineRule="auto"/>
        <w:rPr>
          <w:rFonts w:ascii="Arial"/>
          <w:color w:val="auto"/>
          <w:sz w:val="21"/>
          <w:highlight w:val="none"/>
        </w:rPr>
      </w:pPr>
    </w:p>
    <w:p w14:paraId="3A229098">
      <w:pPr>
        <w:spacing w:line="270" w:lineRule="auto"/>
        <w:rPr>
          <w:rFonts w:ascii="Arial"/>
          <w:color w:val="auto"/>
          <w:sz w:val="21"/>
          <w:highlight w:val="none"/>
        </w:rPr>
      </w:pPr>
    </w:p>
    <w:p w14:paraId="249AA035">
      <w:pPr>
        <w:spacing w:line="271" w:lineRule="auto"/>
        <w:rPr>
          <w:rFonts w:ascii="Arial"/>
          <w:color w:val="auto"/>
          <w:sz w:val="21"/>
          <w:highlight w:val="none"/>
        </w:rPr>
      </w:pPr>
    </w:p>
    <w:p w14:paraId="6EB58ABA">
      <w:pPr>
        <w:spacing w:line="271" w:lineRule="auto"/>
        <w:rPr>
          <w:rFonts w:ascii="Arial"/>
          <w:color w:val="auto"/>
          <w:sz w:val="21"/>
          <w:highlight w:val="none"/>
        </w:rPr>
      </w:pPr>
    </w:p>
    <w:p w14:paraId="1A92A97B">
      <w:pPr>
        <w:spacing w:line="271" w:lineRule="auto"/>
        <w:rPr>
          <w:rFonts w:ascii="Arial"/>
          <w:color w:val="auto"/>
          <w:sz w:val="21"/>
          <w:highlight w:val="none"/>
        </w:rPr>
      </w:pPr>
    </w:p>
    <w:p w14:paraId="1959DF30">
      <w:pPr>
        <w:spacing w:before="68" w:line="351" w:lineRule="auto"/>
        <w:ind w:left="27" w:right="21" w:hanging="1"/>
        <w:jc w:val="both"/>
        <w:rPr>
          <w:rFonts w:ascii="宋体" w:hAnsi="宋体" w:eastAsia="宋体" w:cs="宋体"/>
          <w:color w:val="auto"/>
          <w:sz w:val="21"/>
          <w:szCs w:val="21"/>
          <w:highlight w:val="none"/>
        </w:rPr>
      </w:pPr>
      <w:r>
        <w:rPr>
          <w:rFonts w:ascii="宋体" w:hAnsi="宋体" w:eastAsia="宋体" w:cs="宋体"/>
          <w:color w:val="auto"/>
          <w:spacing w:val="2"/>
          <w:sz w:val="21"/>
          <w:szCs w:val="21"/>
          <w:highlight w:val="none"/>
        </w:rPr>
        <w:t>注：请根据自己的真实情况出具《残疾人福利性单位声明函》。依法享受中小企业优惠政</w:t>
      </w:r>
      <w:r>
        <w:rPr>
          <w:rFonts w:ascii="宋体" w:hAnsi="宋体" w:eastAsia="宋体" w:cs="宋体"/>
          <w:color w:val="auto"/>
          <w:spacing w:val="12"/>
          <w:sz w:val="21"/>
          <w:szCs w:val="21"/>
          <w:highlight w:val="none"/>
        </w:rPr>
        <w:t xml:space="preserve"> </w:t>
      </w:r>
      <w:r>
        <w:rPr>
          <w:rFonts w:ascii="宋体" w:hAnsi="宋体" w:eastAsia="宋体" w:cs="宋体"/>
          <w:color w:val="auto"/>
          <w:spacing w:val="2"/>
          <w:sz w:val="21"/>
          <w:szCs w:val="21"/>
          <w:highlight w:val="none"/>
        </w:rPr>
        <w:t>策的，采购人或者采购代理机构在公告中标结果时，同时公告其《残疾人福利性单位声明</w:t>
      </w:r>
      <w:r>
        <w:rPr>
          <w:rFonts w:ascii="宋体" w:hAnsi="宋体" w:eastAsia="宋体" w:cs="宋体"/>
          <w:color w:val="auto"/>
          <w:spacing w:val="10"/>
          <w:sz w:val="21"/>
          <w:szCs w:val="21"/>
          <w:highlight w:val="none"/>
        </w:rPr>
        <w:t xml:space="preserve"> </w:t>
      </w:r>
      <w:r>
        <w:rPr>
          <w:rFonts w:ascii="宋体" w:hAnsi="宋体" w:eastAsia="宋体" w:cs="宋体"/>
          <w:color w:val="auto"/>
          <w:spacing w:val="-1"/>
          <w:sz w:val="21"/>
          <w:szCs w:val="21"/>
          <w:highlight w:val="none"/>
        </w:rPr>
        <w:t>函》，接受社会监督。</w:t>
      </w:r>
    </w:p>
    <w:p w14:paraId="5E310476">
      <w:pPr>
        <w:spacing w:line="351" w:lineRule="auto"/>
        <w:rPr>
          <w:rFonts w:ascii="宋体" w:hAnsi="宋体" w:eastAsia="宋体" w:cs="宋体"/>
          <w:color w:val="auto"/>
          <w:sz w:val="21"/>
          <w:szCs w:val="21"/>
          <w:highlight w:val="none"/>
        </w:rPr>
        <w:sectPr>
          <w:footerReference r:id="rId296" w:type="default"/>
          <w:pgSz w:w="11900" w:h="16832"/>
          <w:pgMar w:top="1430" w:right="1784" w:bottom="805" w:left="1784" w:header="0" w:footer="647" w:gutter="0"/>
          <w:pgNumType w:fmt="decimal"/>
          <w:cols w:space="720" w:num="1"/>
        </w:sectPr>
      </w:pPr>
    </w:p>
    <w:p w14:paraId="0DD55782">
      <w:pPr>
        <w:spacing w:before="63" w:line="225" w:lineRule="auto"/>
        <w:ind w:left="30"/>
        <w:rPr>
          <w:rFonts w:ascii="宋体" w:hAnsi="宋体" w:eastAsia="宋体" w:cs="宋体"/>
          <w:color w:val="auto"/>
          <w:sz w:val="31"/>
          <w:szCs w:val="31"/>
          <w:highlight w:val="none"/>
        </w:rPr>
      </w:pPr>
      <w:r>
        <w:rPr>
          <w:rFonts w:ascii="宋体" w:hAnsi="宋体" w:eastAsia="宋体" w:cs="宋体"/>
          <w:b/>
          <w:bCs/>
          <w:color w:val="auto"/>
          <w:spacing w:val="6"/>
          <w:sz w:val="31"/>
          <w:szCs w:val="31"/>
          <w:highlight w:val="none"/>
        </w:rPr>
        <w:t>三、商务技术文件格式</w:t>
      </w:r>
    </w:p>
    <w:p w14:paraId="4165351E">
      <w:pPr>
        <w:spacing w:line="261" w:lineRule="auto"/>
        <w:rPr>
          <w:rFonts w:ascii="Arial"/>
          <w:color w:val="auto"/>
          <w:sz w:val="21"/>
          <w:highlight w:val="none"/>
        </w:rPr>
      </w:pPr>
    </w:p>
    <w:p w14:paraId="3926F46E">
      <w:pPr>
        <w:spacing w:before="101" w:line="225" w:lineRule="auto"/>
        <w:ind w:left="54"/>
        <w:rPr>
          <w:rFonts w:ascii="宋体" w:hAnsi="宋体" w:eastAsia="宋体" w:cs="宋体"/>
          <w:color w:val="auto"/>
          <w:sz w:val="31"/>
          <w:szCs w:val="31"/>
          <w:highlight w:val="none"/>
        </w:rPr>
      </w:pPr>
      <w:r>
        <w:rPr>
          <w:rFonts w:ascii="宋体" w:hAnsi="宋体" w:eastAsia="宋体" w:cs="宋体"/>
          <w:b/>
          <w:bCs/>
          <w:color w:val="auto"/>
          <w:spacing w:val="4"/>
          <w:sz w:val="31"/>
          <w:szCs w:val="31"/>
          <w:highlight w:val="none"/>
        </w:rPr>
        <w:t>1.商务技术文件封面格式</w:t>
      </w:r>
    </w:p>
    <w:p w14:paraId="06811A9F">
      <w:pPr>
        <w:spacing w:line="258" w:lineRule="auto"/>
        <w:rPr>
          <w:rFonts w:ascii="Arial"/>
          <w:color w:val="auto"/>
          <w:sz w:val="21"/>
          <w:highlight w:val="none"/>
        </w:rPr>
      </w:pPr>
    </w:p>
    <w:p w14:paraId="4826546A">
      <w:pPr>
        <w:pStyle w:val="2"/>
        <w:rPr>
          <w:rFonts w:hint="eastAsia"/>
          <w:color w:val="auto"/>
          <w:highlight w:val="none"/>
        </w:rPr>
        <w:sectPr>
          <w:headerReference r:id="rId297" w:type="default"/>
          <w:footerReference r:id="rId298" w:type="default"/>
          <w:pgSz w:w="11907" w:h="16840"/>
          <w:pgMar w:top="1182" w:right="1290" w:bottom="1014" w:left="1786" w:header="849" w:footer="852" w:gutter="0"/>
          <w:pgNumType w:fmt="decimal"/>
          <w:cols w:space="720" w:num="1"/>
        </w:sectPr>
      </w:pPr>
    </w:p>
    <w:p w14:paraId="22D14306">
      <w:pPr>
        <w:pStyle w:val="4"/>
        <w:spacing w:line="246" w:lineRule="auto"/>
        <w:rPr>
          <w:rFonts w:hint="eastAsia" w:ascii="宋体" w:hAnsi="宋体" w:eastAsia="宋体" w:cs="宋体"/>
          <w:color w:val="auto"/>
          <w:highlight w:val="none"/>
        </w:rPr>
      </w:pPr>
    </w:p>
    <w:p w14:paraId="1B20AFDD">
      <w:pPr>
        <w:pStyle w:val="4"/>
        <w:spacing w:line="246" w:lineRule="auto"/>
        <w:rPr>
          <w:rFonts w:hint="eastAsia" w:ascii="宋体" w:hAnsi="宋体" w:eastAsia="宋体" w:cs="宋体"/>
          <w:color w:val="auto"/>
          <w:highlight w:val="none"/>
        </w:rPr>
      </w:pPr>
    </w:p>
    <w:p w14:paraId="350F21A3">
      <w:pPr>
        <w:pStyle w:val="4"/>
        <w:spacing w:line="246" w:lineRule="auto"/>
        <w:rPr>
          <w:rFonts w:hint="eastAsia" w:ascii="宋体" w:hAnsi="宋体" w:eastAsia="宋体" w:cs="宋体"/>
          <w:color w:val="auto"/>
          <w:highlight w:val="none"/>
        </w:rPr>
      </w:pPr>
    </w:p>
    <w:p w14:paraId="76FF710A">
      <w:pPr>
        <w:pStyle w:val="4"/>
        <w:spacing w:line="246" w:lineRule="auto"/>
        <w:rPr>
          <w:rFonts w:hint="eastAsia" w:ascii="宋体" w:hAnsi="宋体" w:eastAsia="宋体" w:cs="宋体"/>
          <w:color w:val="auto"/>
          <w:highlight w:val="none"/>
        </w:rPr>
      </w:pPr>
    </w:p>
    <w:p w14:paraId="367FE048">
      <w:pPr>
        <w:pStyle w:val="4"/>
        <w:spacing w:line="247" w:lineRule="auto"/>
        <w:rPr>
          <w:rFonts w:hint="eastAsia" w:ascii="宋体" w:hAnsi="宋体" w:eastAsia="宋体" w:cs="宋体"/>
          <w:color w:val="auto"/>
          <w:highlight w:val="none"/>
        </w:rPr>
      </w:pPr>
    </w:p>
    <w:p w14:paraId="1E316FBF">
      <w:pPr>
        <w:spacing w:before="98" w:line="227" w:lineRule="auto"/>
        <w:ind w:left="3346"/>
        <w:outlineLvl w:val="1"/>
        <w:rPr>
          <w:rFonts w:hint="eastAsia" w:ascii="宋体" w:hAnsi="宋体" w:eastAsia="宋体" w:cs="宋体"/>
          <w:color w:val="auto"/>
          <w:sz w:val="30"/>
          <w:szCs w:val="30"/>
          <w:highlight w:val="none"/>
        </w:rPr>
      </w:pPr>
      <w:bookmarkStart w:id="1005" w:name="bookmark54"/>
      <w:bookmarkEnd w:id="1005"/>
      <w:bookmarkStart w:id="1006" w:name="_Toc12743"/>
      <w:bookmarkStart w:id="1007" w:name="_Toc5480"/>
      <w:bookmarkStart w:id="1008" w:name="_Toc15017"/>
      <w:bookmarkStart w:id="1009" w:name="_Toc1508"/>
      <w:bookmarkStart w:id="1010" w:name="_Toc26287"/>
      <w:r>
        <w:rPr>
          <w:rFonts w:hint="eastAsia" w:ascii="宋体" w:hAnsi="宋体" w:eastAsia="宋体" w:cs="宋体"/>
          <w:color w:val="auto"/>
          <w:spacing w:val="8"/>
          <w:sz w:val="30"/>
          <w:szCs w:val="30"/>
          <w:highlight w:val="none"/>
        </w:rPr>
        <w:t>广西壮族自治区</w:t>
      </w:r>
      <w:bookmarkEnd w:id="1006"/>
      <w:bookmarkEnd w:id="1007"/>
      <w:bookmarkEnd w:id="1008"/>
      <w:bookmarkEnd w:id="1009"/>
      <w:bookmarkEnd w:id="1010"/>
    </w:p>
    <w:p w14:paraId="6CFA026A">
      <w:pPr>
        <w:pStyle w:val="4"/>
        <w:spacing w:line="259" w:lineRule="auto"/>
        <w:rPr>
          <w:rFonts w:hint="eastAsia" w:ascii="宋体" w:hAnsi="宋体" w:eastAsia="宋体" w:cs="宋体"/>
          <w:color w:val="auto"/>
          <w:highlight w:val="none"/>
        </w:rPr>
      </w:pPr>
    </w:p>
    <w:p w14:paraId="25F15E3F">
      <w:pPr>
        <w:pStyle w:val="4"/>
        <w:spacing w:line="259" w:lineRule="auto"/>
        <w:rPr>
          <w:rFonts w:hint="eastAsia" w:ascii="宋体" w:hAnsi="宋体" w:eastAsia="宋体" w:cs="宋体"/>
          <w:color w:val="auto"/>
          <w:highlight w:val="none"/>
        </w:rPr>
      </w:pPr>
    </w:p>
    <w:p w14:paraId="17F8BE47">
      <w:pPr>
        <w:pStyle w:val="4"/>
        <w:spacing w:line="260" w:lineRule="auto"/>
        <w:rPr>
          <w:rFonts w:hint="eastAsia" w:ascii="宋体" w:hAnsi="宋体" w:eastAsia="宋体" w:cs="宋体"/>
          <w:color w:val="auto"/>
          <w:highlight w:val="none"/>
        </w:rPr>
      </w:pPr>
    </w:p>
    <w:p w14:paraId="4E475667">
      <w:pPr>
        <w:pStyle w:val="4"/>
        <w:spacing w:line="260" w:lineRule="auto"/>
        <w:rPr>
          <w:rFonts w:hint="eastAsia" w:ascii="宋体" w:hAnsi="宋体" w:eastAsia="宋体" w:cs="宋体"/>
          <w:color w:val="auto"/>
          <w:highlight w:val="none"/>
        </w:rPr>
      </w:pPr>
    </w:p>
    <w:p w14:paraId="76884273">
      <w:pPr>
        <w:tabs>
          <w:tab w:val="left" w:pos="3305"/>
        </w:tabs>
        <w:spacing w:before="78" w:line="222" w:lineRule="auto"/>
        <w:ind w:left="109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auto"/>
        </w:rPr>
        <w:tab/>
      </w:r>
      <w:r>
        <w:rPr>
          <w:rFonts w:hint="eastAsia" w:ascii="宋体" w:hAnsi="宋体" w:eastAsia="宋体" w:cs="宋体"/>
          <w:color w:val="auto"/>
          <w:spacing w:val="-1"/>
          <w:sz w:val="24"/>
          <w:szCs w:val="24"/>
          <w:highlight w:val="none"/>
        </w:rPr>
        <w:t>（项目名称）标段施工招标</w:t>
      </w:r>
    </w:p>
    <w:p w14:paraId="0781C8EA">
      <w:pPr>
        <w:pStyle w:val="4"/>
        <w:spacing w:line="276" w:lineRule="auto"/>
        <w:rPr>
          <w:rFonts w:hint="eastAsia" w:ascii="宋体" w:hAnsi="宋体" w:eastAsia="宋体" w:cs="宋体"/>
          <w:color w:val="auto"/>
          <w:highlight w:val="none"/>
        </w:rPr>
      </w:pPr>
    </w:p>
    <w:p w14:paraId="67FE713E">
      <w:pPr>
        <w:pStyle w:val="4"/>
        <w:spacing w:line="277" w:lineRule="auto"/>
        <w:rPr>
          <w:rFonts w:hint="eastAsia" w:ascii="宋体" w:hAnsi="宋体" w:eastAsia="宋体" w:cs="宋体"/>
          <w:color w:val="auto"/>
          <w:highlight w:val="none"/>
        </w:rPr>
      </w:pPr>
    </w:p>
    <w:p w14:paraId="38E87AF4">
      <w:pPr>
        <w:pStyle w:val="4"/>
        <w:spacing w:line="277" w:lineRule="auto"/>
        <w:rPr>
          <w:rFonts w:hint="eastAsia" w:ascii="宋体" w:hAnsi="宋体" w:eastAsia="宋体" w:cs="宋体"/>
          <w:color w:val="auto"/>
          <w:highlight w:val="none"/>
        </w:rPr>
      </w:pPr>
    </w:p>
    <w:p w14:paraId="50F2413D">
      <w:pPr>
        <w:pStyle w:val="4"/>
        <w:spacing w:line="277" w:lineRule="auto"/>
        <w:rPr>
          <w:rFonts w:hint="eastAsia" w:ascii="宋体" w:hAnsi="宋体" w:eastAsia="宋体" w:cs="宋体"/>
          <w:color w:val="auto"/>
          <w:highlight w:val="none"/>
        </w:rPr>
      </w:pPr>
    </w:p>
    <w:p w14:paraId="41029E84">
      <w:pPr>
        <w:pStyle w:val="4"/>
        <w:spacing w:line="277" w:lineRule="auto"/>
        <w:rPr>
          <w:rFonts w:hint="eastAsia" w:ascii="宋体" w:hAnsi="宋体" w:eastAsia="宋体" w:cs="宋体"/>
          <w:color w:val="auto"/>
          <w:highlight w:val="none"/>
        </w:rPr>
      </w:pPr>
    </w:p>
    <w:p w14:paraId="5E823B8E">
      <w:pPr>
        <w:pStyle w:val="4"/>
        <w:spacing w:line="277" w:lineRule="auto"/>
        <w:rPr>
          <w:rFonts w:hint="eastAsia" w:ascii="宋体" w:hAnsi="宋体" w:eastAsia="宋体" w:cs="宋体"/>
          <w:color w:val="auto"/>
          <w:highlight w:val="none"/>
        </w:rPr>
      </w:pPr>
    </w:p>
    <w:p w14:paraId="374568E5">
      <w:pPr>
        <w:spacing w:before="230" w:line="224" w:lineRule="auto"/>
        <w:ind w:left="1831"/>
        <w:rPr>
          <w:rFonts w:hint="eastAsia" w:ascii="宋体" w:hAnsi="宋体" w:eastAsia="宋体" w:cs="宋体"/>
          <w:color w:val="auto"/>
          <w:sz w:val="71"/>
          <w:szCs w:val="71"/>
          <w:highlight w:val="none"/>
        </w:rPr>
      </w:pPr>
      <w:r>
        <w:rPr>
          <w:rFonts w:hint="eastAsia" w:ascii="宋体" w:hAnsi="宋体" w:eastAsia="宋体" w:cs="宋体"/>
          <w:color w:val="auto"/>
          <w:spacing w:val="-11"/>
          <w:sz w:val="71"/>
          <w:szCs w:val="71"/>
          <w:highlight w:val="none"/>
        </w:rPr>
        <w:t>投标文件</w:t>
      </w:r>
    </w:p>
    <w:p w14:paraId="0F55452A">
      <w:pPr>
        <w:spacing w:before="12" w:line="227" w:lineRule="auto"/>
        <w:ind w:left="2699"/>
        <w:outlineLvl w:val="1"/>
        <w:rPr>
          <w:rFonts w:hint="eastAsia" w:ascii="宋体" w:hAnsi="宋体" w:eastAsia="宋体" w:cs="宋体"/>
          <w:color w:val="auto"/>
          <w:sz w:val="31"/>
          <w:szCs w:val="31"/>
          <w:highlight w:val="none"/>
        </w:rPr>
      </w:pPr>
      <w:bookmarkStart w:id="1011" w:name="bookmark67"/>
      <w:bookmarkEnd w:id="1011"/>
      <w:bookmarkStart w:id="1012" w:name="_Toc28695"/>
      <w:bookmarkStart w:id="1013" w:name="_Toc24846"/>
      <w:bookmarkStart w:id="1014" w:name="_Toc5854"/>
      <w:bookmarkStart w:id="1015" w:name="_Toc28878"/>
      <w:bookmarkStart w:id="1016" w:name="_Toc22190"/>
      <w:r>
        <w:rPr>
          <w:rFonts w:hint="eastAsia" w:ascii="宋体" w:hAnsi="宋体" w:eastAsia="宋体" w:cs="宋体"/>
          <w:color w:val="auto"/>
          <w:spacing w:val="5"/>
          <w:sz w:val="31"/>
          <w:szCs w:val="31"/>
          <w:highlight w:val="none"/>
        </w:rPr>
        <w:t>（第二信封报价文件）</w:t>
      </w:r>
      <w:bookmarkEnd w:id="1012"/>
      <w:bookmarkEnd w:id="1013"/>
      <w:bookmarkEnd w:id="1014"/>
      <w:bookmarkEnd w:id="1015"/>
      <w:bookmarkEnd w:id="1016"/>
    </w:p>
    <w:p w14:paraId="5A3ED087">
      <w:pPr>
        <w:pStyle w:val="4"/>
        <w:spacing w:line="243" w:lineRule="auto"/>
        <w:rPr>
          <w:rFonts w:hint="eastAsia" w:ascii="宋体" w:hAnsi="宋体" w:eastAsia="宋体" w:cs="宋体"/>
          <w:color w:val="auto"/>
          <w:highlight w:val="none"/>
        </w:rPr>
      </w:pPr>
    </w:p>
    <w:p w14:paraId="504399C9">
      <w:pPr>
        <w:pStyle w:val="4"/>
        <w:spacing w:line="243" w:lineRule="auto"/>
        <w:rPr>
          <w:rFonts w:hint="eastAsia" w:ascii="宋体" w:hAnsi="宋体" w:eastAsia="宋体" w:cs="宋体"/>
          <w:color w:val="auto"/>
          <w:highlight w:val="none"/>
        </w:rPr>
      </w:pPr>
    </w:p>
    <w:p w14:paraId="0443B3A2">
      <w:pPr>
        <w:pStyle w:val="4"/>
        <w:spacing w:line="243" w:lineRule="auto"/>
        <w:rPr>
          <w:rFonts w:hint="eastAsia" w:ascii="宋体" w:hAnsi="宋体" w:eastAsia="宋体" w:cs="宋体"/>
          <w:color w:val="auto"/>
          <w:highlight w:val="none"/>
        </w:rPr>
      </w:pPr>
    </w:p>
    <w:p w14:paraId="67E5CA99">
      <w:pPr>
        <w:pStyle w:val="4"/>
        <w:spacing w:line="243" w:lineRule="auto"/>
        <w:rPr>
          <w:rFonts w:hint="eastAsia" w:ascii="宋体" w:hAnsi="宋体" w:eastAsia="宋体" w:cs="宋体"/>
          <w:color w:val="auto"/>
          <w:highlight w:val="none"/>
        </w:rPr>
      </w:pPr>
    </w:p>
    <w:p w14:paraId="542D787B">
      <w:pPr>
        <w:pStyle w:val="4"/>
        <w:spacing w:line="243" w:lineRule="auto"/>
        <w:rPr>
          <w:rFonts w:hint="eastAsia" w:ascii="宋体" w:hAnsi="宋体" w:eastAsia="宋体" w:cs="宋体"/>
          <w:color w:val="auto"/>
          <w:highlight w:val="none"/>
        </w:rPr>
      </w:pPr>
    </w:p>
    <w:p w14:paraId="13E2466B">
      <w:pPr>
        <w:pStyle w:val="4"/>
        <w:spacing w:line="243" w:lineRule="auto"/>
        <w:rPr>
          <w:rFonts w:hint="eastAsia" w:ascii="宋体" w:hAnsi="宋体" w:eastAsia="宋体" w:cs="宋体"/>
          <w:color w:val="auto"/>
          <w:highlight w:val="none"/>
        </w:rPr>
      </w:pPr>
    </w:p>
    <w:p w14:paraId="2E92B9BE">
      <w:pPr>
        <w:pStyle w:val="4"/>
        <w:spacing w:line="243" w:lineRule="auto"/>
        <w:rPr>
          <w:rFonts w:hint="eastAsia" w:ascii="宋体" w:hAnsi="宋体" w:eastAsia="宋体" w:cs="宋体"/>
          <w:color w:val="auto"/>
          <w:highlight w:val="none"/>
        </w:rPr>
      </w:pPr>
    </w:p>
    <w:p w14:paraId="333D8328">
      <w:pPr>
        <w:pStyle w:val="4"/>
        <w:spacing w:line="243" w:lineRule="auto"/>
        <w:rPr>
          <w:rFonts w:hint="eastAsia" w:ascii="宋体" w:hAnsi="宋体" w:eastAsia="宋体" w:cs="宋体"/>
          <w:color w:val="auto"/>
          <w:highlight w:val="none"/>
        </w:rPr>
      </w:pPr>
    </w:p>
    <w:p w14:paraId="4A783EFC">
      <w:pPr>
        <w:pStyle w:val="4"/>
        <w:spacing w:line="244" w:lineRule="auto"/>
        <w:rPr>
          <w:rFonts w:hint="eastAsia" w:ascii="宋体" w:hAnsi="宋体" w:eastAsia="宋体" w:cs="宋体"/>
          <w:color w:val="auto"/>
          <w:highlight w:val="none"/>
        </w:rPr>
      </w:pPr>
    </w:p>
    <w:p w14:paraId="2FCD02C3">
      <w:pPr>
        <w:pStyle w:val="4"/>
        <w:spacing w:line="244" w:lineRule="auto"/>
        <w:rPr>
          <w:rFonts w:hint="eastAsia" w:ascii="宋体" w:hAnsi="宋体" w:eastAsia="宋体" w:cs="宋体"/>
          <w:color w:val="auto"/>
          <w:highlight w:val="none"/>
        </w:rPr>
      </w:pPr>
    </w:p>
    <w:p w14:paraId="71F910EF">
      <w:pPr>
        <w:pStyle w:val="4"/>
        <w:spacing w:line="244" w:lineRule="auto"/>
        <w:rPr>
          <w:rFonts w:hint="eastAsia" w:ascii="宋体" w:hAnsi="宋体" w:eastAsia="宋体" w:cs="宋体"/>
          <w:color w:val="auto"/>
          <w:highlight w:val="none"/>
        </w:rPr>
      </w:pPr>
    </w:p>
    <w:p w14:paraId="664D7546">
      <w:pPr>
        <w:pStyle w:val="4"/>
        <w:spacing w:line="244" w:lineRule="auto"/>
        <w:rPr>
          <w:rFonts w:hint="eastAsia" w:ascii="宋体" w:hAnsi="宋体" w:eastAsia="宋体" w:cs="宋体"/>
          <w:color w:val="auto"/>
          <w:highlight w:val="none"/>
        </w:rPr>
      </w:pPr>
    </w:p>
    <w:p w14:paraId="1118D800">
      <w:pPr>
        <w:pStyle w:val="4"/>
        <w:spacing w:line="244" w:lineRule="auto"/>
        <w:rPr>
          <w:rFonts w:hint="eastAsia" w:ascii="宋体" w:hAnsi="宋体" w:eastAsia="宋体" w:cs="宋体"/>
          <w:color w:val="auto"/>
          <w:highlight w:val="none"/>
        </w:rPr>
      </w:pPr>
    </w:p>
    <w:p w14:paraId="197964E3">
      <w:pPr>
        <w:pStyle w:val="4"/>
        <w:spacing w:line="244" w:lineRule="auto"/>
        <w:rPr>
          <w:rFonts w:hint="eastAsia" w:ascii="宋体" w:hAnsi="宋体" w:eastAsia="宋体" w:cs="宋体"/>
          <w:color w:val="auto"/>
          <w:highlight w:val="none"/>
        </w:rPr>
      </w:pPr>
    </w:p>
    <w:p w14:paraId="302A3796">
      <w:pPr>
        <w:spacing w:before="92" w:line="222" w:lineRule="auto"/>
        <w:ind w:left="562"/>
        <w:rPr>
          <w:rFonts w:hint="eastAsia" w:ascii="宋体" w:hAnsi="宋体" w:eastAsia="宋体" w:cs="宋体"/>
          <w:color w:val="auto"/>
          <w:sz w:val="28"/>
          <w:szCs w:val="28"/>
          <w:highlight w:val="none"/>
        </w:rPr>
      </w:pPr>
      <w:r>
        <w:rPr>
          <w:rFonts w:hint="eastAsia" w:ascii="宋体" w:hAnsi="宋体" w:eastAsia="宋体" w:cs="宋体"/>
          <w:color w:val="auto"/>
          <w:spacing w:val="2"/>
          <w:sz w:val="28"/>
          <w:szCs w:val="28"/>
          <w:highlight w:val="none"/>
        </w:rPr>
        <w:t>投标人</w:t>
      </w:r>
      <w:r>
        <w:rPr>
          <w:rFonts w:hint="eastAsia" w:ascii="宋体" w:hAnsi="宋体" w:eastAsia="宋体" w:cs="宋体"/>
          <w:color w:val="auto"/>
          <w:spacing w:val="-15"/>
          <w:sz w:val="28"/>
          <w:szCs w:val="28"/>
          <w:highlight w:val="none"/>
        </w:rPr>
        <w:t>：（</w:t>
      </w:r>
      <w:r>
        <w:rPr>
          <w:rFonts w:hint="eastAsia" w:ascii="宋体" w:hAnsi="宋体" w:eastAsia="宋体" w:cs="宋体"/>
          <w:color w:val="auto"/>
          <w:spacing w:val="2"/>
          <w:sz w:val="28"/>
          <w:szCs w:val="28"/>
          <w:highlight w:val="none"/>
        </w:rPr>
        <w:t>盖单位章）</w:t>
      </w:r>
    </w:p>
    <w:p w14:paraId="17D526CA">
      <w:pPr>
        <w:pStyle w:val="4"/>
        <w:spacing w:line="459" w:lineRule="auto"/>
        <w:rPr>
          <w:rFonts w:hint="eastAsia" w:ascii="宋体" w:hAnsi="宋体" w:eastAsia="宋体" w:cs="宋体"/>
          <w:color w:val="auto"/>
          <w:highlight w:val="none"/>
        </w:rPr>
      </w:pPr>
    </w:p>
    <w:p w14:paraId="3389FBF8">
      <w:pPr>
        <w:tabs>
          <w:tab w:val="left" w:pos="3560"/>
        </w:tabs>
        <w:spacing w:before="91" w:line="224" w:lineRule="auto"/>
        <w:ind w:left="2441"/>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u w:val="single" w:color="auto"/>
        </w:rPr>
        <w:tab/>
      </w:r>
      <w:r>
        <w:rPr>
          <w:rFonts w:hint="eastAsia" w:ascii="宋体" w:hAnsi="宋体" w:eastAsia="宋体" w:cs="宋体"/>
          <w:color w:val="auto"/>
          <w:spacing w:val="-10"/>
          <w:sz w:val="28"/>
          <w:szCs w:val="28"/>
          <w:highlight w:val="none"/>
        </w:rPr>
        <w:t>年月日</w:t>
      </w:r>
    </w:p>
    <w:p w14:paraId="5CF93C96">
      <w:pPr>
        <w:spacing w:line="224" w:lineRule="auto"/>
        <w:rPr>
          <w:rFonts w:hint="eastAsia" w:ascii="宋体" w:hAnsi="宋体" w:eastAsia="宋体" w:cs="宋体"/>
          <w:color w:val="auto"/>
          <w:sz w:val="28"/>
          <w:szCs w:val="28"/>
          <w:highlight w:val="none"/>
        </w:rPr>
        <w:sectPr>
          <w:footerReference r:id="rId299" w:type="default"/>
          <w:pgSz w:w="11907" w:h="16840"/>
          <w:pgMar w:top="1182" w:right="1290" w:bottom="1014" w:left="1786" w:header="849" w:footer="852" w:gutter="0"/>
          <w:pgNumType w:fmt="decimal"/>
          <w:cols w:space="720" w:num="1"/>
        </w:sectPr>
      </w:pPr>
    </w:p>
    <w:p w14:paraId="198CE7AE">
      <w:pPr>
        <w:spacing w:before="315" w:line="222" w:lineRule="auto"/>
        <w:ind w:left="3974"/>
        <w:outlineLvl w:val="1"/>
        <w:rPr>
          <w:rFonts w:hint="eastAsia" w:ascii="宋体" w:hAnsi="宋体" w:eastAsia="宋体" w:cs="宋体"/>
          <w:color w:val="auto"/>
          <w:sz w:val="40"/>
          <w:szCs w:val="40"/>
          <w:highlight w:val="none"/>
        </w:rPr>
      </w:pPr>
      <w:bookmarkStart w:id="1017" w:name="bookmark68"/>
      <w:bookmarkEnd w:id="1017"/>
      <w:bookmarkStart w:id="1018" w:name="_Toc23346"/>
      <w:bookmarkStart w:id="1019" w:name="_Toc12979"/>
      <w:bookmarkStart w:id="1020" w:name="_Toc14829"/>
      <w:bookmarkStart w:id="1021" w:name="_Toc5121"/>
      <w:bookmarkStart w:id="1022" w:name="_Toc22122"/>
      <w:r>
        <w:rPr>
          <w:rFonts w:hint="eastAsia" w:ascii="宋体" w:hAnsi="宋体" w:eastAsia="宋体" w:cs="宋体"/>
          <w:color w:val="auto"/>
          <w:spacing w:val="-33"/>
          <w:sz w:val="40"/>
          <w:szCs w:val="40"/>
          <w:highlight w:val="none"/>
        </w:rPr>
        <w:t>目录</w:t>
      </w:r>
      <w:bookmarkEnd w:id="1018"/>
      <w:bookmarkEnd w:id="1019"/>
      <w:bookmarkEnd w:id="1020"/>
      <w:bookmarkEnd w:id="1021"/>
      <w:bookmarkEnd w:id="1022"/>
    </w:p>
    <w:p w14:paraId="1C290145">
      <w:pPr>
        <w:pStyle w:val="4"/>
        <w:spacing w:line="335" w:lineRule="auto"/>
        <w:rPr>
          <w:rFonts w:hint="eastAsia" w:ascii="宋体" w:hAnsi="宋体" w:eastAsia="宋体" w:cs="宋体"/>
          <w:color w:val="auto"/>
          <w:highlight w:val="none"/>
        </w:rPr>
      </w:pPr>
    </w:p>
    <w:p w14:paraId="42C2E9C6">
      <w:pPr>
        <w:spacing w:before="78" w:line="218" w:lineRule="auto"/>
        <w:ind w:left="2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一、调价函格式（如有）</w:t>
      </w:r>
    </w:p>
    <w:p w14:paraId="72DA2D2D">
      <w:pPr>
        <w:spacing w:before="268" w:line="218" w:lineRule="auto"/>
        <w:ind w:left="2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二、报价文件投标函</w:t>
      </w:r>
    </w:p>
    <w:p w14:paraId="39CA7320">
      <w:pPr>
        <w:spacing w:before="266" w:line="218" w:lineRule="auto"/>
        <w:ind w:left="2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三、已标价工程量清单</w:t>
      </w:r>
    </w:p>
    <w:p w14:paraId="404F3876">
      <w:pPr>
        <w:spacing w:before="268" w:line="218" w:lineRule="auto"/>
        <w:ind w:left="43"/>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四、合同用款估算表</w:t>
      </w:r>
    </w:p>
    <w:p w14:paraId="169E3F9F">
      <w:pPr>
        <w:spacing w:before="268" w:line="219" w:lineRule="auto"/>
        <w:ind w:left="2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五、第二信封其他材料</w:t>
      </w:r>
    </w:p>
    <w:p w14:paraId="005F8514">
      <w:pPr>
        <w:spacing w:before="268" w:line="219" w:lineRule="auto"/>
        <w:ind w:left="2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六、工程量清单说明</w:t>
      </w:r>
    </w:p>
    <w:p w14:paraId="7F8D3C70">
      <w:pPr>
        <w:spacing w:line="219" w:lineRule="auto"/>
        <w:rPr>
          <w:rFonts w:hint="eastAsia" w:ascii="宋体" w:hAnsi="宋体" w:eastAsia="宋体" w:cs="宋体"/>
          <w:color w:val="auto"/>
          <w:sz w:val="24"/>
          <w:szCs w:val="24"/>
          <w:highlight w:val="none"/>
        </w:rPr>
        <w:sectPr>
          <w:footerReference r:id="rId300" w:type="default"/>
          <w:pgSz w:w="11907" w:h="16840"/>
          <w:pgMar w:top="1182" w:right="1290" w:bottom="1014" w:left="1786" w:header="849" w:footer="852" w:gutter="0"/>
          <w:pgNumType w:fmt="decimal"/>
          <w:cols w:space="720" w:num="1"/>
        </w:sectPr>
      </w:pPr>
    </w:p>
    <w:p w14:paraId="18AFD1A0">
      <w:pPr>
        <w:pStyle w:val="4"/>
        <w:spacing w:line="241" w:lineRule="auto"/>
        <w:rPr>
          <w:rFonts w:hint="eastAsia" w:ascii="宋体" w:hAnsi="宋体" w:eastAsia="宋体" w:cs="宋体"/>
          <w:color w:val="auto"/>
          <w:highlight w:val="none"/>
        </w:rPr>
      </w:pPr>
    </w:p>
    <w:p w14:paraId="4B1937E7">
      <w:pPr>
        <w:pStyle w:val="4"/>
        <w:spacing w:line="242" w:lineRule="auto"/>
        <w:rPr>
          <w:rFonts w:hint="eastAsia" w:ascii="宋体" w:hAnsi="宋体" w:eastAsia="宋体" w:cs="宋体"/>
          <w:color w:val="auto"/>
          <w:highlight w:val="none"/>
        </w:rPr>
      </w:pPr>
    </w:p>
    <w:p w14:paraId="101CE31E">
      <w:pPr>
        <w:pStyle w:val="4"/>
        <w:spacing w:line="242" w:lineRule="auto"/>
        <w:rPr>
          <w:rFonts w:hint="eastAsia" w:ascii="宋体" w:hAnsi="宋体" w:eastAsia="宋体" w:cs="宋体"/>
          <w:color w:val="auto"/>
          <w:highlight w:val="none"/>
        </w:rPr>
      </w:pPr>
    </w:p>
    <w:p w14:paraId="11A4AF97">
      <w:pPr>
        <w:spacing w:before="98" w:line="227" w:lineRule="auto"/>
        <w:ind w:left="3150"/>
        <w:outlineLvl w:val="1"/>
        <w:rPr>
          <w:rFonts w:hint="eastAsia" w:ascii="宋体" w:hAnsi="宋体" w:eastAsia="宋体" w:cs="宋体"/>
          <w:color w:val="auto"/>
          <w:sz w:val="14"/>
          <w:szCs w:val="14"/>
          <w:highlight w:val="none"/>
        </w:rPr>
      </w:pPr>
      <w:bookmarkStart w:id="1023" w:name="bookmark48"/>
      <w:bookmarkEnd w:id="1023"/>
      <w:bookmarkStart w:id="1024" w:name="bookmark55"/>
      <w:bookmarkEnd w:id="1024"/>
      <w:bookmarkStart w:id="1025" w:name="_Toc19277"/>
      <w:bookmarkStart w:id="1026" w:name="_Toc30267"/>
      <w:bookmarkStart w:id="1027" w:name="_Toc8579"/>
      <w:bookmarkStart w:id="1028" w:name="_Toc22573"/>
      <w:bookmarkStart w:id="1029" w:name="_Toc22612"/>
      <w:r>
        <w:rPr>
          <w:rFonts w:hint="eastAsia" w:ascii="宋体" w:hAnsi="宋体" w:eastAsia="宋体" w:cs="宋体"/>
          <w:color w:val="auto"/>
          <w:spacing w:val="-1"/>
          <w:sz w:val="30"/>
          <w:szCs w:val="30"/>
          <w:highlight w:val="none"/>
        </w:rPr>
        <w:t>调价函格式（如有）</w:t>
      </w:r>
      <w:r>
        <w:rPr>
          <w:rFonts w:hint="eastAsia" w:ascii="宋体" w:hAnsi="宋体" w:eastAsia="宋体" w:cs="宋体"/>
          <w:b/>
          <w:bCs/>
          <w:color w:val="auto"/>
          <w:spacing w:val="-1"/>
          <w:position w:val="13"/>
          <w:sz w:val="14"/>
          <w:szCs w:val="14"/>
          <w:highlight w:val="none"/>
        </w:rPr>
        <w:t>①</w:t>
      </w:r>
      <w:bookmarkEnd w:id="1025"/>
      <w:bookmarkEnd w:id="1026"/>
      <w:bookmarkEnd w:id="1027"/>
      <w:bookmarkEnd w:id="1028"/>
      <w:bookmarkEnd w:id="1029"/>
    </w:p>
    <w:p w14:paraId="66B76DBD">
      <w:pPr>
        <w:pStyle w:val="4"/>
        <w:spacing w:line="353" w:lineRule="auto"/>
        <w:rPr>
          <w:rFonts w:hint="eastAsia" w:ascii="宋体" w:hAnsi="宋体" w:eastAsia="宋体" w:cs="宋体"/>
          <w:color w:val="auto"/>
          <w:highlight w:val="none"/>
        </w:rPr>
      </w:pPr>
    </w:p>
    <w:p w14:paraId="238C75E5">
      <w:pPr>
        <w:pStyle w:val="4"/>
        <w:spacing w:line="353" w:lineRule="auto"/>
        <w:rPr>
          <w:rFonts w:hint="eastAsia" w:ascii="宋体" w:hAnsi="宋体" w:eastAsia="宋体" w:cs="宋体"/>
          <w:color w:val="auto"/>
          <w:highlight w:val="none"/>
        </w:rPr>
      </w:pPr>
    </w:p>
    <w:p w14:paraId="68B2AC4E">
      <w:pPr>
        <w:tabs>
          <w:tab w:val="left" w:pos="3417"/>
        </w:tabs>
        <w:spacing w:before="78" w:line="220" w:lineRule="auto"/>
        <w:ind w:left="53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auto"/>
        </w:rPr>
        <w:tab/>
      </w:r>
      <w:r>
        <w:rPr>
          <w:rFonts w:hint="eastAsia" w:ascii="宋体" w:hAnsi="宋体" w:eastAsia="宋体" w:cs="宋体"/>
          <w:color w:val="auto"/>
          <w:sz w:val="24"/>
          <w:szCs w:val="24"/>
          <w:highlight w:val="none"/>
        </w:rPr>
        <w:t>（招标人名称</w:t>
      </w:r>
      <w:r>
        <w:rPr>
          <w:rFonts w:hint="eastAsia" w:ascii="宋体" w:hAnsi="宋体" w:eastAsia="宋体" w:cs="宋体"/>
          <w:color w:val="auto"/>
          <w:spacing w:val="-55"/>
          <w:w w:val="86"/>
          <w:sz w:val="24"/>
          <w:szCs w:val="24"/>
          <w:highlight w:val="none"/>
        </w:rPr>
        <w:t>：）</w:t>
      </w:r>
    </w:p>
    <w:p w14:paraId="209F195E">
      <w:pPr>
        <w:pStyle w:val="4"/>
        <w:spacing w:line="456" w:lineRule="auto"/>
        <w:rPr>
          <w:rFonts w:hint="eastAsia" w:ascii="宋体" w:hAnsi="宋体" w:eastAsia="宋体" w:cs="宋体"/>
          <w:color w:val="auto"/>
          <w:highlight w:val="none"/>
        </w:rPr>
      </w:pPr>
    </w:p>
    <w:p w14:paraId="169FD00C">
      <w:pPr>
        <w:spacing w:before="78" w:line="311" w:lineRule="auto"/>
        <w:ind w:left="426" w:right="443"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6"/>
          <w:sz w:val="24"/>
          <w:szCs w:val="24"/>
          <w:highlight w:val="none"/>
        </w:rPr>
        <w:t>经我方慎重研究，基于理由，在（项目名称）标段</w:t>
      </w:r>
      <w:r>
        <w:rPr>
          <w:rFonts w:hint="eastAsia" w:ascii="宋体" w:hAnsi="宋体" w:eastAsia="宋体" w:cs="宋体"/>
          <w:color w:val="auto"/>
          <w:spacing w:val="-3"/>
          <w:sz w:val="24"/>
          <w:szCs w:val="24"/>
          <w:highlight w:val="none"/>
        </w:rPr>
        <w:t>施工招标投标函报价人民币（大写）元(¥</w:t>
      </w:r>
    </w:p>
    <w:p w14:paraId="52A0B322">
      <w:pPr>
        <w:tabs>
          <w:tab w:val="left" w:pos="4016"/>
        </w:tabs>
        <w:spacing w:before="3" w:line="311" w:lineRule="auto"/>
        <w:ind w:left="427" w:right="443" w:hanging="1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auto"/>
        </w:rPr>
        <w:tab/>
      </w:r>
      <w:r>
        <w:rPr>
          <w:rFonts w:hint="eastAsia" w:ascii="宋体" w:hAnsi="宋体" w:eastAsia="宋体" w:cs="宋体"/>
          <w:color w:val="auto"/>
          <w:sz w:val="24"/>
          <w:szCs w:val="24"/>
          <w:highlight w:val="none"/>
          <w:u w:val="single" w:color="auto"/>
        </w:rPr>
        <w:tab/>
      </w:r>
      <w:r>
        <w:rPr>
          <w:rFonts w:hint="eastAsia" w:ascii="宋体" w:hAnsi="宋体" w:eastAsia="宋体" w:cs="宋体"/>
          <w:color w:val="auto"/>
          <w:spacing w:val="-5"/>
          <w:sz w:val="24"/>
          <w:szCs w:val="24"/>
          <w:highlight w:val="none"/>
        </w:rPr>
        <w:t>)的基础上进行调价，调价后金额为人民币</w:t>
      </w:r>
      <w:r>
        <w:rPr>
          <w:rFonts w:hint="eastAsia" w:ascii="宋体" w:hAnsi="宋体" w:eastAsia="宋体" w:cs="宋体"/>
          <w:color w:val="auto"/>
          <w:spacing w:val="-6"/>
          <w:sz w:val="24"/>
          <w:szCs w:val="24"/>
          <w:highlight w:val="none"/>
        </w:rPr>
        <w:t>（大写）元(¥),调价后金额为我方最终报价。</w:t>
      </w:r>
    </w:p>
    <w:p w14:paraId="0FAB259F">
      <w:pPr>
        <w:pStyle w:val="4"/>
        <w:spacing w:line="315" w:lineRule="auto"/>
        <w:rPr>
          <w:rFonts w:hint="eastAsia" w:ascii="宋体" w:hAnsi="宋体" w:eastAsia="宋体" w:cs="宋体"/>
          <w:color w:val="auto"/>
          <w:highlight w:val="none"/>
        </w:rPr>
      </w:pPr>
    </w:p>
    <w:p w14:paraId="62AB6BD6">
      <w:pPr>
        <w:spacing w:before="78" w:line="224" w:lineRule="auto"/>
        <w:ind w:left="908"/>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调价后的工程量清单</w:t>
      </w:r>
      <w:r>
        <w:rPr>
          <w:rFonts w:hint="eastAsia" w:ascii="宋体" w:hAnsi="宋体" w:eastAsia="宋体" w:cs="宋体"/>
          <w:color w:val="auto"/>
          <w:spacing w:val="-2"/>
          <w:position w:val="10"/>
          <w:sz w:val="12"/>
          <w:szCs w:val="12"/>
          <w:highlight w:val="none"/>
        </w:rPr>
        <w:t>②</w:t>
      </w:r>
      <w:r>
        <w:rPr>
          <w:rFonts w:hint="eastAsia" w:ascii="宋体" w:hAnsi="宋体" w:eastAsia="宋体" w:cs="宋体"/>
          <w:color w:val="auto"/>
          <w:spacing w:val="-2"/>
          <w:sz w:val="24"/>
          <w:szCs w:val="24"/>
          <w:highlight w:val="none"/>
        </w:rPr>
        <w:t>附后，否则调价无效。</w:t>
      </w:r>
    </w:p>
    <w:p w14:paraId="2C879268">
      <w:pPr>
        <w:pStyle w:val="4"/>
        <w:spacing w:line="278" w:lineRule="auto"/>
        <w:rPr>
          <w:rFonts w:hint="eastAsia" w:ascii="宋体" w:hAnsi="宋体" w:eastAsia="宋体" w:cs="宋体"/>
          <w:color w:val="auto"/>
          <w:highlight w:val="none"/>
        </w:rPr>
      </w:pPr>
    </w:p>
    <w:p w14:paraId="6758A999">
      <w:pPr>
        <w:pStyle w:val="4"/>
        <w:spacing w:line="278" w:lineRule="auto"/>
        <w:rPr>
          <w:rFonts w:hint="eastAsia" w:ascii="宋体" w:hAnsi="宋体" w:eastAsia="宋体" w:cs="宋体"/>
          <w:color w:val="auto"/>
          <w:highlight w:val="none"/>
        </w:rPr>
      </w:pPr>
    </w:p>
    <w:p w14:paraId="09997621">
      <w:pPr>
        <w:pStyle w:val="4"/>
        <w:spacing w:line="278" w:lineRule="auto"/>
        <w:rPr>
          <w:rFonts w:hint="eastAsia" w:ascii="宋体" w:hAnsi="宋体" w:eastAsia="宋体" w:cs="宋体"/>
          <w:color w:val="auto"/>
          <w:highlight w:val="none"/>
        </w:rPr>
      </w:pPr>
    </w:p>
    <w:p w14:paraId="7FDEF812">
      <w:pPr>
        <w:pStyle w:val="4"/>
        <w:spacing w:line="278" w:lineRule="auto"/>
        <w:rPr>
          <w:rFonts w:hint="eastAsia" w:ascii="宋体" w:hAnsi="宋体" w:eastAsia="宋体" w:cs="宋体"/>
          <w:color w:val="auto"/>
          <w:highlight w:val="none"/>
        </w:rPr>
      </w:pPr>
    </w:p>
    <w:p w14:paraId="07090579">
      <w:pPr>
        <w:pStyle w:val="4"/>
        <w:spacing w:line="278" w:lineRule="auto"/>
        <w:rPr>
          <w:rFonts w:hint="eastAsia" w:ascii="宋体" w:hAnsi="宋体" w:eastAsia="宋体" w:cs="宋体"/>
          <w:color w:val="auto"/>
          <w:highlight w:val="none"/>
        </w:rPr>
      </w:pPr>
    </w:p>
    <w:p w14:paraId="0E7D6A4F">
      <w:pPr>
        <w:pStyle w:val="4"/>
        <w:spacing w:line="278" w:lineRule="auto"/>
        <w:rPr>
          <w:rFonts w:hint="eastAsia" w:ascii="宋体" w:hAnsi="宋体" w:eastAsia="宋体" w:cs="宋体"/>
          <w:color w:val="auto"/>
          <w:highlight w:val="none"/>
        </w:rPr>
      </w:pPr>
    </w:p>
    <w:p w14:paraId="25676655">
      <w:pPr>
        <w:spacing w:before="78" w:line="224" w:lineRule="auto"/>
        <w:ind w:left="4269"/>
        <w:rPr>
          <w:rFonts w:hint="eastAsia" w:ascii="宋体" w:hAnsi="宋体" w:eastAsia="宋体" w:cs="宋体"/>
          <w:color w:val="auto"/>
          <w:sz w:val="12"/>
          <w:szCs w:val="12"/>
          <w:highlight w:val="none"/>
        </w:rPr>
      </w:pPr>
      <w:r>
        <w:rPr>
          <w:rFonts w:hint="eastAsia" w:ascii="宋体" w:hAnsi="宋体" w:eastAsia="宋体" w:cs="宋体"/>
          <w:color w:val="auto"/>
          <w:sz w:val="24"/>
          <w:szCs w:val="24"/>
          <w:highlight w:val="none"/>
        </w:rPr>
        <w:t>投标人</w:t>
      </w:r>
      <w:r>
        <w:rPr>
          <w:rFonts w:hint="eastAsia" w:ascii="宋体" w:hAnsi="宋体" w:eastAsia="宋体" w:cs="宋体"/>
          <w:color w:val="auto"/>
          <w:spacing w:val="-24"/>
          <w:sz w:val="24"/>
          <w:szCs w:val="24"/>
          <w:highlight w:val="none"/>
        </w:rPr>
        <w:t>：（</w:t>
      </w:r>
      <w:r>
        <w:rPr>
          <w:rFonts w:hint="eastAsia" w:ascii="宋体" w:hAnsi="宋体" w:eastAsia="宋体" w:cs="宋体"/>
          <w:color w:val="auto"/>
          <w:sz w:val="24"/>
          <w:szCs w:val="24"/>
          <w:highlight w:val="none"/>
        </w:rPr>
        <w:t>盖单位章）</w:t>
      </w:r>
      <w:r>
        <w:rPr>
          <w:rFonts w:hint="eastAsia" w:ascii="宋体" w:hAnsi="宋体" w:eastAsia="宋体" w:cs="宋体"/>
          <w:color w:val="auto"/>
          <w:position w:val="10"/>
          <w:sz w:val="12"/>
          <w:szCs w:val="12"/>
          <w:highlight w:val="none"/>
        </w:rPr>
        <w:t>③</w:t>
      </w:r>
    </w:p>
    <w:p w14:paraId="75C163F9">
      <w:pPr>
        <w:pStyle w:val="4"/>
        <w:spacing w:line="284" w:lineRule="auto"/>
        <w:rPr>
          <w:rFonts w:hint="eastAsia" w:ascii="宋体" w:hAnsi="宋体" w:eastAsia="宋体" w:cs="宋体"/>
          <w:color w:val="auto"/>
          <w:highlight w:val="none"/>
        </w:rPr>
      </w:pPr>
    </w:p>
    <w:p w14:paraId="38ADC003">
      <w:pPr>
        <w:tabs>
          <w:tab w:val="left" w:pos="6767"/>
        </w:tabs>
        <w:spacing w:before="78" w:line="369" w:lineRule="auto"/>
        <w:ind w:left="6032" w:right="341" w:hanging="1570"/>
        <w:rPr>
          <w:rFonts w:hint="eastAsia" w:ascii="宋体" w:hAnsi="宋体" w:eastAsia="宋体" w:cs="宋体"/>
          <w:color w:val="auto"/>
          <w:sz w:val="20"/>
          <w:szCs w:val="20"/>
          <w:highlight w:val="none"/>
        </w:rPr>
      </w:pPr>
      <w:r>
        <w:rPr>
          <w:rFonts w:hint="eastAsia" w:ascii="宋体" w:hAnsi="宋体" w:eastAsia="宋体" w:cs="宋体"/>
          <w:color w:val="auto"/>
          <w:spacing w:val="-6"/>
          <w:sz w:val="24"/>
          <w:szCs w:val="24"/>
          <w:highlight w:val="none"/>
        </w:rPr>
        <w:t>法定代表人</w:t>
      </w:r>
      <w:r>
        <w:rPr>
          <w:rFonts w:hint="eastAsia" w:ascii="宋体" w:hAnsi="宋体" w:eastAsia="宋体" w:cs="宋体"/>
          <w:color w:val="auto"/>
          <w:spacing w:val="7"/>
          <w:sz w:val="24"/>
          <w:szCs w:val="24"/>
          <w:highlight w:val="none"/>
          <w:u w:val="single" w:color="auto"/>
        </w:rPr>
        <w:t>：（</w:t>
      </w:r>
      <w:r>
        <w:rPr>
          <w:rFonts w:hint="eastAsia" w:ascii="宋体" w:hAnsi="宋体" w:eastAsia="宋体" w:cs="宋体"/>
          <w:color w:val="auto"/>
          <w:spacing w:val="-6"/>
          <w:sz w:val="24"/>
          <w:szCs w:val="24"/>
          <w:highlight w:val="none"/>
        </w:rPr>
        <w:t>签章）</w:t>
      </w:r>
      <w:r>
        <w:rPr>
          <w:rFonts w:hint="eastAsia" w:ascii="宋体" w:hAnsi="宋体" w:eastAsia="宋体" w:cs="宋体"/>
          <w:color w:val="auto"/>
          <w:sz w:val="20"/>
          <w:szCs w:val="20"/>
          <w:highlight w:val="none"/>
          <w:u w:val="single" w:color="auto"/>
        </w:rPr>
        <w:tab/>
      </w:r>
      <w:r>
        <w:rPr>
          <w:rFonts w:hint="eastAsia" w:ascii="宋体" w:hAnsi="宋体" w:eastAsia="宋体" w:cs="宋体"/>
          <w:color w:val="auto"/>
          <w:sz w:val="20"/>
          <w:szCs w:val="20"/>
          <w:highlight w:val="none"/>
        </w:rPr>
        <w:t>年月日</w:t>
      </w:r>
    </w:p>
    <w:p w14:paraId="0F6A1A99">
      <w:pPr>
        <w:pStyle w:val="4"/>
        <w:spacing w:line="279" w:lineRule="auto"/>
        <w:rPr>
          <w:rFonts w:hint="eastAsia" w:ascii="宋体" w:hAnsi="宋体" w:eastAsia="宋体" w:cs="宋体"/>
          <w:color w:val="auto"/>
          <w:highlight w:val="none"/>
        </w:rPr>
      </w:pPr>
    </w:p>
    <w:p w14:paraId="69F7783E">
      <w:pPr>
        <w:pStyle w:val="4"/>
        <w:spacing w:line="279" w:lineRule="auto"/>
        <w:rPr>
          <w:rFonts w:hint="eastAsia" w:ascii="宋体" w:hAnsi="宋体" w:eastAsia="宋体" w:cs="宋体"/>
          <w:color w:val="auto"/>
          <w:highlight w:val="none"/>
        </w:rPr>
      </w:pPr>
    </w:p>
    <w:p w14:paraId="3DB54D7B">
      <w:pPr>
        <w:pStyle w:val="4"/>
        <w:spacing w:line="279" w:lineRule="auto"/>
        <w:rPr>
          <w:rFonts w:hint="eastAsia" w:ascii="宋体" w:hAnsi="宋体" w:eastAsia="宋体" w:cs="宋体"/>
          <w:color w:val="auto"/>
          <w:highlight w:val="none"/>
        </w:rPr>
      </w:pPr>
    </w:p>
    <w:p w14:paraId="17BD27E3">
      <w:pPr>
        <w:pStyle w:val="4"/>
        <w:spacing w:line="279" w:lineRule="auto"/>
        <w:rPr>
          <w:rFonts w:hint="eastAsia" w:ascii="宋体" w:hAnsi="宋体" w:eastAsia="宋体" w:cs="宋体"/>
          <w:color w:val="auto"/>
          <w:highlight w:val="none"/>
        </w:rPr>
      </w:pPr>
    </w:p>
    <w:p w14:paraId="4603E9E9">
      <w:pPr>
        <w:pStyle w:val="4"/>
        <w:spacing w:line="280" w:lineRule="auto"/>
        <w:rPr>
          <w:rFonts w:hint="eastAsia" w:ascii="宋体" w:hAnsi="宋体" w:eastAsia="宋体" w:cs="宋体"/>
          <w:color w:val="auto"/>
          <w:highlight w:val="none"/>
        </w:rPr>
      </w:pPr>
      <w:r>
        <w:rPr>
          <w:rFonts w:hint="eastAsia" w:ascii="宋体" w:hAnsi="宋体" w:eastAsia="宋体" w:cs="宋体"/>
          <w:color w:val="auto"/>
          <w:highlight w:val="none"/>
        </w:rPr>
        <w:drawing>
          <wp:anchor distT="0" distB="0" distL="0" distR="0" simplePos="0" relativeHeight="251739136" behindDoc="0" locked="0" layoutInCell="1" allowOverlap="1">
            <wp:simplePos x="0" y="0"/>
            <wp:positionH relativeFrom="column">
              <wp:posOffset>0</wp:posOffset>
            </wp:positionH>
            <wp:positionV relativeFrom="paragraph">
              <wp:posOffset>109220</wp:posOffset>
            </wp:positionV>
            <wp:extent cx="1829435" cy="7620"/>
            <wp:effectExtent l="0" t="0" r="0" b="0"/>
            <wp:wrapNone/>
            <wp:docPr id="40" name="IM 40"/>
            <wp:cNvGraphicFramePr/>
            <a:graphic xmlns:a="http://schemas.openxmlformats.org/drawingml/2006/main">
              <a:graphicData uri="http://schemas.openxmlformats.org/drawingml/2006/picture">
                <pic:pic xmlns:pic="http://schemas.openxmlformats.org/drawingml/2006/picture">
                  <pic:nvPicPr>
                    <pic:cNvPr id="40" name="IM 40"/>
                    <pic:cNvPicPr/>
                  </pic:nvPicPr>
                  <pic:blipFill>
                    <a:blip r:embed="rId316"/>
                    <a:stretch>
                      <a:fillRect/>
                    </a:stretch>
                  </pic:blipFill>
                  <pic:spPr>
                    <a:xfrm>
                      <a:off x="0" y="0"/>
                      <a:ext cx="1829435" cy="7619"/>
                    </a:xfrm>
                    <a:prstGeom prst="rect">
                      <a:avLst/>
                    </a:prstGeom>
                  </pic:spPr>
                </pic:pic>
              </a:graphicData>
            </a:graphic>
          </wp:anchor>
        </w:drawing>
      </w:r>
    </w:p>
    <w:p w14:paraId="2A887DD3">
      <w:pPr>
        <w:spacing w:before="59" w:line="221" w:lineRule="auto"/>
        <w:ind w:left="420"/>
        <w:rPr>
          <w:rFonts w:hint="eastAsia" w:ascii="宋体" w:hAnsi="宋体" w:eastAsia="宋体" w:cs="宋体"/>
          <w:color w:val="auto"/>
          <w:sz w:val="18"/>
          <w:szCs w:val="18"/>
          <w:highlight w:val="none"/>
        </w:rPr>
      </w:pPr>
      <w:r>
        <w:rPr>
          <w:rFonts w:hint="eastAsia" w:ascii="宋体" w:hAnsi="宋体" w:eastAsia="宋体" w:cs="宋体"/>
          <w:color w:val="auto"/>
          <w:spacing w:val="-1"/>
          <w:position w:val="8"/>
          <w:sz w:val="8"/>
          <w:szCs w:val="8"/>
          <w:highlight w:val="none"/>
        </w:rPr>
        <w:t>①</w:t>
      </w:r>
      <w:r>
        <w:rPr>
          <w:rFonts w:hint="eastAsia" w:ascii="宋体" w:hAnsi="宋体" w:eastAsia="宋体" w:cs="宋体"/>
          <w:color w:val="auto"/>
          <w:spacing w:val="-1"/>
          <w:sz w:val="18"/>
          <w:szCs w:val="18"/>
          <w:highlight w:val="none"/>
        </w:rPr>
        <w:t>一般情况下招标人应不接受调价函。</w:t>
      </w:r>
    </w:p>
    <w:p w14:paraId="16CE9893">
      <w:pPr>
        <w:spacing w:before="86" w:line="267" w:lineRule="auto"/>
        <w:ind w:left="614" w:right="140" w:hanging="194"/>
        <w:rPr>
          <w:rFonts w:hint="eastAsia" w:ascii="宋体" w:hAnsi="宋体" w:eastAsia="宋体" w:cs="宋体"/>
          <w:color w:val="auto"/>
          <w:sz w:val="18"/>
          <w:szCs w:val="18"/>
          <w:highlight w:val="none"/>
        </w:rPr>
      </w:pPr>
      <w:r>
        <w:rPr>
          <w:rFonts w:hint="eastAsia" w:ascii="宋体" w:hAnsi="宋体" w:eastAsia="宋体" w:cs="宋体"/>
          <w:color w:val="auto"/>
          <w:position w:val="8"/>
          <w:sz w:val="8"/>
          <w:szCs w:val="8"/>
          <w:highlight w:val="none"/>
        </w:rPr>
        <w:t>②</w:t>
      </w:r>
      <w:r>
        <w:rPr>
          <w:rFonts w:hint="eastAsia" w:ascii="宋体" w:hAnsi="宋体" w:eastAsia="宋体" w:cs="宋体"/>
          <w:color w:val="auto"/>
          <w:sz w:val="18"/>
          <w:szCs w:val="18"/>
          <w:highlight w:val="none"/>
        </w:rPr>
        <w:t>调价后的工程量清单包括工程量清单说明、投标报价说明、计日工说明、其他说明及工程量清单</w:t>
      </w:r>
      <w:r>
        <w:rPr>
          <w:rFonts w:hint="eastAsia" w:ascii="宋体" w:hAnsi="宋体" w:eastAsia="宋体" w:cs="宋体"/>
          <w:color w:val="auto"/>
          <w:spacing w:val="-1"/>
          <w:sz w:val="18"/>
          <w:szCs w:val="18"/>
          <w:highlight w:val="none"/>
        </w:rPr>
        <w:t>各项表格</w:t>
      </w:r>
      <w:r>
        <w:rPr>
          <w:rFonts w:hint="eastAsia" w:ascii="宋体" w:hAnsi="宋体" w:eastAsia="宋体" w:cs="宋体"/>
          <w:color w:val="auto"/>
          <w:spacing w:val="-3"/>
          <w:sz w:val="18"/>
          <w:szCs w:val="18"/>
          <w:highlight w:val="none"/>
        </w:rPr>
        <w:t>（工程量清单表5.1~表5.5）。</w:t>
      </w:r>
    </w:p>
    <w:p w14:paraId="3B25360C">
      <w:pPr>
        <w:spacing w:before="77" w:line="229" w:lineRule="auto"/>
        <w:ind w:left="420"/>
        <w:rPr>
          <w:rFonts w:hint="eastAsia" w:ascii="宋体" w:hAnsi="宋体" w:eastAsia="宋体" w:cs="宋体"/>
          <w:color w:val="auto"/>
          <w:sz w:val="18"/>
          <w:szCs w:val="18"/>
          <w:highlight w:val="none"/>
        </w:rPr>
      </w:pPr>
      <w:r>
        <w:rPr>
          <w:rFonts w:hint="eastAsia" w:ascii="宋体" w:hAnsi="宋体" w:eastAsia="宋体" w:cs="宋体"/>
          <w:color w:val="auto"/>
          <w:position w:val="8"/>
          <w:sz w:val="8"/>
          <w:szCs w:val="8"/>
          <w:highlight w:val="none"/>
        </w:rPr>
        <w:t>③</w:t>
      </w:r>
      <w:r>
        <w:rPr>
          <w:rFonts w:hint="eastAsia" w:ascii="宋体" w:hAnsi="宋体" w:eastAsia="宋体" w:cs="宋体"/>
          <w:color w:val="auto"/>
          <w:sz w:val="18"/>
          <w:szCs w:val="18"/>
          <w:highlight w:val="none"/>
        </w:rPr>
        <w:t>投标人仅须在调价函上加盖单位章，或加盖法定代表</w:t>
      </w:r>
      <w:r>
        <w:rPr>
          <w:rFonts w:hint="eastAsia" w:ascii="宋体" w:hAnsi="宋体" w:eastAsia="宋体" w:cs="宋体"/>
          <w:color w:val="auto"/>
          <w:spacing w:val="-1"/>
          <w:sz w:val="18"/>
          <w:szCs w:val="18"/>
          <w:highlight w:val="none"/>
        </w:rPr>
        <w:t>人签章。</w:t>
      </w:r>
    </w:p>
    <w:p w14:paraId="513958C4">
      <w:pPr>
        <w:spacing w:line="229" w:lineRule="auto"/>
        <w:rPr>
          <w:rFonts w:hint="eastAsia" w:ascii="宋体" w:hAnsi="宋体" w:eastAsia="宋体" w:cs="宋体"/>
          <w:color w:val="auto"/>
          <w:sz w:val="18"/>
          <w:szCs w:val="18"/>
          <w:highlight w:val="none"/>
        </w:rPr>
        <w:sectPr>
          <w:headerReference r:id="rId301" w:type="default"/>
          <w:footerReference r:id="rId302" w:type="default"/>
          <w:pgSz w:w="11907" w:h="16840"/>
          <w:pgMar w:top="1182" w:right="1290" w:bottom="1014" w:left="1643" w:header="849" w:footer="852" w:gutter="0"/>
          <w:pgNumType w:fmt="decimal"/>
          <w:cols w:space="720" w:num="1"/>
        </w:sectPr>
      </w:pPr>
    </w:p>
    <w:p w14:paraId="401B8E1A">
      <w:pPr>
        <w:pStyle w:val="4"/>
        <w:spacing w:line="477" w:lineRule="auto"/>
        <w:rPr>
          <w:rFonts w:hint="eastAsia" w:ascii="宋体" w:hAnsi="宋体" w:eastAsia="宋体" w:cs="宋体"/>
          <w:color w:val="auto"/>
          <w:highlight w:val="none"/>
        </w:rPr>
      </w:pPr>
    </w:p>
    <w:p w14:paraId="3951BEA2">
      <w:pPr>
        <w:spacing w:before="97" w:line="222" w:lineRule="auto"/>
        <w:ind w:left="3830"/>
        <w:outlineLvl w:val="1"/>
        <w:rPr>
          <w:rFonts w:hint="eastAsia" w:ascii="宋体" w:hAnsi="宋体" w:eastAsia="宋体" w:cs="宋体"/>
          <w:color w:val="auto"/>
          <w:sz w:val="30"/>
          <w:szCs w:val="30"/>
          <w:highlight w:val="none"/>
        </w:rPr>
      </w:pPr>
      <w:bookmarkStart w:id="1030" w:name="_Toc2825"/>
      <w:bookmarkStart w:id="1031" w:name="_Toc20989"/>
      <w:bookmarkStart w:id="1032" w:name="_Toc25413"/>
      <w:bookmarkStart w:id="1033" w:name="_Toc15532"/>
      <w:bookmarkStart w:id="1034" w:name="_Toc17345"/>
      <w:r>
        <w:rPr>
          <w:rFonts w:hint="eastAsia" w:ascii="宋体" w:hAnsi="宋体" w:eastAsia="宋体" w:cs="宋体"/>
          <w:color w:val="auto"/>
          <w:spacing w:val="-4"/>
          <w:sz w:val="30"/>
          <w:szCs w:val="30"/>
          <w:highlight w:val="none"/>
        </w:rPr>
        <w:t>一、投标函</w:t>
      </w:r>
      <w:bookmarkEnd w:id="1030"/>
      <w:bookmarkEnd w:id="1031"/>
      <w:bookmarkEnd w:id="1032"/>
      <w:bookmarkEnd w:id="1033"/>
      <w:bookmarkEnd w:id="1034"/>
    </w:p>
    <w:p w14:paraId="0E837BFA">
      <w:pPr>
        <w:pStyle w:val="4"/>
        <w:spacing w:line="261" w:lineRule="auto"/>
        <w:rPr>
          <w:rFonts w:hint="eastAsia" w:ascii="宋体" w:hAnsi="宋体" w:eastAsia="宋体" w:cs="宋体"/>
          <w:color w:val="auto"/>
          <w:highlight w:val="none"/>
        </w:rPr>
      </w:pPr>
    </w:p>
    <w:p w14:paraId="109E679A">
      <w:pPr>
        <w:pStyle w:val="4"/>
        <w:spacing w:line="261" w:lineRule="auto"/>
        <w:rPr>
          <w:rFonts w:hint="eastAsia" w:ascii="宋体" w:hAnsi="宋体" w:eastAsia="宋体" w:cs="宋体"/>
          <w:color w:val="auto"/>
          <w:highlight w:val="none"/>
        </w:rPr>
      </w:pPr>
    </w:p>
    <w:p w14:paraId="0F88F2D6">
      <w:pPr>
        <w:pStyle w:val="4"/>
        <w:spacing w:line="261" w:lineRule="auto"/>
        <w:rPr>
          <w:rFonts w:hint="eastAsia" w:ascii="宋体" w:hAnsi="宋体" w:eastAsia="宋体" w:cs="宋体"/>
          <w:color w:val="auto"/>
          <w:highlight w:val="none"/>
        </w:rPr>
      </w:pPr>
    </w:p>
    <w:p w14:paraId="44F7F7ED">
      <w:pPr>
        <w:tabs>
          <w:tab w:val="left" w:pos="3417"/>
        </w:tabs>
        <w:spacing w:before="78" w:line="220" w:lineRule="auto"/>
        <w:ind w:left="53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auto"/>
        </w:rPr>
        <w:tab/>
      </w:r>
      <w:r>
        <w:rPr>
          <w:rFonts w:hint="eastAsia" w:ascii="宋体" w:hAnsi="宋体" w:eastAsia="宋体" w:cs="宋体"/>
          <w:color w:val="auto"/>
          <w:sz w:val="24"/>
          <w:szCs w:val="24"/>
          <w:highlight w:val="none"/>
        </w:rPr>
        <w:t>（招标人名称</w:t>
      </w:r>
      <w:r>
        <w:rPr>
          <w:rFonts w:hint="eastAsia" w:ascii="宋体" w:hAnsi="宋体" w:eastAsia="宋体" w:cs="宋体"/>
          <w:color w:val="auto"/>
          <w:spacing w:val="-55"/>
          <w:w w:val="86"/>
          <w:sz w:val="24"/>
          <w:szCs w:val="24"/>
          <w:highlight w:val="none"/>
        </w:rPr>
        <w:t>：）</w:t>
      </w:r>
    </w:p>
    <w:p w14:paraId="7F2CDA05">
      <w:pPr>
        <w:spacing w:before="241" w:line="311" w:lineRule="auto"/>
        <w:ind w:left="429" w:right="445" w:firstLine="48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1．我方已仔细研究</w:t>
      </w:r>
      <w:r>
        <w:rPr>
          <w:rFonts w:hint="eastAsia" w:ascii="宋体" w:hAnsi="宋体" w:eastAsia="宋体" w:cs="宋体"/>
          <w:color w:val="auto"/>
          <w:spacing w:val="-2"/>
          <w:sz w:val="24"/>
          <w:szCs w:val="24"/>
          <w:highlight w:val="none"/>
        </w:rPr>
        <w:t>（项目名称）标段施</w:t>
      </w:r>
      <w:r>
        <w:rPr>
          <w:rFonts w:hint="eastAsia" w:ascii="宋体" w:hAnsi="宋体" w:eastAsia="宋体" w:cs="宋体"/>
          <w:color w:val="auto"/>
          <w:spacing w:val="-5"/>
          <w:sz w:val="24"/>
          <w:szCs w:val="24"/>
          <w:highlight w:val="none"/>
        </w:rPr>
        <w:t>工招标文件的全部内容（含补遗书第号至第号</w:t>
      </w:r>
      <w:r>
        <w:rPr>
          <w:rFonts w:hint="eastAsia" w:ascii="宋体" w:hAnsi="宋体" w:eastAsia="宋体" w:cs="宋体"/>
          <w:color w:val="auto"/>
          <w:spacing w:val="-30"/>
          <w:w w:val="47"/>
          <w:sz w:val="24"/>
          <w:szCs w:val="24"/>
          <w:highlight w:val="none"/>
        </w:rPr>
        <w:t>），</w:t>
      </w:r>
      <w:r>
        <w:rPr>
          <w:rFonts w:hint="eastAsia" w:ascii="宋体" w:hAnsi="宋体" w:eastAsia="宋体" w:cs="宋体"/>
          <w:color w:val="auto"/>
          <w:spacing w:val="-5"/>
          <w:sz w:val="24"/>
          <w:szCs w:val="24"/>
          <w:highlight w:val="none"/>
        </w:rPr>
        <w:t>在考</w:t>
      </w:r>
      <w:r>
        <w:rPr>
          <w:rFonts w:hint="eastAsia" w:ascii="宋体" w:hAnsi="宋体" w:eastAsia="宋体" w:cs="宋体"/>
          <w:color w:val="auto"/>
          <w:spacing w:val="-6"/>
          <w:sz w:val="24"/>
          <w:szCs w:val="24"/>
          <w:highlight w:val="none"/>
        </w:rPr>
        <w:t>察工程现场后，愿意以人民币</w:t>
      </w:r>
    </w:p>
    <w:p w14:paraId="5B27B860">
      <w:pPr>
        <w:spacing w:before="1" w:line="311" w:lineRule="auto"/>
        <w:ind w:left="428" w:right="445" w:firstLine="9"/>
        <w:jc w:val="both"/>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（大写）元(¥)的投标总报价（或根据招标文件规定修</w:t>
      </w:r>
      <w:r>
        <w:rPr>
          <w:rFonts w:hint="eastAsia" w:ascii="宋体" w:hAnsi="宋体" w:eastAsia="宋体" w:cs="宋体"/>
          <w:color w:val="auto"/>
          <w:spacing w:val="1"/>
          <w:sz w:val="24"/>
          <w:szCs w:val="24"/>
          <w:highlight w:val="none"/>
        </w:rPr>
        <w:t>正核实后确定的另一金额，其中，增值税税率为</w:t>
      </w:r>
      <w:r>
        <w:rPr>
          <w:rFonts w:hint="eastAsia" w:ascii="宋体" w:hAnsi="宋体" w:eastAsia="宋体" w:cs="宋体"/>
          <w:color w:val="auto"/>
          <w:spacing w:val="-46"/>
          <w:w w:val="73"/>
          <w:sz w:val="24"/>
          <w:szCs w:val="24"/>
          <w:highlight w:val="none"/>
        </w:rPr>
        <w:t>，）</w:t>
      </w:r>
      <w:r>
        <w:rPr>
          <w:rFonts w:hint="eastAsia" w:ascii="宋体" w:hAnsi="宋体" w:eastAsia="宋体" w:cs="宋体"/>
          <w:color w:val="auto"/>
          <w:spacing w:val="1"/>
          <w:sz w:val="24"/>
          <w:szCs w:val="24"/>
          <w:highlight w:val="none"/>
        </w:rPr>
        <w:t>按合同约定实施</w:t>
      </w:r>
      <w:r>
        <w:rPr>
          <w:rFonts w:hint="eastAsia" w:ascii="宋体" w:hAnsi="宋体" w:eastAsia="宋体" w:cs="宋体"/>
          <w:color w:val="auto"/>
          <w:sz w:val="24"/>
          <w:szCs w:val="24"/>
          <w:highlight w:val="none"/>
        </w:rPr>
        <w:t>和完</w:t>
      </w:r>
      <w:r>
        <w:rPr>
          <w:rFonts w:hint="eastAsia" w:ascii="宋体" w:hAnsi="宋体" w:eastAsia="宋体" w:cs="宋体"/>
          <w:color w:val="auto"/>
          <w:spacing w:val="-1"/>
          <w:sz w:val="24"/>
          <w:szCs w:val="24"/>
          <w:highlight w:val="none"/>
        </w:rPr>
        <w:t>成承包工程，修补工程中的任何缺陷。</w:t>
      </w:r>
    </w:p>
    <w:p w14:paraId="4AD7F12D">
      <w:pPr>
        <w:spacing w:before="1" w:line="264" w:lineRule="auto"/>
        <w:ind w:left="426" w:right="429" w:firstLine="481"/>
        <w:rPr>
          <w:rFonts w:hint="eastAsia" w:ascii="宋体" w:hAnsi="宋体" w:eastAsia="宋体" w:cs="宋体"/>
          <w:color w:val="auto"/>
          <w:sz w:val="24"/>
          <w:szCs w:val="24"/>
          <w:highlight w:val="none"/>
        </w:rPr>
      </w:pPr>
      <w:r>
        <w:rPr>
          <w:rFonts w:hint="eastAsia" w:ascii="宋体" w:hAnsi="宋体" w:eastAsia="宋体" w:cs="宋体"/>
          <w:color w:val="auto"/>
          <w:spacing w:val="-19"/>
          <w:sz w:val="24"/>
          <w:szCs w:val="24"/>
          <w:highlight w:val="none"/>
        </w:rPr>
        <w:t>2．在合同协议书正式签署生效之前，本投标函连同你方的中标通知书将构成我</w:t>
      </w:r>
      <w:r>
        <w:rPr>
          <w:rFonts w:hint="eastAsia" w:ascii="宋体" w:hAnsi="宋体" w:eastAsia="宋体" w:cs="宋体"/>
          <w:color w:val="auto"/>
          <w:spacing w:val="-15"/>
          <w:sz w:val="24"/>
          <w:szCs w:val="24"/>
          <w:highlight w:val="none"/>
        </w:rPr>
        <w:t>们双方之间共同遵守的文件，对双方具有约束力。</w:t>
      </w:r>
    </w:p>
    <w:p w14:paraId="6970CF63">
      <w:pPr>
        <w:spacing w:before="117" w:line="300" w:lineRule="auto"/>
        <w:ind w:left="426" w:right="367" w:firstLine="48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3、若我方所投的多个标段综合得分同时排名第一，贵方可按以下中标意</w:t>
      </w:r>
      <w:r>
        <w:rPr>
          <w:rFonts w:hint="eastAsia" w:ascii="宋体" w:hAnsi="宋体" w:eastAsia="宋体" w:cs="宋体"/>
          <w:color w:val="auto"/>
          <w:spacing w:val="-8"/>
          <w:sz w:val="24"/>
          <w:szCs w:val="24"/>
          <w:highlight w:val="none"/>
        </w:rPr>
        <w:t>向优先顺序确定中标合同：第一中标意向：第</w:t>
      </w:r>
      <w:r>
        <w:rPr>
          <w:rFonts w:hint="eastAsia" w:ascii="宋体" w:hAnsi="宋体" w:eastAsia="宋体" w:cs="宋体"/>
          <w:color w:val="auto"/>
          <w:spacing w:val="-9"/>
          <w:sz w:val="24"/>
          <w:szCs w:val="24"/>
          <w:highlight w:val="none"/>
        </w:rPr>
        <w:t>标段；第二中标意向：第标</w:t>
      </w:r>
      <w:r>
        <w:rPr>
          <w:rFonts w:hint="eastAsia" w:ascii="宋体" w:hAnsi="宋体" w:eastAsia="宋体" w:cs="宋体"/>
          <w:color w:val="auto"/>
          <w:spacing w:val="-1"/>
          <w:sz w:val="24"/>
          <w:szCs w:val="24"/>
          <w:highlight w:val="none"/>
        </w:rPr>
        <w:t>段；第三中标意向：第标段；第四中标意向：第标段；第五中标意向：</w:t>
      </w:r>
      <w:r>
        <w:rPr>
          <w:rFonts w:hint="eastAsia" w:ascii="宋体" w:hAnsi="宋体" w:eastAsia="宋体" w:cs="宋体"/>
          <w:color w:val="auto"/>
          <w:spacing w:val="-2"/>
          <w:sz w:val="24"/>
          <w:szCs w:val="24"/>
          <w:highlight w:val="none"/>
        </w:rPr>
        <w:t>第标段……</w:t>
      </w:r>
      <w:r>
        <w:rPr>
          <w:rFonts w:hint="eastAsia" w:ascii="宋体" w:hAnsi="宋体" w:eastAsia="宋体" w:cs="宋体"/>
          <w:b/>
          <w:bCs/>
          <w:color w:val="auto"/>
          <w:spacing w:val="-2"/>
          <w:sz w:val="24"/>
          <w:szCs w:val="24"/>
          <w:highlight w:val="none"/>
        </w:rPr>
        <w:t>（注：此项仅同时投多个标段的投标人填写。若投标人未对此</w:t>
      </w:r>
      <w:r>
        <w:rPr>
          <w:rFonts w:hint="eastAsia" w:ascii="宋体" w:hAnsi="宋体" w:eastAsia="宋体" w:cs="宋体"/>
          <w:b/>
          <w:bCs/>
          <w:color w:val="auto"/>
          <w:spacing w:val="-4"/>
          <w:sz w:val="24"/>
          <w:szCs w:val="24"/>
          <w:highlight w:val="none"/>
        </w:rPr>
        <w:t>项进行明确或所填写的优先顺序错误致使评标委</w:t>
      </w:r>
      <w:r>
        <w:rPr>
          <w:rFonts w:hint="eastAsia" w:ascii="宋体" w:hAnsi="宋体" w:eastAsia="宋体" w:cs="宋体"/>
          <w:b/>
          <w:bCs/>
          <w:color w:val="auto"/>
          <w:spacing w:val="-5"/>
          <w:sz w:val="24"/>
          <w:szCs w:val="24"/>
          <w:highlight w:val="none"/>
        </w:rPr>
        <w:t>员会无法确定优先顺序时，则</w:t>
      </w:r>
      <w:r>
        <w:rPr>
          <w:rFonts w:hint="eastAsia" w:ascii="宋体" w:hAnsi="宋体" w:eastAsia="宋体" w:cs="宋体"/>
          <w:b/>
          <w:bCs/>
          <w:color w:val="auto"/>
          <w:spacing w:val="-4"/>
          <w:sz w:val="24"/>
          <w:szCs w:val="24"/>
          <w:highlight w:val="none"/>
        </w:rPr>
        <w:t>当该投标人所投多个标段同时排名第一时，招标</w:t>
      </w:r>
      <w:r>
        <w:rPr>
          <w:rFonts w:hint="eastAsia" w:ascii="宋体" w:hAnsi="宋体" w:eastAsia="宋体" w:cs="宋体"/>
          <w:b/>
          <w:bCs/>
          <w:color w:val="auto"/>
          <w:spacing w:val="-5"/>
          <w:sz w:val="24"/>
          <w:szCs w:val="24"/>
          <w:highlight w:val="none"/>
        </w:rPr>
        <w:t>人将视投标人放弃优先选择中</w:t>
      </w:r>
      <w:r>
        <w:rPr>
          <w:rFonts w:hint="eastAsia" w:ascii="宋体" w:hAnsi="宋体" w:eastAsia="宋体" w:cs="宋体"/>
          <w:b/>
          <w:bCs/>
          <w:color w:val="auto"/>
          <w:spacing w:val="-9"/>
          <w:sz w:val="24"/>
          <w:szCs w:val="24"/>
          <w:highlight w:val="none"/>
        </w:rPr>
        <w:t>标标段的权力，评标委员会将按照标段排列〈第一标段、第二标段、第三标段、</w:t>
      </w:r>
      <w:r>
        <w:rPr>
          <w:rFonts w:hint="eastAsia" w:ascii="宋体" w:hAnsi="宋体" w:eastAsia="宋体" w:cs="宋体"/>
          <w:b/>
          <w:bCs/>
          <w:color w:val="auto"/>
          <w:spacing w:val="-2"/>
          <w:sz w:val="24"/>
          <w:szCs w:val="24"/>
          <w:highlight w:val="none"/>
        </w:rPr>
        <w:t>第四标段、第五标段的顺序依次推荐中标单</w:t>
      </w:r>
      <w:r>
        <w:rPr>
          <w:rFonts w:hint="eastAsia" w:ascii="宋体" w:hAnsi="宋体" w:eastAsia="宋体" w:cs="宋体"/>
          <w:b/>
          <w:bCs/>
          <w:color w:val="auto"/>
          <w:spacing w:val="-3"/>
          <w:sz w:val="24"/>
          <w:szCs w:val="24"/>
          <w:highlight w:val="none"/>
        </w:rPr>
        <w:t>位。）</w:t>
      </w:r>
    </w:p>
    <w:p w14:paraId="4B175F87">
      <w:pPr>
        <w:spacing w:before="127" w:line="219" w:lineRule="auto"/>
        <w:ind w:left="903"/>
        <w:rPr>
          <w:rFonts w:hint="eastAsia" w:ascii="宋体" w:hAnsi="宋体" w:eastAsia="宋体" w:cs="宋体"/>
          <w:color w:val="auto"/>
          <w:sz w:val="24"/>
          <w:szCs w:val="24"/>
          <w:highlight w:val="none"/>
        </w:rPr>
      </w:pPr>
      <w:r>
        <w:rPr>
          <w:rFonts w:hint="eastAsia" w:ascii="宋体" w:hAnsi="宋体" w:eastAsia="宋体" w:cs="宋体"/>
          <w:color w:val="auto"/>
          <w:spacing w:val="-14"/>
          <w:sz w:val="24"/>
          <w:szCs w:val="24"/>
          <w:highlight w:val="none"/>
        </w:rPr>
        <w:t>4</w:t>
      </w:r>
      <w:r>
        <w:rPr>
          <w:rFonts w:hint="eastAsia" w:ascii="宋体" w:hAnsi="宋体" w:eastAsia="宋体" w:cs="宋体"/>
          <w:color w:val="auto"/>
          <w:spacing w:val="-34"/>
          <w:sz w:val="24"/>
          <w:szCs w:val="24"/>
          <w:highlight w:val="none"/>
        </w:rPr>
        <w:t>．（</w:t>
      </w:r>
      <w:r>
        <w:rPr>
          <w:rFonts w:hint="eastAsia" w:ascii="宋体" w:hAnsi="宋体" w:eastAsia="宋体" w:cs="宋体"/>
          <w:color w:val="auto"/>
          <w:spacing w:val="-14"/>
          <w:sz w:val="24"/>
          <w:szCs w:val="24"/>
          <w:highlight w:val="none"/>
        </w:rPr>
        <w:t>其他补充说明。）</w:t>
      </w:r>
    </w:p>
    <w:p w14:paraId="4ED7B11B">
      <w:pPr>
        <w:pStyle w:val="4"/>
        <w:spacing w:line="428" w:lineRule="auto"/>
        <w:rPr>
          <w:rFonts w:hint="eastAsia" w:ascii="宋体" w:hAnsi="宋体" w:eastAsia="宋体" w:cs="宋体"/>
          <w:color w:val="auto"/>
          <w:highlight w:val="none"/>
        </w:rPr>
      </w:pPr>
    </w:p>
    <w:p w14:paraId="1D3555F1">
      <w:pPr>
        <w:spacing w:before="78" w:line="224" w:lineRule="auto"/>
        <w:ind w:left="3849"/>
        <w:rPr>
          <w:rFonts w:hint="eastAsia" w:ascii="宋体" w:hAnsi="宋体" w:eastAsia="宋体" w:cs="宋体"/>
          <w:color w:val="auto"/>
          <w:sz w:val="12"/>
          <w:szCs w:val="12"/>
          <w:highlight w:val="none"/>
        </w:rPr>
      </w:pPr>
      <w:r>
        <w:rPr>
          <w:rFonts w:hint="eastAsia" w:ascii="宋体" w:hAnsi="宋体" w:eastAsia="宋体" w:cs="宋体"/>
          <w:color w:val="auto"/>
          <w:sz w:val="24"/>
          <w:szCs w:val="24"/>
          <w:highlight w:val="none"/>
        </w:rPr>
        <w:t>投标人</w:t>
      </w:r>
      <w:r>
        <w:rPr>
          <w:rFonts w:hint="eastAsia" w:ascii="宋体" w:hAnsi="宋体" w:eastAsia="宋体" w:cs="宋体"/>
          <w:color w:val="auto"/>
          <w:spacing w:val="-24"/>
          <w:sz w:val="24"/>
          <w:szCs w:val="24"/>
          <w:highlight w:val="none"/>
        </w:rPr>
        <w:t>：（</w:t>
      </w:r>
      <w:r>
        <w:rPr>
          <w:rFonts w:hint="eastAsia" w:ascii="宋体" w:hAnsi="宋体" w:eastAsia="宋体" w:cs="宋体"/>
          <w:color w:val="auto"/>
          <w:sz w:val="24"/>
          <w:szCs w:val="24"/>
          <w:highlight w:val="none"/>
        </w:rPr>
        <w:t>盖单位章）</w:t>
      </w:r>
      <w:r>
        <w:rPr>
          <w:rFonts w:hint="eastAsia" w:ascii="宋体" w:hAnsi="宋体" w:eastAsia="宋体" w:cs="宋体"/>
          <w:color w:val="auto"/>
          <w:position w:val="10"/>
          <w:sz w:val="12"/>
          <w:szCs w:val="12"/>
          <w:highlight w:val="none"/>
        </w:rPr>
        <w:t>①</w:t>
      </w:r>
    </w:p>
    <w:p w14:paraId="6D9DDBA0">
      <w:pPr>
        <w:spacing w:before="121" w:line="219" w:lineRule="auto"/>
        <w:ind w:left="3847"/>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法定代表人</w:t>
      </w:r>
      <w:r>
        <w:rPr>
          <w:rFonts w:hint="eastAsia" w:ascii="宋体" w:hAnsi="宋体" w:eastAsia="宋体" w:cs="宋体"/>
          <w:color w:val="auto"/>
          <w:spacing w:val="-30"/>
          <w:sz w:val="24"/>
          <w:szCs w:val="24"/>
          <w:highlight w:val="none"/>
        </w:rPr>
        <w:t>：（</w:t>
      </w:r>
      <w:r>
        <w:rPr>
          <w:rFonts w:hint="eastAsia" w:ascii="宋体" w:hAnsi="宋体" w:eastAsia="宋体" w:cs="宋体"/>
          <w:color w:val="auto"/>
          <w:spacing w:val="3"/>
          <w:sz w:val="24"/>
          <w:szCs w:val="24"/>
          <w:highlight w:val="none"/>
        </w:rPr>
        <w:t>签章）</w:t>
      </w:r>
    </w:p>
    <w:p w14:paraId="58E8114F">
      <w:pPr>
        <w:spacing w:before="119" w:line="229" w:lineRule="auto"/>
        <w:ind w:left="3846"/>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7"/>
          <w:sz w:val="24"/>
          <w:szCs w:val="24"/>
          <w:highlight w:val="none"/>
        </w:rPr>
        <w:t>地址：</w:t>
      </w:r>
    </w:p>
    <w:p w14:paraId="773B15E4">
      <w:pPr>
        <w:spacing w:before="109" w:line="224" w:lineRule="auto"/>
        <w:ind w:left="3865"/>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3"/>
          <w:sz w:val="24"/>
          <w:szCs w:val="24"/>
          <w:highlight w:val="none"/>
        </w:rPr>
        <w:t>网址：</w:t>
      </w:r>
    </w:p>
    <w:p w14:paraId="523E7DCD">
      <w:pPr>
        <w:spacing w:before="112" w:line="221" w:lineRule="auto"/>
        <w:ind w:left="3875"/>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6"/>
          <w:sz w:val="24"/>
          <w:szCs w:val="24"/>
          <w:highlight w:val="none"/>
        </w:rPr>
        <w:t>电话：</w:t>
      </w:r>
    </w:p>
    <w:p w14:paraId="6F16DC3D">
      <w:pPr>
        <w:spacing w:before="117" w:line="219" w:lineRule="auto"/>
        <w:ind w:left="3845"/>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7"/>
          <w:sz w:val="24"/>
          <w:szCs w:val="24"/>
          <w:highlight w:val="none"/>
        </w:rPr>
        <w:t>传真：</w:t>
      </w:r>
    </w:p>
    <w:p w14:paraId="557516A2">
      <w:pPr>
        <w:spacing w:before="122" w:line="219" w:lineRule="auto"/>
        <w:ind w:left="3864"/>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6"/>
          <w:sz w:val="24"/>
          <w:szCs w:val="24"/>
          <w:highlight w:val="none"/>
        </w:rPr>
        <w:t>邮政编码：</w:t>
      </w:r>
    </w:p>
    <w:p w14:paraId="43071990">
      <w:pPr>
        <w:pStyle w:val="4"/>
        <w:spacing w:line="460" w:lineRule="auto"/>
        <w:rPr>
          <w:rFonts w:hint="eastAsia" w:ascii="宋体" w:hAnsi="宋体" w:eastAsia="宋体" w:cs="宋体"/>
          <w:color w:val="auto"/>
          <w:highlight w:val="none"/>
        </w:rPr>
      </w:pPr>
    </w:p>
    <w:p w14:paraId="744171C0">
      <w:pPr>
        <w:tabs>
          <w:tab w:val="left" w:pos="6235"/>
        </w:tabs>
        <w:spacing w:before="78" w:line="219" w:lineRule="auto"/>
        <w:ind w:left="515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auto"/>
        </w:rPr>
        <w:tab/>
      </w:r>
      <w:r>
        <w:rPr>
          <w:rFonts w:hint="eastAsia" w:ascii="宋体" w:hAnsi="宋体" w:eastAsia="宋体" w:cs="宋体"/>
          <w:color w:val="auto"/>
          <w:spacing w:val="-9"/>
          <w:sz w:val="24"/>
          <w:szCs w:val="24"/>
          <w:highlight w:val="none"/>
        </w:rPr>
        <w:t>年月日</w:t>
      </w:r>
    </w:p>
    <w:p w14:paraId="6D2CA879">
      <w:pPr>
        <w:pStyle w:val="4"/>
        <w:spacing w:line="258" w:lineRule="auto"/>
        <w:rPr>
          <w:rFonts w:hint="eastAsia" w:ascii="宋体" w:hAnsi="宋体" w:eastAsia="宋体" w:cs="宋体"/>
          <w:color w:val="auto"/>
          <w:highlight w:val="none"/>
        </w:rPr>
      </w:pPr>
    </w:p>
    <w:p w14:paraId="0C66BD3D">
      <w:pPr>
        <w:pStyle w:val="4"/>
        <w:spacing w:line="259" w:lineRule="auto"/>
        <w:rPr>
          <w:rFonts w:hint="eastAsia" w:ascii="宋体" w:hAnsi="宋体" w:eastAsia="宋体" w:cs="宋体"/>
          <w:color w:val="auto"/>
          <w:highlight w:val="none"/>
        </w:rPr>
      </w:pPr>
      <w:r>
        <w:rPr>
          <w:rFonts w:hint="eastAsia" w:ascii="宋体" w:hAnsi="宋体" w:eastAsia="宋体" w:cs="宋体"/>
          <w:color w:val="auto"/>
          <w:highlight w:val="none"/>
        </w:rPr>
        <w:drawing>
          <wp:anchor distT="0" distB="0" distL="0" distR="0" simplePos="0" relativeHeight="251740160" behindDoc="0" locked="0" layoutInCell="1" allowOverlap="1">
            <wp:simplePos x="0" y="0"/>
            <wp:positionH relativeFrom="column">
              <wp:posOffset>0</wp:posOffset>
            </wp:positionH>
            <wp:positionV relativeFrom="paragraph">
              <wp:posOffset>93980</wp:posOffset>
            </wp:positionV>
            <wp:extent cx="1829435" cy="7620"/>
            <wp:effectExtent l="0" t="0" r="0" b="0"/>
            <wp:wrapNone/>
            <wp:docPr id="42" name="IM 42"/>
            <wp:cNvGraphicFramePr/>
            <a:graphic xmlns:a="http://schemas.openxmlformats.org/drawingml/2006/main">
              <a:graphicData uri="http://schemas.openxmlformats.org/drawingml/2006/picture">
                <pic:pic xmlns:pic="http://schemas.openxmlformats.org/drawingml/2006/picture">
                  <pic:nvPicPr>
                    <pic:cNvPr id="42" name="IM 42"/>
                    <pic:cNvPicPr/>
                  </pic:nvPicPr>
                  <pic:blipFill>
                    <a:blip r:embed="rId314"/>
                    <a:stretch>
                      <a:fillRect/>
                    </a:stretch>
                  </pic:blipFill>
                  <pic:spPr>
                    <a:xfrm>
                      <a:off x="0" y="0"/>
                      <a:ext cx="1829435" cy="7619"/>
                    </a:xfrm>
                    <a:prstGeom prst="rect">
                      <a:avLst/>
                    </a:prstGeom>
                  </pic:spPr>
                </pic:pic>
              </a:graphicData>
            </a:graphic>
          </wp:anchor>
        </w:drawing>
      </w:r>
    </w:p>
    <w:p w14:paraId="53DED481">
      <w:pPr>
        <w:spacing w:before="59" w:line="219" w:lineRule="auto"/>
        <w:ind w:left="450"/>
        <w:rPr>
          <w:rFonts w:hint="eastAsia" w:ascii="宋体" w:hAnsi="宋体" w:eastAsia="宋体" w:cs="宋体"/>
          <w:color w:val="auto"/>
          <w:sz w:val="18"/>
          <w:szCs w:val="18"/>
          <w:highlight w:val="none"/>
        </w:rPr>
      </w:pPr>
      <w:r>
        <w:rPr>
          <w:rFonts w:hint="eastAsia" w:ascii="宋体" w:hAnsi="宋体" w:eastAsia="宋体" w:cs="宋体"/>
          <w:color w:val="auto"/>
          <w:highlight w:val="none"/>
        </w:rPr>
        <w:pict>
          <v:shape id="_x0000_s1046" o:spid="_x0000_s1046" style="position:absolute;left:0pt;margin-left:20.8pt;margin-top:6.55pt;height:4.6pt;width:4.6pt;z-index:251741184;mso-width-relative:page;mso-height-relative:page;" filled="f" stroked="t" coordsize="91,91" path="m90,45c90,70,70,90,45,90c20,90,0,70,0,45c0,20,20,0,45,0c70,0,90,20,90,45e">
            <v:fill on="f" focussize="0,0"/>
            <v:stroke weight="0.05pt" color="#000000" miterlimit="2" joinstyle="bevel" endcap="square"/>
            <v:imagedata o:title=""/>
            <o:lock v:ext="edit"/>
          </v:shape>
        </w:pict>
      </w:r>
      <w:r>
        <w:rPr>
          <w:rFonts w:hint="eastAsia" w:ascii="宋体" w:hAnsi="宋体" w:eastAsia="宋体" w:cs="宋体"/>
          <w:color w:val="auto"/>
          <w:spacing w:val="-1"/>
          <w:sz w:val="7"/>
          <w:szCs w:val="7"/>
          <w:highlight w:val="none"/>
        </w:rPr>
        <w:t>1</w:t>
      </w:r>
      <w:r>
        <w:rPr>
          <w:rFonts w:hint="eastAsia" w:ascii="宋体" w:hAnsi="宋体" w:eastAsia="宋体" w:cs="宋体"/>
          <w:color w:val="auto"/>
          <w:spacing w:val="-1"/>
          <w:sz w:val="18"/>
          <w:szCs w:val="18"/>
          <w:highlight w:val="none"/>
        </w:rPr>
        <w:t>投标人仅须在投标函上加盖单位章，或加盖法定代表人签章。</w:t>
      </w:r>
    </w:p>
    <w:p w14:paraId="25DA5476">
      <w:pPr>
        <w:spacing w:line="219" w:lineRule="auto"/>
        <w:rPr>
          <w:rFonts w:hint="eastAsia" w:ascii="宋体" w:hAnsi="宋体" w:eastAsia="宋体" w:cs="宋体"/>
          <w:color w:val="auto"/>
          <w:sz w:val="18"/>
          <w:szCs w:val="18"/>
          <w:highlight w:val="none"/>
        </w:rPr>
        <w:sectPr>
          <w:footerReference r:id="rId303" w:type="default"/>
          <w:pgSz w:w="11907" w:h="16840"/>
          <w:pgMar w:top="1182" w:right="1290" w:bottom="1014" w:left="1643" w:header="849" w:footer="852" w:gutter="0"/>
          <w:pgNumType w:fmt="decimal"/>
          <w:cols w:space="720" w:num="1"/>
        </w:sectPr>
      </w:pPr>
    </w:p>
    <w:p w14:paraId="54AA02E1">
      <w:pPr>
        <w:pStyle w:val="4"/>
        <w:spacing w:line="260" w:lineRule="auto"/>
        <w:rPr>
          <w:rFonts w:hint="eastAsia" w:ascii="宋体" w:hAnsi="宋体" w:eastAsia="宋体" w:cs="宋体"/>
          <w:color w:val="auto"/>
          <w:highlight w:val="none"/>
        </w:rPr>
      </w:pPr>
    </w:p>
    <w:p w14:paraId="0EE677E7">
      <w:pPr>
        <w:pStyle w:val="4"/>
        <w:spacing w:line="260" w:lineRule="auto"/>
        <w:rPr>
          <w:rFonts w:hint="eastAsia" w:ascii="宋体" w:hAnsi="宋体" w:eastAsia="宋体" w:cs="宋体"/>
          <w:color w:val="auto"/>
          <w:highlight w:val="none"/>
        </w:rPr>
      </w:pPr>
    </w:p>
    <w:p w14:paraId="5D845B3F">
      <w:pPr>
        <w:pStyle w:val="4"/>
        <w:spacing w:line="260" w:lineRule="auto"/>
        <w:rPr>
          <w:rFonts w:hint="eastAsia" w:ascii="宋体" w:hAnsi="宋体" w:eastAsia="宋体" w:cs="宋体"/>
          <w:color w:val="auto"/>
          <w:highlight w:val="none"/>
        </w:rPr>
      </w:pPr>
    </w:p>
    <w:p w14:paraId="02EC2632">
      <w:pPr>
        <w:pStyle w:val="4"/>
        <w:spacing w:line="261" w:lineRule="auto"/>
        <w:rPr>
          <w:rFonts w:hint="eastAsia" w:ascii="宋体" w:hAnsi="宋体" w:eastAsia="宋体" w:cs="宋体"/>
          <w:color w:val="auto"/>
          <w:highlight w:val="none"/>
        </w:rPr>
      </w:pPr>
    </w:p>
    <w:p w14:paraId="1F391443">
      <w:pPr>
        <w:spacing w:before="91" w:line="222" w:lineRule="auto"/>
        <w:ind w:left="3231"/>
        <w:outlineLvl w:val="1"/>
        <w:rPr>
          <w:rFonts w:hint="eastAsia" w:ascii="宋体" w:hAnsi="宋体" w:eastAsia="宋体" w:cs="宋体"/>
          <w:color w:val="auto"/>
          <w:sz w:val="28"/>
          <w:szCs w:val="28"/>
          <w:highlight w:val="none"/>
        </w:rPr>
      </w:pPr>
      <w:bookmarkStart w:id="1035" w:name="_Toc21870"/>
      <w:bookmarkStart w:id="1036" w:name="_Toc1819"/>
      <w:bookmarkStart w:id="1037" w:name="_Toc6735"/>
      <w:bookmarkStart w:id="1038" w:name="_Toc11998"/>
      <w:bookmarkStart w:id="1039" w:name="_Toc14116"/>
      <w:r>
        <w:rPr>
          <w:rFonts w:hint="eastAsia" w:ascii="宋体" w:hAnsi="宋体" w:eastAsia="宋体" w:cs="宋体"/>
          <w:color w:val="auto"/>
          <w:spacing w:val="-2"/>
          <w:sz w:val="28"/>
          <w:szCs w:val="28"/>
          <w:highlight w:val="none"/>
        </w:rPr>
        <w:t>二、已标价工程量清单</w:t>
      </w:r>
      <w:bookmarkEnd w:id="1035"/>
      <w:bookmarkEnd w:id="1036"/>
      <w:bookmarkEnd w:id="1037"/>
      <w:bookmarkEnd w:id="1038"/>
      <w:bookmarkEnd w:id="1039"/>
    </w:p>
    <w:p w14:paraId="2FD7AC4D">
      <w:pPr>
        <w:pStyle w:val="4"/>
        <w:spacing w:line="247" w:lineRule="auto"/>
        <w:rPr>
          <w:rFonts w:hint="eastAsia" w:ascii="宋体" w:hAnsi="宋体" w:eastAsia="宋体" w:cs="宋体"/>
          <w:color w:val="auto"/>
          <w:highlight w:val="none"/>
        </w:rPr>
      </w:pPr>
    </w:p>
    <w:p w14:paraId="55891C85">
      <w:pPr>
        <w:pStyle w:val="4"/>
        <w:spacing w:line="248" w:lineRule="auto"/>
        <w:rPr>
          <w:rFonts w:hint="eastAsia" w:ascii="宋体" w:hAnsi="宋体" w:eastAsia="宋体" w:cs="宋体"/>
          <w:color w:val="auto"/>
          <w:highlight w:val="none"/>
        </w:rPr>
      </w:pPr>
    </w:p>
    <w:p w14:paraId="0ED90C40">
      <w:pPr>
        <w:pStyle w:val="4"/>
        <w:spacing w:line="248" w:lineRule="auto"/>
        <w:rPr>
          <w:rFonts w:hint="eastAsia" w:ascii="宋体" w:hAnsi="宋体" w:eastAsia="宋体" w:cs="宋体"/>
          <w:color w:val="auto"/>
          <w:highlight w:val="none"/>
        </w:rPr>
      </w:pPr>
    </w:p>
    <w:p w14:paraId="41D1C737">
      <w:pPr>
        <w:spacing w:before="78" w:line="344" w:lineRule="auto"/>
        <w:ind w:left="283" w:right="443" w:firstLine="481"/>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投标人应按照第五章“工程量清单”的要求逐项填报工程量清单，包括工程</w:t>
      </w:r>
      <w:r>
        <w:rPr>
          <w:rFonts w:hint="eastAsia" w:ascii="宋体" w:hAnsi="宋体" w:eastAsia="宋体" w:cs="宋体"/>
          <w:color w:val="auto"/>
          <w:spacing w:val="-9"/>
          <w:sz w:val="24"/>
          <w:szCs w:val="24"/>
          <w:highlight w:val="none"/>
        </w:rPr>
        <w:t>量清单说明、投标报价说明、计日工说明、其他说明及工程量清单各项表格（工</w:t>
      </w:r>
      <w:r>
        <w:rPr>
          <w:rFonts w:hint="eastAsia" w:ascii="宋体" w:hAnsi="宋体" w:eastAsia="宋体" w:cs="宋体"/>
          <w:color w:val="auto"/>
          <w:spacing w:val="-14"/>
          <w:sz w:val="24"/>
          <w:szCs w:val="24"/>
          <w:highlight w:val="none"/>
        </w:rPr>
        <w:t>程量清单表5.1～表5.5。）</w:t>
      </w:r>
    </w:p>
    <w:p w14:paraId="004F122B">
      <w:pPr>
        <w:spacing w:line="344" w:lineRule="auto"/>
        <w:rPr>
          <w:rFonts w:hint="eastAsia" w:ascii="宋体" w:hAnsi="宋体" w:eastAsia="宋体" w:cs="宋体"/>
          <w:color w:val="auto"/>
          <w:sz w:val="24"/>
          <w:szCs w:val="24"/>
          <w:highlight w:val="none"/>
        </w:rPr>
        <w:sectPr>
          <w:headerReference r:id="rId304" w:type="default"/>
          <w:footerReference r:id="rId305" w:type="default"/>
          <w:pgSz w:w="11907" w:h="16840"/>
          <w:pgMar w:top="1182" w:right="1290" w:bottom="1014" w:left="1786" w:header="849" w:footer="852" w:gutter="0"/>
          <w:pgNumType w:fmt="decimal"/>
          <w:cols w:space="720" w:num="1"/>
        </w:sectPr>
      </w:pPr>
    </w:p>
    <w:p w14:paraId="797DE69D">
      <w:pPr>
        <w:pStyle w:val="4"/>
        <w:spacing w:line="267" w:lineRule="auto"/>
        <w:rPr>
          <w:rFonts w:hint="eastAsia" w:ascii="宋体" w:hAnsi="宋体" w:eastAsia="宋体" w:cs="宋体"/>
          <w:color w:val="auto"/>
          <w:highlight w:val="none"/>
        </w:rPr>
      </w:pPr>
    </w:p>
    <w:p w14:paraId="0C1F7F86">
      <w:pPr>
        <w:pStyle w:val="4"/>
        <w:spacing w:line="268" w:lineRule="auto"/>
        <w:rPr>
          <w:rFonts w:hint="eastAsia" w:ascii="宋体" w:hAnsi="宋体" w:eastAsia="宋体" w:cs="宋体"/>
          <w:color w:val="auto"/>
          <w:highlight w:val="none"/>
        </w:rPr>
      </w:pPr>
    </w:p>
    <w:p w14:paraId="3FA167DC">
      <w:pPr>
        <w:spacing w:before="91" w:line="213" w:lineRule="auto"/>
        <w:ind w:left="3085"/>
        <w:outlineLvl w:val="1"/>
        <w:rPr>
          <w:rFonts w:hint="eastAsia" w:ascii="宋体" w:hAnsi="宋体" w:eastAsia="宋体" w:cs="宋体"/>
          <w:color w:val="auto"/>
          <w:sz w:val="28"/>
          <w:szCs w:val="28"/>
          <w:highlight w:val="none"/>
        </w:rPr>
      </w:pPr>
      <w:bookmarkStart w:id="1040" w:name="_Toc25909"/>
      <w:bookmarkStart w:id="1041" w:name="_Toc28478"/>
      <w:bookmarkStart w:id="1042" w:name="_Toc17118"/>
      <w:bookmarkStart w:id="1043" w:name="_Toc24377"/>
      <w:bookmarkStart w:id="1044" w:name="_Toc8747"/>
      <w:r>
        <w:rPr>
          <w:rFonts w:hint="eastAsia" w:ascii="宋体" w:hAnsi="宋体" w:eastAsia="宋体" w:cs="宋体"/>
          <w:color w:val="auto"/>
          <w:spacing w:val="-2"/>
          <w:sz w:val="28"/>
          <w:szCs w:val="28"/>
          <w:highlight w:val="none"/>
        </w:rPr>
        <w:t>三、合同用款估算表</w:t>
      </w:r>
      <w:bookmarkEnd w:id="1040"/>
      <w:bookmarkEnd w:id="1041"/>
      <w:bookmarkEnd w:id="1042"/>
      <w:bookmarkEnd w:id="1043"/>
      <w:bookmarkEnd w:id="1044"/>
    </w:p>
    <w:tbl>
      <w:tblPr>
        <w:tblStyle w:val="24"/>
        <w:tblW w:w="8847" w:type="dxa"/>
        <w:tblInd w:w="23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36"/>
        <w:gridCol w:w="2024"/>
        <w:gridCol w:w="1543"/>
        <w:gridCol w:w="1546"/>
        <w:gridCol w:w="1546"/>
        <w:gridCol w:w="1552"/>
      </w:tblGrid>
      <w:tr w14:paraId="6F6FBA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1" w:hRule="atLeast"/>
        </w:trPr>
        <w:tc>
          <w:tcPr>
            <w:tcW w:w="2660" w:type="dxa"/>
            <w:gridSpan w:val="2"/>
            <w:vMerge w:val="restart"/>
            <w:tcBorders>
              <w:bottom w:val="nil"/>
            </w:tcBorders>
            <w:vAlign w:val="top"/>
          </w:tcPr>
          <w:p w14:paraId="5179A0BA">
            <w:pPr>
              <w:pStyle w:val="25"/>
              <w:spacing w:before="275" w:line="220" w:lineRule="auto"/>
              <w:ind w:left="462"/>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从开工月算起的时</w:t>
            </w:r>
          </w:p>
          <w:p w14:paraId="046C0C43">
            <w:pPr>
              <w:pStyle w:val="25"/>
              <w:spacing w:before="23" w:line="223" w:lineRule="auto"/>
              <w:ind w:left="124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间</w:t>
            </w:r>
          </w:p>
          <w:p w14:paraId="42CF38C3">
            <w:pPr>
              <w:pStyle w:val="25"/>
              <w:spacing w:before="214" w:line="220" w:lineRule="auto"/>
              <w:ind w:left="1016"/>
              <w:rPr>
                <w:rFonts w:hint="eastAsia" w:ascii="宋体" w:hAnsi="宋体" w:eastAsia="宋体" w:cs="宋体"/>
                <w:color w:val="auto"/>
                <w:sz w:val="22"/>
                <w:szCs w:val="22"/>
                <w:highlight w:val="none"/>
              </w:rPr>
            </w:pPr>
            <w:r>
              <w:rPr>
                <w:rFonts w:hint="eastAsia" w:ascii="宋体" w:hAnsi="宋体" w:eastAsia="宋体" w:cs="宋体"/>
                <w:color w:val="auto"/>
                <w:spacing w:val="-5"/>
                <w:sz w:val="22"/>
                <w:szCs w:val="22"/>
                <w:highlight w:val="none"/>
              </w:rPr>
              <w:t>（月）</w:t>
            </w:r>
          </w:p>
        </w:tc>
        <w:tc>
          <w:tcPr>
            <w:tcW w:w="6187" w:type="dxa"/>
            <w:gridSpan w:val="4"/>
            <w:vAlign w:val="top"/>
          </w:tcPr>
          <w:p w14:paraId="5A25A6D2">
            <w:pPr>
              <w:pStyle w:val="25"/>
              <w:spacing w:before="226" w:line="219" w:lineRule="auto"/>
              <w:ind w:left="2554"/>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投标人的估</w:t>
            </w:r>
          </w:p>
          <w:p w14:paraId="2D414696">
            <w:pPr>
              <w:pStyle w:val="25"/>
              <w:spacing w:before="23" w:line="210" w:lineRule="auto"/>
              <w:ind w:left="2992"/>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算</w:t>
            </w:r>
          </w:p>
        </w:tc>
      </w:tr>
      <w:tr w14:paraId="252473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2" w:hRule="atLeast"/>
        </w:trPr>
        <w:tc>
          <w:tcPr>
            <w:tcW w:w="2660" w:type="dxa"/>
            <w:gridSpan w:val="2"/>
            <w:vMerge w:val="continue"/>
            <w:tcBorders>
              <w:top w:val="nil"/>
              <w:bottom w:val="nil"/>
            </w:tcBorders>
            <w:vAlign w:val="top"/>
          </w:tcPr>
          <w:p w14:paraId="2967F933">
            <w:pPr>
              <w:rPr>
                <w:rFonts w:hint="eastAsia" w:ascii="宋体" w:hAnsi="宋体" w:eastAsia="宋体" w:cs="宋体"/>
                <w:color w:val="auto"/>
                <w:sz w:val="21"/>
                <w:highlight w:val="none"/>
              </w:rPr>
            </w:pPr>
          </w:p>
        </w:tc>
        <w:tc>
          <w:tcPr>
            <w:tcW w:w="3089" w:type="dxa"/>
            <w:gridSpan w:val="2"/>
            <w:vAlign w:val="top"/>
          </w:tcPr>
          <w:p w14:paraId="3185CC69">
            <w:pPr>
              <w:pStyle w:val="25"/>
              <w:spacing w:before="221" w:line="221" w:lineRule="auto"/>
              <w:ind w:left="1078"/>
              <w:rPr>
                <w:rFonts w:hint="eastAsia" w:ascii="宋体" w:hAnsi="宋体" w:eastAsia="宋体" w:cs="宋体"/>
                <w:color w:val="auto"/>
                <w:sz w:val="22"/>
                <w:szCs w:val="22"/>
                <w:highlight w:val="none"/>
              </w:rPr>
            </w:pPr>
            <w:r>
              <w:rPr>
                <w:rFonts w:hint="eastAsia" w:ascii="宋体" w:hAnsi="宋体" w:eastAsia="宋体" w:cs="宋体"/>
                <w:color w:val="auto"/>
                <w:spacing w:val="-6"/>
                <w:sz w:val="22"/>
                <w:szCs w:val="22"/>
                <w:highlight w:val="none"/>
              </w:rPr>
              <w:t>分期</w:t>
            </w:r>
          </w:p>
        </w:tc>
        <w:tc>
          <w:tcPr>
            <w:tcW w:w="3098" w:type="dxa"/>
            <w:gridSpan w:val="2"/>
            <w:vAlign w:val="top"/>
          </w:tcPr>
          <w:p w14:paraId="5C44EE41">
            <w:pPr>
              <w:pStyle w:val="25"/>
              <w:spacing w:before="220" w:line="222" w:lineRule="auto"/>
              <w:ind w:left="1091"/>
              <w:rPr>
                <w:rFonts w:hint="eastAsia" w:ascii="宋体" w:hAnsi="宋体" w:eastAsia="宋体" w:cs="宋体"/>
                <w:color w:val="auto"/>
                <w:sz w:val="22"/>
                <w:szCs w:val="22"/>
                <w:highlight w:val="none"/>
              </w:rPr>
            </w:pPr>
            <w:r>
              <w:rPr>
                <w:rFonts w:hint="eastAsia" w:ascii="宋体" w:hAnsi="宋体" w:eastAsia="宋体" w:cs="宋体"/>
                <w:color w:val="auto"/>
                <w:spacing w:val="-9"/>
                <w:sz w:val="22"/>
                <w:szCs w:val="22"/>
                <w:highlight w:val="none"/>
              </w:rPr>
              <w:t>累计</w:t>
            </w:r>
          </w:p>
        </w:tc>
      </w:tr>
      <w:tr w14:paraId="397595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2660" w:type="dxa"/>
            <w:gridSpan w:val="2"/>
            <w:vMerge w:val="continue"/>
            <w:tcBorders>
              <w:top w:val="nil"/>
            </w:tcBorders>
            <w:vAlign w:val="top"/>
          </w:tcPr>
          <w:p w14:paraId="25BE9E36">
            <w:pPr>
              <w:rPr>
                <w:rFonts w:hint="eastAsia" w:ascii="宋体" w:hAnsi="宋体" w:eastAsia="宋体" w:cs="宋体"/>
                <w:color w:val="auto"/>
                <w:sz w:val="21"/>
                <w:highlight w:val="none"/>
              </w:rPr>
            </w:pPr>
          </w:p>
        </w:tc>
        <w:tc>
          <w:tcPr>
            <w:tcW w:w="1543" w:type="dxa"/>
            <w:vAlign w:val="top"/>
          </w:tcPr>
          <w:p w14:paraId="47AC8B09">
            <w:pPr>
              <w:pStyle w:val="25"/>
              <w:spacing w:before="222" w:line="220" w:lineRule="auto"/>
              <w:ind w:left="254"/>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金额（元）</w:t>
            </w:r>
          </w:p>
        </w:tc>
        <w:tc>
          <w:tcPr>
            <w:tcW w:w="1546" w:type="dxa"/>
            <w:vAlign w:val="top"/>
          </w:tcPr>
          <w:p w14:paraId="2EDD0978">
            <w:pPr>
              <w:pStyle w:val="25"/>
              <w:spacing w:before="222" w:line="232" w:lineRule="auto"/>
              <w:ind w:left="480"/>
              <w:rPr>
                <w:rFonts w:hint="eastAsia" w:ascii="宋体" w:hAnsi="宋体" w:eastAsia="宋体" w:cs="宋体"/>
                <w:color w:val="auto"/>
                <w:sz w:val="22"/>
                <w:szCs w:val="22"/>
                <w:highlight w:val="none"/>
              </w:rPr>
            </w:pPr>
            <w:r>
              <w:rPr>
                <w:rFonts w:hint="eastAsia" w:ascii="宋体" w:hAnsi="宋体" w:eastAsia="宋体" w:cs="宋体"/>
                <w:color w:val="auto"/>
                <w:spacing w:val="-5"/>
                <w:sz w:val="22"/>
                <w:szCs w:val="22"/>
                <w:highlight w:val="none"/>
              </w:rPr>
              <w:t>（%）</w:t>
            </w:r>
          </w:p>
        </w:tc>
        <w:tc>
          <w:tcPr>
            <w:tcW w:w="1546" w:type="dxa"/>
            <w:vAlign w:val="top"/>
          </w:tcPr>
          <w:p w14:paraId="1AB54920">
            <w:pPr>
              <w:pStyle w:val="25"/>
              <w:spacing w:before="222" w:line="220" w:lineRule="auto"/>
              <w:ind w:left="263"/>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金额（元）</w:t>
            </w:r>
          </w:p>
        </w:tc>
        <w:tc>
          <w:tcPr>
            <w:tcW w:w="1552" w:type="dxa"/>
            <w:vAlign w:val="top"/>
          </w:tcPr>
          <w:p w14:paraId="079354CE">
            <w:pPr>
              <w:pStyle w:val="25"/>
              <w:spacing w:before="222" w:line="232" w:lineRule="auto"/>
              <w:ind w:left="498"/>
              <w:rPr>
                <w:rFonts w:hint="eastAsia" w:ascii="宋体" w:hAnsi="宋体" w:eastAsia="宋体" w:cs="宋体"/>
                <w:color w:val="auto"/>
                <w:sz w:val="22"/>
                <w:szCs w:val="22"/>
                <w:highlight w:val="none"/>
              </w:rPr>
            </w:pPr>
            <w:r>
              <w:rPr>
                <w:rFonts w:hint="eastAsia" w:ascii="宋体" w:hAnsi="宋体" w:eastAsia="宋体" w:cs="宋体"/>
                <w:color w:val="auto"/>
                <w:spacing w:val="-6"/>
                <w:sz w:val="22"/>
                <w:szCs w:val="22"/>
                <w:highlight w:val="none"/>
              </w:rPr>
              <w:t>（%）</w:t>
            </w:r>
          </w:p>
        </w:tc>
      </w:tr>
      <w:tr w14:paraId="249F15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2660" w:type="dxa"/>
            <w:gridSpan w:val="2"/>
            <w:vAlign w:val="top"/>
          </w:tcPr>
          <w:p w14:paraId="692B40F6">
            <w:pPr>
              <w:pStyle w:val="25"/>
              <w:spacing w:before="223" w:line="220" w:lineRule="auto"/>
              <w:ind w:left="498"/>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第一次开工预付款</w:t>
            </w:r>
          </w:p>
        </w:tc>
        <w:tc>
          <w:tcPr>
            <w:tcW w:w="1543" w:type="dxa"/>
            <w:vAlign w:val="top"/>
          </w:tcPr>
          <w:p w14:paraId="5E070582">
            <w:pPr>
              <w:rPr>
                <w:rFonts w:hint="eastAsia" w:ascii="宋体" w:hAnsi="宋体" w:eastAsia="宋体" w:cs="宋体"/>
                <w:color w:val="auto"/>
                <w:sz w:val="21"/>
                <w:highlight w:val="none"/>
              </w:rPr>
            </w:pPr>
          </w:p>
        </w:tc>
        <w:tc>
          <w:tcPr>
            <w:tcW w:w="1546" w:type="dxa"/>
            <w:vAlign w:val="top"/>
          </w:tcPr>
          <w:p w14:paraId="2FC18A6D">
            <w:pPr>
              <w:rPr>
                <w:rFonts w:hint="eastAsia" w:ascii="宋体" w:hAnsi="宋体" w:eastAsia="宋体" w:cs="宋体"/>
                <w:color w:val="auto"/>
                <w:sz w:val="21"/>
                <w:highlight w:val="none"/>
              </w:rPr>
            </w:pPr>
          </w:p>
        </w:tc>
        <w:tc>
          <w:tcPr>
            <w:tcW w:w="1546" w:type="dxa"/>
            <w:vAlign w:val="top"/>
          </w:tcPr>
          <w:p w14:paraId="34272DDD">
            <w:pPr>
              <w:rPr>
                <w:rFonts w:hint="eastAsia" w:ascii="宋体" w:hAnsi="宋体" w:eastAsia="宋体" w:cs="宋体"/>
                <w:color w:val="auto"/>
                <w:sz w:val="21"/>
                <w:highlight w:val="none"/>
              </w:rPr>
            </w:pPr>
          </w:p>
        </w:tc>
        <w:tc>
          <w:tcPr>
            <w:tcW w:w="1552" w:type="dxa"/>
            <w:vAlign w:val="top"/>
          </w:tcPr>
          <w:p w14:paraId="557B1318">
            <w:pPr>
              <w:rPr>
                <w:rFonts w:hint="eastAsia" w:ascii="宋体" w:hAnsi="宋体" w:eastAsia="宋体" w:cs="宋体"/>
                <w:color w:val="auto"/>
                <w:sz w:val="21"/>
                <w:highlight w:val="none"/>
              </w:rPr>
            </w:pPr>
          </w:p>
        </w:tc>
      </w:tr>
      <w:tr w14:paraId="39B9E5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2660" w:type="dxa"/>
            <w:gridSpan w:val="2"/>
            <w:vAlign w:val="top"/>
          </w:tcPr>
          <w:p w14:paraId="5DFA15FD">
            <w:pPr>
              <w:spacing w:before="269" w:line="189" w:lineRule="auto"/>
              <w:ind w:left="1132"/>
              <w:rPr>
                <w:rFonts w:hint="eastAsia" w:ascii="宋体" w:hAnsi="宋体" w:eastAsia="宋体" w:cs="宋体"/>
                <w:color w:val="auto"/>
                <w:sz w:val="22"/>
                <w:szCs w:val="22"/>
                <w:highlight w:val="none"/>
              </w:rPr>
            </w:pPr>
            <w:r>
              <w:rPr>
                <w:rFonts w:hint="eastAsia" w:ascii="宋体" w:hAnsi="宋体" w:eastAsia="宋体" w:cs="宋体"/>
                <w:color w:val="auto"/>
                <w:spacing w:val="-10"/>
                <w:sz w:val="22"/>
                <w:szCs w:val="22"/>
                <w:highlight w:val="none"/>
              </w:rPr>
              <w:t>1~3</w:t>
            </w:r>
          </w:p>
        </w:tc>
        <w:tc>
          <w:tcPr>
            <w:tcW w:w="1543" w:type="dxa"/>
            <w:vAlign w:val="top"/>
          </w:tcPr>
          <w:p w14:paraId="16F471CA">
            <w:pPr>
              <w:rPr>
                <w:rFonts w:hint="eastAsia" w:ascii="宋体" w:hAnsi="宋体" w:eastAsia="宋体" w:cs="宋体"/>
                <w:color w:val="auto"/>
                <w:sz w:val="21"/>
                <w:highlight w:val="none"/>
              </w:rPr>
            </w:pPr>
          </w:p>
        </w:tc>
        <w:tc>
          <w:tcPr>
            <w:tcW w:w="1546" w:type="dxa"/>
            <w:vAlign w:val="top"/>
          </w:tcPr>
          <w:p w14:paraId="493B62D4">
            <w:pPr>
              <w:rPr>
                <w:rFonts w:hint="eastAsia" w:ascii="宋体" w:hAnsi="宋体" w:eastAsia="宋体" w:cs="宋体"/>
                <w:color w:val="auto"/>
                <w:sz w:val="21"/>
                <w:highlight w:val="none"/>
              </w:rPr>
            </w:pPr>
          </w:p>
        </w:tc>
        <w:tc>
          <w:tcPr>
            <w:tcW w:w="1546" w:type="dxa"/>
            <w:vAlign w:val="top"/>
          </w:tcPr>
          <w:p w14:paraId="3BC4EEFC">
            <w:pPr>
              <w:rPr>
                <w:rFonts w:hint="eastAsia" w:ascii="宋体" w:hAnsi="宋体" w:eastAsia="宋体" w:cs="宋体"/>
                <w:color w:val="auto"/>
                <w:sz w:val="21"/>
                <w:highlight w:val="none"/>
              </w:rPr>
            </w:pPr>
          </w:p>
        </w:tc>
        <w:tc>
          <w:tcPr>
            <w:tcW w:w="1552" w:type="dxa"/>
            <w:vAlign w:val="top"/>
          </w:tcPr>
          <w:p w14:paraId="6C37CA11">
            <w:pPr>
              <w:rPr>
                <w:rFonts w:hint="eastAsia" w:ascii="宋体" w:hAnsi="宋体" w:eastAsia="宋体" w:cs="宋体"/>
                <w:color w:val="auto"/>
                <w:sz w:val="21"/>
                <w:highlight w:val="none"/>
              </w:rPr>
            </w:pPr>
          </w:p>
        </w:tc>
      </w:tr>
      <w:tr w14:paraId="6110AA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2660" w:type="dxa"/>
            <w:gridSpan w:val="2"/>
            <w:vAlign w:val="top"/>
          </w:tcPr>
          <w:p w14:paraId="462EA755">
            <w:pPr>
              <w:spacing w:before="268" w:line="189" w:lineRule="auto"/>
              <w:ind w:left="1110"/>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4~6</w:t>
            </w:r>
          </w:p>
        </w:tc>
        <w:tc>
          <w:tcPr>
            <w:tcW w:w="1543" w:type="dxa"/>
            <w:vAlign w:val="top"/>
          </w:tcPr>
          <w:p w14:paraId="5424D65D">
            <w:pPr>
              <w:rPr>
                <w:rFonts w:hint="eastAsia" w:ascii="宋体" w:hAnsi="宋体" w:eastAsia="宋体" w:cs="宋体"/>
                <w:color w:val="auto"/>
                <w:sz w:val="21"/>
                <w:highlight w:val="none"/>
              </w:rPr>
            </w:pPr>
          </w:p>
        </w:tc>
        <w:tc>
          <w:tcPr>
            <w:tcW w:w="1546" w:type="dxa"/>
            <w:vAlign w:val="top"/>
          </w:tcPr>
          <w:p w14:paraId="1B466BBF">
            <w:pPr>
              <w:rPr>
                <w:rFonts w:hint="eastAsia" w:ascii="宋体" w:hAnsi="宋体" w:eastAsia="宋体" w:cs="宋体"/>
                <w:color w:val="auto"/>
                <w:sz w:val="21"/>
                <w:highlight w:val="none"/>
              </w:rPr>
            </w:pPr>
          </w:p>
        </w:tc>
        <w:tc>
          <w:tcPr>
            <w:tcW w:w="1546" w:type="dxa"/>
            <w:vAlign w:val="top"/>
          </w:tcPr>
          <w:p w14:paraId="26EE2361">
            <w:pPr>
              <w:rPr>
                <w:rFonts w:hint="eastAsia" w:ascii="宋体" w:hAnsi="宋体" w:eastAsia="宋体" w:cs="宋体"/>
                <w:color w:val="auto"/>
                <w:sz w:val="21"/>
                <w:highlight w:val="none"/>
              </w:rPr>
            </w:pPr>
          </w:p>
        </w:tc>
        <w:tc>
          <w:tcPr>
            <w:tcW w:w="1552" w:type="dxa"/>
            <w:vAlign w:val="top"/>
          </w:tcPr>
          <w:p w14:paraId="59C4D803">
            <w:pPr>
              <w:rPr>
                <w:rFonts w:hint="eastAsia" w:ascii="宋体" w:hAnsi="宋体" w:eastAsia="宋体" w:cs="宋体"/>
                <w:color w:val="auto"/>
                <w:sz w:val="21"/>
                <w:highlight w:val="none"/>
              </w:rPr>
            </w:pPr>
          </w:p>
        </w:tc>
      </w:tr>
      <w:tr w14:paraId="4E566A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trPr>
        <w:tc>
          <w:tcPr>
            <w:tcW w:w="2660" w:type="dxa"/>
            <w:gridSpan w:val="2"/>
            <w:vAlign w:val="top"/>
          </w:tcPr>
          <w:p w14:paraId="6C8900FA">
            <w:pPr>
              <w:spacing w:before="269" w:line="189" w:lineRule="auto"/>
              <w:ind w:left="1114"/>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7~9</w:t>
            </w:r>
          </w:p>
        </w:tc>
        <w:tc>
          <w:tcPr>
            <w:tcW w:w="1543" w:type="dxa"/>
            <w:vAlign w:val="top"/>
          </w:tcPr>
          <w:p w14:paraId="444E5F54">
            <w:pPr>
              <w:rPr>
                <w:rFonts w:hint="eastAsia" w:ascii="宋体" w:hAnsi="宋体" w:eastAsia="宋体" w:cs="宋体"/>
                <w:color w:val="auto"/>
                <w:sz w:val="21"/>
                <w:highlight w:val="none"/>
              </w:rPr>
            </w:pPr>
          </w:p>
        </w:tc>
        <w:tc>
          <w:tcPr>
            <w:tcW w:w="1546" w:type="dxa"/>
            <w:vAlign w:val="top"/>
          </w:tcPr>
          <w:p w14:paraId="767E0385">
            <w:pPr>
              <w:rPr>
                <w:rFonts w:hint="eastAsia" w:ascii="宋体" w:hAnsi="宋体" w:eastAsia="宋体" w:cs="宋体"/>
                <w:color w:val="auto"/>
                <w:sz w:val="21"/>
                <w:highlight w:val="none"/>
              </w:rPr>
            </w:pPr>
          </w:p>
        </w:tc>
        <w:tc>
          <w:tcPr>
            <w:tcW w:w="1546" w:type="dxa"/>
            <w:vAlign w:val="top"/>
          </w:tcPr>
          <w:p w14:paraId="3578AD7F">
            <w:pPr>
              <w:rPr>
                <w:rFonts w:hint="eastAsia" w:ascii="宋体" w:hAnsi="宋体" w:eastAsia="宋体" w:cs="宋体"/>
                <w:color w:val="auto"/>
                <w:sz w:val="21"/>
                <w:highlight w:val="none"/>
              </w:rPr>
            </w:pPr>
          </w:p>
        </w:tc>
        <w:tc>
          <w:tcPr>
            <w:tcW w:w="1552" w:type="dxa"/>
            <w:vAlign w:val="top"/>
          </w:tcPr>
          <w:p w14:paraId="0C9FF14D">
            <w:pPr>
              <w:rPr>
                <w:rFonts w:hint="eastAsia" w:ascii="宋体" w:hAnsi="宋体" w:eastAsia="宋体" w:cs="宋体"/>
                <w:color w:val="auto"/>
                <w:sz w:val="21"/>
                <w:highlight w:val="none"/>
              </w:rPr>
            </w:pPr>
          </w:p>
        </w:tc>
      </w:tr>
      <w:tr w14:paraId="734BBA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2660" w:type="dxa"/>
            <w:gridSpan w:val="2"/>
            <w:vAlign w:val="top"/>
          </w:tcPr>
          <w:p w14:paraId="42C26A4C">
            <w:pPr>
              <w:spacing w:before="269" w:line="189" w:lineRule="auto"/>
              <w:ind w:left="1022"/>
              <w:rPr>
                <w:rFonts w:hint="eastAsia" w:ascii="宋体" w:hAnsi="宋体" w:eastAsia="宋体" w:cs="宋体"/>
                <w:color w:val="auto"/>
                <w:sz w:val="22"/>
                <w:szCs w:val="22"/>
                <w:highlight w:val="none"/>
              </w:rPr>
            </w:pPr>
            <w:r>
              <w:rPr>
                <w:rFonts w:hint="eastAsia" w:ascii="宋体" w:hAnsi="宋体" w:eastAsia="宋体" w:cs="宋体"/>
                <w:color w:val="auto"/>
                <w:spacing w:val="-11"/>
                <w:sz w:val="22"/>
                <w:szCs w:val="22"/>
                <w:highlight w:val="none"/>
              </w:rPr>
              <w:t>10~12</w:t>
            </w:r>
          </w:p>
        </w:tc>
        <w:tc>
          <w:tcPr>
            <w:tcW w:w="1543" w:type="dxa"/>
            <w:vAlign w:val="top"/>
          </w:tcPr>
          <w:p w14:paraId="525E5948">
            <w:pPr>
              <w:rPr>
                <w:rFonts w:hint="eastAsia" w:ascii="宋体" w:hAnsi="宋体" w:eastAsia="宋体" w:cs="宋体"/>
                <w:color w:val="auto"/>
                <w:sz w:val="21"/>
                <w:highlight w:val="none"/>
              </w:rPr>
            </w:pPr>
          </w:p>
        </w:tc>
        <w:tc>
          <w:tcPr>
            <w:tcW w:w="1546" w:type="dxa"/>
            <w:vAlign w:val="top"/>
          </w:tcPr>
          <w:p w14:paraId="5261B87F">
            <w:pPr>
              <w:rPr>
                <w:rFonts w:hint="eastAsia" w:ascii="宋体" w:hAnsi="宋体" w:eastAsia="宋体" w:cs="宋体"/>
                <w:color w:val="auto"/>
                <w:sz w:val="21"/>
                <w:highlight w:val="none"/>
              </w:rPr>
            </w:pPr>
          </w:p>
        </w:tc>
        <w:tc>
          <w:tcPr>
            <w:tcW w:w="1546" w:type="dxa"/>
            <w:vAlign w:val="top"/>
          </w:tcPr>
          <w:p w14:paraId="591FA56D">
            <w:pPr>
              <w:rPr>
                <w:rFonts w:hint="eastAsia" w:ascii="宋体" w:hAnsi="宋体" w:eastAsia="宋体" w:cs="宋体"/>
                <w:color w:val="auto"/>
                <w:sz w:val="21"/>
                <w:highlight w:val="none"/>
              </w:rPr>
            </w:pPr>
          </w:p>
        </w:tc>
        <w:tc>
          <w:tcPr>
            <w:tcW w:w="1552" w:type="dxa"/>
            <w:vAlign w:val="top"/>
          </w:tcPr>
          <w:p w14:paraId="694EB567">
            <w:pPr>
              <w:rPr>
                <w:rFonts w:hint="eastAsia" w:ascii="宋体" w:hAnsi="宋体" w:eastAsia="宋体" w:cs="宋体"/>
                <w:color w:val="auto"/>
                <w:sz w:val="21"/>
                <w:highlight w:val="none"/>
              </w:rPr>
            </w:pPr>
          </w:p>
        </w:tc>
      </w:tr>
      <w:tr w14:paraId="21B65F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trPr>
        <w:tc>
          <w:tcPr>
            <w:tcW w:w="2660" w:type="dxa"/>
            <w:gridSpan w:val="2"/>
            <w:vAlign w:val="top"/>
          </w:tcPr>
          <w:p w14:paraId="3EB99080">
            <w:pPr>
              <w:spacing w:before="271" w:line="189" w:lineRule="auto"/>
              <w:ind w:left="1022"/>
              <w:rPr>
                <w:rFonts w:hint="eastAsia" w:ascii="宋体" w:hAnsi="宋体" w:eastAsia="宋体" w:cs="宋体"/>
                <w:color w:val="auto"/>
                <w:sz w:val="22"/>
                <w:szCs w:val="22"/>
                <w:highlight w:val="none"/>
              </w:rPr>
            </w:pPr>
            <w:r>
              <w:rPr>
                <w:rFonts w:hint="eastAsia" w:ascii="宋体" w:hAnsi="宋体" w:eastAsia="宋体" w:cs="宋体"/>
                <w:color w:val="auto"/>
                <w:spacing w:val="-11"/>
                <w:sz w:val="22"/>
                <w:szCs w:val="22"/>
                <w:highlight w:val="none"/>
              </w:rPr>
              <w:t>13~15</w:t>
            </w:r>
          </w:p>
        </w:tc>
        <w:tc>
          <w:tcPr>
            <w:tcW w:w="1543" w:type="dxa"/>
            <w:vAlign w:val="top"/>
          </w:tcPr>
          <w:p w14:paraId="35CAB379">
            <w:pPr>
              <w:rPr>
                <w:rFonts w:hint="eastAsia" w:ascii="宋体" w:hAnsi="宋体" w:eastAsia="宋体" w:cs="宋体"/>
                <w:color w:val="auto"/>
                <w:sz w:val="21"/>
                <w:highlight w:val="none"/>
              </w:rPr>
            </w:pPr>
          </w:p>
        </w:tc>
        <w:tc>
          <w:tcPr>
            <w:tcW w:w="1546" w:type="dxa"/>
            <w:vAlign w:val="top"/>
          </w:tcPr>
          <w:p w14:paraId="7519BF7B">
            <w:pPr>
              <w:rPr>
                <w:rFonts w:hint="eastAsia" w:ascii="宋体" w:hAnsi="宋体" w:eastAsia="宋体" w:cs="宋体"/>
                <w:color w:val="auto"/>
                <w:sz w:val="21"/>
                <w:highlight w:val="none"/>
              </w:rPr>
            </w:pPr>
          </w:p>
        </w:tc>
        <w:tc>
          <w:tcPr>
            <w:tcW w:w="1546" w:type="dxa"/>
            <w:vAlign w:val="top"/>
          </w:tcPr>
          <w:p w14:paraId="08439730">
            <w:pPr>
              <w:rPr>
                <w:rFonts w:hint="eastAsia" w:ascii="宋体" w:hAnsi="宋体" w:eastAsia="宋体" w:cs="宋体"/>
                <w:color w:val="auto"/>
                <w:sz w:val="21"/>
                <w:highlight w:val="none"/>
              </w:rPr>
            </w:pPr>
          </w:p>
        </w:tc>
        <w:tc>
          <w:tcPr>
            <w:tcW w:w="1552" w:type="dxa"/>
            <w:vAlign w:val="top"/>
          </w:tcPr>
          <w:p w14:paraId="061A29E0">
            <w:pPr>
              <w:rPr>
                <w:rFonts w:hint="eastAsia" w:ascii="宋体" w:hAnsi="宋体" w:eastAsia="宋体" w:cs="宋体"/>
                <w:color w:val="auto"/>
                <w:sz w:val="21"/>
                <w:highlight w:val="none"/>
              </w:rPr>
            </w:pPr>
          </w:p>
        </w:tc>
      </w:tr>
      <w:tr w14:paraId="2F2C7D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2660" w:type="dxa"/>
            <w:gridSpan w:val="2"/>
            <w:vAlign w:val="top"/>
          </w:tcPr>
          <w:p w14:paraId="541D4403">
            <w:pPr>
              <w:spacing w:line="336" w:lineRule="auto"/>
              <w:rPr>
                <w:rFonts w:hint="eastAsia" w:ascii="宋体" w:hAnsi="宋体" w:eastAsia="宋体" w:cs="宋体"/>
                <w:color w:val="auto"/>
                <w:sz w:val="21"/>
                <w:highlight w:val="none"/>
              </w:rPr>
            </w:pPr>
          </w:p>
          <w:p w14:paraId="78826396">
            <w:pPr>
              <w:spacing w:before="63" w:line="69" w:lineRule="exact"/>
              <w:ind w:left="1136"/>
              <w:rPr>
                <w:rFonts w:hint="eastAsia" w:ascii="宋体" w:hAnsi="宋体" w:eastAsia="宋体" w:cs="宋体"/>
                <w:color w:val="auto"/>
                <w:sz w:val="22"/>
                <w:szCs w:val="22"/>
                <w:highlight w:val="none"/>
              </w:rPr>
            </w:pPr>
            <w:r>
              <w:rPr>
                <w:rFonts w:hint="eastAsia" w:ascii="宋体" w:hAnsi="宋体" w:eastAsia="宋体" w:cs="宋体"/>
                <w:color w:val="auto"/>
                <w:position w:val="1"/>
                <w:sz w:val="22"/>
                <w:szCs w:val="22"/>
                <w:highlight w:val="none"/>
              </w:rPr>
              <w:t>……</w:t>
            </w:r>
          </w:p>
        </w:tc>
        <w:tc>
          <w:tcPr>
            <w:tcW w:w="1543" w:type="dxa"/>
            <w:vAlign w:val="top"/>
          </w:tcPr>
          <w:p w14:paraId="206151A0">
            <w:pPr>
              <w:rPr>
                <w:rFonts w:hint="eastAsia" w:ascii="宋体" w:hAnsi="宋体" w:eastAsia="宋体" w:cs="宋体"/>
                <w:color w:val="auto"/>
                <w:sz w:val="21"/>
                <w:highlight w:val="none"/>
              </w:rPr>
            </w:pPr>
          </w:p>
        </w:tc>
        <w:tc>
          <w:tcPr>
            <w:tcW w:w="1546" w:type="dxa"/>
            <w:vAlign w:val="top"/>
          </w:tcPr>
          <w:p w14:paraId="62DE988C">
            <w:pPr>
              <w:rPr>
                <w:rFonts w:hint="eastAsia" w:ascii="宋体" w:hAnsi="宋体" w:eastAsia="宋体" w:cs="宋体"/>
                <w:color w:val="auto"/>
                <w:sz w:val="21"/>
                <w:highlight w:val="none"/>
              </w:rPr>
            </w:pPr>
          </w:p>
        </w:tc>
        <w:tc>
          <w:tcPr>
            <w:tcW w:w="1546" w:type="dxa"/>
            <w:vAlign w:val="top"/>
          </w:tcPr>
          <w:p w14:paraId="4F463D23">
            <w:pPr>
              <w:rPr>
                <w:rFonts w:hint="eastAsia" w:ascii="宋体" w:hAnsi="宋体" w:eastAsia="宋体" w:cs="宋体"/>
                <w:color w:val="auto"/>
                <w:sz w:val="21"/>
                <w:highlight w:val="none"/>
              </w:rPr>
            </w:pPr>
          </w:p>
        </w:tc>
        <w:tc>
          <w:tcPr>
            <w:tcW w:w="1552" w:type="dxa"/>
            <w:vAlign w:val="top"/>
          </w:tcPr>
          <w:p w14:paraId="008B6D1F">
            <w:pPr>
              <w:rPr>
                <w:rFonts w:hint="eastAsia" w:ascii="宋体" w:hAnsi="宋体" w:eastAsia="宋体" w:cs="宋体"/>
                <w:color w:val="auto"/>
                <w:sz w:val="21"/>
                <w:highlight w:val="none"/>
              </w:rPr>
            </w:pPr>
          </w:p>
        </w:tc>
      </w:tr>
      <w:tr w14:paraId="19BF72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trPr>
        <w:tc>
          <w:tcPr>
            <w:tcW w:w="2660" w:type="dxa"/>
            <w:gridSpan w:val="2"/>
            <w:vAlign w:val="top"/>
          </w:tcPr>
          <w:p w14:paraId="1E3F53FB">
            <w:pPr>
              <w:spacing w:line="337" w:lineRule="auto"/>
              <w:rPr>
                <w:rFonts w:hint="eastAsia" w:ascii="宋体" w:hAnsi="宋体" w:eastAsia="宋体" w:cs="宋体"/>
                <w:color w:val="auto"/>
                <w:sz w:val="21"/>
                <w:highlight w:val="none"/>
              </w:rPr>
            </w:pPr>
          </w:p>
          <w:p w14:paraId="28C76A1E">
            <w:pPr>
              <w:spacing w:before="63" w:line="69" w:lineRule="exact"/>
              <w:ind w:left="1136"/>
              <w:rPr>
                <w:rFonts w:hint="eastAsia" w:ascii="宋体" w:hAnsi="宋体" w:eastAsia="宋体" w:cs="宋体"/>
                <w:color w:val="auto"/>
                <w:sz w:val="22"/>
                <w:szCs w:val="22"/>
                <w:highlight w:val="none"/>
              </w:rPr>
            </w:pPr>
            <w:r>
              <w:rPr>
                <w:rFonts w:hint="eastAsia" w:ascii="宋体" w:hAnsi="宋体" w:eastAsia="宋体" w:cs="宋体"/>
                <w:color w:val="auto"/>
                <w:position w:val="1"/>
                <w:sz w:val="22"/>
                <w:szCs w:val="22"/>
                <w:highlight w:val="none"/>
              </w:rPr>
              <w:t>……</w:t>
            </w:r>
          </w:p>
        </w:tc>
        <w:tc>
          <w:tcPr>
            <w:tcW w:w="1543" w:type="dxa"/>
            <w:vAlign w:val="top"/>
          </w:tcPr>
          <w:p w14:paraId="10D6DA4A">
            <w:pPr>
              <w:rPr>
                <w:rFonts w:hint="eastAsia" w:ascii="宋体" w:hAnsi="宋体" w:eastAsia="宋体" w:cs="宋体"/>
                <w:color w:val="auto"/>
                <w:sz w:val="21"/>
                <w:highlight w:val="none"/>
              </w:rPr>
            </w:pPr>
          </w:p>
        </w:tc>
        <w:tc>
          <w:tcPr>
            <w:tcW w:w="1546" w:type="dxa"/>
            <w:vAlign w:val="top"/>
          </w:tcPr>
          <w:p w14:paraId="3AA62118">
            <w:pPr>
              <w:rPr>
                <w:rFonts w:hint="eastAsia" w:ascii="宋体" w:hAnsi="宋体" w:eastAsia="宋体" w:cs="宋体"/>
                <w:color w:val="auto"/>
                <w:sz w:val="21"/>
                <w:highlight w:val="none"/>
              </w:rPr>
            </w:pPr>
          </w:p>
        </w:tc>
        <w:tc>
          <w:tcPr>
            <w:tcW w:w="1546" w:type="dxa"/>
            <w:vAlign w:val="top"/>
          </w:tcPr>
          <w:p w14:paraId="65962193">
            <w:pPr>
              <w:rPr>
                <w:rFonts w:hint="eastAsia" w:ascii="宋体" w:hAnsi="宋体" w:eastAsia="宋体" w:cs="宋体"/>
                <w:color w:val="auto"/>
                <w:sz w:val="21"/>
                <w:highlight w:val="none"/>
              </w:rPr>
            </w:pPr>
          </w:p>
        </w:tc>
        <w:tc>
          <w:tcPr>
            <w:tcW w:w="1552" w:type="dxa"/>
            <w:vAlign w:val="top"/>
          </w:tcPr>
          <w:p w14:paraId="60BCCF59">
            <w:pPr>
              <w:rPr>
                <w:rFonts w:hint="eastAsia" w:ascii="宋体" w:hAnsi="宋体" w:eastAsia="宋体" w:cs="宋体"/>
                <w:color w:val="auto"/>
                <w:sz w:val="21"/>
                <w:highlight w:val="none"/>
              </w:rPr>
            </w:pPr>
          </w:p>
        </w:tc>
      </w:tr>
      <w:tr w14:paraId="7D817E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2660" w:type="dxa"/>
            <w:gridSpan w:val="2"/>
            <w:vAlign w:val="top"/>
          </w:tcPr>
          <w:p w14:paraId="1CD91ED7">
            <w:pPr>
              <w:pStyle w:val="25"/>
              <w:spacing w:before="225" w:line="220" w:lineRule="auto"/>
              <w:ind w:left="812"/>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缺陷责任期</w:t>
            </w:r>
          </w:p>
        </w:tc>
        <w:tc>
          <w:tcPr>
            <w:tcW w:w="1543" w:type="dxa"/>
            <w:vAlign w:val="top"/>
          </w:tcPr>
          <w:p w14:paraId="6B2EE774">
            <w:pPr>
              <w:rPr>
                <w:rFonts w:hint="eastAsia" w:ascii="宋体" w:hAnsi="宋体" w:eastAsia="宋体" w:cs="宋体"/>
                <w:color w:val="auto"/>
                <w:sz w:val="21"/>
                <w:highlight w:val="none"/>
              </w:rPr>
            </w:pPr>
          </w:p>
        </w:tc>
        <w:tc>
          <w:tcPr>
            <w:tcW w:w="1546" w:type="dxa"/>
            <w:vAlign w:val="top"/>
          </w:tcPr>
          <w:p w14:paraId="565BCB86">
            <w:pPr>
              <w:rPr>
                <w:rFonts w:hint="eastAsia" w:ascii="宋体" w:hAnsi="宋体" w:eastAsia="宋体" w:cs="宋体"/>
                <w:color w:val="auto"/>
                <w:sz w:val="21"/>
                <w:highlight w:val="none"/>
              </w:rPr>
            </w:pPr>
          </w:p>
        </w:tc>
        <w:tc>
          <w:tcPr>
            <w:tcW w:w="1546" w:type="dxa"/>
            <w:vAlign w:val="top"/>
          </w:tcPr>
          <w:p w14:paraId="22C37FE8">
            <w:pPr>
              <w:rPr>
                <w:rFonts w:hint="eastAsia" w:ascii="宋体" w:hAnsi="宋体" w:eastAsia="宋体" w:cs="宋体"/>
                <w:color w:val="auto"/>
                <w:sz w:val="21"/>
                <w:highlight w:val="none"/>
              </w:rPr>
            </w:pPr>
          </w:p>
        </w:tc>
        <w:tc>
          <w:tcPr>
            <w:tcW w:w="1552" w:type="dxa"/>
            <w:vAlign w:val="top"/>
          </w:tcPr>
          <w:p w14:paraId="6CD6550A">
            <w:pPr>
              <w:rPr>
                <w:rFonts w:hint="eastAsia" w:ascii="宋体" w:hAnsi="宋体" w:eastAsia="宋体" w:cs="宋体"/>
                <w:color w:val="auto"/>
                <w:sz w:val="21"/>
                <w:highlight w:val="none"/>
              </w:rPr>
            </w:pPr>
          </w:p>
        </w:tc>
      </w:tr>
      <w:tr w14:paraId="32F72B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2" w:hRule="atLeast"/>
        </w:trPr>
        <w:tc>
          <w:tcPr>
            <w:tcW w:w="2660" w:type="dxa"/>
            <w:gridSpan w:val="2"/>
            <w:vAlign w:val="top"/>
          </w:tcPr>
          <w:p w14:paraId="7D5A6E1F">
            <w:pPr>
              <w:pStyle w:val="25"/>
              <w:spacing w:before="225" w:line="222" w:lineRule="auto"/>
              <w:ind w:left="818"/>
              <w:rPr>
                <w:rFonts w:hint="eastAsia" w:ascii="宋体" w:hAnsi="宋体" w:eastAsia="宋体" w:cs="宋体"/>
                <w:color w:val="auto"/>
                <w:sz w:val="22"/>
                <w:szCs w:val="22"/>
                <w:highlight w:val="none"/>
              </w:rPr>
            </w:pPr>
            <w:r>
              <w:rPr>
                <w:rFonts w:hint="eastAsia" w:ascii="宋体" w:hAnsi="宋体" w:eastAsia="宋体" w:cs="宋体"/>
                <w:color w:val="auto"/>
                <w:spacing w:val="-7"/>
                <w:sz w:val="22"/>
                <w:szCs w:val="22"/>
                <w:highlight w:val="none"/>
              </w:rPr>
              <w:t>小计</w:t>
            </w:r>
          </w:p>
        </w:tc>
        <w:tc>
          <w:tcPr>
            <w:tcW w:w="1543" w:type="dxa"/>
            <w:vAlign w:val="top"/>
          </w:tcPr>
          <w:p w14:paraId="3A55B2E9">
            <w:pPr>
              <w:rPr>
                <w:rFonts w:hint="eastAsia" w:ascii="宋体" w:hAnsi="宋体" w:eastAsia="宋体" w:cs="宋体"/>
                <w:color w:val="auto"/>
                <w:sz w:val="21"/>
                <w:highlight w:val="none"/>
              </w:rPr>
            </w:pPr>
          </w:p>
        </w:tc>
        <w:tc>
          <w:tcPr>
            <w:tcW w:w="1546" w:type="dxa"/>
            <w:vAlign w:val="top"/>
          </w:tcPr>
          <w:p w14:paraId="25E34E0C">
            <w:pPr>
              <w:spacing w:before="271" w:line="189" w:lineRule="auto"/>
              <w:ind w:left="500"/>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100.00</w:t>
            </w:r>
          </w:p>
        </w:tc>
        <w:tc>
          <w:tcPr>
            <w:tcW w:w="1546" w:type="dxa"/>
            <w:vAlign w:val="top"/>
          </w:tcPr>
          <w:p w14:paraId="74D698D4">
            <w:pPr>
              <w:rPr>
                <w:rFonts w:hint="eastAsia" w:ascii="宋体" w:hAnsi="宋体" w:eastAsia="宋体" w:cs="宋体"/>
                <w:color w:val="auto"/>
                <w:sz w:val="21"/>
                <w:highlight w:val="none"/>
              </w:rPr>
            </w:pPr>
          </w:p>
        </w:tc>
        <w:tc>
          <w:tcPr>
            <w:tcW w:w="1552" w:type="dxa"/>
            <w:vAlign w:val="top"/>
          </w:tcPr>
          <w:p w14:paraId="378BA451">
            <w:pPr>
              <w:rPr>
                <w:rFonts w:hint="eastAsia" w:ascii="宋体" w:hAnsi="宋体" w:eastAsia="宋体" w:cs="宋体"/>
                <w:color w:val="auto"/>
                <w:sz w:val="21"/>
                <w:highlight w:val="none"/>
              </w:rPr>
            </w:pPr>
          </w:p>
        </w:tc>
      </w:tr>
      <w:tr w14:paraId="51E3D2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8847" w:type="dxa"/>
            <w:gridSpan w:val="6"/>
            <w:vAlign w:val="top"/>
          </w:tcPr>
          <w:p w14:paraId="6EA5DA75">
            <w:pPr>
              <w:pStyle w:val="25"/>
              <w:spacing w:before="229" w:line="219" w:lineRule="auto"/>
              <w:ind w:left="42"/>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投标价：</w:t>
            </w:r>
          </w:p>
        </w:tc>
      </w:tr>
      <w:tr w14:paraId="5D4B27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0" w:hRule="atLeast"/>
        </w:trPr>
        <w:tc>
          <w:tcPr>
            <w:tcW w:w="636" w:type="dxa"/>
            <w:textDirection w:val="tbRlV"/>
            <w:vAlign w:val="top"/>
          </w:tcPr>
          <w:p w14:paraId="6A29CB2F">
            <w:pPr>
              <w:pStyle w:val="25"/>
              <w:spacing w:before="194" w:line="206" w:lineRule="auto"/>
              <w:ind w:right="37"/>
              <w:jc w:val="righ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说明</w:t>
            </w:r>
          </w:p>
        </w:tc>
        <w:tc>
          <w:tcPr>
            <w:tcW w:w="8211" w:type="dxa"/>
            <w:gridSpan w:val="5"/>
            <w:vAlign w:val="top"/>
          </w:tcPr>
          <w:p w14:paraId="4FEDAF54">
            <w:pPr>
              <w:rPr>
                <w:rFonts w:hint="eastAsia" w:ascii="宋体" w:hAnsi="宋体" w:eastAsia="宋体" w:cs="宋体"/>
                <w:color w:val="auto"/>
                <w:sz w:val="21"/>
                <w:highlight w:val="none"/>
              </w:rPr>
            </w:pPr>
          </w:p>
        </w:tc>
      </w:tr>
    </w:tbl>
    <w:p w14:paraId="3E83C04F">
      <w:pPr>
        <w:spacing w:before="99" w:line="226" w:lineRule="auto"/>
        <w:ind w:left="494"/>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注：1.投标人可按工程进度估算并填写本表。</w:t>
      </w:r>
    </w:p>
    <w:p w14:paraId="74827E76">
      <w:pPr>
        <w:spacing w:before="27" w:line="254" w:lineRule="auto"/>
        <w:ind w:left="35" w:right="260" w:hanging="20"/>
        <w:rPr>
          <w:rFonts w:hint="eastAsia" w:ascii="宋体" w:hAnsi="宋体" w:eastAsia="宋体" w:cs="宋体"/>
          <w:color w:val="auto"/>
          <w:sz w:val="20"/>
          <w:szCs w:val="20"/>
          <w:highlight w:val="none"/>
        </w:rPr>
      </w:pPr>
      <w:r>
        <w:rPr>
          <w:rFonts w:hint="eastAsia" w:ascii="宋体" w:hAnsi="宋体" w:eastAsia="宋体" w:cs="宋体"/>
          <w:color w:val="auto"/>
          <w:spacing w:val="11"/>
          <w:sz w:val="20"/>
          <w:szCs w:val="20"/>
          <w:highlight w:val="none"/>
        </w:rPr>
        <w:t>2.用款额按所报单价和总额价估算，不包括价格调整和暂列金额、暂</w:t>
      </w:r>
      <w:r>
        <w:rPr>
          <w:rFonts w:hint="eastAsia" w:ascii="宋体" w:hAnsi="宋体" w:eastAsia="宋体" w:cs="宋体"/>
          <w:color w:val="auto"/>
          <w:spacing w:val="10"/>
          <w:sz w:val="20"/>
          <w:szCs w:val="20"/>
          <w:highlight w:val="none"/>
        </w:rPr>
        <w:t>估价，但应考虑开工预付款</w:t>
      </w:r>
      <w:r>
        <w:rPr>
          <w:rFonts w:hint="eastAsia" w:ascii="宋体" w:hAnsi="宋体" w:eastAsia="宋体" w:cs="宋体"/>
          <w:color w:val="auto"/>
          <w:spacing w:val="8"/>
          <w:sz w:val="20"/>
          <w:szCs w:val="20"/>
          <w:highlight w:val="none"/>
        </w:rPr>
        <w:t>的扣回以及签发付款证书后到实际支付的时间间隔。</w:t>
      </w:r>
    </w:p>
    <w:p w14:paraId="21B94840">
      <w:pPr>
        <w:spacing w:line="254" w:lineRule="auto"/>
        <w:rPr>
          <w:rFonts w:hint="eastAsia" w:ascii="宋体" w:hAnsi="宋体" w:eastAsia="宋体" w:cs="宋体"/>
          <w:color w:val="auto"/>
          <w:sz w:val="20"/>
          <w:szCs w:val="20"/>
          <w:highlight w:val="none"/>
        </w:rPr>
        <w:sectPr>
          <w:headerReference r:id="rId306" w:type="default"/>
          <w:footerReference r:id="rId307" w:type="default"/>
          <w:pgSz w:w="11907" w:h="16840"/>
          <w:pgMar w:top="1182" w:right="1031" w:bottom="1014" w:left="1786" w:header="849" w:footer="852" w:gutter="0"/>
          <w:pgNumType w:fmt="decimal"/>
          <w:cols w:space="720" w:num="1"/>
        </w:sectPr>
      </w:pPr>
    </w:p>
    <w:p w14:paraId="29D03971">
      <w:pPr>
        <w:pStyle w:val="4"/>
        <w:spacing w:line="267" w:lineRule="auto"/>
        <w:rPr>
          <w:rFonts w:hint="eastAsia" w:ascii="宋体" w:hAnsi="宋体" w:eastAsia="宋体" w:cs="宋体"/>
          <w:color w:val="auto"/>
          <w:highlight w:val="none"/>
        </w:rPr>
      </w:pPr>
    </w:p>
    <w:p w14:paraId="684711A9">
      <w:pPr>
        <w:pStyle w:val="4"/>
        <w:spacing w:line="268" w:lineRule="auto"/>
        <w:rPr>
          <w:rFonts w:hint="eastAsia" w:ascii="宋体" w:hAnsi="宋体" w:eastAsia="宋体" w:cs="宋体"/>
          <w:color w:val="auto"/>
          <w:highlight w:val="none"/>
        </w:rPr>
      </w:pPr>
    </w:p>
    <w:p w14:paraId="74E72555">
      <w:pPr>
        <w:spacing w:before="91" w:line="222" w:lineRule="auto"/>
        <w:ind w:left="3516"/>
        <w:outlineLvl w:val="1"/>
        <w:rPr>
          <w:rFonts w:hint="eastAsia" w:ascii="宋体" w:hAnsi="宋体" w:eastAsia="宋体" w:cs="宋体"/>
          <w:color w:val="auto"/>
          <w:sz w:val="28"/>
          <w:szCs w:val="28"/>
          <w:highlight w:val="none"/>
        </w:rPr>
      </w:pPr>
      <w:bookmarkStart w:id="1045" w:name="_Toc5431"/>
      <w:bookmarkStart w:id="1046" w:name="_Toc8008"/>
      <w:bookmarkStart w:id="1047" w:name="_Toc7233"/>
      <w:bookmarkStart w:id="1048" w:name="_Toc23367"/>
      <w:bookmarkStart w:id="1049" w:name="_Toc22218"/>
      <w:r>
        <w:rPr>
          <w:rFonts w:hint="eastAsia" w:ascii="宋体" w:hAnsi="宋体" w:eastAsia="宋体" w:cs="宋体"/>
          <w:color w:val="auto"/>
          <w:spacing w:val="-5"/>
          <w:sz w:val="28"/>
          <w:szCs w:val="28"/>
          <w:highlight w:val="none"/>
        </w:rPr>
        <w:t>四、其他资料</w:t>
      </w:r>
      <w:bookmarkEnd w:id="1045"/>
      <w:bookmarkEnd w:id="1046"/>
      <w:bookmarkEnd w:id="1047"/>
      <w:bookmarkEnd w:id="1048"/>
      <w:bookmarkEnd w:id="1049"/>
    </w:p>
    <w:p w14:paraId="3756EFBD">
      <w:pPr>
        <w:spacing w:line="222" w:lineRule="auto"/>
        <w:rPr>
          <w:rFonts w:hint="eastAsia" w:ascii="宋体" w:hAnsi="宋体" w:eastAsia="宋体" w:cs="宋体"/>
          <w:color w:val="auto"/>
          <w:sz w:val="28"/>
          <w:szCs w:val="28"/>
          <w:highlight w:val="none"/>
        </w:rPr>
        <w:sectPr>
          <w:headerReference r:id="rId308" w:type="default"/>
          <w:footerReference r:id="rId309" w:type="default"/>
          <w:pgSz w:w="11907" w:h="16840"/>
          <w:pgMar w:top="1182" w:right="1290" w:bottom="1014" w:left="1786" w:header="849" w:footer="852" w:gutter="0"/>
          <w:pgNumType w:fmt="decimal"/>
          <w:cols w:space="720" w:num="1"/>
        </w:sectPr>
      </w:pPr>
    </w:p>
    <w:p w14:paraId="2E170C7C">
      <w:pPr>
        <w:pStyle w:val="4"/>
        <w:spacing w:line="358" w:lineRule="auto"/>
        <w:rPr>
          <w:rFonts w:hint="eastAsia" w:ascii="宋体" w:hAnsi="宋体" w:eastAsia="宋体" w:cs="宋体"/>
          <w:color w:val="auto"/>
          <w:highlight w:val="none"/>
        </w:rPr>
      </w:pPr>
    </w:p>
    <w:p w14:paraId="2CCBB5EE">
      <w:pPr>
        <w:pStyle w:val="4"/>
        <w:spacing w:line="358" w:lineRule="auto"/>
        <w:rPr>
          <w:rFonts w:hint="eastAsia" w:ascii="宋体" w:hAnsi="宋体" w:eastAsia="宋体" w:cs="宋体"/>
          <w:color w:val="auto"/>
          <w:highlight w:val="none"/>
        </w:rPr>
      </w:pPr>
    </w:p>
    <w:p w14:paraId="6D51AE20">
      <w:pPr>
        <w:spacing w:before="101" w:line="225" w:lineRule="auto"/>
        <w:ind w:left="3311"/>
        <w:outlineLvl w:val="1"/>
        <w:rPr>
          <w:rFonts w:hint="eastAsia" w:ascii="宋体" w:hAnsi="宋体" w:eastAsia="宋体" w:cs="宋体"/>
          <w:color w:val="auto"/>
          <w:sz w:val="31"/>
          <w:szCs w:val="31"/>
          <w:highlight w:val="none"/>
        </w:rPr>
      </w:pPr>
      <w:bookmarkStart w:id="1050" w:name="_Toc21588"/>
      <w:bookmarkStart w:id="1051" w:name="_Toc26941"/>
      <w:bookmarkStart w:id="1052" w:name="_Toc8284"/>
      <w:bookmarkStart w:id="1053" w:name="_Toc32090"/>
      <w:bookmarkStart w:id="1054" w:name="_Toc25820"/>
      <w:r>
        <w:rPr>
          <w:rFonts w:hint="eastAsia" w:ascii="宋体" w:hAnsi="宋体" w:eastAsia="宋体" w:cs="宋体"/>
          <w:b/>
          <w:bCs/>
          <w:color w:val="auto"/>
          <w:spacing w:val="5"/>
          <w:sz w:val="31"/>
          <w:szCs w:val="31"/>
          <w:highlight w:val="none"/>
        </w:rPr>
        <w:t>工程量清单说明</w:t>
      </w:r>
      <w:bookmarkEnd w:id="1050"/>
      <w:bookmarkEnd w:id="1051"/>
      <w:bookmarkEnd w:id="1052"/>
      <w:bookmarkEnd w:id="1053"/>
      <w:bookmarkEnd w:id="1054"/>
    </w:p>
    <w:sectPr>
      <w:footerReference r:id="rId310" w:type="default"/>
      <w:pgSz w:w="11907" w:h="16840"/>
      <w:pgMar w:top="1182" w:right="1290" w:bottom="1014" w:left="1786" w:header="849" w:footer="852"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F6B053">
    <w:pPr>
      <w:pStyle w:val="2"/>
    </w:pPr>
    <w:r>
      <w:rPr>
        <w:sz w:val="18"/>
      </w:rPr>
      <mc:AlternateContent>
        <mc:Choice Requires="wps">
          <w:drawing>
            <wp:anchor distT="0" distB="0" distL="114300" distR="114300" simplePos="0" relativeHeight="2517432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0EEEAF">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32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E0EEEAF">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6B17DA">
    <w:pPr>
      <w:spacing w:line="176" w:lineRule="auto"/>
      <w:ind w:left="451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524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6CF9A5">
                          <w:pPr>
                            <w:pStyle w:val="2"/>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24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086CF9A5">
                    <w:pPr>
                      <w:pStyle w:val="2"/>
                    </w:pPr>
                    <w:r>
                      <w:fldChar w:fldCharType="begin"/>
                    </w:r>
                    <w:r>
                      <w:instrText xml:space="preserve"> PAGE  \* MERGEFORMAT </w:instrText>
                    </w:r>
                    <w:r>
                      <w:fldChar w:fldCharType="separate"/>
                    </w:r>
                    <w:r>
                      <w:t>24</w:t>
                    </w:r>
                    <w:r>
                      <w:fldChar w:fldCharType="end"/>
                    </w:r>
                  </w:p>
                </w:txbxContent>
              </v:textbox>
            </v:shape>
          </w:pict>
        </mc:Fallback>
      </mc:AlternateContent>
    </w:r>
    <w:r>
      <w:rPr>
        <w:rFonts w:ascii="Times New Roman" w:hAnsi="Times New Roman" w:eastAsia="Times New Roman" w:cs="Times New Roman"/>
        <w:spacing w:val="-10"/>
        <w:sz w:val="18"/>
        <w:szCs w:val="18"/>
      </w:rPr>
      <w:t>15</w:t>
    </w:r>
  </w:p>
</w:ftr>
</file>

<file path=word/footer10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17D40A">
    <w:pPr>
      <w:spacing w:line="176" w:lineRule="auto"/>
      <w:ind w:left="430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446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8" name="文本框 1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E352F8">
                          <w:pPr>
                            <w:pStyle w:val="2"/>
                          </w:pPr>
                          <w:r>
                            <w:fldChar w:fldCharType="begin"/>
                          </w:r>
                          <w:r>
                            <w:instrText xml:space="preserve"> PAGE  \* MERGEFORMAT </w:instrText>
                          </w:r>
                          <w:r>
                            <w:fldChar w:fldCharType="separate"/>
                          </w:r>
                          <w:r>
                            <w:t>164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446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Y3JWoy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jclajICAABlBAAADgAAAAAAAAABACAAAAAfAQAAZHJzL2Uyb0RvYy54bWxQSwUG&#10;AAAAAAYABgBZAQAAwwUAAAAA&#10;">
              <v:fill on="f" focussize="0,0"/>
              <v:stroke on="f" weight="0.5pt"/>
              <v:imagedata o:title=""/>
              <o:lock v:ext="edit" aspectratio="f"/>
              <v:textbox inset="0mm,0mm,0mm,0mm" style="mso-fit-shape-to-text:t;">
                <w:txbxContent>
                  <w:p w14:paraId="09E352F8">
                    <w:pPr>
                      <w:pStyle w:val="2"/>
                    </w:pPr>
                    <w:r>
                      <w:fldChar w:fldCharType="begin"/>
                    </w:r>
                    <w:r>
                      <w:instrText xml:space="preserve"> PAGE  \* MERGEFORMAT </w:instrText>
                    </w:r>
                    <w:r>
                      <w:fldChar w:fldCharType="separate"/>
                    </w:r>
                    <w:r>
                      <w:t>164</w:t>
                    </w:r>
                    <w:r>
                      <w:fldChar w:fldCharType="end"/>
                    </w:r>
                  </w:p>
                </w:txbxContent>
              </v:textbox>
            </v:shape>
          </w:pict>
        </mc:Fallback>
      </mc:AlternateContent>
    </w:r>
  </w:p>
</w:ftr>
</file>

<file path=word/footer10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9F6911">
    <w:pPr>
      <w:spacing w:line="176" w:lineRule="auto"/>
      <w:ind w:left="430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456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9" name="文本框 1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FD0292">
                          <w:pPr>
                            <w:pStyle w:val="2"/>
                          </w:pPr>
                          <w:r>
                            <w:fldChar w:fldCharType="begin"/>
                          </w:r>
                          <w:r>
                            <w:instrText xml:space="preserve"> PAGE  \* MERGEFORMAT </w:instrText>
                          </w:r>
                          <w:r>
                            <w:fldChar w:fldCharType="separate"/>
                          </w:r>
                          <w:r>
                            <w:t>165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456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2Lu/Y0AgAAZQ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9i7v2NAIAAGUEAAAOAAAAAAAAAAEAIAAAAB8BAABkcnMvZTJvRG9jLnhtbFBL&#10;BQYAAAAABgAGAFkBAADFBQAAAAA=&#10;">
              <v:fill on="f" focussize="0,0"/>
              <v:stroke on="f" weight="0.5pt"/>
              <v:imagedata o:title=""/>
              <o:lock v:ext="edit" aspectratio="f"/>
              <v:textbox inset="0mm,0mm,0mm,0mm" style="mso-fit-shape-to-text:t;">
                <w:txbxContent>
                  <w:p w14:paraId="5EFD0292">
                    <w:pPr>
                      <w:pStyle w:val="2"/>
                    </w:pPr>
                    <w:r>
                      <w:fldChar w:fldCharType="begin"/>
                    </w:r>
                    <w:r>
                      <w:instrText xml:space="preserve"> PAGE  \* MERGEFORMAT </w:instrText>
                    </w:r>
                    <w:r>
                      <w:fldChar w:fldCharType="separate"/>
                    </w:r>
                    <w:r>
                      <w:t>165</w:t>
                    </w:r>
                    <w:r>
                      <w:fldChar w:fldCharType="end"/>
                    </w:r>
                  </w:p>
                </w:txbxContent>
              </v:textbox>
            </v:shape>
          </w:pict>
        </mc:Fallback>
      </mc:AlternateContent>
    </w:r>
  </w:p>
</w:ftr>
</file>

<file path=word/footer10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22F4B1">
    <w:pPr>
      <w:spacing w:line="176" w:lineRule="auto"/>
      <w:ind w:left="430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466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0" name="文本框 1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553325">
                          <w:pPr>
                            <w:pStyle w:val="2"/>
                          </w:pPr>
                          <w:r>
                            <w:fldChar w:fldCharType="begin"/>
                          </w:r>
                          <w:r>
                            <w:instrText xml:space="preserve"> PAGE  \* MERGEFORMAT </w:instrText>
                          </w:r>
                          <w:r>
                            <w:fldChar w:fldCharType="separate"/>
                          </w:r>
                          <w:r>
                            <w:t>166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466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tg+Ey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va2D4TICAABlBAAADgAAAAAAAAABACAAAAAfAQAAZHJzL2Uyb0RvYy54bWxQSwUG&#10;AAAAAAYABgBZAQAAwwUAAAAA&#10;">
              <v:fill on="f" focussize="0,0"/>
              <v:stroke on="f" weight="0.5pt"/>
              <v:imagedata o:title=""/>
              <o:lock v:ext="edit" aspectratio="f"/>
              <v:textbox inset="0mm,0mm,0mm,0mm" style="mso-fit-shape-to-text:t;">
                <w:txbxContent>
                  <w:p w14:paraId="1D553325">
                    <w:pPr>
                      <w:pStyle w:val="2"/>
                    </w:pPr>
                    <w:r>
                      <w:fldChar w:fldCharType="begin"/>
                    </w:r>
                    <w:r>
                      <w:instrText xml:space="preserve"> PAGE  \* MERGEFORMAT </w:instrText>
                    </w:r>
                    <w:r>
                      <w:fldChar w:fldCharType="separate"/>
                    </w:r>
                    <w:r>
                      <w:t>166</w:t>
                    </w:r>
                    <w:r>
                      <w:fldChar w:fldCharType="end"/>
                    </w:r>
                  </w:p>
                </w:txbxContent>
              </v:textbox>
            </v:shape>
          </w:pict>
        </mc:Fallback>
      </mc:AlternateContent>
    </w:r>
  </w:p>
</w:ftr>
</file>

<file path=word/footer10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05EAA9">
    <w:pPr>
      <w:spacing w:line="176" w:lineRule="auto"/>
      <w:ind w:left="430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476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1" name="文本框 1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97BEEE">
                          <w:pPr>
                            <w:pStyle w:val="2"/>
                          </w:pPr>
                          <w:r>
                            <w:fldChar w:fldCharType="begin"/>
                          </w:r>
                          <w:r>
                            <w:instrText xml:space="preserve"> PAGE  \* MERGEFORMAT </w:instrText>
                          </w:r>
                          <w:r>
                            <w:fldChar w:fldCharType="separate"/>
                          </w:r>
                          <w:r>
                            <w:t>167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476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YRHX0yAgAAZQ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dfTICAABlBAAADgAAAAAAAAABACAAAAAfAQAAZHJzL2Uyb0RvYy54bWxQSwUG&#10;AAAAAAYABgBZAQAAwwUAAAAA&#10;">
              <v:fill on="f" focussize="0,0"/>
              <v:stroke on="f" weight="0.5pt"/>
              <v:imagedata o:title=""/>
              <o:lock v:ext="edit" aspectratio="f"/>
              <v:textbox inset="0mm,0mm,0mm,0mm" style="mso-fit-shape-to-text:t;">
                <w:txbxContent>
                  <w:p w14:paraId="7097BEEE">
                    <w:pPr>
                      <w:pStyle w:val="2"/>
                    </w:pPr>
                    <w:r>
                      <w:fldChar w:fldCharType="begin"/>
                    </w:r>
                    <w:r>
                      <w:instrText xml:space="preserve"> PAGE  \* MERGEFORMAT </w:instrText>
                    </w:r>
                    <w:r>
                      <w:fldChar w:fldCharType="separate"/>
                    </w:r>
                    <w:r>
                      <w:t>167</w:t>
                    </w:r>
                    <w:r>
                      <w:fldChar w:fldCharType="end"/>
                    </w:r>
                  </w:p>
                </w:txbxContent>
              </v:textbox>
            </v:shape>
          </w:pict>
        </mc:Fallback>
      </mc:AlternateContent>
    </w:r>
  </w:p>
</w:ftr>
</file>

<file path=word/footer10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417D97">
    <w:pPr>
      <w:spacing w:line="176" w:lineRule="auto"/>
      <w:ind w:left="430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487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2" name="文本框 1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FC87F4">
                          <w:pPr>
                            <w:pStyle w:val="2"/>
                          </w:pPr>
                          <w:r>
                            <w:fldChar w:fldCharType="begin"/>
                          </w:r>
                          <w:r>
                            <w:instrText xml:space="preserve"> PAGE  \* MERGEFORMAT </w:instrText>
                          </w:r>
                          <w:r>
                            <w:fldChar w:fldCharType="separate"/>
                          </w:r>
                          <w:r>
                            <w:t>168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487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rTzwMz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rTzwMzAgAAZQQAAA4AAAAAAAAAAQAgAAAAHwEAAGRycy9lMm9Eb2MueG1sUEsF&#10;BgAAAAAGAAYAWQEAAMQFAAAAAA==&#10;">
              <v:fill on="f" focussize="0,0"/>
              <v:stroke on="f" weight="0.5pt"/>
              <v:imagedata o:title=""/>
              <o:lock v:ext="edit" aspectratio="f"/>
              <v:textbox inset="0mm,0mm,0mm,0mm" style="mso-fit-shape-to-text:t;">
                <w:txbxContent>
                  <w:p w14:paraId="13FC87F4">
                    <w:pPr>
                      <w:pStyle w:val="2"/>
                    </w:pPr>
                    <w:r>
                      <w:fldChar w:fldCharType="begin"/>
                    </w:r>
                    <w:r>
                      <w:instrText xml:space="preserve"> PAGE  \* MERGEFORMAT </w:instrText>
                    </w:r>
                    <w:r>
                      <w:fldChar w:fldCharType="separate"/>
                    </w:r>
                    <w:r>
                      <w:t>168</w:t>
                    </w:r>
                    <w:r>
                      <w:fldChar w:fldCharType="end"/>
                    </w:r>
                  </w:p>
                </w:txbxContent>
              </v:textbox>
            </v:shape>
          </w:pict>
        </mc:Fallback>
      </mc:AlternateContent>
    </w:r>
  </w:p>
</w:ftr>
</file>

<file path=word/footer10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A95209">
    <w:pPr>
      <w:spacing w:line="176" w:lineRule="auto"/>
      <w:ind w:left="430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497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3" name="文本框 1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62F0FE">
                          <w:pPr>
                            <w:pStyle w:val="2"/>
                          </w:pPr>
                          <w:r>
                            <w:fldChar w:fldCharType="begin"/>
                          </w:r>
                          <w:r>
                            <w:instrText xml:space="preserve"> PAGE  \* MERGEFORMAT </w:instrText>
                          </w:r>
                          <w:r>
                            <w:fldChar w:fldCharType="separate"/>
                          </w:r>
                          <w:r>
                            <w:t>169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497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FvUZ8z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FvUZ8zAgAAZQQAAA4AAAAAAAAAAQAgAAAAHwEAAGRycy9lMm9Eb2MueG1sUEsF&#10;BgAAAAAGAAYAWQEAAMQFAAAAAA==&#10;">
              <v:fill on="f" focussize="0,0"/>
              <v:stroke on="f" weight="0.5pt"/>
              <v:imagedata o:title=""/>
              <o:lock v:ext="edit" aspectratio="f"/>
              <v:textbox inset="0mm,0mm,0mm,0mm" style="mso-fit-shape-to-text:t;">
                <w:txbxContent>
                  <w:p w14:paraId="1462F0FE">
                    <w:pPr>
                      <w:pStyle w:val="2"/>
                    </w:pPr>
                    <w:r>
                      <w:fldChar w:fldCharType="begin"/>
                    </w:r>
                    <w:r>
                      <w:instrText xml:space="preserve"> PAGE  \* MERGEFORMAT </w:instrText>
                    </w:r>
                    <w:r>
                      <w:fldChar w:fldCharType="separate"/>
                    </w:r>
                    <w:r>
                      <w:t>169</w:t>
                    </w:r>
                    <w:r>
                      <w:fldChar w:fldCharType="end"/>
                    </w:r>
                  </w:p>
                </w:txbxContent>
              </v:textbox>
            </v:shape>
          </w:pict>
        </mc:Fallback>
      </mc:AlternateContent>
    </w:r>
  </w:p>
</w:ftr>
</file>

<file path=word/footer10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78C8D0">
    <w:pPr>
      <w:spacing w:line="176" w:lineRule="auto"/>
      <w:ind w:left="430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507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4" name="文本框 1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866B8F">
                          <w:pPr>
                            <w:pStyle w:val="2"/>
                          </w:pPr>
                          <w:r>
                            <w:fldChar w:fldCharType="begin"/>
                          </w:r>
                          <w:r>
                            <w:instrText xml:space="preserve"> PAGE  \* MERGEFORMAT </w:instrText>
                          </w:r>
                          <w:r>
                            <w:fldChar w:fldCharType="separate"/>
                          </w:r>
                          <w:r>
                            <w:t>170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507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JWav4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SVmr+NAIAAGUEAAAOAAAAAAAAAAEAIAAAAB8BAABkcnMvZTJvRG9jLnhtbFBL&#10;BQYAAAAABgAGAFkBAADFBQAAAAA=&#10;">
              <v:fill on="f" focussize="0,0"/>
              <v:stroke on="f" weight="0.5pt"/>
              <v:imagedata o:title=""/>
              <o:lock v:ext="edit" aspectratio="f"/>
              <v:textbox inset="0mm,0mm,0mm,0mm" style="mso-fit-shape-to-text:t;">
                <w:txbxContent>
                  <w:p w14:paraId="0B866B8F">
                    <w:pPr>
                      <w:pStyle w:val="2"/>
                    </w:pPr>
                    <w:r>
                      <w:fldChar w:fldCharType="begin"/>
                    </w:r>
                    <w:r>
                      <w:instrText xml:space="preserve"> PAGE  \* MERGEFORMAT </w:instrText>
                    </w:r>
                    <w:r>
                      <w:fldChar w:fldCharType="separate"/>
                    </w:r>
                    <w:r>
                      <w:t>170</w:t>
                    </w:r>
                    <w:r>
                      <w:fldChar w:fldCharType="end"/>
                    </w:r>
                  </w:p>
                </w:txbxContent>
              </v:textbox>
            </v:shape>
          </w:pict>
        </mc:Fallback>
      </mc:AlternateContent>
    </w:r>
  </w:p>
</w:ftr>
</file>

<file path=word/footer10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689E06">
    <w:pPr>
      <w:spacing w:line="176" w:lineRule="auto"/>
      <w:ind w:left="430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517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5" name="文本框 1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086C89">
                          <w:pPr>
                            <w:pStyle w:val="2"/>
                          </w:pPr>
                          <w:r>
                            <w:fldChar w:fldCharType="begin"/>
                          </w:r>
                          <w:r>
                            <w:instrText xml:space="preserve"> PAGE  \* MERGEFORMAT </w:instrText>
                          </w:r>
                          <w:r>
                            <w:fldChar w:fldCharType="separate"/>
                          </w:r>
                          <w:r>
                            <w:t>171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517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nq9GIzAgAAZQ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nq9GIzAgAAZQQAAA4AAAAAAAAAAQAgAAAAHwEAAGRycy9lMm9Eb2MueG1sUEsF&#10;BgAAAAAGAAYAWQEAAMQFAAAAAA==&#10;">
              <v:fill on="f" focussize="0,0"/>
              <v:stroke on="f" weight="0.5pt"/>
              <v:imagedata o:title=""/>
              <o:lock v:ext="edit" aspectratio="f"/>
              <v:textbox inset="0mm,0mm,0mm,0mm" style="mso-fit-shape-to-text:t;">
                <w:txbxContent>
                  <w:p w14:paraId="11086C89">
                    <w:pPr>
                      <w:pStyle w:val="2"/>
                    </w:pPr>
                    <w:r>
                      <w:fldChar w:fldCharType="begin"/>
                    </w:r>
                    <w:r>
                      <w:instrText xml:space="preserve"> PAGE  \* MERGEFORMAT </w:instrText>
                    </w:r>
                    <w:r>
                      <w:fldChar w:fldCharType="separate"/>
                    </w:r>
                    <w:r>
                      <w:t>171</w:t>
                    </w:r>
                    <w:r>
                      <w:fldChar w:fldCharType="end"/>
                    </w:r>
                  </w:p>
                </w:txbxContent>
              </v:textbox>
            </v:shape>
          </w:pict>
        </mc:Fallback>
      </mc:AlternateContent>
    </w:r>
  </w:p>
</w:ftr>
</file>

<file path=word/footer10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902D13">
    <w:pPr>
      <w:spacing w:line="176" w:lineRule="auto"/>
      <w:ind w:left="444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528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6" name="文本框 1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A3D404">
                          <w:pPr>
                            <w:pStyle w:val="2"/>
                          </w:pPr>
                          <w:r>
                            <w:fldChar w:fldCharType="begin"/>
                          </w:r>
                          <w:r>
                            <w:instrText xml:space="preserve"> PAGE  \* MERGEFORMAT </w:instrText>
                          </w:r>
                          <w:r>
                            <w:fldChar w:fldCharType="separate"/>
                          </w:r>
                          <w:r>
                            <w:t>172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528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UoJhwzAgAAZ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UoJhwzAgAAZQQAAA4AAAAAAAAAAQAgAAAAHwEAAGRycy9lMm9Eb2MueG1sUEsF&#10;BgAAAAAGAAYAWQEAAMQFAAAAAA==&#10;">
              <v:fill on="f" focussize="0,0"/>
              <v:stroke on="f" weight="0.5pt"/>
              <v:imagedata o:title=""/>
              <o:lock v:ext="edit" aspectratio="f"/>
              <v:textbox inset="0mm,0mm,0mm,0mm" style="mso-fit-shape-to-text:t;">
                <w:txbxContent>
                  <w:p w14:paraId="2BA3D404">
                    <w:pPr>
                      <w:pStyle w:val="2"/>
                    </w:pPr>
                    <w:r>
                      <w:fldChar w:fldCharType="begin"/>
                    </w:r>
                    <w:r>
                      <w:instrText xml:space="preserve"> PAGE  \* MERGEFORMAT </w:instrText>
                    </w:r>
                    <w:r>
                      <w:fldChar w:fldCharType="separate"/>
                    </w:r>
                    <w:r>
                      <w:t>172</w:t>
                    </w:r>
                    <w:r>
                      <w:fldChar w:fldCharType="end"/>
                    </w:r>
                  </w:p>
                </w:txbxContent>
              </v:textbox>
            </v:shape>
          </w:pict>
        </mc:Fallback>
      </mc:AlternateContent>
    </w:r>
  </w:p>
</w:ftr>
</file>

<file path=word/footer10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176192">
    <w:pPr>
      <w:spacing w:line="176" w:lineRule="auto"/>
      <w:ind w:left="444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538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7" name="文本框 1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704D79">
                          <w:pPr>
                            <w:pStyle w:val="2"/>
                          </w:pPr>
                          <w:r>
                            <w:fldChar w:fldCharType="begin"/>
                          </w:r>
                          <w:r>
                            <w:instrText xml:space="preserve"> PAGE  \* MERGEFORMAT </w:instrText>
                          </w:r>
                          <w:r>
                            <w:fldChar w:fldCharType="separate"/>
                          </w:r>
                          <w:r>
                            <w:t>173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538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6UuIA0AgAAZQ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ulLiANAIAAGUEAAAOAAAAAAAAAAEAIAAAAB8BAABkcnMvZTJvRG9jLnhtbFBL&#10;BQYAAAAABgAGAFkBAADFBQAAAAA=&#10;">
              <v:fill on="f" focussize="0,0"/>
              <v:stroke on="f" weight="0.5pt"/>
              <v:imagedata o:title=""/>
              <o:lock v:ext="edit" aspectratio="f"/>
              <v:textbox inset="0mm,0mm,0mm,0mm" style="mso-fit-shape-to-text:t;">
                <w:txbxContent>
                  <w:p w14:paraId="08704D79">
                    <w:pPr>
                      <w:pStyle w:val="2"/>
                    </w:pPr>
                    <w:r>
                      <w:fldChar w:fldCharType="begin"/>
                    </w:r>
                    <w:r>
                      <w:instrText xml:space="preserve"> PAGE  \* MERGEFORMAT </w:instrText>
                    </w:r>
                    <w:r>
                      <w:fldChar w:fldCharType="separate"/>
                    </w:r>
                    <w:r>
                      <w:t>173</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3BB057">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534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1AEF25">
                          <w:pPr>
                            <w:pStyle w:val="2"/>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34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01AEF25">
                    <w:pPr>
                      <w:pStyle w:val="2"/>
                    </w:pPr>
                    <w:r>
                      <w:fldChar w:fldCharType="begin"/>
                    </w:r>
                    <w:r>
                      <w:instrText xml:space="preserve"> PAGE  \* MERGEFORMAT </w:instrText>
                    </w:r>
                    <w:r>
                      <w:fldChar w:fldCharType="separate"/>
                    </w:r>
                    <w:r>
                      <w:t>27</w:t>
                    </w:r>
                    <w:r>
                      <w:fldChar w:fldCharType="end"/>
                    </w:r>
                  </w:p>
                </w:txbxContent>
              </v:textbox>
            </v:shape>
          </w:pict>
        </mc:Fallback>
      </mc:AlternateContent>
    </w:r>
  </w:p>
</w:ftr>
</file>

<file path=word/footer1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2C51CC">
    <w:pPr>
      <w:spacing w:line="176" w:lineRule="auto"/>
      <w:ind w:left="430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548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8" name="文本框 1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FF4388">
                          <w:pPr>
                            <w:pStyle w:val="2"/>
                          </w:pPr>
                          <w:r>
                            <w:fldChar w:fldCharType="begin"/>
                          </w:r>
                          <w:r>
                            <w:instrText xml:space="preserve"> PAGE  \* MERGEFORMAT </w:instrText>
                          </w:r>
                          <w:r>
                            <w:fldChar w:fldCharType="separate"/>
                          </w:r>
                          <w:r>
                            <w:t>174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548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NbUN4y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Y1tQ3jICAABlBAAADgAAAAAAAAABACAAAAAfAQAAZHJzL2Uyb0RvYy54bWxQSwUG&#10;AAAAAAYABgBZAQAAwwUAAAAA&#10;">
              <v:fill on="f" focussize="0,0"/>
              <v:stroke on="f" weight="0.5pt"/>
              <v:imagedata o:title=""/>
              <o:lock v:ext="edit" aspectratio="f"/>
              <v:textbox inset="0mm,0mm,0mm,0mm" style="mso-fit-shape-to-text:t;">
                <w:txbxContent>
                  <w:p w14:paraId="7FFF4388">
                    <w:pPr>
                      <w:pStyle w:val="2"/>
                    </w:pPr>
                    <w:r>
                      <w:fldChar w:fldCharType="begin"/>
                    </w:r>
                    <w:r>
                      <w:instrText xml:space="preserve"> PAGE  \* MERGEFORMAT </w:instrText>
                    </w:r>
                    <w:r>
                      <w:fldChar w:fldCharType="separate"/>
                    </w:r>
                    <w:r>
                      <w:t>174</w:t>
                    </w:r>
                    <w:r>
                      <w:fldChar w:fldCharType="end"/>
                    </w:r>
                  </w:p>
                </w:txbxContent>
              </v:textbox>
            </v:shape>
          </w:pict>
        </mc:Fallback>
      </mc:AlternateContent>
    </w:r>
  </w:p>
</w:ftr>
</file>

<file path=word/footer1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AEEE55">
    <w:pPr>
      <w:spacing w:line="176" w:lineRule="auto"/>
      <w:ind w:left="430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558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9" name="文本框 1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63BF46">
                          <w:pPr>
                            <w:pStyle w:val="2"/>
                          </w:pPr>
                          <w:r>
                            <w:fldChar w:fldCharType="begin"/>
                          </w:r>
                          <w:r>
                            <w:instrText xml:space="preserve"> PAGE  \* MERGEFORMAT </w:instrText>
                          </w:r>
                          <w:r>
                            <w:fldChar w:fldCharType="separate"/>
                          </w:r>
                          <w:r>
                            <w:t>177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558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nzkI0AgAAZQ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I585CNAIAAGUEAAAOAAAAAAAAAAEAIAAAAB8BAABkcnMvZTJvRG9jLnhtbFBL&#10;BQYAAAAABgAGAFkBAADFBQAAAAA=&#10;">
              <v:fill on="f" focussize="0,0"/>
              <v:stroke on="f" weight="0.5pt"/>
              <v:imagedata o:title=""/>
              <o:lock v:ext="edit" aspectratio="f"/>
              <v:textbox inset="0mm,0mm,0mm,0mm" style="mso-fit-shape-to-text:t;">
                <w:txbxContent>
                  <w:p w14:paraId="2063BF46">
                    <w:pPr>
                      <w:pStyle w:val="2"/>
                    </w:pPr>
                    <w:r>
                      <w:fldChar w:fldCharType="begin"/>
                    </w:r>
                    <w:r>
                      <w:instrText xml:space="preserve"> PAGE  \* MERGEFORMAT </w:instrText>
                    </w:r>
                    <w:r>
                      <w:fldChar w:fldCharType="separate"/>
                    </w:r>
                    <w:r>
                      <w:t>177</w:t>
                    </w:r>
                    <w:r>
                      <w:fldChar w:fldCharType="end"/>
                    </w:r>
                  </w:p>
                </w:txbxContent>
              </v:textbox>
            </v:shape>
          </w:pict>
        </mc:Fallback>
      </mc:AlternateContent>
    </w:r>
  </w:p>
</w:ftr>
</file>

<file path=word/footer1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393B0A">
    <w:pPr>
      <w:spacing w:line="176" w:lineRule="auto"/>
      <w:ind w:left="444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568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0" name="文本框 1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3A15E4">
                          <w:pPr>
                            <w:pStyle w:val="2"/>
                          </w:pPr>
                          <w:r>
                            <w:fldChar w:fldCharType="begin"/>
                          </w:r>
                          <w:r>
                            <w:instrText xml:space="preserve"> PAGE  \* MERGEFORMAT </w:instrText>
                          </w:r>
                          <w:r>
                            <w:fldChar w:fldCharType="separate"/>
                          </w:r>
                          <w:r>
                            <w:t>178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568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GLfzsz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GLfzszAgAAZQQAAA4AAAAAAAAAAQAgAAAAHwEAAGRycy9lMm9Eb2MueG1sUEsF&#10;BgAAAAAGAAYAWQEAAMQFAAAAAA==&#10;">
              <v:fill on="f" focussize="0,0"/>
              <v:stroke on="f" weight="0.5pt"/>
              <v:imagedata o:title=""/>
              <o:lock v:ext="edit" aspectratio="f"/>
              <v:textbox inset="0mm,0mm,0mm,0mm" style="mso-fit-shape-to-text:t;">
                <w:txbxContent>
                  <w:p w14:paraId="273A15E4">
                    <w:pPr>
                      <w:pStyle w:val="2"/>
                    </w:pPr>
                    <w:r>
                      <w:fldChar w:fldCharType="begin"/>
                    </w:r>
                    <w:r>
                      <w:instrText xml:space="preserve"> PAGE  \* MERGEFORMAT </w:instrText>
                    </w:r>
                    <w:r>
                      <w:fldChar w:fldCharType="separate"/>
                    </w:r>
                    <w:r>
                      <w:t>178</w:t>
                    </w:r>
                    <w:r>
                      <w:fldChar w:fldCharType="end"/>
                    </w:r>
                  </w:p>
                </w:txbxContent>
              </v:textbox>
            </v:shape>
          </w:pict>
        </mc:Fallback>
      </mc:AlternateContent>
    </w:r>
  </w:p>
</w:ftr>
</file>

<file path=word/footer1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B4FD68">
    <w:pPr>
      <w:spacing w:line="176" w:lineRule="auto"/>
      <w:ind w:left="430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579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1" name="文本框 1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E4038C">
                          <w:pPr>
                            <w:pStyle w:val="2"/>
                          </w:pPr>
                          <w:r>
                            <w:fldChar w:fldCharType="begin"/>
                          </w:r>
                          <w:r>
                            <w:instrText xml:space="preserve"> PAGE  \* MERGEFORMAT </w:instrText>
                          </w:r>
                          <w:r>
                            <w:fldChar w:fldCharType="separate"/>
                          </w:r>
                          <w:r>
                            <w:t>187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579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o34aczAgAAZQQAAA4AAABkcnMvZTJvRG9jLnhtbK1US44TMRDdI3EH&#10;y3vSSUa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o34aczAgAAZQQAAA4AAAAAAAAAAQAgAAAAHwEAAGRycy9lMm9Eb2MueG1sUEsF&#10;BgAAAAAGAAYAWQEAAMQFAAAAAA==&#10;">
              <v:fill on="f" focussize="0,0"/>
              <v:stroke on="f" weight="0.5pt"/>
              <v:imagedata o:title=""/>
              <o:lock v:ext="edit" aspectratio="f"/>
              <v:textbox inset="0mm,0mm,0mm,0mm" style="mso-fit-shape-to-text:t;">
                <w:txbxContent>
                  <w:p w14:paraId="17E4038C">
                    <w:pPr>
                      <w:pStyle w:val="2"/>
                    </w:pPr>
                    <w:r>
                      <w:fldChar w:fldCharType="begin"/>
                    </w:r>
                    <w:r>
                      <w:instrText xml:space="preserve"> PAGE  \* MERGEFORMAT </w:instrText>
                    </w:r>
                    <w:r>
                      <w:fldChar w:fldCharType="separate"/>
                    </w:r>
                    <w:r>
                      <w:t>187</w:t>
                    </w:r>
                    <w:r>
                      <w:fldChar w:fldCharType="end"/>
                    </w:r>
                  </w:p>
                </w:txbxContent>
              </v:textbox>
            </v:shape>
          </w:pict>
        </mc:Fallback>
      </mc:AlternateContent>
    </w:r>
  </w:p>
</w:ftr>
</file>

<file path=word/footer1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6D36B4">
    <w:pPr>
      <w:spacing w:line="176" w:lineRule="auto"/>
      <w:ind w:left="444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589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2" name="文本框 1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F4C4E0">
                          <w:pPr>
                            <w:pStyle w:val="2"/>
                          </w:pPr>
                          <w:r>
                            <w:fldChar w:fldCharType="begin"/>
                          </w:r>
                          <w:r>
                            <w:instrText xml:space="preserve"> PAGE  \* MERGEFORMAT </w:instrText>
                          </w:r>
                          <w:r>
                            <w:fldChar w:fldCharType="separate"/>
                          </w:r>
                          <w:r>
                            <w:t>188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589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b1M9kz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b1M9kzAgAAZQQAAA4AAAAAAAAAAQAgAAAAHwEAAGRycy9lMm9Eb2MueG1sUEsF&#10;BgAAAAAGAAYAWQEAAMQFAAAAAA==&#10;">
              <v:fill on="f" focussize="0,0"/>
              <v:stroke on="f" weight="0.5pt"/>
              <v:imagedata o:title=""/>
              <o:lock v:ext="edit" aspectratio="f"/>
              <v:textbox inset="0mm,0mm,0mm,0mm" style="mso-fit-shape-to-text:t;">
                <w:txbxContent>
                  <w:p w14:paraId="16F4C4E0">
                    <w:pPr>
                      <w:pStyle w:val="2"/>
                    </w:pPr>
                    <w:r>
                      <w:fldChar w:fldCharType="begin"/>
                    </w:r>
                    <w:r>
                      <w:instrText xml:space="preserve"> PAGE  \* MERGEFORMAT </w:instrText>
                    </w:r>
                    <w:r>
                      <w:fldChar w:fldCharType="separate"/>
                    </w:r>
                    <w:r>
                      <w:t>188</w:t>
                    </w:r>
                    <w:r>
                      <w:fldChar w:fldCharType="end"/>
                    </w:r>
                  </w:p>
                </w:txbxContent>
              </v:textbox>
            </v:shape>
          </w:pict>
        </mc:Fallback>
      </mc:AlternateContent>
    </w:r>
  </w:p>
</w:ftr>
</file>

<file path=word/footer1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F69065">
    <w:pPr>
      <w:spacing w:line="176" w:lineRule="auto"/>
      <w:ind w:left="430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5996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3" name="文本框 1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BECA9D">
                          <w:pPr>
                            <w:pStyle w:val="2"/>
                          </w:pPr>
                          <w:r>
                            <w:fldChar w:fldCharType="begin"/>
                          </w:r>
                          <w:r>
                            <w:instrText xml:space="preserve"> PAGE  \* MERGEFORMAT </w:instrText>
                          </w:r>
                          <w:r>
                            <w:fldChar w:fldCharType="separate"/>
                          </w:r>
                          <w:r>
                            <w:t>189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599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1JrUUzAgAAZ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1JrUUzAgAAZQQAAA4AAAAAAAAAAQAgAAAAHwEAAGRycy9lMm9Eb2MueG1sUEsF&#10;BgAAAAAGAAYAWQEAAMQFAAAAAA==&#10;">
              <v:fill on="f" focussize="0,0"/>
              <v:stroke on="f" weight="0.5pt"/>
              <v:imagedata o:title=""/>
              <o:lock v:ext="edit" aspectratio="f"/>
              <v:textbox inset="0mm,0mm,0mm,0mm" style="mso-fit-shape-to-text:t;">
                <w:txbxContent>
                  <w:p w14:paraId="4DBECA9D">
                    <w:pPr>
                      <w:pStyle w:val="2"/>
                    </w:pPr>
                    <w:r>
                      <w:fldChar w:fldCharType="begin"/>
                    </w:r>
                    <w:r>
                      <w:instrText xml:space="preserve"> PAGE  \* MERGEFORMAT </w:instrText>
                    </w:r>
                    <w:r>
                      <w:fldChar w:fldCharType="separate"/>
                    </w:r>
                    <w:r>
                      <w:t>189</w:t>
                    </w:r>
                    <w:r>
                      <w:fldChar w:fldCharType="end"/>
                    </w:r>
                  </w:p>
                </w:txbxContent>
              </v:textbox>
            </v:shape>
          </w:pict>
        </mc:Fallback>
      </mc:AlternateContent>
    </w:r>
  </w:p>
</w:ftr>
</file>

<file path=word/footer1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5B506F">
    <w:pPr>
      <w:spacing w:line="176" w:lineRule="auto"/>
      <w:ind w:left="430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6099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4" name="文本框 1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8D22C3">
                          <w:pPr>
                            <w:pStyle w:val="2"/>
                          </w:pPr>
                          <w:r>
                            <w:fldChar w:fldCharType="begin"/>
                          </w:r>
                          <w:r>
                            <w:instrText xml:space="preserve"> PAGE  \* MERGEFORMAT </w:instrText>
                          </w:r>
                          <w:r>
                            <w:fldChar w:fldCharType="separate"/>
                          </w:r>
                          <w:r>
                            <w:t>192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609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5wliQ0AgAAZQ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cJYkNAIAAGUEAAAOAAAAAAAAAAEAIAAAAB8BAABkcnMvZTJvRG9jLnhtbFBL&#10;BQYAAAAABgAGAFkBAADFBQAAAAA=&#10;">
              <v:fill on="f" focussize="0,0"/>
              <v:stroke on="f" weight="0.5pt"/>
              <v:imagedata o:title=""/>
              <o:lock v:ext="edit" aspectratio="f"/>
              <v:textbox inset="0mm,0mm,0mm,0mm" style="mso-fit-shape-to-text:t;">
                <w:txbxContent>
                  <w:p w14:paraId="128D22C3">
                    <w:pPr>
                      <w:pStyle w:val="2"/>
                    </w:pPr>
                    <w:r>
                      <w:fldChar w:fldCharType="begin"/>
                    </w:r>
                    <w:r>
                      <w:instrText xml:space="preserve"> PAGE  \* MERGEFORMAT </w:instrText>
                    </w:r>
                    <w:r>
                      <w:fldChar w:fldCharType="separate"/>
                    </w:r>
                    <w:r>
                      <w:t>192</w:t>
                    </w:r>
                    <w:r>
                      <w:fldChar w:fldCharType="end"/>
                    </w:r>
                  </w:p>
                </w:txbxContent>
              </v:textbox>
            </v:shape>
          </w:pict>
        </mc:Fallback>
      </mc:AlternateContent>
    </w:r>
  </w:p>
</w:ftr>
</file>

<file path=word/footer1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60E524">
    <w:pPr>
      <w:spacing w:line="176" w:lineRule="auto"/>
      <w:ind w:left="430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6201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5" name="文本框 1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B55E5F">
                          <w:pPr>
                            <w:pStyle w:val="2"/>
                          </w:pPr>
                          <w:r>
                            <w:fldChar w:fldCharType="begin"/>
                          </w:r>
                          <w:r>
                            <w:instrText xml:space="preserve"> PAGE  \* MERGEFORMAT </w:instrText>
                          </w:r>
                          <w:r>
                            <w:fldChar w:fldCharType="separate"/>
                          </w:r>
                          <w:r>
                            <w:t>193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620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XMCLg0AgAAZQ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VzAi4NAIAAGUEAAAOAAAAAAAAAAEAIAAAAB8BAABkcnMvZTJvRG9jLnhtbFBL&#10;BQYAAAAABgAGAFkBAADFBQAAAAA=&#10;">
              <v:fill on="f" focussize="0,0"/>
              <v:stroke on="f" weight="0.5pt"/>
              <v:imagedata o:title=""/>
              <o:lock v:ext="edit" aspectratio="f"/>
              <v:textbox inset="0mm,0mm,0mm,0mm" style="mso-fit-shape-to-text:t;">
                <w:txbxContent>
                  <w:p w14:paraId="3CB55E5F">
                    <w:pPr>
                      <w:pStyle w:val="2"/>
                    </w:pPr>
                    <w:r>
                      <w:fldChar w:fldCharType="begin"/>
                    </w:r>
                    <w:r>
                      <w:instrText xml:space="preserve"> PAGE  \* MERGEFORMAT </w:instrText>
                    </w:r>
                    <w:r>
                      <w:fldChar w:fldCharType="separate"/>
                    </w:r>
                    <w:r>
                      <w:t>193</w:t>
                    </w:r>
                    <w:r>
                      <w:fldChar w:fldCharType="end"/>
                    </w:r>
                  </w:p>
                </w:txbxContent>
              </v:textbox>
            </v:shape>
          </w:pict>
        </mc:Fallback>
      </mc:AlternateContent>
    </w:r>
  </w:p>
</w:ftr>
</file>

<file path=word/footer1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612EE1">
    <w:pPr>
      <w:spacing w:line="176" w:lineRule="auto"/>
      <w:ind w:left="430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630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6" name="文本框 1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86CEC0">
                          <w:pPr>
                            <w:pStyle w:val="2"/>
                          </w:pPr>
                          <w:r>
                            <w:fldChar w:fldCharType="begin"/>
                          </w:r>
                          <w:r>
                            <w:instrText xml:space="preserve"> PAGE  \* MERGEFORMAT </w:instrText>
                          </w:r>
                          <w:r>
                            <w:fldChar w:fldCharType="separate"/>
                          </w:r>
                          <w:r>
                            <w:t>194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630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kO2sYzAgAAZQ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kO2sYzAgAAZQQAAA4AAAAAAAAAAQAgAAAAHwEAAGRycy9lMm9Eb2MueG1sUEsF&#10;BgAAAAAGAAYAWQEAAMQFAAAAAA==&#10;">
              <v:fill on="f" focussize="0,0"/>
              <v:stroke on="f" weight="0.5pt"/>
              <v:imagedata o:title=""/>
              <o:lock v:ext="edit" aspectratio="f"/>
              <v:textbox inset="0mm,0mm,0mm,0mm" style="mso-fit-shape-to-text:t;">
                <w:txbxContent>
                  <w:p w14:paraId="1086CEC0">
                    <w:pPr>
                      <w:pStyle w:val="2"/>
                    </w:pPr>
                    <w:r>
                      <w:fldChar w:fldCharType="begin"/>
                    </w:r>
                    <w:r>
                      <w:instrText xml:space="preserve"> PAGE  \* MERGEFORMAT </w:instrText>
                    </w:r>
                    <w:r>
                      <w:fldChar w:fldCharType="separate"/>
                    </w:r>
                    <w:r>
                      <w:t>194</w:t>
                    </w:r>
                    <w:r>
                      <w:fldChar w:fldCharType="end"/>
                    </w:r>
                  </w:p>
                </w:txbxContent>
              </v:textbox>
            </v:shape>
          </w:pict>
        </mc:Fallback>
      </mc:AlternateContent>
    </w:r>
  </w:p>
</w:ftr>
</file>

<file path=word/footer1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41D0C9">
    <w:pPr>
      <w:spacing w:line="176" w:lineRule="auto"/>
      <w:ind w:left="430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640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7" name="文本框 1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E5CA6F">
                          <w:pPr>
                            <w:pStyle w:val="2"/>
                          </w:pPr>
                          <w:r>
                            <w:fldChar w:fldCharType="begin"/>
                          </w:r>
                          <w:r>
                            <w:instrText xml:space="preserve"> PAGE  \* MERGEFORMAT </w:instrText>
                          </w:r>
                          <w:r>
                            <w:fldChar w:fldCharType="separate"/>
                          </w:r>
                          <w:r>
                            <w:t>195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640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KyRFo0AgAAZQ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CskRaNAIAAGUEAAAOAAAAAAAAAAEAIAAAAB8BAABkcnMvZTJvRG9jLnhtbFBL&#10;BQYAAAAABgAGAFkBAADFBQAAAAA=&#10;">
              <v:fill on="f" focussize="0,0"/>
              <v:stroke on="f" weight="0.5pt"/>
              <v:imagedata o:title=""/>
              <o:lock v:ext="edit" aspectratio="f"/>
              <v:textbox inset="0mm,0mm,0mm,0mm" style="mso-fit-shape-to-text:t;">
                <w:txbxContent>
                  <w:p w14:paraId="56E5CA6F">
                    <w:pPr>
                      <w:pStyle w:val="2"/>
                    </w:pPr>
                    <w:r>
                      <w:fldChar w:fldCharType="begin"/>
                    </w:r>
                    <w:r>
                      <w:instrText xml:space="preserve"> PAGE  \* MERGEFORMAT </w:instrText>
                    </w:r>
                    <w:r>
                      <w:fldChar w:fldCharType="separate"/>
                    </w:r>
                    <w:r>
                      <w:t>195</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B6159B">
    <w:pPr>
      <w:spacing w:line="176" w:lineRule="auto"/>
      <w:ind w:left="443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544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559C6A">
                          <w:pPr>
                            <w:pStyle w:val="2"/>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44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4C559C6A">
                    <w:pPr>
                      <w:pStyle w:val="2"/>
                    </w:pPr>
                    <w:r>
                      <w:fldChar w:fldCharType="begin"/>
                    </w:r>
                    <w:r>
                      <w:instrText xml:space="preserve"> PAGE  \* MERGEFORMAT </w:instrText>
                    </w:r>
                    <w:r>
                      <w:fldChar w:fldCharType="separate"/>
                    </w:r>
                    <w:r>
                      <w:t>34</w:t>
                    </w:r>
                    <w:r>
                      <w:fldChar w:fldCharType="end"/>
                    </w:r>
                  </w:p>
                </w:txbxContent>
              </v:textbox>
            </v:shape>
          </w:pict>
        </mc:Fallback>
      </mc:AlternateContent>
    </w:r>
    <w:r>
      <w:rPr>
        <w:rFonts w:ascii="Times New Roman" w:hAnsi="Times New Roman" w:eastAsia="Times New Roman" w:cs="Times New Roman"/>
        <w:spacing w:val="-2"/>
        <w:sz w:val="18"/>
        <w:szCs w:val="18"/>
      </w:rPr>
      <w:t>25</w:t>
    </w:r>
  </w:p>
</w:ftr>
</file>

<file path=word/footer1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0A2435">
    <w:pPr>
      <w:spacing w:line="176" w:lineRule="auto"/>
      <w:ind w:left="430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650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8" name="文本框 1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477B50">
                          <w:pPr>
                            <w:pStyle w:val="2"/>
                          </w:pPr>
                          <w:r>
                            <w:fldChar w:fldCharType="begin"/>
                          </w:r>
                          <w:r>
                            <w:instrText xml:space="preserve"> PAGE  \* MERGEFORMAT </w:instrText>
                          </w:r>
                          <w:r>
                            <w:fldChar w:fldCharType="separate"/>
                          </w:r>
                          <w:r>
                            <w:t>196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650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99rAQz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99rAQzAgAAZQQAAA4AAAAAAAAAAQAgAAAAHwEAAGRycy9lMm9Eb2MueG1sUEsF&#10;BgAAAAAGAAYAWQEAAMQFAAAAAA==&#10;">
              <v:fill on="f" focussize="0,0"/>
              <v:stroke on="f" weight="0.5pt"/>
              <v:imagedata o:title=""/>
              <o:lock v:ext="edit" aspectratio="f"/>
              <v:textbox inset="0mm,0mm,0mm,0mm" style="mso-fit-shape-to-text:t;">
                <w:txbxContent>
                  <w:p w14:paraId="6D477B50">
                    <w:pPr>
                      <w:pStyle w:val="2"/>
                    </w:pPr>
                    <w:r>
                      <w:fldChar w:fldCharType="begin"/>
                    </w:r>
                    <w:r>
                      <w:instrText xml:space="preserve"> PAGE  \* MERGEFORMAT </w:instrText>
                    </w:r>
                    <w:r>
                      <w:fldChar w:fldCharType="separate"/>
                    </w:r>
                    <w:r>
                      <w:t>196</w:t>
                    </w:r>
                    <w:r>
                      <w:fldChar w:fldCharType="end"/>
                    </w:r>
                  </w:p>
                </w:txbxContent>
              </v:textbox>
            </v:shape>
          </w:pict>
        </mc:Fallback>
      </mc:AlternateContent>
    </w:r>
  </w:p>
</w:ftr>
</file>

<file path=word/footer1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1F6D6B">
    <w:pPr>
      <w:spacing w:line="176" w:lineRule="auto"/>
      <w:ind w:left="430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661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9" name="文本框 1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FBA795">
                          <w:pPr>
                            <w:pStyle w:val="2"/>
                          </w:pPr>
                          <w:r>
                            <w:fldChar w:fldCharType="begin"/>
                          </w:r>
                          <w:r>
                            <w:instrText xml:space="preserve"> PAGE  \* MERGEFORMAT </w:instrText>
                          </w:r>
                          <w:r>
                            <w:fldChar w:fldCharType="separate"/>
                          </w:r>
                          <w:r>
                            <w:t>197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661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TBMpg0AgAAZQ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kwTKYNAIAAGUEAAAOAAAAAAAAAAEAIAAAAB8BAABkcnMvZTJvRG9jLnhtbFBL&#10;BQYAAAAABgAGAFkBAADFBQAAAAA=&#10;">
              <v:fill on="f" focussize="0,0"/>
              <v:stroke on="f" weight="0.5pt"/>
              <v:imagedata o:title=""/>
              <o:lock v:ext="edit" aspectratio="f"/>
              <v:textbox inset="0mm,0mm,0mm,0mm" style="mso-fit-shape-to-text:t;">
                <w:txbxContent>
                  <w:p w14:paraId="29FBA795">
                    <w:pPr>
                      <w:pStyle w:val="2"/>
                    </w:pPr>
                    <w:r>
                      <w:fldChar w:fldCharType="begin"/>
                    </w:r>
                    <w:r>
                      <w:instrText xml:space="preserve"> PAGE  \* MERGEFORMAT </w:instrText>
                    </w:r>
                    <w:r>
                      <w:fldChar w:fldCharType="separate"/>
                    </w:r>
                    <w:r>
                      <w:t>197</w:t>
                    </w:r>
                    <w:r>
                      <w:fldChar w:fldCharType="end"/>
                    </w:r>
                  </w:p>
                </w:txbxContent>
              </v:textbox>
            </v:shape>
          </w:pict>
        </mc:Fallback>
      </mc:AlternateContent>
    </w:r>
  </w:p>
</w:ftr>
</file>

<file path=word/footer1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CA8BE2">
    <w:pPr>
      <w:spacing w:line="176" w:lineRule="auto"/>
      <w:ind w:left="430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671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0" name="文本框 1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402812">
                          <w:pPr>
                            <w:pStyle w:val="2"/>
                          </w:pPr>
                          <w:r>
                            <w:fldChar w:fldCharType="begin"/>
                          </w:r>
                          <w:r>
                            <w:instrText xml:space="preserve"> PAGE  \* MERGEFORMAT </w:instrText>
                          </w:r>
                          <w:r>
                            <w:fldChar w:fldCharType="separate"/>
                          </w:r>
                          <w:r>
                            <w:t>198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671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ZyGFIz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ZyGFIzAgAAZQQAAA4AAAAAAAAAAQAgAAAAHwEAAGRycy9lMm9Eb2MueG1sUEsF&#10;BgAAAAAGAAYAWQEAAMQFAAAAAA==&#10;">
              <v:fill on="f" focussize="0,0"/>
              <v:stroke on="f" weight="0.5pt"/>
              <v:imagedata o:title=""/>
              <o:lock v:ext="edit" aspectratio="f"/>
              <v:textbox inset="0mm,0mm,0mm,0mm" style="mso-fit-shape-to-text:t;">
                <w:txbxContent>
                  <w:p w14:paraId="58402812">
                    <w:pPr>
                      <w:pStyle w:val="2"/>
                    </w:pPr>
                    <w:r>
                      <w:fldChar w:fldCharType="begin"/>
                    </w:r>
                    <w:r>
                      <w:instrText xml:space="preserve"> PAGE  \* MERGEFORMAT </w:instrText>
                    </w:r>
                    <w:r>
                      <w:fldChar w:fldCharType="separate"/>
                    </w:r>
                    <w:r>
                      <w:t>198</w:t>
                    </w:r>
                    <w:r>
                      <w:fldChar w:fldCharType="end"/>
                    </w:r>
                  </w:p>
                </w:txbxContent>
              </v:textbox>
            </v:shape>
          </w:pict>
        </mc:Fallback>
      </mc:AlternateContent>
    </w:r>
  </w:p>
</w:ftr>
</file>

<file path=word/footer1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A8F55E">
    <w:pPr>
      <w:spacing w:line="176" w:lineRule="auto"/>
      <w:ind w:left="430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681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1" name="文本框 1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4DC1E7">
                          <w:pPr>
                            <w:pStyle w:val="2"/>
                          </w:pPr>
                          <w:r>
                            <w:fldChar w:fldCharType="begin"/>
                          </w:r>
                          <w:r>
                            <w:instrText xml:space="preserve"> PAGE  \* MERGEFORMAT </w:instrText>
                          </w:r>
                          <w:r>
                            <w:fldChar w:fldCharType="separate"/>
                          </w:r>
                          <w:r>
                            <w:t>199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681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3Ohs4zAgAAZQ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3Ohs4zAgAAZQQAAA4AAAAAAAAAAQAgAAAAHwEAAGRycy9lMm9Eb2MueG1sUEsF&#10;BgAAAAAGAAYAWQEAAMQFAAAAAA==&#10;">
              <v:fill on="f" focussize="0,0"/>
              <v:stroke on="f" weight="0.5pt"/>
              <v:imagedata o:title=""/>
              <o:lock v:ext="edit" aspectratio="f"/>
              <v:textbox inset="0mm,0mm,0mm,0mm" style="mso-fit-shape-to-text:t;">
                <w:txbxContent>
                  <w:p w14:paraId="744DC1E7">
                    <w:pPr>
                      <w:pStyle w:val="2"/>
                    </w:pPr>
                    <w:r>
                      <w:fldChar w:fldCharType="begin"/>
                    </w:r>
                    <w:r>
                      <w:instrText xml:space="preserve"> PAGE  \* MERGEFORMAT </w:instrText>
                    </w:r>
                    <w:r>
                      <w:fldChar w:fldCharType="separate"/>
                    </w:r>
                    <w:r>
                      <w:t>199</w:t>
                    </w:r>
                    <w:r>
                      <w:fldChar w:fldCharType="end"/>
                    </w:r>
                  </w:p>
                </w:txbxContent>
              </v:textbox>
            </v:shape>
          </w:pict>
        </mc:Fallback>
      </mc:AlternateContent>
    </w:r>
  </w:p>
</w:ftr>
</file>

<file path=word/footer1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2BCCCB">
    <w:pPr>
      <w:spacing w:line="176" w:lineRule="auto"/>
      <w:ind w:left="430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691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2" name="文本框 1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274551">
                          <w:pPr>
                            <w:pStyle w:val="2"/>
                          </w:pPr>
                          <w:r>
                            <w:fldChar w:fldCharType="begin"/>
                          </w:r>
                          <w:r>
                            <w:instrText xml:space="preserve"> PAGE  \* MERGEFORMAT </w:instrText>
                          </w:r>
                          <w:r>
                            <w:fldChar w:fldCharType="separate"/>
                          </w:r>
                          <w:r>
                            <w:t>200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691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EMVLA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BDFSwNAIAAGUEAAAOAAAAAAAAAAEAIAAAAB8BAABkcnMvZTJvRG9jLnhtbFBL&#10;BQYAAAAABgAGAFkBAADFBQAAAAA=&#10;">
              <v:fill on="f" focussize="0,0"/>
              <v:stroke on="f" weight="0.5pt"/>
              <v:imagedata o:title=""/>
              <o:lock v:ext="edit" aspectratio="f"/>
              <v:textbox inset="0mm,0mm,0mm,0mm" style="mso-fit-shape-to-text:t;">
                <w:txbxContent>
                  <w:p w14:paraId="5F274551">
                    <w:pPr>
                      <w:pStyle w:val="2"/>
                    </w:pPr>
                    <w:r>
                      <w:fldChar w:fldCharType="begin"/>
                    </w:r>
                    <w:r>
                      <w:instrText xml:space="preserve"> PAGE  \* MERGEFORMAT </w:instrText>
                    </w:r>
                    <w:r>
                      <w:fldChar w:fldCharType="separate"/>
                    </w:r>
                    <w:r>
                      <w:t>200</w:t>
                    </w:r>
                    <w:r>
                      <w:fldChar w:fldCharType="end"/>
                    </w:r>
                  </w:p>
                </w:txbxContent>
              </v:textbox>
            </v:shape>
          </w:pict>
        </mc:Fallback>
      </mc:AlternateContent>
    </w:r>
  </w:p>
</w:ftr>
</file>

<file path=word/footer1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A9E93D">
    <w:pPr>
      <w:spacing w:line="176" w:lineRule="auto"/>
      <w:ind w:left="430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702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3" name="文本框 1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71F427">
                          <w:pPr>
                            <w:pStyle w:val="2"/>
                          </w:pPr>
                          <w:r>
                            <w:fldChar w:fldCharType="begin"/>
                          </w:r>
                          <w:r>
                            <w:instrText xml:space="preserve"> PAGE  \* MERGEFORMAT </w:instrText>
                          </w:r>
                          <w:r>
                            <w:fldChar w:fldCharType="separate"/>
                          </w:r>
                          <w:r>
                            <w:t>201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702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qwyiw0AgAAZQ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qsMosNAIAAGUEAAAOAAAAAAAAAAEAIAAAAB8BAABkcnMvZTJvRG9jLnhtbFBL&#10;BQYAAAAABgAGAFkBAADFBQAAAAA=&#10;">
              <v:fill on="f" focussize="0,0"/>
              <v:stroke on="f" weight="0.5pt"/>
              <v:imagedata o:title=""/>
              <o:lock v:ext="edit" aspectratio="f"/>
              <v:textbox inset="0mm,0mm,0mm,0mm" style="mso-fit-shape-to-text:t;">
                <w:txbxContent>
                  <w:p w14:paraId="7D71F427">
                    <w:pPr>
                      <w:pStyle w:val="2"/>
                    </w:pPr>
                    <w:r>
                      <w:fldChar w:fldCharType="begin"/>
                    </w:r>
                    <w:r>
                      <w:instrText xml:space="preserve"> PAGE  \* MERGEFORMAT </w:instrText>
                    </w:r>
                    <w:r>
                      <w:fldChar w:fldCharType="separate"/>
                    </w:r>
                    <w:r>
                      <w:t>201</w:t>
                    </w:r>
                    <w:r>
                      <w:fldChar w:fldCharType="end"/>
                    </w:r>
                  </w:p>
                </w:txbxContent>
              </v:textbox>
            </v:shape>
          </w:pict>
        </mc:Fallback>
      </mc:AlternateContent>
    </w:r>
  </w:p>
</w:ftr>
</file>

<file path=word/footer1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980899">
    <w:pPr>
      <w:spacing w:line="176" w:lineRule="auto"/>
      <w:ind w:left="444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712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4" name="文本框 1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438DC3">
                          <w:pPr>
                            <w:pStyle w:val="2"/>
                          </w:pPr>
                          <w:r>
                            <w:fldChar w:fldCharType="begin"/>
                          </w:r>
                          <w:r>
                            <w:instrText xml:space="preserve"> PAGE  \* MERGEFORMAT </w:instrText>
                          </w:r>
                          <w:r>
                            <w:fldChar w:fldCharType="separate"/>
                          </w:r>
                          <w:r>
                            <w:t>202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712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mJ8U00AgAAZ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5ifFNNAIAAGUEAAAOAAAAAAAAAAEAIAAAAB8BAABkcnMvZTJvRG9jLnhtbFBL&#10;BQYAAAAABgAGAFkBAADFBQAAAAA=&#10;">
              <v:fill on="f" focussize="0,0"/>
              <v:stroke on="f" weight="0.5pt"/>
              <v:imagedata o:title=""/>
              <o:lock v:ext="edit" aspectratio="f"/>
              <v:textbox inset="0mm,0mm,0mm,0mm" style="mso-fit-shape-to-text:t;">
                <w:txbxContent>
                  <w:p w14:paraId="20438DC3">
                    <w:pPr>
                      <w:pStyle w:val="2"/>
                    </w:pPr>
                    <w:r>
                      <w:fldChar w:fldCharType="begin"/>
                    </w:r>
                    <w:r>
                      <w:instrText xml:space="preserve"> PAGE  \* MERGEFORMAT </w:instrText>
                    </w:r>
                    <w:r>
                      <w:fldChar w:fldCharType="separate"/>
                    </w:r>
                    <w:r>
                      <w:t>202</w:t>
                    </w:r>
                    <w:r>
                      <w:fldChar w:fldCharType="end"/>
                    </w:r>
                  </w:p>
                </w:txbxContent>
              </v:textbox>
            </v:shape>
          </w:pict>
        </mc:Fallback>
      </mc:AlternateContent>
    </w:r>
  </w:p>
</w:ftr>
</file>

<file path=word/footer1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D37D33">
    <w:pPr>
      <w:spacing w:line="176" w:lineRule="auto"/>
      <w:ind w:left="430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722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5" name="文本框 1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5046D5">
                          <w:pPr>
                            <w:pStyle w:val="2"/>
                          </w:pPr>
                          <w:r>
                            <w:fldChar w:fldCharType="begin"/>
                          </w:r>
                          <w:r>
                            <w:instrText xml:space="preserve"> PAGE  \* MERGEFORMAT </w:instrText>
                          </w:r>
                          <w:r>
                            <w:fldChar w:fldCharType="separate"/>
                          </w:r>
                          <w:r>
                            <w:t>203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722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I1b9E0AgAAZQ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SNW/RNAIAAGUEAAAOAAAAAAAAAAEAIAAAAB8BAABkcnMvZTJvRG9jLnhtbFBL&#10;BQYAAAAABgAGAFkBAADFBQAAAAA=&#10;">
              <v:fill on="f" focussize="0,0"/>
              <v:stroke on="f" weight="0.5pt"/>
              <v:imagedata o:title=""/>
              <o:lock v:ext="edit" aspectratio="f"/>
              <v:textbox inset="0mm,0mm,0mm,0mm" style="mso-fit-shape-to-text:t;">
                <w:txbxContent>
                  <w:p w14:paraId="305046D5">
                    <w:pPr>
                      <w:pStyle w:val="2"/>
                    </w:pPr>
                    <w:r>
                      <w:fldChar w:fldCharType="begin"/>
                    </w:r>
                    <w:r>
                      <w:instrText xml:space="preserve"> PAGE  \* MERGEFORMAT </w:instrText>
                    </w:r>
                    <w:r>
                      <w:fldChar w:fldCharType="separate"/>
                    </w:r>
                    <w:r>
                      <w:t>203</w:t>
                    </w:r>
                    <w:r>
                      <w:fldChar w:fldCharType="end"/>
                    </w:r>
                  </w:p>
                </w:txbxContent>
              </v:textbox>
            </v:shape>
          </w:pict>
        </mc:Fallback>
      </mc:AlternateContent>
    </w:r>
  </w:p>
</w:ftr>
</file>

<file path=word/footer1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F6586F">
    <w:pPr>
      <w:spacing w:line="176" w:lineRule="auto"/>
      <w:ind w:left="430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732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6" name="文本框 1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530032">
                          <w:pPr>
                            <w:pStyle w:val="2"/>
                          </w:pPr>
                          <w:r>
                            <w:fldChar w:fldCharType="begin"/>
                          </w:r>
                          <w:r>
                            <w:instrText xml:space="preserve"> PAGE  \* MERGEFORMAT </w:instrText>
                          </w:r>
                          <w:r>
                            <w:fldChar w:fldCharType="separate"/>
                          </w:r>
                          <w:r>
                            <w:t>204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732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73va8zAgAAZQ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73va8zAgAAZQQAAA4AAAAAAAAAAQAgAAAAHwEAAGRycy9lMm9Eb2MueG1sUEsF&#10;BgAAAAAGAAYAWQEAAMQFAAAAAA==&#10;">
              <v:fill on="f" focussize="0,0"/>
              <v:stroke on="f" weight="0.5pt"/>
              <v:imagedata o:title=""/>
              <o:lock v:ext="edit" aspectratio="f"/>
              <v:textbox inset="0mm,0mm,0mm,0mm" style="mso-fit-shape-to-text:t;">
                <w:txbxContent>
                  <w:p w14:paraId="46530032">
                    <w:pPr>
                      <w:pStyle w:val="2"/>
                    </w:pPr>
                    <w:r>
                      <w:fldChar w:fldCharType="begin"/>
                    </w:r>
                    <w:r>
                      <w:instrText xml:space="preserve"> PAGE  \* MERGEFORMAT </w:instrText>
                    </w:r>
                    <w:r>
                      <w:fldChar w:fldCharType="separate"/>
                    </w:r>
                    <w:r>
                      <w:t>204</w:t>
                    </w:r>
                    <w:r>
                      <w:fldChar w:fldCharType="end"/>
                    </w:r>
                  </w:p>
                </w:txbxContent>
              </v:textbox>
            </v:shape>
          </w:pict>
        </mc:Fallback>
      </mc:AlternateContent>
    </w:r>
  </w:p>
</w:ftr>
</file>

<file path=word/footer1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BBF54A">
    <w:pPr>
      <w:spacing w:line="176" w:lineRule="auto"/>
      <w:ind w:left="444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743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7" name="文本框 1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481352">
                          <w:pPr>
                            <w:pStyle w:val="2"/>
                          </w:pPr>
                          <w:r>
                            <w:fldChar w:fldCharType="begin"/>
                          </w:r>
                          <w:r>
                            <w:instrText xml:space="preserve"> PAGE  \* MERGEFORMAT </w:instrText>
                          </w:r>
                          <w:r>
                            <w:fldChar w:fldCharType="separate"/>
                          </w:r>
                          <w:r>
                            <w:t>213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743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VLIzM0AgAAZQ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FSyMzNAIAAGUEAAAOAAAAAAAAAAEAIAAAAB8BAABkcnMvZTJvRG9jLnhtbFBL&#10;BQYAAAAABgAGAFkBAADFBQAAAAA=&#10;">
              <v:fill on="f" focussize="0,0"/>
              <v:stroke on="f" weight="0.5pt"/>
              <v:imagedata o:title=""/>
              <o:lock v:ext="edit" aspectratio="f"/>
              <v:textbox inset="0mm,0mm,0mm,0mm" style="mso-fit-shape-to-text:t;">
                <w:txbxContent>
                  <w:p w14:paraId="17481352">
                    <w:pPr>
                      <w:pStyle w:val="2"/>
                    </w:pPr>
                    <w:r>
                      <w:fldChar w:fldCharType="begin"/>
                    </w:r>
                    <w:r>
                      <w:instrText xml:space="preserve"> PAGE  \* MERGEFORMAT </w:instrText>
                    </w:r>
                    <w:r>
                      <w:fldChar w:fldCharType="separate"/>
                    </w:r>
                    <w:r>
                      <w:t>213</w:t>
                    </w:r>
                    <w:r>
                      <w:fldChar w:fldCharType="end"/>
                    </w:r>
                  </w:p>
                </w:txbxContent>
              </v:textbox>
            </v:shape>
          </w:pict>
        </mc:Fallback>
      </mc:AlternateContent>
    </w:r>
    <w:r>
      <w:rPr>
        <w:rFonts w:ascii="Times New Roman" w:hAnsi="Times New Roman" w:eastAsia="Times New Roman" w:cs="Times New Roman"/>
        <w:spacing w:val="-7"/>
        <w:sz w:val="18"/>
        <w:szCs w:val="18"/>
      </w:rPr>
      <w:t>179</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665B8F">
    <w:pPr>
      <w:spacing w:line="176" w:lineRule="auto"/>
      <w:ind w:left="433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555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19824D">
                          <w:pPr>
                            <w:pStyle w:val="2"/>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55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4519824D">
                    <w:pPr>
                      <w:pStyle w:val="2"/>
                    </w:pPr>
                    <w:r>
                      <w:fldChar w:fldCharType="begin"/>
                    </w:r>
                    <w:r>
                      <w:instrText xml:space="preserve"> PAGE  \* MERGEFORMAT </w:instrText>
                    </w:r>
                    <w:r>
                      <w:fldChar w:fldCharType="separate"/>
                    </w:r>
                    <w:r>
                      <w:t>38</w:t>
                    </w:r>
                    <w:r>
                      <w:fldChar w:fldCharType="end"/>
                    </w:r>
                  </w:p>
                </w:txbxContent>
              </v:textbox>
            </v:shape>
          </w:pict>
        </mc:Fallback>
      </mc:AlternateContent>
    </w:r>
    <w:r>
      <w:rPr>
        <w:rFonts w:ascii="Times New Roman" w:hAnsi="Times New Roman" w:eastAsia="Times New Roman" w:cs="Times New Roman"/>
        <w:spacing w:val="-4"/>
        <w:sz w:val="18"/>
        <w:szCs w:val="18"/>
      </w:rPr>
      <w:t>34</w:t>
    </w:r>
  </w:p>
</w:ftr>
</file>

<file path=word/footer1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315E0">
    <w:pPr>
      <w:spacing w:line="176" w:lineRule="auto"/>
      <w:ind w:left="430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753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8" name="文本框 1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AFD021">
                          <w:pPr>
                            <w:pStyle w:val="2"/>
                          </w:pPr>
                          <w:r>
                            <w:fldChar w:fldCharType="begin"/>
                          </w:r>
                          <w:r>
                            <w:instrText xml:space="preserve"> PAGE  \* MERGEFORMAT </w:instrText>
                          </w:r>
                          <w:r>
                            <w:fldChar w:fldCharType="separate"/>
                          </w:r>
                          <w:r>
                            <w:t>214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753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iEy20z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iEy20zAgAAZQQAAA4AAAAAAAAAAQAgAAAAHwEAAGRycy9lMm9Eb2MueG1sUEsF&#10;BgAAAAAGAAYAWQEAAMQFAAAAAA==&#10;">
              <v:fill on="f" focussize="0,0"/>
              <v:stroke on="f" weight="0.5pt"/>
              <v:imagedata o:title=""/>
              <o:lock v:ext="edit" aspectratio="f"/>
              <v:textbox inset="0mm,0mm,0mm,0mm" style="mso-fit-shape-to-text:t;">
                <w:txbxContent>
                  <w:p w14:paraId="34AFD021">
                    <w:pPr>
                      <w:pStyle w:val="2"/>
                    </w:pPr>
                    <w:r>
                      <w:fldChar w:fldCharType="begin"/>
                    </w:r>
                    <w:r>
                      <w:instrText xml:space="preserve"> PAGE  \* MERGEFORMAT </w:instrText>
                    </w:r>
                    <w:r>
                      <w:fldChar w:fldCharType="separate"/>
                    </w:r>
                    <w:r>
                      <w:t>214</w:t>
                    </w:r>
                    <w:r>
                      <w:fldChar w:fldCharType="end"/>
                    </w:r>
                  </w:p>
                </w:txbxContent>
              </v:textbox>
            </v:shape>
          </w:pict>
        </mc:Fallback>
      </mc:AlternateContent>
    </w:r>
    <w:r>
      <w:rPr>
        <w:rFonts w:ascii="Times New Roman" w:hAnsi="Times New Roman" w:eastAsia="Times New Roman" w:cs="Times New Roman"/>
        <w:spacing w:val="-7"/>
        <w:sz w:val="18"/>
        <w:szCs w:val="18"/>
      </w:rPr>
      <w:t>180</w:t>
    </w:r>
  </w:p>
</w:ftr>
</file>

<file path=word/footer1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EDFE8C">
    <w:pPr>
      <w:spacing w:line="176" w:lineRule="auto"/>
      <w:ind w:left="430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763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9" name="文本框 1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228FDA">
                          <w:pPr>
                            <w:pStyle w:val="2"/>
                          </w:pPr>
                          <w:r>
                            <w:fldChar w:fldCharType="begin"/>
                          </w:r>
                          <w:r>
                            <w:instrText xml:space="preserve"> PAGE  \* MERGEFORMAT </w:instrText>
                          </w:r>
                          <w:r>
                            <w:fldChar w:fldCharType="separate"/>
                          </w:r>
                          <w:r>
                            <w:t>215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763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4VfE0AgAAZQ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jOFXxNAIAAGUEAAAOAAAAAAAAAAEAIAAAAB8BAABkcnMvZTJvRG9jLnhtbFBL&#10;BQYAAAAABgAGAFkBAADFBQAAAAA=&#10;">
              <v:fill on="f" focussize="0,0"/>
              <v:stroke on="f" weight="0.5pt"/>
              <v:imagedata o:title=""/>
              <o:lock v:ext="edit" aspectratio="f"/>
              <v:textbox inset="0mm,0mm,0mm,0mm" style="mso-fit-shape-to-text:t;">
                <w:txbxContent>
                  <w:p w14:paraId="19228FDA">
                    <w:pPr>
                      <w:pStyle w:val="2"/>
                    </w:pPr>
                    <w:r>
                      <w:fldChar w:fldCharType="begin"/>
                    </w:r>
                    <w:r>
                      <w:instrText xml:space="preserve"> PAGE  \* MERGEFORMAT </w:instrText>
                    </w:r>
                    <w:r>
                      <w:fldChar w:fldCharType="separate"/>
                    </w:r>
                    <w:r>
                      <w:t>215</w:t>
                    </w:r>
                    <w:r>
                      <w:fldChar w:fldCharType="end"/>
                    </w:r>
                  </w:p>
                </w:txbxContent>
              </v:textbox>
            </v:shape>
          </w:pict>
        </mc:Fallback>
      </mc:AlternateContent>
    </w:r>
    <w:r>
      <w:rPr>
        <w:rFonts w:ascii="Times New Roman" w:hAnsi="Times New Roman" w:eastAsia="Times New Roman" w:cs="Times New Roman"/>
        <w:spacing w:val="-7"/>
        <w:sz w:val="18"/>
        <w:szCs w:val="18"/>
      </w:rPr>
      <w:t>181</w:t>
    </w:r>
  </w:p>
</w:ftr>
</file>

<file path=word/footer1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1C06B">
    <w:pPr>
      <w:spacing w:line="176" w:lineRule="auto"/>
      <w:ind w:left="444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773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0" name="文本框 1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D863F1">
                          <w:pPr>
                            <w:pStyle w:val="2"/>
                          </w:pPr>
                          <w:r>
                            <w:fldChar w:fldCharType="begin"/>
                          </w:r>
                          <w:r>
                            <w:instrText xml:space="preserve"> PAGE  \* MERGEFORMAT </w:instrText>
                          </w:r>
                          <w:r>
                            <w:fldChar w:fldCharType="separate"/>
                          </w:r>
                          <w:r>
                            <w:t>216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773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6VOSIMQIAAGUEAAAOAAAAAAAAAAEAIAAAAB8BAABkcnMvZTJvRG9jLnhtbFBLBQYA&#10;AAAABgAGAFkBAADCBQAAAAA=&#10;">
              <v:fill on="f" focussize="0,0"/>
              <v:stroke on="f" weight="0.5pt"/>
              <v:imagedata o:title=""/>
              <o:lock v:ext="edit" aspectratio="f"/>
              <v:textbox inset="0mm,0mm,0mm,0mm" style="mso-fit-shape-to-text:t;">
                <w:txbxContent>
                  <w:p w14:paraId="4AD863F1">
                    <w:pPr>
                      <w:pStyle w:val="2"/>
                    </w:pPr>
                    <w:r>
                      <w:fldChar w:fldCharType="begin"/>
                    </w:r>
                    <w:r>
                      <w:instrText xml:space="preserve"> PAGE  \* MERGEFORMAT </w:instrText>
                    </w:r>
                    <w:r>
                      <w:fldChar w:fldCharType="separate"/>
                    </w:r>
                    <w:r>
                      <w:t>216</w:t>
                    </w:r>
                    <w:r>
                      <w:fldChar w:fldCharType="end"/>
                    </w:r>
                  </w:p>
                </w:txbxContent>
              </v:textbox>
            </v:shape>
          </w:pict>
        </mc:Fallback>
      </mc:AlternateContent>
    </w:r>
    <w:r>
      <w:rPr>
        <w:rFonts w:ascii="Times New Roman" w:hAnsi="Times New Roman" w:eastAsia="Times New Roman" w:cs="Times New Roman"/>
        <w:spacing w:val="-7"/>
        <w:sz w:val="18"/>
        <w:szCs w:val="18"/>
      </w:rPr>
      <w:t>182</w:t>
    </w:r>
  </w:p>
</w:ftr>
</file>

<file path=word/footer1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5C19DB">
    <w:pPr>
      <w:spacing w:line="176" w:lineRule="auto"/>
      <w:ind w:left="430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784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1" name="文本框 1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B60133">
                          <w:pPr>
                            <w:pStyle w:val="2"/>
                          </w:pPr>
                          <w:r>
                            <w:fldChar w:fldCharType="begin"/>
                          </w:r>
                          <w:r>
                            <w:instrText xml:space="preserve"> PAGE  \* MERGEFORMAT </w:instrText>
                          </w:r>
                          <w:r>
                            <w:fldChar w:fldCharType="separate"/>
                          </w:r>
                          <w:r>
                            <w:t>217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784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oehQzAgAAZQQAAA4AAABkcnMvZTJvRG9jLnhtbK1UzY7TMBC+I/EO&#10;lu80bdGu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HoehQzAgAAZQQAAA4AAAAAAAAAAQAgAAAAHwEAAGRycy9lMm9Eb2MueG1sUEsF&#10;BgAAAAAGAAYAWQEAAMQFAAAAAA==&#10;">
              <v:fill on="f" focussize="0,0"/>
              <v:stroke on="f" weight="0.5pt"/>
              <v:imagedata o:title=""/>
              <o:lock v:ext="edit" aspectratio="f"/>
              <v:textbox inset="0mm,0mm,0mm,0mm" style="mso-fit-shape-to-text:t;">
                <w:txbxContent>
                  <w:p w14:paraId="56B60133">
                    <w:pPr>
                      <w:pStyle w:val="2"/>
                    </w:pPr>
                    <w:r>
                      <w:fldChar w:fldCharType="begin"/>
                    </w:r>
                    <w:r>
                      <w:instrText xml:space="preserve"> PAGE  \* MERGEFORMAT </w:instrText>
                    </w:r>
                    <w:r>
                      <w:fldChar w:fldCharType="separate"/>
                    </w:r>
                    <w:r>
                      <w:t>217</w:t>
                    </w:r>
                    <w:r>
                      <w:fldChar w:fldCharType="end"/>
                    </w:r>
                  </w:p>
                </w:txbxContent>
              </v:textbox>
            </v:shape>
          </w:pict>
        </mc:Fallback>
      </mc:AlternateContent>
    </w:r>
    <w:r>
      <w:rPr>
        <w:rFonts w:ascii="Times New Roman" w:hAnsi="Times New Roman" w:eastAsia="Times New Roman" w:cs="Times New Roman"/>
        <w:spacing w:val="-7"/>
        <w:sz w:val="18"/>
        <w:szCs w:val="18"/>
      </w:rPr>
      <w:t>183</w:t>
    </w:r>
  </w:p>
</w:ftr>
</file>

<file path=word/footer1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511BB1">
    <w:pPr>
      <w:spacing w:line="176" w:lineRule="auto"/>
      <w:ind w:left="444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794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2" name="文本框 1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734087">
                          <w:pPr>
                            <w:pStyle w:val="2"/>
                          </w:pPr>
                          <w:r>
                            <w:fldChar w:fldCharType="begin"/>
                          </w:r>
                          <w:r>
                            <w:instrText xml:space="preserve"> PAGE  \* MERGEFORMAT </w:instrText>
                          </w:r>
                          <w:r>
                            <w:fldChar w:fldCharType="separate"/>
                          </w:r>
                          <w:r>
                            <w:t>218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794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0qqGozAgAAZQ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0qqGozAgAAZQQAAA4AAAAAAAAAAQAgAAAAHwEAAGRycy9lMm9Eb2MueG1sUEsF&#10;BgAAAAAGAAYAWQEAAMQFAAAAAA==&#10;">
              <v:fill on="f" focussize="0,0"/>
              <v:stroke on="f" weight="0.5pt"/>
              <v:imagedata o:title=""/>
              <o:lock v:ext="edit" aspectratio="f"/>
              <v:textbox inset="0mm,0mm,0mm,0mm" style="mso-fit-shape-to-text:t;">
                <w:txbxContent>
                  <w:p w14:paraId="66734087">
                    <w:pPr>
                      <w:pStyle w:val="2"/>
                    </w:pPr>
                    <w:r>
                      <w:fldChar w:fldCharType="begin"/>
                    </w:r>
                    <w:r>
                      <w:instrText xml:space="preserve"> PAGE  \* MERGEFORMAT </w:instrText>
                    </w:r>
                    <w:r>
                      <w:fldChar w:fldCharType="separate"/>
                    </w:r>
                    <w:r>
                      <w:t>218</w:t>
                    </w:r>
                    <w:r>
                      <w:fldChar w:fldCharType="end"/>
                    </w:r>
                  </w:p>
                </w:txbxContent>
              </v:textbox>
            </v:shape>
          </w:pict>
        </mc:Fallback>
      </mc:AlternateContent>
    </w:r>
    <w:r>
      <w:rPr>
        <w:rFonts w:ascii="Times New Roman" w:hAnsi="Times New Roman" w:eastAsia="Times New Roman" w:cs="Times New Roman"/>
        <w:spacing w:val="-7"/>
        <w:sz w:val="18"/>
        <w:szCs w:val="18"/>
      </w:rPr>
      <w:t>184</w:t>
    </w:r>
  </w:p>
</w:ftr>
</file>

<file path=word/footer1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A3DDC6">
    <w:pPr>
      <w:spacing w:line="176" w:lineRule="auto"/>
      <w:ind w:left="430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804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3" name="文本框 1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176321">
                          <w:pPr>
                            <w:pStyle w:val="2"/>
                          </w:pPr>
                          <w:r>
                            <w:fldChar w:fldCharType="begin"/>
                          </w:r>
                          <w:r>
                            <w:instrText xml:space="preserve"> PAGE  \* MERGEFORMAT </w:instrText>
                          </w:r>
                          <w:r>
                            <w:fldChar w:fldCharType="separate"/>
                          </w:r>
                          <w:r>
                            <w:t>219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804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aWNvY0AgAAZQ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Gljb2NAIAAGUEAAAOAAAAAAAAAAEAIAAAAB8BAABkcnMvZTJvRG9jLnhtbFBL&#10;BQYAAAAABgAGAFkBAADFBQAAAAA=&#10;">
              <v:fill on="f" focussize="0,0"/>
              <v:stroke on="f" weight="0.5pt"/>
              <v:imagedata o:title=""/>
              <o:lock v:ext="edit" aspectratio="f"/>
              <v:textbox inset="0mm,0mm,0mm,0mm" style="mso-fit-shape-to-text:t;">
                <w:txbxContent>
                  <w:p w14:paraId="58176321">
                    <w:pPr>
                      <w:pStyle w:val="2"/>
                    </w:pPr>
                    <w:r>
                      <w:fldChar w:fldCharType="begin"/>
                    </w:r>
                    <w:r>
                      <w:instrText xml:space="preserve"> PAGE  \* MERGEFORMAT </w:instrText>
                    </w:r>
                    <w:r>
                      <w:fldChar w:fldCharType="separate"/>
                    </w:r>
                    <w:r>
                      <w:t>219</w:t>
                    </w:r>
                    <w:r>
                      <w:fldChar w:fldCharType="end"/>
                    </w:r>
                  </w:p>
                </w:txbxContent>
              </v:textbox>
            </v:shape>
          </w:pict>
        </mc:Fallback>
      </mc:AlternateContent>
    </w:r>
    <w:r>
      <w:rPr>
        <w:rFonts w:ascii="Times New Roman" w:hAnsi="Times New Roman" w:eastAsia="Times New Roman" w:cs="Times New Roman"/>
        <w:spacing w:val="-7"/>
        <w:sz w:val="18"/>
        <w:szCs w:val="18"/>
      </w:rPr>
      <w:t>185</w:t>
    </w:r>
  </w:p>
</w:ftr>
</file>

<file path=word/footer1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82834B">
    <w:pPr>
      <w:spacing w:line="176" w:lineRule="auto"/>
      <w:ind w:left="430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814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4" name="文本框 1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ECAA8D">
                          <w:pPr>
                            <w:pStyle w:val="2"/>
                          </w:pPr>
                          <w:r>
                            <w:fldChar w:fldCharType="begin"/>
                          </w:r>
                          <w:r>
                            <w:instrText xml:space="preserve"> PAGE  \* MERGEFORMAT </w:instrText>
                          </w:r>
                          <w:r>
                            <w:fldChar w:fldCharType="separate"/>
                          </w:r>
                          <w:r>
                            <w:t>220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814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WvDZc0AgAAZQ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Vrw2XNAIAAGUEAAAOAAAAAAAAAAEAIAAAAB8BAABkcnMvZTJvRG9jLnhtbFBL&#10;BQYAAAAABgAGAFkBAADFBQAAAAA=&#10;">
              <v:fill on="f" focussize="0,0"/>
              <v:stroke on="f" weight="0.5pt"/>
              <v:imagedata o:title=""/>
              <o:lock v:ext="edit" aspectratio="f"/>
              <v:textbox inset="0mm,0mm,0mm,0mm" style="mso-fit-shape-to-text:t;">
                <w:txbxContent>
                  <w:p w14:paraId="51ECAA8D">
                    <w:pPr>
                      <w:pStyle w:val="2"/>
                    </w:pPr>
                    <w:r>
                      <w:fldChar w:fldCharType="begin"/>
                    </w:r>
                    <w:r>
                      <w:instrText xml:space="preserve"> PAGE  \* MERGEFORMAT </w:instrText>
                    </w:r>
                    <w:r>
                      <w:fldChar w:fldCharType="separate"/>
                    </w:r>
                    <w:r>
                      <w:t>220</w:t>
                    </w:r>
                    <w:r>
                      <w:fldChar w:fldCharType="end"/>
                    </w:r>
                  </w:p>
                </w:txbxContent>
              </v:textbox>
            </v:shape>
          </w:pict>
        </mc:Fallback>
      </mc:AlternateContent>
    </w:r>
    <w:r>
      <w:rPr>
        <w:rFonts w:ascii="Times New Roman" w:hAnsi="Times New Roman" w:eastAsia="Times New Roman" w:cs="Times New Roman"/>
        <w:spacing w:val="-7"/>
        <w:sz w:val="18"/>
        <w:szCs w:val="18"/>
      </w:rPr>
      <w:t>186</w:t>
    </w:r>
  </w:p>
</w:ftr>
</file>

<file path=word/footer1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671CCE">
    <w:pPr>
      <w:spacing w:line="176" w:lineRule="auto"/>
      <w:ind w:left="430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824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5" name="文本框 1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18DE8C">
                          <w:pPr>
                            <w:pStyle w:val="2"/>
                          </w:pPr>
                          <w:r>
                            <w:fldChar w:fldCharType="begin"/>
                          </w:r>
                          <w:r>
                            <w:instrText xml:space="preserve"> PAGE  \* MERGEFORMAT </w:instrText>
                          </w:r>
                          <w:r>
                            <w:fldChar w:fldCharType="separate"/>
                          </w:r>
                          <w:r>
                            <w:t>221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824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4TkwszAgAAZ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4TkwszAgAAZQQAAA4AAAAAAAAAAQAgAAAAHwEAAGRycy9lMm9Eb2MueG1sUEsF&#10;BgAAAAAGAAYAWQEAAMQFAAAAAA==&#10;">
              <v:fill on="f" focussize="0,0"/>
              <v:stroke on="f" weight="0.5pt"/>
              <v:imagedata o:title=""/>
              <o:lock v:ext="edit" aspectratio="f"/>
              <v:textbox inset="0mm,0mm,0mm,0mm" style="mso-fit-shape-to-text:t;">
                <w:txbxContent>
                  <w:p w14:paraId="4818DE8C">
                    <w:pPr>
                      <w:pStyle w:val="2"/>
                    </w:pPr>
                    <w:r>
                      <w:fldChar w:fldCharType="begin"/>
                    </w:r>
                    <w:r>
                      <w:instrText xml:space="preserve"> PAGE  \* MERGEFORMAT </w:instrText>
                    </w:r>
                    <w:r>
                      <w:fldChar w:fldCharType="separate"/>
                    </w:r>
                    <w:r>
                      <w:t>221</w:t>
                    </w:r>
                    <w:r>
                      <w:fldChar w:fldCharType="end"/>
                    </w:r>
                  </w:p>
                </w:txbxContent>
              </v:textbox>
            </v:shape>
          </w:pict>
        </mc:Fallback>
      </mc:AlternateContent>
    </w:r>
    <w:r>
      <w:rPr>
        <w:rFonts w:ascii="Times New Roman" w:hAnsi="Times New Roman" w:eastAsia="Times New Roman" w:cs="Times New Roman"/>
        <w:spacing w:val="-7"/>
        <w:sz w:val="18"/>
        <w:szCs w:val="18"/>
      </w:rPr>
      <w:t>187</w:t>
    </w:r>
  </w:p>
</w:ftr>
</file>

<file path=word/footer1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E08D33">
    <w:pPr>
      <w:spacing w:line="176" w:lineRule="auto"/>
      <w:ind w:left="468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835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6" name="文本框 1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8B2CE2">
                          <w:pPr>
                            <w:pStyle w:val="2"/>
                          </w:pPr>
                          <w:r>
                            <w:fldChar w:fldCharType="begin"/>
                          </w:r>
                          <w:r>
                            <w:instrText xml:space="preserve"> PAGE  \* MERGEFORMAT </w:instrText>
                          </w:r>
                          <w:r>
                            <w:fldChar w:fldCharType="separate"/>
                          </w:r>
                          <w:r>
                            <w:t>222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835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LRQXUzAgAAZQQAAA4AAABkcnMvZTJvRG9jLnhtbK1UzY7TMBC+I/EO&#10;lu80adFW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LRQXUzAgAAZQQAAA4AAAAAAAAAAQAgAAAAHwEAAGRycy9lMm9Eb2MueG1sUEsF&#10;BgAAAAAGAAYAWQEAAMQFAAAAAA==&#10;">
              <v:fill on="f" focussize="0,0"/>
              <v:stroke on="f" weight="0.5pt"/>
              <v:imagedata o:title=""/>
              <o:lock v:ext="edit" aspectratio="f"/>
              <v:textbox inset="0mm,0mm,0mm,0mm" style="mso-fit-shape-to-text:t;">
                <w:txbxContent>
                  <w:p w14:paraId="758B2CE2">
                    <w:pPr>
                      <w:pStyle w:val="2"/>
                    </w:pPr>
                    <w:r>
                      <w:fldChar w:fldCharType="begin"/>
                    </w:r>
                    <w:r>
                      <w:instrText xml:space="preserve"> PAGE  \* MERGEFORMAT </w:instrText>
                    </w:r>
                    <w:r>
                      <w:fldChar w:fldCharType="separate"/>
                    </w:r>
                    <w:r>
                      <w:t>222</w:t>
                    </w:r>
                    <w:r>
                      <w:fldChar w:fldCharType="end"/>
                    </w:r>
                  </w:p>
                </w:txbxContent>
              </v:textbox>
            </v:shape>
          </w:pict>
        </mc:Fallback>
      </mc:AlternateContent>
    </w:r>
    <w:r>
      <w:rPr>
        <w:rFonts w:ascii="Times New Roman" w:hAnsi="Times New Roman" w:eastAsia="Times New Roman" w:cs="Times New Roman"/>
        <w:spacing w:val="-7"/>
        <w:sz w:val="18"/>
        <w:szCs w:val="18"/>
      </w:rPr>
      <w:t>188</w:t>
    </w:r>
  </w:p>
</w:ftr>
</file>

<file path=word/footer1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A1E2CD">
    <w:pPr>
      <w:spacing w:line="176" w:lineRule="auto"/>
      <w:ind w:left="430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845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7" name="文本框 1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982813">
                          <w:pPr>
                            <w:pStyle w:val="2"/>
                          </w:pPr>
                          <w:r>
                            <w:fldChar w:fldCharType="begin"/>
                          </w:r>
                          <w:r>
                            <w:instrText xml:space="preserve"> PAGE  \* MERGEFORMAT </w:instrText>
                          </w:r>
                          <w:r>
                            <w:fldChar w:fldCharType="separate"/>
                          </w:r>
                          <w:r>
                            <w:t>223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845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lt3+k0AgAAZQ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pbd/pNAIAAGUEAAAOAAAAAAAAAAEAIAAAAB8BAABkcnMvZTJvRG9jLnhtbFBL&#10;BQYAAAAABgAGAFkBAADFBQAAAAA=&#10;">
              <v:fill on="f" focussize="0,0"/>
              <v:stroke on="f" weight="0.5pt"/>
              <v:imagedata o:title=""/>
              <o:lock v:ext="edit" aspectratio="f"/>
              <v:textbox inset="0mm,0mm,0mm,0mm" style="mso-fit-shape-to-text:t;">
                <w:txbxContent>
                  <w:p w14:paraId="2F982813">
                    <w:pPr>
                      <w:pStyle w:val="2"/>
                    </w:pPr>
                    <w:r>
                      <w:fldChar w:fldCharType="begin"/>
                    </w:r>
                    <w:r>
                      <w:instrText xml:space="preserve"> PAGE  \* MERGEFORMAT </w:instrText>
                    </w:r>
                    <w:r>
                      <w:fldChar w:fldCharType="separate"/>
                    </w:r>
                    <w:r>
                      <w:t>223</w:t>
                    </w:r>
                    <w:r>
                      <w:fldChar w:fldCharType="end"/>
                    </w:r>
                  </w:p>
                </w:txbxContent>
              </v:textbox>
            </v:shape>
          </w:pict>
        </mc:Fallback>
      </mc:AlternateContent>
    </w:r>
    <w:r>
      <w:rPr>
        <w:rFonts w:ascii="Times New Roman" w:hAnsi="Times New Roman" w:eastAsia="Times New Roman" w:cs="Times New Roman"/>
        <w:spacing w:val="-7"/>
        <w:sz w:val="18"/>
        <w:szCs w:val="18"/>
      </w:rPr>
      <w:t>189</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AF806">
    <w:pPr>
      <w:spacing w:line="176" w:lineRule="auto"/>
      <w:ind w:left="433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5654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DAFE45">
                          <w:pPr>
                            <w:pStyle w:val="2"/>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65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67DAFE45">
                    <w:pPr>
                      <w:pStyle w:val="2"/>
                    </w:pPr>
                    <w:r>
                      <w:fldChar w:fldCharType="begin"/>
                    </w:r>
                    <w:r>
                      <w:instrText xml:space="preserve"> PAGE  \* MERGEFORMAT </w:instrText>
                    </w:r>
                    <w:r>
                      <w:fldChar w:fldCharType="separate"/>
                    </w:r>
                    <w:r>
                      <w:t>49</w:t>
                    </w:r>
                    <w:r>
                      <w:fldChar w:fldCharType="end"/>
                    </w:r>
                  </w:p>
                </w:txbxContent>
              </v:textbox>
            </v:shape>
          </w:pict>
        </mc:Fallback>
      </mc:AlternateContent>
    </w:r>
    <w:r>
      <w:rPr>
        <w:rFonts w:ascii="Times New Roman" w:hAnsi="Times New Roman" w:eastAsia="Times New Roman" w:cs="Times New Roman"/>
        <w:spacing w:val="-4"/>
        <w:sz w:val="18"/>
        <w:szCs w:val="18"/>
      </w:rPr>
      <w:t>36</w:t>
    </w:r>
  </w:p>
</w:ftr>
</file>

<file path=word/footer1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D0D82D">
    <w:pPr>
      <w:spacing w:line="176" w:lineRule="auto"/>
      <w:ind w:left="430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8556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8" name="文本框 1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7C6763">
                          <w:pPr>
                            <w:pStyle w:val="2"/>
                          </w:pPr>
                          <w:r>
                            <w:fldChar w:fldCharType="begin"/>
                          </w:r>
                          <w:r>
                            <w:instrText xml:space="preserve"> PAGE  \* MERGEFORMAT </w:instrText>
                          </w:r>
                          <w:r>
                            <w:fldChar w:fldCharType="separate"/>
                          </w:r>
                          <w:r>
                            <w:t>224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855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SiN7czAgAAZQ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SiN7czAgAAZQQAAA4AAAAAAAAAAQAgAAAAHwEAAGRycy9lMm9Eb2MueG1sUEsF&#10;BgAAAAAGAAYAWQEAAMQFAAAAAA==&#10;">
              <v:fill on="f" focussize="0,0"/>
              <v:stroke on="f" weight="0.5pt"/>
              <v:imagedata o:title=""/>
              <o:lock v:ext="edit" aspectratio="f"/>
              <v:textbox inset="0mm,0mm,0mm,0mm" style="mso-fit-shape-to-text:t;">
                <w:txbxContent>
                  <w:p w14:paraId="297C6763">
                    <w:pPr>
                      <w:pStyle w:val="2"/>
                    </w:pPr>
                    <w:r>
                      <w:fldChar w:fldCharType="begin"/>
                    </w:r>
                    <w:r>
                      <w:instrText xml:space="preserve"> PAGE  \* MERGEFORMAT </w:instrText>
                    </w:r>
                    <w:r>
                      <w:fldChar w:fldCharType="separate"/>
                    </w:r>
                    <w:r>
                      <w:t>224</w:t>
                    </w:r>
                    <w:r>
                      <w:fldChar w:fldCharType="end"/>
                    </w:r>
                  </w:p>
                </w:txbxContent>
              </v:textbox>
            </v:shape>
          </w:pict>
        </mc:Fallback>
      </mc:AlternateContent>
    </w:r>
    <w:r>
      <w:rPr>
        <w:rFonts w:ascii="Times New Roman" w:hAnsi="Times New Roman" w:eastAsia="Times New Roman" w:cs="Times New Roman"/>
        <w:spacing w:val="-7"/>
        <w:sz w:val="18"/>
        <w:szCs w:val="18"/>
      </w:rPr>
      <w:t>190</w:t>
    </w:r>
  </w:p>
</w:ftr>
</file>

<file path=word/footer1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44C84A">
    <w:pPr>
      <w:spacing w:line="176" w:lineRule="auto"/>
      <w:ind w:left="430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8659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9" name="文本框 1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F0D395">
                          <w:pPr>
                            <w:pStyle w:val="2"/>
                          </w:pPr>
                          <w:r>
                            <w:fldChar w:fldCharType="begin"/>
                          </w:r>
                          <w:r>
                            <w:instrText xml:space="preserve"> PAGE  \* MERGEFORMAT </w:instrText>
                          </w:r>
                          <w:r>
                            <w:fldChar w:fldCharType="separate"/>
                          </w:r>
                          <w:r>
                            <w:t>225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865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8eqSs0AgAAZQQAAA4AAABkcnMvZTJvRG9jLnhtbK1UzY7TMBC+I/EO&#10;lu80adGu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PHqkrNAIAAGUEAAAOAAAAAAAAAAEAIAAAAB8BAABkcnMvZTJvRG9jLnhtbFBL&#10;BQYAAAAABgAGAFkBAADFBQAAAAA=&#10;">
              <v:fill on="f" focussize="0,0"/>
              <v:stroke on="f" weight="0.5pt"/>
              <v:imagedata o:title=""/>
              <o:lock v:ext="edit" aspectratio="f"/>
              <v:textbox inset="0mm,0mm,0mm,0mm" style="mso-fit-shape-to-text:t;">
                <w:txbxContent>
                  <w:p w14:paraId="54F0D395">
                    <w:pPr>
                      <w:pStyle w:val="2"/>
                    </w:pPr>
                    <w:r>
                      <w:fldChar w:fldCharType="begin"/>
                    </w:r>
                    <w:r>
                      <w:instrText xml:space="preserve"> PAGE  \* MERGEFORMAT </w:instrText>
                    </w:r>
                    <w:r>
                      <w:fldChar w:fldCharType="separate"/>
                    </w:r>
                    <w:r>
                      <w:t>225</w:t>
                    </w:r>
                    <w:r>
                      <w:fldChar w:fldCharType="end"/>
                    </w:r>
                  </w:p>
                </w:txbxContent>
              </v:textbox>
            </v:shape>
          </w:pict>
        </mc:Fallback>
      </mc:AlternateContent>
    </w:r>
    <w:r>
      <w:rPr>
        <w:rFonts w:ascii="Times New Roman" w:hAnsi="Times New Roman" w:eastAsia="Times New Roman" w:cs="Times New Roman"/>
        <w:spacing w:val="-7"/>
        <w:sz w:val="18"/>
        <w:szCs w:val="18"/>
      </w:rPr>
      <w:t>191</w:t>
    </w:r>
  </w:p>
</w:ftr>
</file>

<file path=word/footer1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EC19BD">
    <w:pPr>
      <w:spacing w:line="176" w:lineRule="auto"/>
      <w:ind w:left="430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8761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0" name="文本框 1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1ECB2F">
                          <w:pPr>
                            <w:pStyle w:val="2"/>
                          </w:pPr>
                          <w:r>
                            <w:fldChar w:fldCharType="begin"/>
                          </w:r>
                          <w:r>
                            <w:instrText xml:space="preserve"> PAGE  \* MERGEFORMAT </w:instrText>
                          </w:r>
                          <w:r>
                            <w:fldChar w:fldCharType="separate"/>
                          </w:r>
                          <w:r>
                            <w:t>226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876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84kTwyAgAAZ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jziRPDICAABlBAAADgAAAAAAAAABACAAAAAfAQAAZHJzL2Uyb0RvYy54bWxQSwUG&#10;AAAAAAYABgBZAQAAwwUAAAAA&#10;">
              <v:fill on="f" focussize="0,0"/>
              <v:stroke on="f" weight="0.5pt"/>
              <v:imagedata o:title=""/>
              <o:lock v:ext="edit" aspectratio="f"/>
              <v:textbox inset="0mm,0mm,0mm,0mm" style="mso-fit-shape-to-text:t;">
                <w:txbxContent>
                  <w:p w14:paraId="7C1ECB2F">
                    <w:pPr>
                      <w:pStyle w:val="2"/>
                    </w:pPr>
                    <w:r>
                      <w:fldChar w:fldCharType="begin"/>
                    </w:r>
                    <w:r>
                      <w:instrText xml:space="preserve"> PAGE  \* MERGEFORMAT </w:instrText>
                    </w:r>
                    <w:r>
                      <w:fldChar w:fldCharType="separate"/>
                    </w:r>
                    <w:r>
                      <w:t>226</w:t>
                    </w:r>
                    <w:r>
                      <w:fldChar w:fldCharType="end"/>
                    </w:r>
                  </w:p>
                </w:txbxContent>
              </v:textbox>
            </v:shape>
          </w:pict>
        </mc:Fallback>
      </mc:AlternateContent>
    </w:r>
    <w:r>
      <w:rPr>
        <w:rFonts w:ascii="Times New Roman" w:hAnsi="Times New Roman" w:eastAsia="Times New Roman" w:cs="Times New Roman"/>
        <w:spacing w:val="-7"/>
        <w:sz w:val="18"/>
        <w:szCs w:val="18"/>
      </w:rPr>
      <w:t>192</w:t>
    </w:r>
  </w:p>
</w:ftr>
</file>

<file path=word/footer1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2A6AAC">
    <w:pPr>
      <w:spacing w:line="176" w:lineRule="auto"/>
      <w:ind w:left="430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886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61" name="文本框 1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4A52DB">
                          <w:pPr>
                            <w:pStyle w:val="2"/>
                          </w:pPr>
                          <w:r>
                            <w:fldChar w:fldCharType="begin"/>
                          </w:r>
                          <w:r>
                            <w:instrText xml:space="preserve"> PAGE  \* MERGEFORMAT </w:instrText>
                          </w:r>
                          <w:r>
                            <w:fldChar w:fldCharType="separate"/>
                          </w:r>
                          <w:r>
                            <w:t>227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886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IQPoDICAABlBAAADgAAAAAAAAABACAAAAAfAQAAZHJzL2Uyb0RvYy54bWxQSwUG&#10;AAAAAAYABgBZAQAAwwUAAAAA&#10;">
              <v:fill on="f" focussize="0,0"/>
              <v:stroke on="f" weight="0.5pt"/>
              <v:imagedata o:title=""/>
              <o:lock v:ext="edit" aspectratio="f"/>
              <v:textbox inset="0mm,0mm,0mm,0mm" style="mso-fit-shape-to-text:t;">
                <w:txbxContent>
                  <w:p w14:paraId="2C4A52DB">
                    <w:pPr>
                      <w:pStyle w:val="2"/>
                    </w:pPr>
                    <w:r>
                      <w:fldChar w:fldCharType="begin"/>
                    </w:r>
                    <w:r>
                      <w:instrText xml:space="preserve"> PAGE  \* MERGEFORMAT </w:instrText>
                    </w:r>
                    <w:r>
                      <w:fldChar w:fldCharType="separate"/>
                    </w:r>
                    <w:r>
                      <w:t>227</w:t>
                    </w:r>
                    <w:r>
                      <w:fldChar w:fldCharType="end"/>
                    </w:r>
                  </w:p>
                </w:txbxContent>
              </v:textbox>
            </v:shape>
          </w:pict>
        </mc:Fallback>
      </mc:AlternateContent>
    </w:r>
    <w:r>
      <w:rPr>
        <w:rFonts w:ascii="Times New Roman" w:hAnsi="Times New Roman" w:eastAsia="Times New Roman" w:cs="Times New Roman"/>
        <w:spacing w:val="-7"/>
        <w:sz w:val="18"/>
        <w:szCs w:val="18"/>
      </w:rPr>
      <w:t>193</w:t>
    </w:r>
  </w:p>
</w:ftr>
</file>

<file path=word/footer1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7BD885">
    <w:pPr>
      <w:spacing w:line="176" w:lineRule="auto"/>
      <w:ind w:left="430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896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2" name="文本框 1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C43288">
                          <w:pPr>
                            <w:pStyle w:val="2"/>
                          </w:pPr>
                          <w:r>
                            <w:fldChar w:fldCharType="begin"/>
                          </w:r>
                          <w:r>
                            <w:instrText xml:space="preserve"> PAGE  \* MERGEFORMAT </w:instrText>
                          </w:r>
                          <w:r>
                            <w:fldChar w:fldCharType="separate"/>
                          </w:r>
                          <w:r>
                            <w:t>228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896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G3d4zAgAAZ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hG3d4zAgAAZQQAAA4AAAAAAAAAAQAgAAAAHwEAAGRycy9lMm9Eb2MueG1sUEsF&#10;BgAAAAAGAAYAWQEAAMQFAAAAAA==&#10;">
              <v:fill on="f" focussize="0,0"/>
              <v:stroke on="f" weight="0.5pt"/>
              <v:imagedata o:title=""/>
              <o:lock v:ext="edit" aspectratio="f"/>
              <v:textbox inset="0mm,0mm,0mm,0mm" style="mso-fit-shape-to-text:t;">
                <w:txbxContent>
                  <w:p w14:paraId="21C43288">
                    <w:pPr>
                      <w:pStyle w:val="2"/>
                    </w:pPr>
                    <w:r>
                      <w:fldChar w:fldCharType="begin"/>
                    </w:r>
                    <w:r>
                      <w:instrText xml:space="preserve"> PAGE  \* MERGEFORMAT </w:instrText>
                    </w:r>
                    <w:r>
                      <w:fldChar w:fldCharType="separate"/>
                    </w:r>
                    <w:r>
                      <w:t>228</w:t>
                    </w:r>
                    <w:r>
                      <w:fldChar w:fldCharType="end"/>
                    </w:r>
                  </w:p>
                </w:txbxContent>
              </v:textbox>
            </v:shape>
          </w:pict>
        </mc:Fallback>
      </mc:AlternateContent>
    </w:r>
    <w:r>
      <w:rPr>
        <w:rFonts w:ascii="Times New Roman" w:hAnsi="Times New Roman" w:eastAsia="Times New Roman" w:cs="Times New Roman"/>
        <w:spacing w:val="-7"/>
        <w:sz w:val="18"/>
        <w:szCs w:val="18"/>
      </w:rPr>
      <w:t>194</w:t>
    </w:r>
  </w:p>
</w:ftr>
</file>

<file path=word/footer1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D65292">
    <w:pPr>
      <w:spacing w:line="176" w:lineRule="auto"/>
      <w:ind w:left="430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906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3" name="文本框 1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7E5A84">
                          <w:pPr>
                            <w:pStyle w:val="2"/>
                          </w:pPr>
                          <w:r>
                            <w:fldChar w:fldCharType="begin"/>
                          </w:r>
                          <w:r>
                            <w:instrText xml:space="preserve"> PAGE  \* MERGEFORMAT </w:instrText>
                          </w:r>
                          <w:r>
                            <w:fldChar w:fldCharType="separate"/>
                          </w:r>
                          <w:r>
                            <w:t>229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906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6Q0IzAgAAZQ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P6Q0IzAgAAZQQAAA4AAAAAAAAAAQAgAAAAHwEAAGRycy9lMm9Eb2MueG1sUEsF&#10;BgAAAAAGAAYAWQEAAMQFAAAAAA==&#10;">
              <v:fill on="f" focussize="0,0"/>
              <v:stroke on="f" weight="0.5pt"/>
              <v:imagedata o:title=""/>
              <o:lock v:ext="edit" aspectratio="f"/>
              <v:textbox inset="0mm,0mm,0mm,0mm" style="mso-fit-shape-to-text:t;">
                <w:txbxContent>
                  <w:p w14:paraId="057E5A84">
                    <w:pPr>
                      <w:pStyle w:val="2"/>
                    </w:pPr>
                    <w:r>
                      <w:fldChar w:fldCharType="begin"/>
                    </w:r>
                    <w:r>
                      <w:instrText xml:space="preserve"> PAGE  \* MERGEFORMAT </w:instrText>
                    </w:r>
                    <w:r>
                      <w:fldChar w:fldCharType="separate"/>
                    </w:r>
                    <w:r>
                      <w:t>229</w:t>
                    </w:r>
                    <w:r>
                      <w:fldChar w:fldCharType="end"/>
                    </w:r>
                  </w:p>
                </w:txbxContent>
              </v:textbox>
            </v:shape>
          </w:pict>
        </mc:Fallback>
      </mc:AlternateContent>
    </w:r>
    <w:r>
      <w:rPr>
        <w:rFonts w:ascii="Times New Roman" w:hAnsi="Times New Roman" w:eastAsia="Times New Roman" w:cs="Times New Roman"/>
        <w:spacing w:val="-7"/>
        <w:sz w:val="18"/>
        <w:szCs w:val="18"/>
      </w:rPr>
      <w:t>195</w:t>
    </w:r>
  </w:p>
</w:ftr>
</file>

<file path=word/footer1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C333B8">
    <w:pPr>
      <w:spacing w:line="176" w:lineRule="auto"/>
      <w:ind w:left="430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917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4" name="文本框 16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FDC72A">
                          <w:pPr>
                            <w:pStyle w:val="2"/>
                          </w:pPr>
                          <w:r>
                            <w:fldChar w:fldCharType="begin"/>
                          </w:r>
                          <w:r>
                            <w:instrText xml:space="preserve"> PAGE  \* MERGEFORMAT </w:instrText>
                          </w:r>
                          <w:r>
                            <w:fldChar w:fldCharType="separate"/>
                          </w:r>
                          <w:r>
                            <w:t>230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917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DDeCMzAgAAZQ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DDeCMzAgAAZQQAAA4AAAAAAAAAAQAgAAAAHwEAAGRycy9lMm9Eb2MueG1sUEsF&#10;BgAAAAAGAAYAWQEAAMQFAAAAAA==&#10;">
              <v:fill on="f" focussize="0,0"/>
              <v:stroke on="f" weight="0.5pt"/>
              <v:imagedata o:title=""/>
              <o:lock v:ext="edit" aspectratio="f"/>
              <v:textbox inset="0mm,0mm,0mm,0mm" style="mso-fit-shape-to-text:t;">
                <w:txbxContent>
                  <w:p w14:paraId="4CFDC72A">
                    <w:pPr>
                      <w:pStyle w:val="2"/>
                    </w:pPr>
                    <w:r>
                      <w:fldChar w:fldCharType="begin"/>
                    </w:r>
                    <w:r>
                      <w:instrText xml:space="preserve"> PAGE  \* MERGEFORMAT </w:instrText>
                    </w:r>
                    <w:r>
                      <w:fldChar w:fldCharType="separate"/>
                    </w:r>
                    <w:r>
                      <w:t>230</w:t>
                    </w:r>
                    <w:r>
                      <w:fldChar w:fldCharType="end"/>
                    </w:r>
                  </w:p>
                </w:txbxContent>
              </v:textbox>
            </v:shape>
          </w:pict>
        </mc:Fallback>
      </mc:AlternateContent>
    </w:r>
    <w:r>
      <w:rPr>
        <w:rFonts w:ascii="Times New Roman" w:hAnsi="Times New Roman" w:eastAsia="Times New Roman" w:cs="Times New Roman"/>
        <w:spacing w:val="-7"/>
        <w:sz w:val="18"/>
        <w:szCs w:val="18"/>
      </w:rPr>
      <w:t>196</w:t>
    </w:r>
  </w:p>
</w:ftr>
</file>

<file path=word/footer1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56097F">
    <w:pPr>
      <w:spacing w:line="176" w:lineRule="auto"/>
      <w:ind w:left="430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927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5" name="文本框 1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153A47">
                          <w:pPr>
                            <w:pStyle w:val="2"/>
                          </w:pPr>
                          <w:r>
                            <w:fldChar w:fldCharType="begin"/>
                          </w:r>
                          <w:r>
                            <w:instrText xml:space="preserve"> PAGE  \* MERGEFORMAT </w:instrText>
                          </w:r>
                          <w:r>
                            <w:fldChar w:fldCharType="separate"/>
                          </w:r>
                          <w:r>
                            <w:t>231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927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t/5r8zAgAAZQQAAA4AAABkcnMvZTJvRG9jLnhtbK1UzY7TMBC+I/EO&#10;lu80adFW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t/5r8zAgAAZQQAAA4AAAAAAAAAAQAgAAAAHwEAAGRycy9lMm9Eb2MueG1sUEsF&#10;BgAAAAAGAAYAWQEAAMQFAAAAAA==&#10;">
              <v:fill on="f" focussize="0,0"/>
              <v:stroke on="f" weight="0.5pt"/>
              <v:imagedata o:title=""/>
              <o:lock v:ext="edit" aspectratio="f"/>
              <v:textbox inset="0mm,0mm,0mm,0mm" style="mso-fit-shape-to-text:t;">
                <w:txbxContent>
                  <w:p w14:paraId="3C153A47">
                    <w:pPr>
                      <w:pStyle w:val="2"/>
                    </w:pPr>
                    <w:r>
                      <w:fldChar w:fldCharType="begin"/>
                    </w:r>
                    <w:r>
                      <w:instrText xml:space="preserve"> PAGE  \* MERGEFORMAT </w:instrText>
                    </w:r>
                    <w:r>
                      <w:fldChar w:fldCharType="separate"/>
                    </w:r>
                    <w:r>
                      <w:t>231</w:t>
                    </w:r>
                    <w:r>
                      <w:fldChar w:fldCharType="end"/>
                    </w:r>
                  </w:p>
                </w:txbxContent>
              </v:textbox>
            </v:shape>
          </w:pict>
        </mc:Fallback>
      </mc:AlternateContent>
    </w:r>
    <w:r>
      <w:rPr>
        <w:rFonts w:ascii="Times New Roman" w:hAnsi="Times New Roman" w:eastAsia="Times New Roman" w:cs="Times New Roman"/>
        <w:spacing w:val="-7"/>
        <w:sz w:val="18"/>
        <w:szCs w:val="18"/>
      </w:rPr>
      <w:t>197</w:t>
    </w:r>
  </w:p>
</w:ftr>
</file>

<file path=word/footer1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66237C">
    <w:pPr>
      <w:spacing w:line="176" w:lineRule="auto"/>
      <w:ind w:left="430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937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66" name="文本框 16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3604BB">
                          <w:pPr>
                            <w:pStyle w:val="2"/>
                          </w:pPr>
                          <w:r>
                            <w:fldChar w:fldCharType="begin"/>
                          </w:r>
                          <w:r>
                            <w:instrText xml:space="preserve"> PAGE  \* MERGEFORMAT </w:instrText>
                          </w:r>
                          <w:r>
                            <w:fldChar w:fldCharType="separate"/>
                          </w:r>
                          <w:r>
                            <w:t>232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937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e9NMEzAgAAZ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e9NMEzAgAAZQQAAA4AAAAAAAAAAQAgAAAAHwEAAGRycy9lMm9Eb2MueG1sUEsF&#10;BgAAAAAGAAYAWQEAAMQFAAAAAA==&#10;">
              <v:fill on="f" focussize="0,0"/>
              <v:stroke on="f" weight="0.5pt"/>
              <v:imagedata o:title=""/>
              <o:lock v:ext="edit" aspectratio="f"/>
              <v:textbox inset="0mm,0mm,0mm,0mm" style="mso-fit-shape-to-text:t;">
                <w:txbxContent>
                  <w:p w14:paraId="1D3604BB">
                    <w:pPr>
                      <w:pStyle w:val="2"/>
                    </w:pPr>
                    <w:r>
                      <w:fldChar w:fldCharType="begin"/>
                    </w:r>
                    <w:r>
                      <w:instrText xml:space="preserve"> PAGE  \* MERGEFORMAT </w:instrText>
                    </w:r>
                    <w:r>
                      <w:fldChar w:fldCharType="separate"/>
                    </w:r>
                    <w:r>
                      <w:t>232</w:t>
                    </w:r>
                    <w:r>
                      <w:fldChar w:fldCharType="end"/>
                    </w:r>
                  </w:p>
                </w:txbxContent>
              </v:textbox>
            </v:shape>
          </w:pict>
        </mc:Fallback>
      </mc:AlternateContent>
    </w:r>
    <w:r>
      <w:rPr>
        <w:rFonts w:ascii="Times New Roman" w:hAnsi="Times New Roman" w:eastAsia="Times New Roman" w:cs="Times New Roman"/>
        <w:spacing w:val="-7"/>
        <w:sz w:val="18"/>
        <w:szCs w:val="18"/>
      </w:rPr>
      <w:t>198</w:t>
    </w:r>
  </w:p>
</w:ftr>
</file>

<file path=word/footer1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AA12E4">
    <w:pPr>
      <w:spacing w:line="176" w:lineRule="auto"/>
      <w:ind w:left="430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947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7" name="文本框 1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F05511">
                          <w:pPr>
                            <w:pStyle w:val="2"/>
                          </w:pPr>
                          <w:r>
                            <w:fldChar w:fldCharType="begin"/>
                          </w:r>
                          <w:r>
                            <w:instrText xml:space="preserve"> PAGE  \* MERGEFORMAT </w:instrText>
                          </w:r>
                          <w:r>
                            <w:fldChar w:fldCharType="separate"/>
                          </w:r>
                          <w:r>
                            <w:t>233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947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wBql0zAgAAZQQAAA4AAABkcnMvZTJvRG9jLnhtbK1UzY7TMBC+I/EO&#10;lu80aRGl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wBql0zAgAAZQQAAA4AAAAAAAAAAQAgAAAAHwEAAGRycy9lMm9Eb2MueG1sUEsF&#10;BgAAAAAGAAYAWQEAAMQFAAAAAA==&#10;">
              <v:fill on="f" focussize="0,0"/>
              <v:stroke on="f" weight="0.5pt"/>
              <v:imagedata o:title=""/>
              <o:lock v:ext="edit" aspectratio="f"/>
              <v:textbox inset="0mm,0mm,0mm,0mm" style="mso-fit-shape-to-text:t;">
                <w:txbxContent>
                  <w:p w14:paraId="5EF05511">
                    <w:pPr>
                      <w:pStyle w:val="2"/>
                    </w:pPr>
                    <w:r>
                      <w:fldChar w:fldCharType="begin"/>
                    </w:r>
                    <w:r>
                      <w:instrText xml:space="preserve"> PAGE  \* MERGEFORMAT </w:instrText>
                    </w:r>
                    <w:r>
                      <w:fldChar w:fldCharType="separate"/>
                    </w:r>
                    <w:r>
                      <w:t>233</w:t>
                    </w:r>
                    <w:r>
                      <w:fldChar w:fldCharType="end"/>
                    </w:r>
                  </w:p>
                </w:txbxContent>
              </v:textbox>
            </v:shape>
          </w:pict>
        </mc:Fallback>
      </mc:AlternateContent>
    </w:r>
    <w:r>
      <w:rPr>
        <w:rFonts w:ascii="Times New Roman" w:hAnsi="Times New Roman" w:eastAsia="Times New Roman" w:cs="Times New Roman"/>
        <w:spacing w:val="-7"/>
        <w:sz w:val="18"/>
        <w:szCs w:val="18"/>
      </w:rPr>
      <w:t>199</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137579">
    <w:pPr>
      <w:spacing w:line="176" w:lineRule="auto"/>
      <w:ind w:left="433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57568"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54F67A">
                          <w:pPr>
                            <w:pStyle w:val="2"/>
                          </w:pPr>
                          <w:r>
                            <w:fldChar w:fldCharType="begin"/>
                          </w:r>
                          <w:r>
                            <w:instrText xml:space="preserve"> PAGE  \* MERGEFORMAT </w:instrText>
                          </w:r>
                          <w:r>
                            <w:fldChar w:fldCharType="separate"/>
                          </w:r>
                          <w:r>
                            <w:t>53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75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5254F67A">
                    <w:pPr>
                      <w:pStyle w:val="2"/>
                    </w:pPr>
                    <w:r>
                      <w:fldChar w:fldCharType="begin"/>
                    </w:r>
                    <w:r>
                      <w:instrText xml:space="preserve"> PAGE  \* MERGEFORMAT </w:instrText>
                    </w:r>
                    <w:r>
                      <w:fldChar w:fldCharType="separate"/>
                    </w:r>
                    <w:r>
                      <w:t>53</w:t>
                    </w:r>
                    <w:r>
                      <w:fldChar w:fldCharType="end"/>
                    </w:r>
                  </w:p>
                </w:txbxContent>
              </v:textbox>
            </v:shape>
          </w:pict>
        </mc:Fallback>
      </mc:AlternateContent>
    </w:r>
    <w:r>
      <w:rPr>
        <w:rFonts w:ascii="Times New Roman" w:hAnsi="Times New Roman" w:eastAsia="Times New Roman" w:cs="Times New Roman"/>
        <w:spacing w:val="-4"/>
        <w:sz w:val="18"/>
        <w:szCs w:val="18"/>
      </w:rPr>
      <w:t>38</w:t>
    </w:r>
  </w:p>
</w:ftr>
</file>

<file path=word/footer1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BDE5C9">
    <w:pPr>
      <w:spacing w:line="176" w:lineRule="auto"/>
      <w:ind w:left="428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958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8" name="文本框 1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4F1B0D">
                          <w:pPr>
                            <w:pStyle w:val="2"/>
                          </w:pPr>
                          <w:r>
                            <w:fldChar w:fldCharType="begin"/>
                          </w:r>
                          <w:r>
                            <w:instrText xml:space="preserve"> PAGE  \* MERGEFORMAT </w:instrText>
                          </w:r>
                          <w:r>
                            <w:fldChar w:fldCharType="separate"/>
                          </w:r>
                          <w:r>
                            <w:t>234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958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HOQgMyAgAAZ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c5CAzICAABlBAAADgAAAAAAAAABACAAAAAfAQAAZHJzL2Uyb0RvYy54bWxQSwUG&#10;AAAAAAYABgBZAQAAwwUAAAAA&#10;">
              <v:fill on="f" focussize="0,0"/>
              <v:stroke on="f" weight="0.5pt"/>
              <v:imagedata o:title=""/>
              <o:lock v:ext="edit" aspectratio="f"/>
              <v:textbox inset="0mm,0mm,0mm,0mm" style="mso-fit-shape-to-text:t;">
                <w:txbxContent>
                  <w:p w14:paraId="4C4F1B0D">
                    <w:pPr>
                      <w:pStyle w:val="2"/>
                    </w:pPr>
                    <w:r>
                      <w:fldChar w:fldCharType="begin"/>
                    </w:r>
                    <w:r>
                      <w:instrText xml:space="preserve"> PAGE  \* MERGEFORMAT </w:instrText>
                    </w:r>
                    <w:r>
                      <w:fldChar w:fldCharType="separate"/>
                    </w:r>
                    <w:r>
                      <w:t>234</w:t>
                    </w:r>
                    <w:r>
                      <w:fldChar w:fldCharType="end"/>
                    </w:r>
                  </w:p>
                </w:txbxContent>
              </v:textbox>
            </v:shape>
          </w:pict>
        </mc:Fallback>
      </mc:AlternateContent>
    </w:r>
    <w:r>
      <w:rPr>
        <w:rFonts w:ascii="Times New Roman" w:hAnsi="Times New Roman" w:eastAsia="Times New Roman" w:cs="Times New Roman"/>
        <w:spacing w:val="-1"/>
        <w:sz w:val="18"/>
        <w:szCs w:val="18"/>
      </w:rPr>
      <w:t>200</w:t>
    </w:r>
  </w:p>
</w:ftr>
</file>

<file path=word/footer1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150D9C">
    <w:pPr>
      <w:spacing w:line="176" w:lineRule="auto"/>
      <w:ind w:left="428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968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9" name="文本框 16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C8EC17">
                          <w:pPr>
                            <w:pStyle w:val="2"/>
                          </w:pPr>
                          <w:r>
                            <w:fldChar w:fldCharType="begin"/>
                          </w:r>
                          <w:r>
                            <w:instrText xml:space="preserve"> PAGE  \* MERGEFORMAT </w:instrText>
                          </w:r>
                          <w:r>
                            <w:fldChar w:fldCharType="separate"/>
                          </w:r>
                          <w:r>
                            <w:t>235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968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py3J8zAgAAZQQAAA4AAABkcnMvZTJvRG9jLnhtbK1UzY7TMBC+I/EO&#10;lu80aRFVqZ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py3J8zAgAAZQQAAA4AAAAAAAAAAQAgAAAAHwEAAGRycy9lMm9Eb2MueG1sUEsF&#10;BgAAAAAGAAYAWQEAAMQFAAAAAA==&#10;">
              <v:fill on="f" focussize="0,0"/>
              <v:stroke on="f" weight="0.5pt"/>
              <v:imagedata o:title=""/>
              <o:lock v:ext="edit" aspectratio="f"/>
              <v:textbox inset="0mm,0mm,0mm,0mm" style="mso-fit-shape-to-text:t;">
                <w:txbxContent>
                  <w:p w14:paraId="69C8EC17">
                    <w:pPr>
                      <w:pStyle w:val="2"/>
                    </w:pPr>
                    <w:r>
                      <w:fldChar w:fldCharType="begin"/>
                    </w:r>
                    <w:r>
                      <w:instrText xml:space="preserve"> PAGE  \* MERGEFORMAT </w:instrText>
                    </w:r>
                    <w:r>
                      <w:fldChar w:fldCharType="separate"/>
                    </w:r>
                    <w:r>
                      <w:t>235</w:t>
                    </w:r>
                    <w:r>
                      <w:fldChar w:fldCharType="end"/>
                    </w:r>
                  </w:p>
                </w:txbxContent>
              </v:textbox>
            </v:shape>
          </w:pict>
        </mc:Fallback>
      </mc:AlternateContent>
    </w:r>
    <w:r>
      <w:rPr>
        <w:rFonts w:ascii="Times New Roman" w:hAnsi="Times New Roman" w:eastAsia="Times New Roman" w:cs="Times New Roman"/>
        <w:spacing w:val="-1"/>
        <w:sz w:val="18"/>
        <w:szCs w:val="18"/>
      </w:rPr>
      <w:t>201</w:t>
    </w:r>
  </w:p>
</w:ftr>
</file>

<file path=word/footer1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90B159">
    <w:pPr>
      <w:spacing w:line="176" w:lineRule="auto"/>
      <w:ind w:left="428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978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0" name="文本框 17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7BA217">
                          <w:pPr>
                            <w:pStyle w:val="2"/>
                          </w:pPr>
                          <w:r>
                            <w:fldChar w:fldCharType="begin"/>
                          </w:r>
                          <w:r>
                            <w:instrText xml:space="preserve"> PAGE  \* MERGEFORMAT </w:instrText>
                          </w:r>
                          <w:r>
                            <w:fldChar w:fldCharType="separate"/>
                          </w:r>
                          <w:r>
                            <w:t>236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978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MebeYzAgAAZQ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MebeYzAgAAZQQAAA4AAAAAAAAAAQAgAAAAHwEAAGRycy9lMm9Eb2MueG1sUEsF&#10;BgAAAAAGAAYAWQEAAMQFAAAAAA==&#10;">
              <v:fill on="f" focussize="0,0"/>
              <v:stroke on="f" weight="0.5pt"/>
              <v:imagedata o:title=""/>
              <o:lock v:ext="edit" aspectratio="f"/>
              <v:textbox inset="0mm,0mm,0mm,0mm" style="mso-fit-shape-to-text:t;">
                <w:txbxContent>
                  <w:p w14:paraId="397BA217">
                    <w:pPr>
                      <w:pStyle w:val="2"/>
                    </w:pPr>
                    <w:r>
                      <w:fldChar w:fldCharType="begin"/>
                    </w:r>
                    <w:r>
                      <w:instrText xml:space="preserve"> PAGE  \* MERGEFORMAT </w:instrText>
                    </w:r>
                    <w:r>
                      <w:fldChar w:fldCharType="separate"/>
                    </w:r>
                    <w:r>
                      <w:t>236</w:t>
                    </w:r>
                    <w:r>
                      <w:fldChar w:fldCharType="end"/>
                    </w:r>
                  </w:p>
                </w:txbxContent>
              </v:textbox>
            </v:shape>
          </w:pict>
        </mc:Fallback>
      </mc:AlternateContent>
    </w:r>
  </w:p>
</w:ftr>
</file>

<file path=word/footer1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EAC5C7">
    <w:pPr>
      <w:spacing w:line="176" w:lineRule="auto"/>
      <w:ind w:left="443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988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1" name="文本框 1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78DC08">
                          <w:pPr>
                            <w:pStyle w:val="2"/>
                          </w:pPr>
                          <w:r>
                            <w:fldChar w:fldCharType="begin"/>
                          </w:r>
                          <w:r>
                            <w:instrText xml:space="preserve"> PAGE  \* MERGEFORMAT </w:instrText>
                          </w:r>
                          <w:r>
                            <w:fldChar w:fldCharType="separate"/>
                          </w:r>
                          <w:r>
                            <w:t>237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988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ii83ozAgAAZQQAAA4AAABkcnMvZTJvRG9jLnhtbK1UzY7TMBC+I/EO&#10;lu80aRFL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ii83ozAgAAZQQAAA4AAAAAAAAAAQAgAAAAHwEAAGRycy9lMm9Eb2MueG1sUEsF&#10;BgAAAAAGAAYAWQEAAMQFAAAAAA==&#10;">
              <v:fill on="f" focussize="0,0"/>
              <v:stroke on="f" weight="0.5pt"/>
              <v:imagedata o:title=""/>
              <o:lock v:ext="edit" aspectratio="f"/>
              <v:textbox inset="0mm,0mm,0mm,0mm" style="mso-fit-shape-to-text:t;">
                <w:txbxContent>
                  <w:p w14:paraId="1078DC08">
                    <w:pPr>
                      <w:pStyle w:val="2"/>
                    </w:pPr>
                    <w:r>
                      <w:fldChar w:fldCharType="begin"/>
                    </w:r>
                    <w:r>
                      <w:instrText xml:space="preserve"> PAGE  \* MERGEFORMAT </w:instrText>
                    </w:r>
                    <w:r>
                      <w:fldChar w:fldCharType="separate"/>
                    </w:r>
                    <w:r>
                      <w:t>237</w:t>
                    </w:r>
                    <w:r>
                      <w:fldChar w:fldCharType="end"/>
                    </w:r>
                  </w:p>
                </w:txbxContent>
              </v:textbox>
            </v:shape>
          </w:pict>
        </mc:Fallback>
      </mc:AlternateContent>
    </w:r>
  </w:p>
</w:ftr>
</file>

<file path=word/footer1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2E6BEC">
    <w:pPr>
      <w:spacing w:line="176" w:lineRule="auto"/>
      <w:ind w:left="428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999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2" name="文本框 17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5494C0">
                          <w:pPr>
                            <w:pStyle w:val="2"/>
                          </w:pPr>
                          <w:r>
                            <w:fldChar w:fldCharType="begin"/>
                          </w:r>
                          <w:r>
                            <w:instrText xml:space="preserve"> PAGE  \* MERGEFORMAT </w:instrText>
                          </w:r>
                          <w:r>
                            <w:fldChar w:fldCharType="separate"/>
                          </w:r>
                          <w:r>
                            <w:t>238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999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RgIQQ0AgAAZQ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0YCEENAIAAGUEAAAOAAAAAAAAAAEAIAAAAB8BAABkcnMvZTJvRG9jLnhtbFBL&#10;BQYAAAAABgAGAFkBAADFBQAAAAA=&#10;">
              <v:fill on="f" focussize="0,0"/>
              <v:stroke on="f" weight="0.5pt"/>
              <v:imagedata o:title=""/>
              <o:lock v:ext="edit" aspectratio="f"/>
              <v:textbox inset="0mm,0mm,0mm,0mm" style="mso-fit-shape-to-text:t;">
                <w:txbxContent>
                  <w:p w14:paraId="6B5494C0">
                    <w:pPr>
                      <w:pStyle w:val="2"/>
                    </w:pPr>
                    <w:r>
                      <w:fldChar w:fldCharType="begin"/>
                    </w:r>
                    <w:r>
                      <w:instrText xml:space="preserve"> PAGE  \* MERGEFORMAT </w:instrText>
                    </w:r>
                    <w:r>
                      <w:fldChar w:fldCharType="separate"/>
                    </w:r>
                    <w:r>
                      <w:t>238</w:t>
                    </w:r>
                    <w:r>
                      <w:fldChar w:fldCharType="end"/>
                    </w:r>
                  </w:p>
                </w:txbxContent>
              </v:textbox>
            </v:shape>
          </w:pict>
        </mc:Fallback>
      </mc:AlternateContent>
    </w:r>
  </w:p>
</w:ftr>
</file>

<file path=word/footer1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CC2BED">
    <w:pPr>
      <w:spacing w:line="176" w:lineRule="auto"/>
      <w:ind w:left="436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9009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3" name="文本框 17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B4EAF3">
                          <w:pPr>
                            <w:pStyle w:val="2"/>
                          </w:pPr>
                          <w:r>
                            <w:fldChar w:fldCharType="begin"/>
                          </w:r>
                          <w:r>
                            <w:instrText xml:space="preserve"> PAGE  \* MERGEFORMAT </w:instrText>
                          </w:r>
                          <w:r>
                            <w:fldChar w:fldCharType="separate"/>
                          </w:r>
                          <w:r>
                            <w:t>239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9009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v5g0AgAAZQ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f3L+YNAIAAGUEAAAOAAAAAAAAAAEAIAAAAB8BAABkcnMvZTJvRG9jLnhtbFBL&#10;BQYAAAAABgAGAFkBAADFBQAAAAA=&#10;">
              <v:fill on="f" focussize="0,0"/>
              <v:stroke on="f" weight="0.5pt"/>
              <v:imagedata o:title=""/>
              <o:lock v:ext="edit" aspectratio="f"/>
              <v:textbox inset="0mm,0mm,0mm,0mm" style="mso-fit-shape-to-text:t;">
                <w:txbxContent>
                  <w:p w14:paraId="50B4EAF3">
                    <w:pPr>
                      <w:pStyle w:val="2"/>
                    </w:pPr>
                    <w:r>
                      <w:fldChar w:fldCharType="begin"/>
                    </w:r>
                    <w:r>
                      <w:instrText xml:space="preserve"> PAGE  \* MERGEFORMAT </w:instrText>
                    </w:r>
                    <w:r>
                      <w:fldChar w:fldCharType="separate"/>
                    </w:r>
                    <w:r>
                      <w:t>239</w:t>
                    </w:r>
                    <w:r>
                      <w:fldChar w:fldCharType="end"/>
                    </w:r>
                  </w:p>
                </w:txbxContent>
              </v:textbox>
            </v:shape>
          </w:pict>
        </mc:Fallback>
      </mc:AlternateContent>
    </w:r>
  </w:p>
</w:ftr>
</file>

<file path=word/footer1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464524">
    <w:pPr>
      <w:spacing w:line="176" w:lineRule="auto"/>
      <w:ind w:left="428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9019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4" name="文本框 17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F2F4C6">
                          <w:pPr>
                            <w:pStyle w:val="2"/>
                          </w:pPr>
                          <w:r>
                            <w:fldChar w:fldCharType="begin"/>
                          </w:r>
                          <w:r>
                            <w:instrText xml:space="preserve"> PAGE  \* MERGEFORMAT </w:instrText>
                          </w:r>
                          <w:r>
                            <w:fldChar w:fldCharType="separate"/>
                          </w:r>
                          <w:r>
                            <w:t>240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9019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lhPk0AgAAZQ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M5YT5NAIAAGUEAAAOAAAAAAAAAAEAIAAAAB8BAABkcnMvZTJvRG9jLnhtbFBL&#10;BQYAAAAABgAGAFkBAADFBQAAAAA=&#10;">
              <v:fill on="f" focussize="0,0"/>
              <v:stroke on="f" weight="0.5pt"/>
              <v:imagedata o:title=""/>
              <o:lock v:ext="edit" aspectratio="f"/>
              <v:textbox inset="0mm,0mm,0mm,0mm" style="mso-fit-shape-to-text:t;">
                <w:txbxContent>
                  <w:p w14:paraId="49F2F4C6">
                    <w:pPr>
                      <w:pStyle w:val="2"/>
                    </w:pPr>
                    <w:r>
                      <w:fldChar w:fldCharType="begin"/>
                    </w:r>
                    <w:r>
                      <w:instrText xml:space="preserve"> PAGE  \* MERGEFORMAT </w:instrText>
                    </w:r>
                    <w:r>
                      <w:fldChar w:fldCharType="separate"/>
                    </w:r>
                    <w:r>
                      <w:t>240</w:t>
                    </w:r>
                    <w:r>
                      <w:fldChar w:fldCharType="end"/>
                    </w:r>
                  </w:p>
                </w:txbxContent>
              </v:textbox>
            </v:shape>
          </w:pict>
        </mc:Fallback>
      </mc:AlternateContent>
    </w:r>
  </w:p>
</w:ftr>
</file>

<file path=word/footer1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0B9A0A">
    <w:pPr>
      <w:spacing w:line="176" w:lineRule="auto"/>
      <w:ind w:left="428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9029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5" name="文本框 1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5A7E3A">
                          <w:pPr>
                            <w:pStyle w:val="2"/>
                          </w:pPr>
                          <w:r>
                            <w:fldChar w:fldCharType="begin"/>
                          </w:r>
                          <w:r>
                            <w:instrText xml:space="preserve"> PAGE  \* MERGEFORMAT </w:instrText>
                          </w:r>
                          <w:r>
                            <w:fldChar w:fldCharType="separate"/>
                          </w:r>
                          <w:r>
                            <w:t>241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9029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dZGmU0AgAAZQ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nWRplNAIAAGUEAAAOAAAAAAAAAAEAIAAAAB8BAABkcnMvZTJvRG9jLnhtbFBL&#10;BQYAAAAABgAGAFkBAADFBQAAAAA=&#10;">
              <v:fill on="f" focussize="0,0"/>
              <v:stroke on="f" weight="0.5pt"/>
              <v:imagedata o:title=""/>
              <o:lock v:ext="edit" aspectratio="f"/>
              <v:textbox inset="0mm,0mm,0mm,0mm" style="mso-fit-shape-to-text:t;">
                <w:txbxContent>
                  <w:p w14:paraId="265A7E3A">
                    <w:pPr>
                      <w:pStyle w:val="2"/>
                    </w:pPr>
                    <w:r>
                      <w:fldChar w:fldCharType="begin"/>
                    </w:r>
                    <w:r>
                      <w:instrText xml:space="preserve"> PAGE  \* MERGEFORMAT </w:instrText>
                    </w:r>
                    <w:r>
                      <w:fldChar w:fldCharType="separate"/>
                    </w:r>
                    <w:r>
                      <w:t>241</w:t>
                    </w:r>
                    <w:r>
                      <w:fldChar w:fldCharType="end"/>
                    </w:r>
                  </w:p>
                </w:txbxContent>
              </v:textbox>
            </v:shape>
          </w:pict>
        </mc:Fallback>
      </mc:AlternateContent>
    </w:r>
  </w:p>
</w:ftr>
</file>

<file path=word/footer1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941378">
    <w:pPr>
      <w:spacing w:line="176" w:lineRule="auto"/>
      <w:ind w:left="428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9040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6" name="文本框 1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B82985">
                          <w:pPr>
                            <w:pStyle w:val="2"/>
                          </w:pPr>
                          <w:r>
                            <w:fldChar w:fldCharType="begin"/>
                          </w:r>
                          <w:r>
                            <w:instrText xml:space="preserve"> PAGE  \* MERGEFORMAT </w:instrText>
                          </w:r>
                          <w:r>
                            <w:fldChar w:fldCharType="separate"/>
                          </w:r>
                          <w:r>
                            <w:t>242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9040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ubyBszAgAAZQQAAA4AAABkcnMvZTJvRG9jLnhtbK1UzY7TMBC+I/EO&#10;lu80aRGl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ubyBszAgAAZQQAAA4AAAAAAAAAAQAgAAAAHwEAAGRycy9lMm9Eb2MueG1sUEsF&#10;BgAAAAAGAAYAWQEAAMQFAAAAAA==&#10;">
              <v:fill on="f" focussize="0,0"/>
              <v:stroke on="f" weight="0.5pt"/>
              <v:imagedata o:title=""/>
              <o:lock v:ext="edit" aspectratio="f"/>
              <v:textbox inset="0mm,0mm,0mm,0mm" style="mso-fit-shape-to-text:t;">
                <w:txbxContent>
                  <w:p w14:paraId="30B82985">
                    <w:pPr>
                      <w:pStyle w:val="2"/>
                    </w:pPr>
                    <w:r>
                      <w:fldChar w:fldCharType="begin"/>
                    </w:r>
                    <w:r>
                      <w:instrText xml:space="preserve"> PAGE  \* MERGEFORMAT </w:instrText>
                    </w:r>
                    <w:r>
                      <w:fldChar w:fldCharType="separate"/>
                    </w:r>
                    <w:r>
                      <w:t>242</w:t>
                    </w:r>
                    <w:r>
                      <w:fldChar w:fldCharType="end"/>
                    </w:r>
                  </w:p>
                </w:txbxContent>
              </v:textbox>
            </v:shape>
          </w:pict>
        </mc:Fallback>
      </mc:AlternateContent>
    </w:r>
  </w:p>
</w:ftr>
</file>

<file path=word/footer1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81055E">
    <w:pPr>
      <w:spacing w:line="176" w:lineRule="auto"/>
      <w:ind w:left="428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9050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7" name="文本框 17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18A1C1">
                          <w:pPr>
                            <w:pStyle w:val="2"/>
                          </w:pPr>
                          <w:r>
                            <w:fldChar w:fldCharType="begin"/>
                          </w:r>
                          <w:r>
                            <w:instrText xml:space="preserve"> PAGE  \* MERGEFORMAT </w:instrText>
                          </w:r>
                          <w:r>
                            <w:fldChar w:fldCharType="separate"/>
                          </w:r>
                          <w:r>
                            <w:t>243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9050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AnVoc0AgAAZ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wJ1aHNAIAAGUEAAAOAAAAAAAAAAEAIAAAAB8BAABkcnMvZTJvRG9jLnhtbFBL&#10;BQYAAAAABgAGAFkBAADFBQAAAAA=&#10;">
              <v:fill on="f" focussize="0,0"/>
              <v:stroke on="f" weight="0.5pt"/>
              <v:imagedata o:title=""/>
              <o:lock v:ext="edit" aspectratio="f"/>
              <v:textbox inset="0mm,0mm,0mm,0mm" style="mso-fit-shape-to-text:t;">
                <w:txbxContent>
                  <w:p w14:paraId="4A18A1C1">
                    <w:pPr>
                      <w:pStyle w:val="2"/>
                    </w:pPr>
                    <w:r>
                      <w:fldChar w:fldCharType="begin"/>
                    </w:r>
                    <w:r>
                      <w:instrText xml:space="preserve"> PAGE  \* MERGEFORMAT </w:instrText>
                    </w:r>
                    <w:r>
                      <w:fldChar w:fldCharType="separate"/>
                    </w:r>
                    <w:r>
                      <w:t>243</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B32258">
    <w:pPr>
      <w:spacing w:line="176" w:lineRule="auto"/>
      <w:ind w:left="433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58592"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00A974">
                          <w:pPr>
                            <w:pStyle w:val="2"/>
                          </w:pPr>
                          <w:r>
                            <w:fldChar w:fldCharType="begin"/>
                          </w:r>
                          <w:r>
                            <w:instrText xml:space="preserve"> PAGE  \* MERGEFORMAT </w:instrText>
                          </w:r>
                          <w:r>
                            <w:fldChar w:fldCharType="separate"/>
                          </w:r>
                          <w:r>
                            <w:t>55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85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1500A974">
                    <w:pPr>
                      <w:pStyle w:val="2"/>
                    </w:pPr>
                    <w:r>
                      <w:fldChar w:fldCharType="begin"/>
                    </w:r>
                    <w:r>
                      <w:instrText xml:space="preserve"> PAGE  \* MERGEFORMAT </w:instrText>
                    </w:r>
                    <w:r>
                      <w:fldChar w:fldCharType="separate"/>
                    </w:r>
                    <w:r>
                      <w:t>55</w:t>
                    </w:r>
                    <w:r>
                      <w:fldChar w:fldCharType="end"/>
                    </w:r>
                  </w:p>
                </w:txbxContent>
              </v:textbox>
            </v:shape>
          </w:pict>
        </mc:Fallback>
      </mc:AlternateContent>
    </w:r>
    <w:r>
      <w:rPr>
        <w:rFonts w:ascii="Times New Roman" w:hAnsi="Times New Roman" w:eastAsia="Times New Roman" w:cs="Times New Roman"/>
        <w:spacing w:val="-1"/>
        <w:sz w:val="18"/>
        <w:szCs w:val="18"/>
      </w:rPr>
      <w:t>46</w:t>
    </w:r>
  </w:p>
</w:ftr>
</file>

<file path=word/footer1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C12B6E">
    <w:pPr>
      <w:spacing w:line="176" w:lineRule="auto"/>
      <w:ind w:left="428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9060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8" name="文本框 17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1EDD79">
                          <w:pPr>
                            <w:pStyle w:val="2"/>
                          </w:pPr>
                          <w:r>
                            <w:fldChar w:fldCharType="begin"/>
                          </w:r>
                          <w:r>
                            <w:instrText xml:space="preserve"> PAGE  \* MERGEFORMAT </w:instrText>
                          </w:r>
                          <w:r>
                            <w:fldChar w:fldCharType="separate"/>
                          </w:r>
                          <w:r>
                            <w:t>244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9060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3ovtkzAgAAZQ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3ovtkzAgAAZQQAAA4AAAAAAAAAAQAgAAAAHwEAAGRycy9lMm9Eb2MueG1sUEsF&#10;BgAAAAAGAAYAWQEAAMQFAAAAAA==&#10;">
              <v:fill on="f" focussize="0,0"/>
              <v:stroke on="f" weight="0.5pt"/>
              <v:imagedata o:title=""/>
              <o:lock v:ext="edit" aspectratio="f"/>
              <v:textbox inset="0mm,0mm,0mm,0mm" style="mso-fit-shape-to-text:t;">
                <w:txbxContent>
                  <w:p w14:paraId="471EDD79">
                    <w:pPr>
                      <w:pStyle w:val="2"/>
                    </w:pPr>
                    <w:r>
                      <w:fldChar w:fldCharType="begin"/>
                    </w:r>
                    <w:r>
                      <w:instrText xml:space="preserve"> PAGE  \* MERGEFORMAT </w:instrText>
                    </w:r>
                    <w:r>
                      <w:fldChar w:fldCharType="separate"/>
                    </w:r>
                    <w:r>
                      <w:t>244</w:t>
                    </w:r>
                    <w:r>
                      <w:fldChar w:fldCharType="end"/>
                    </w:r>
                  </w:p>
                </w:txbxContent>
              </v:textbox>
            </v:shape>
          </w:pict>
        </mc:Fallback>
      </mc:AlternateContent>
    </w:r>
  </w:p>
</w:ftr>
</file>

<file path=word/footer1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F9C162">
    <w:pPr>
      <w:spacing w:line="176" w:lineRule="auto"/>
      <w:ind w:left="429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9070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9" name="文本框 17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1947EF">
                          <w:pPr>
                            <w:pStyle w:val="2"/>
                          </w:pPr>
                          <w:r>
                            <w:fldChar w:fldCharType="begin"/>
                          </w:r>
                          <w:r>
                            <w:instrText xml:space="preserve"> PAGE  \* MERGEFORMAT </w:instrText>
                          </w:r>
                          <w:r>
                            <w:fldChar w:fldCharType="separate"/>
                          </w:r>
                          <w:r>
                            <w:t>245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9070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ZUIEU0AgAAZQQAAA4AAABkcnMvZTJvRG9jLnhtbK1UzY7TMBC+I/EO&#10;lu80aRFL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WVCBFNAIAAGUEAAAOAAAAAAAAAAEAIAAAAB8BAABkcnMvZTJvRG9jLnhtbFBL&#10;BQYAAAAABgAGAFkBAADFBQAAAAA=&#10;">
              <v:fill on="f" focussize="0,0"/>
              <v:stroke on="f" weight="0.5pt"/>
              <v:imagedata o:title=""/>
              <o:lock v:ext="edit" aspectratio="f"/>
              <v:textbox inset="0mm,0mm,0mm,0mm" style="mso-fit-shape-to-text:t;">
                <w:txbxContent>
                  <w:p w14:paraId="441947EF">
                    <w:pPr>
                      <w:pStyle w:val="2"/>
                    </w:pPr>
                    <w:r>
                      <w:fldChar w:fldCharType="begin"/>
                    </w:r>
                    <w:r>
                      <w:instrText xml:space="preserve"> PAGE  \* MERGEFORMAT </w:instrText>
                    </w:r>
                    <w:r>
                      <w:fldChar w:fldCharType="separate"/>
                    </w:r>
                    <w:r>
                      <w:t>245</w:t>
                    </w:r>
                    <w:r>
                      <w:fldChar w:fldCharType="end"/>
                    </w:r>
                  </w:p>
                </w:txbxContent>
              </v:textbox>
            </v:shape>
          </w:pict>
        </mc:Fallback>
      </mc:AlternateContent>
    </w:r>
  </w:p>
</w:ftr>
</file>

<file path=word/footer1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6DF9DD">
    <w:pPr>
      <w:spacing w:line="176" w:lineRule="auto"/>
      <w:ind w:left="428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9080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0" name="文本框 18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D5C355">
                          <w:pPr>
                            <w:pStyle w:val="2"/>
                          </w:pPr>
                          <w:r>
                            <w:fldChar w:fldCharType="begin"/>
                          </w:r>
                          <w:r>
                            <w:instrText xml:space="preserve"> PAGE  \* MERGEFORMAT </w:instrText>
                          </w:r>
                          <w:r>
                            <w:fldChar w:fldCharType="separate"/>
                          </w:r>
                          <w:r>
                            <w:t>246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9080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HLXu4y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cte7jICAABlBAAADgAAAAAAAAABACAAAAAfAQAAZHJzL2Uyb0RvYy54bWxQSwUG&#10;AAAAAAYABgBZAQAAwwUAAAAA&#10;">
              <v:fill on="f" focussize="0,0"/>
              <v:stroke on="f" weight="0.5pt"/>
              <v:imagedata o:title=""/>
              <o:lock v:ext="edit" aspectratio="f"/>
              <v:textbox inset="0mm,0mm,0mm,0mm" style="mso-fit-shape-to-text:t;">
                <w:txbxContent>
                  <w:p w14:paraId="5BD5C355">
                    <w:pPr>
                      <w:pStyle w:val="2"/>
                    </w:pPr>
                    <w:r>
                      <w:fldChar w:fldCharType="begin"/>
                    </w:r>
                    <w:r>
                      <w:instrText xml:space="preserve"> PAGE  \* MERGEFORMAT </w:instrText>
                    </w:r>
                    <w:r>
                      <w:fldChar w:fldCharType="separate"/>
                    </w:r>
                    <w:r>
                      <w:t>246</w:t>
                    </w:r>
                    <w:r>
                      <w:fldChar w:fldCharType="end"/>
                    </w:r>
                  </w:p>
                </w:txbxContent>
              </v:textbox>
            </v:shape>
          </w:pict>
        </mc:Fallback>
      </mc:AlternateContent>
    </w:r>
  </w:p>
</w:ftr>
</file>

<file path=word/footer1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87C21D">
    <w:pPr>
      <w:spacing w:line="174"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9091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1" name="文本框 18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89B598">
                          <w:pPr>
                            <w:pStyle w:val="2"/>
                          </w:pPr>
                          <w:r>
                            <w:fldChar w:fldCharType="begin"/>
                          </w:r>
                          <w:r>
                            <w:instrText xml:space="preserve"> PAGE  \* MERGEFORMAT </w:instrText>
                          </w:r>
                          <w:r>
                            <w:fldChar w:fldCharType="separate"/>
                          </w:r>
                          <w:r>
                            <w:t>247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9091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p3wHIyAgAAZQ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nfAcjICAABlBAAADgAAAAAAAAABACAAAAAfAQAAZHJzL2Uyb0RvYy54bWxQSwUG&#10;AAAAAAYABgBZAQAAwwUAAAAA&#10;">
              <v:fill on="f" focussize="0,0"/>
              <v:stroke on="f" weight="0.5pt"/>
              <v:imagedata o:title=""/>
              <o:lock v:ext="edit" aspectratio="f"/>
              <v:textbox inset="0mm,0mm,0mm,0mm" style="mso-fit-shape-to-text:t;">
                <w:txbxContent>
                  <w:p w14:paraId="1C89B598">
                    <w:pPr>
                      <w:pStyle w:val="2"/>
                    </w:pPr>
                    <w:r>
                      <w:fldChar w:fldCharType="begin"/>
                    </w:r>
                    <w:r>
                      <w:instrText xml:space="preserve"> PAGE  \* MERGEFORMAT </w:instrText>
                    </w:r>
                    <w:r>
                      <w:fldChar w:fldCharType="separate"/>
                    </w:r>
                    <w:r>
                      <w:t>247</w:t>
                    </w:r>
                    <w:r>
                      <w:fldChar w:fldCharType="end"/>
                    </w:r>
                  </w:p>
                </w:txbxContent>
              </v:textbox>
            </v:shape>
          </w:pict>
        </mc:Fallback>
      </mc:AlternateContent>
    </w:r>
  </w:p>
</w:ftr>
</file>

<file path=word/footer1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DBD2FF">
    <w:pPr>
      <w:spacing w:line="171" w:lineRule="auto"/>
      <w:ind w:left="408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9101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2" name="文本框 18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41E930">
                          <w:pPr>
                            <w:pStyle w:val="2"/>
                          </w:pPr>
                          <w:r>
                            <w:fldChar w:fldCharType="begin"/>
                          </w:r>
                          <w:r>
                            <w:instrText xml:space="preserve"> PAGE  \* MERGEFORMAT </w:instrText>
                          </w:r>
                          <w:r>
                            <w:fldChar w:fldCharType="separate"/>
                          </w:r>
                          <w:r>
                            <w:t>249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9101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a1Egwz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a1EgwzAgAAZQQAAA4AAAAAAAAAAQAgAAAAHwEAAGRycy9lMm9Eb2MueG1sUEsF&#10;BgAAAAAGAAYAWQEAAMQFAAAAAA==&#10;">
              <v:fill on="f" focussize="0,0"/>
              <v:stroke on="f" weight="0.5pt"/>
              <v:imagedata o:title=""/>
              <o:lock v:ext="edit" aspectratio="f"/>
              <v:textbox inset="0mm,0mm,0mm,0mm" style="mso-fit-shape-to-text:t;">
                <w:txbxContent>
                  <w:p w14:paraId="2B41E930">
                    <w:pPr>
                      <w:pStyle w:val="2"/>
                    </w:pPr>
                    <w:r>
                      <w:fldChar w:fldCharType="begin"/>
                    </w:r>
                    <w:r>
                      <w:instrText xml:space="preserve"> PAGE  \* MERGEFORMAT </w:instrText>
                    </w:r>
                    <w:r>
                      <w:fldChar w:fldCharType="separate"/>
                    </w:r>
                    <w:r>
                      <w:t>249</w:t>
                    </w:r>
                    <w:r>
                      <w:fldChar w:fldCharType="end"/>
                    </w:r>
                  </w:p>
                </w:txbxContent>
              </v:textbox>
            </v:shape>
          </w:pict>
        </mc:Fallback>
      </mc:AlternateContent>
    </w:r>
  </w:p>
</w:ftr>
</file>

<file path=word/footer1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90A88E">
    <w:pPr>
      <w:spacing w:line="176" w:lineRule="auto"/>
      <w:ind w:left="428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91116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3" name="文本框 18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9B6518">
                          <w:pPr>
                            <w:pStyle w:val="2"/>
                          </w:pPr>
                          <w:r>
                            <w:fldChar w:fldCharType="begin"/>
                          </w:r>
                          <w:r>
                            <w:instrText xml:space="preserve"> PAGE  \* MERGEFORMAT </w:instrText>
                          </w:r>
                          <w:r>
                            <w:fldChar w:fldCharType="separate"/>
                          </w:r>
                          <w:r>
                            <w:t>250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9111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0JjJAz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0JjJAzAgAAZQQAAA4AAAAAAAAAAQAgAAAAHwEAAGRycy9lMm9Eb2MueG1sUEsF&#10;BgAAAAAGAAYAWQEAAMQFAAAAAA==&#10;">
              <v:fill on="f" focussize="0,0"/>
              <v:stroke on="f" weight="0.5pt"/>
              <v:imagedata o:title=""/>
              <o:lock v:ext="edit" aspectratio="f"/>
              <v:textbox inset="0mm,0mm,0mm,0mm" style="mso-fit-shape-to-text:t;">
                <w:txbxContent>
                  <w:p w14:paraId="789B6518">
                    <w:pPr>
                      <w:pStyle w:val="2"/>
                    </w:pPr>
                    <w:r>
                      <w:fldChar w:fldCharType="begin"/>
                    </w:r>
                    <w:r>
                      <w:instrText xml:space="preserve"> PAGE  \* MERGEFORMAT </w:instrText>
                    </w:r>
                    <w:r>
                      <w:fldChar w:fldCharType="separate"/>
                    </w:r>
                    <w:r>
                      <w:t>250</w:t>
                    </w:r>
                    <w:r>
                      <w:fldChar w:fldCharType="end"/>
                    </w:r>
                  </w:p>
                </w:txbxContent>
              </v:textbox>
            </v:shape>
          </w:pict>
        </mc:Fallback>
      </mc:AlternateContent>
    </w:r>
  </w:p>
</w:ftr>
</file>

<file path=word/footer1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622E75">
    <w:pPr>
      <w:spacing w:line="176" w:lineRule="auto"/>
      <w:ind w:left="428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91219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4" name="文本框 18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6DA1D0">
                          <w:pPr>
                            <w:pStyle w:val="2"/>
                          </w:pPr>
                          <w:r>
                            <w:fldChar w:fldCharType="begin"/>
                          </w:r>
                          <w:r>
                            <w:instrText xml:space="preserve"> PAGE  \* MERGEFORMAT </w:instrText>
                          </w:r>
                          <w:r>
                            <w:fldChar w:fldCharType="separate"/>
                          </w:r>
                          <w:r>
                            <w:t>251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9121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4wt/E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uMLfxNAIAAGUEAAAOAAAAAAAAAAEAIAAAAB8BAABkcnMvZTJvRG9jLnhtbFBL&#10;BQYAAAAABgAGAFkBAADFBQAAAAA=&#10;">
              <v:fill on="f" focussize="0,0"/>
              <v:stroke on="f" weight="0.5pt"/>
              <v:imagedata o:title=""/>
              <o:lock v:ext="edit" aspectratio="f"/>
              <v:textbox inset="0mm,0mm,0mm,0mm" style="mso-fit-shape-to-text:t;">
                <w:txbxContent>
                  <w:p w14:paraId="666DA1D0">
                    <w:pPr>
                      <w:pStyle w:val="2"/>
                    </w:pPr>
                    <w:r>
                      <w:fldChar w:fldCharType="begin"/>
                    </w:r>
                    <w:r>
                      <w:instrText xml:space="preserve"> PAGE  \* MERGEFORMAT </w:instrText>
                    </w:r>
                    <w:r>
                      <w:fldChar w:fldCharType="separate"/>
                    </w:r>
                    <w:r>
                      <w:t>251</w:t>
                    </w:r>
                    <w:r>
                      <w:fldChar w:fldCharType="end"/>
                    </w:r>
                  </w:p>
                </w:txbxContent>
              </v:textbox>
            </v:shape>
          </w:pict>
        </mc:Fallback>
      </mc:AlternateContent>
    </w:r>
  </w:p>
</w:ftr>
</file>

<file path=word/footer1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62D413">
    <w:pPr>
      <w:spacing w:line="176" w:lineRule="auto"/>
      <w:ind w:left="428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91321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5" name="文本框 18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AD4770">
                          <w:pPr>
                            <w:pStyle w:val="2"/>
                          </w:pPr>
                          <w:r>
                            <w:fldChar w:fldCharType="begin"/>
                          </w:r>
                          <w:r>
                            <w:instrText xml:space="preserve"> PAGE  \* MERGEFORMAT </w:instrText>
                          </w:r>
                          <w:r>
                            <w:fldChar w:fldCharType="separate"/>
                          </w:r>
                          <w:r>
                            <w:t>252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9132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MKW0zAgAAZQ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MKW0zAgAAZQQAAA4AAAAAAAAAAQAgAAAAHwEAAGRycy9lMm9Eb2MueG1sUEsF&#10;BgAAAAAGAAYAWQEAAMQFAAAAAA==&#10;">
              <v:fill on="f" focussize="0,0"/>
              <v:stroke on="f" weight="0.5pt"/>
              <v:imagedata o:title=""/>
              <o:lock v:ext="edit" aspectratio="f"/>
              <v:textbox inset="0mm,0mm,0mm,0mm" style="mso-fit-shape-to-text:t;">
                <w:txbxContent>
                  <w:p w14:paraId="77AD4770">
                    <w:pPr>
                      <w:pStyle w:val="2"/>
                    </w:pPr>
                    <w:r>
                      <w:fldChar w:fldCharType="begin"/>
                    </w:r>
                    <w:r>
                      <w:instrText xml:space="preserve"> PAGE  \* MERGEFORMAT </w:instrText>
                    </w:r>
                    <w:r>
                      <w:fldChar w:fldCharType="separate"/>
                    </w:r>
                    <w:r>
                      <w:t>252</w:t>
                    </w:r>
                    <w:r>
                      <w:fldChar w:fldCharType="end"/>
                    </w:r>
                  </w:p>
                </w:txbxContent>
              </v:textbox>
            </v:shape>
          </w:pict>
        </mc:Fallback>
      </mc:AlternateContent>
    </w:r>
  </w:p>
</w:ftr>
</file>

<file path=word/footer1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A90B47">
    <w:pPr>
      <w:spacing w:line="176" w:lineRule="auto"/>
      <w:ind w:left="443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914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6" name="文本框 18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DC5837">
                          <w:pPr>
                            <w:pStyle w:val="2"/>
                          </w:pPr>
                          <w:r>
                            <w:fldChar w:fldCharType="begin"/>
                          </w:r>
                          <w:r>
                            <w:instrText xml:space="preserve"> PAGE  \* MERGEFORMAT </w:instrText>
                          </w:r>
                          <w:r>
                            <w:fldChar w:fldCharType="separate"/>
                          </w:r>
                          <w:r>
                            <w:t>253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914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lO+xMzAgAAZ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lO+xMzAgAAZQQAAA4AAAAAAAAAAQAgAAAAHwEAAGRycy9lMm9Eb2MueG1sUEsF&#10;BgAAAAAGAAYAWQEAAMQFAAAAAA==&#10;">
              <v:fill on="f" focussize="0,0"/>
              <v:stroke on="f" weight="0.5pt"/>
              <v:imagedata o:title=""/>
              <o:lock v:ext="edit" aspectratio="f"/>
              <v:textbox inset="0mm,0mm,0mm,0mm" style="mso-fit-shape-to-text:t;">
                <w:txbxContent>
                  <w:p w14:paraId="5ADC5837">
                    <w:pPr>
                      <w:pStyle w:val="2"/>
                    </w:pPr>
                    <w:r>
                      <w:fldChar w:fldCharType="begin"/>
                    </w:r>
                    <w:r>
                      <w:instrText xml:space="preserve"> PAGE  \* MERGEFORMAT </w:instrText>
                    </w:r>
                    <w:r>
                      <w:fldChar w:fldCharType="separate"/>
                    </w:r>
                    <w:r>
                      <w:t>253</w:t>
                    </w:r>
                    <w:r>
                      <w:fldChar w:fldCharType="end"/>
                    </w:r>
                  </w:p>
                </w:txbxContent>
              </v:textbox>
            </v:shape>
          </w:pict>
        </mc:Fallback>
      </mc:AlternateContent>
    </w:r>
  </w:p>
</w:ftr>
</file>

<file path=word/footer1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F078EE">
    <w:pPr>
      <w:spacing w:line="176" w:lineRule="auto"/>
      <w:ind w:left="443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915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7" name="文本框 18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EB061E">
                          <w:pPr>
                            <w:pStyle w:val="2"/>
                          </w:pPr>
                          <w:r>
                            <w:fldChar w:fldCharType="begin"/>
                          </w:r>
                          <w:r>
                            <w:instrText xml:space="preserve"> PAGE  \* MERGEFORMAT </w:instrText>
                          </w:r>
                          <w:r>
                            <w:fldChar w:fldCharType="separate"/>
                          </w:r>
                          <w:r>
                            <w:t>254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915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LyZY80AgAAZQ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S8mWPNAIAAGUEAAAOAAAAAAAAAAEAIAAAAB8BAABkcnMvZTJvRG9jLnhtbFBL&#10;BQYAAAAABgAGAFkBAADFBQAAAAA=&#10;">
              <v:fill on="f" focussize="0,0"/>
              <v:stroke on="f" weight="0.5pt"/>
              <v:imagedata o:title=""/>
              <o:lock v:ext="edit" aspectratio="f"/>
              <v:textbox inset="0mm,0mm,0mm,0mm" style="mso-fit-shape-to-text:t;">
                <w:txbxContent>
                  <w:p w14:paraId="3EEB061E">
                    <w:pPr>
                      <w:pStyle w:val="2"/>
                    </w:pPr>
                    <w:r>
                      <w:fldChar w:fldCharType="begin"/>
                    </w:r>
                    <w:r>
                      <w:instrText xml:space="preserve"> PAGE  \* MERGEFORMAT </w:instrText>
                    </w:r>
                    <w:r>
                      <w:fldChar w:fldCharType="separate"/>
                    </w:r>
                    <w:r>
                      <w:t>254</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F28144">
    <w:pPr>
      <w:spacing w:line="176" w:lineRule="auto"/>
      <w:ind w:left="443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59616"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A79E34">
                          <w:pPr>
                            <w:pStyle w:val="2"/>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96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22A79E34">
                    <w:pPr>
                      <w:pStyle w:val="2"/>
                    </w:pPr>
                    <w:r>
                      <w:fldChar w:fldCharType="begin"/>
                    </w:r>
                    <w:r>
                      <w:instrText xml:space="preserve"> PAGE  \* MERGEFORMAT </w:instrText>
                    </w:r>
                    <w:r>
                      <w:fldChar w:fldCharType="separate"/>
                    </w:r>
                    <w:r>
                      <w:t>66</w:t>
                    </w:r>
                    <w:r>
                      <w:fldChar w:fldCharType="end"/>
                    </w:r>
                  </w:p>
                </w:txbxContent>
              </v:textbox>
            </v:shape>
          </w:pict>
        </mc:Fallback>
      </mc:AlternateContent>
    </w:r>
    <w:r>
      <w:rPr>
        <w:rFonts w:ascii="Times New Roman" w:hAnsi="Times New Roman" w:eastAsia="Times New Roman" w:cs="Times New Roman"/>
        <w:spacing w:val="-1"/>
        <w:sz w:val="18"/>
        <w:szCs w:val="18"/>
      </w:rPr>
      <w:t>47</w:t>
    </w:r>
  </w:p>
</w:ftr>
</file>

<file path=word/footer1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C254C8">
    <w:pPr>
      <w:spacing w:line="176" w:lineRule="auto"/>
      <w:ind w:left="428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916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8" name="文本框 18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B6BB84">
                          <w:pPr>
                            <w:pStyle w:val="2"/>
                          </w:pPr>
                          <w:r>
                            <w:fldChar w:fldCharType="begin"/>
                          </w:r>
                          <w:r>
                            <w:instrText xml:space="preserve"> PAGE  \* MERGEFORMAT </w:instrText>
                          </w:r>
                          <w:r>
                            <w:fldChar w:fldCharType="separate"/>
                          </w:r>
                          <w:r>
                            <w:t>255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916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89jdEy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3z2N0TICAABlBAAADgAAAAAAAAABACAAAAAfAQAAZHJzL2Uyb0RvYy54bWxQSwUG&#10;AAAAAAYABgBZAQAAwwUAAAAA&#10;">
              <v:fill on="f" focussize="0,0"/>
              <v:stroke on="f" weight="0.5pt"/>
              <v:imagedata o:title=""/>
              <o:lock v:ext="edit" aspectratio="f"/>
              <v:textbox inset="0mm,0mm,0mm,0mm" style="mso-fit-shape-to-text:t;">
                <w:txbxContent>
                  <w:p w14:paraId="3EB6BB84">
                    <w:pPr>
                      <w:pStyle w:val="2"/>
                    </w:pPr>
                    <w:r>
                      <w:fldChar w:fldCharType="begin"/>
                    </w:r>
                    <w:r>
                      <w:instrText xml:space="preserve"> PAGE  \* MERGEFORMAT </w:instrText>
                    </w:r>
                    <w:r>
                      <w:fldChar w:fldCharType="separate"/>
                    </w:r>
                    <w:r>
                      <w:t>255</w:t>
                    </w:r>
                    <w:r>
                      <w:fldChar w:fldCharType="end"/>
                    </w:r>
                  </w:p>
                </w:txbxContent>
              </v:textbox>
            </v:shape>
          </w:pict>
        </mc:Fallback>
      </mc:AlternateContent>
    </w:r>
  </w:p>
</w:ftr>
</file>

<file path=word/footer1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956D45">
    <w:pPr>
      <w:spacing w:line="176" w:lineRule="auto"/>
      <w:ind w:left="428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917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9" name="文本框 18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8CDBF3">
                          <w:pPr>
                            <w:pStyle w:val="2"/>
                          </w:pPr>
                          <w:r>
                            <w:fldChar w:fldCharType="begin"/>
                          </w:r>
                          <w:r>
                            <w:instrText xml:space="preserve"> PAGE  \* MERGEFORMAT </w:instrText>
                          </w:r>
                          <w:r>
                            <w:fldChar w:fldCharType="separate"/>
                          </w:r>
                          <w:r>
                            <w:t>256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917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SBE000AgAAZQ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0gRNNNAIAAGUEAAAOAAAAAAAAAAEAIAAAAB8BAABkcnMvZTJvRG9jLnhtbFBL&#10;BQYAAAAABgAGAFkBAADFBQAAAAA=&#10;">
              <v:fill on="f" focussize="0,0"/>
              <v:stroke on="f" weight="0.5pt"/>
              <v:imagedata o:title=""/>
              <o:lock v:ext="edit" aspectratio="f"/>
              <v:textbox inset="0mm,0mm,0mm,0mm" style="mso-fit-shape-to-text:t;">
                <w:txbxContent>
                  <w:p w14:paraId="058CDBF3">
                    <w:pPr>
                      <w:pStyle w:val="2"/>
                    </w:pPr>
                    <w:r>
                      <w:fldChar w:fldCharType="begin"/>
                    </w:r>
                    <w:r>
                      <w:instrText xml:space="preserve"> PAGE  \* MERGEFORMAT </w:instrText>
                    </w:r>
                    <w:r>
                      <w:fldChar w:fldCharType="separate"/>
                    </w:r>
                    <w:r>
                      <w:t>256</w:t>
                    </w:r>
                    <w:r>
                      <w:fldChar w:fldCharType="end"/>
                    </w:r>
                  </w:p>
                </w:txbxContent>
              </v:textbox>
            </v:shape>
          </w:pict>
        </mc:Fallback>
      </mc:AlternateContent>
    </w:r>
  </w:p>
</w:ftr>
</file>

<file path=word/footer1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B16C60">
    <w:pPr>
      <w:spacing w:line="176" w:lineRule="auto"/>
      <w:ind w:left="428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918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90" name="文本框 19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6CCBEC">
                          <w:pPr>
                            <w:pStyle w:val="2"/>
                          </w:pPr>
                          <w:r>
                            <w:fldChar w:fldCharType="begin"/>
                          </w:r>
                          <w:r>
                            <w:instrText xml:space="preserve"> PAGE  \* MERGEFORMAT </w:instrText>
                          </w:r>
                          <w:r>
                            <w:fldChar w:fldCharType="separate"/>
                          </w:r>
                          <w:r>
                            <w:t>257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918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3tojQzAgAAZQ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3tojQzAgAAZQQAAA4AAAAAAAAAAQAgAAAAHwEAAGRycy9lMm9Eb2MueG1sUEsF&#10;BgAAAAAGAAYAWQEAAMQFAAAAAA==&#10;">
              <v:fill on="f" focussize="0,0"/>
              <v:stroke on="f" weight="0.5pt"/>
              <v:imagedata o:title=""/>
              <o:lock v:ext="edit" aspectratio="f"/>
              <v:textbox inset="0mm,0mm,0mm,0mm" style="mso-fit-shape-to-text:t;">
                <w:txbxContent>
                  <w:p w14:paraId="356CCBEC">
                    <w:pPr>
                      <w:pStyle w:val="2"/>
                    </w:pPr>
                    <w:r>
                      <w:fldChar w:fldCharType="begin"/>
                    </w:r>
                    <w:r>
                      <w:instrText xml:space="preserve"> PAGE  \* MERGEFORMAT </w:instrText>
                    </w:r>
                    <w:r>
                      <w:fldChar w:fldCharType="separate"/>
                    </w:r>
                    <w:r>
                      <w:t>257</w:t>
                    </w:r>
                    <w:r>
                      <w:fldChar w:fldCharType="end"/>
                    </w:r>
                  </w:p>
                </w:txbxContent>
              </v:textbox>
            </v:shape>
          </w:pict>
        </mc:Fallback>
      </mc:AlternateContent>
    </w:r>
  </w:p>
</w:ftr>
</file>

<file path=word/footer1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A1E593">
    <w:pPr>
      <w:spacing w:line="176" w:lineRule="auto"/>
      <w:ind w:left="428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919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1" name="文本框 19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E67B92">
                          <w:pPr>
                            <w:pStyle w:val="2"/>
                          </w:pPr>
                          <w:r>
                            <w:fldChar w:fldCharType="begin"/>
                          </w:r>
                          <w:r>
                            <w:instrText xml:space="preserve"> PAGE  \* MERGEFORMAT </w:instrText>
                          </w:r>
                          <w:r>
                            <w:fldChar w:fldCharType="separate"/>
                          </w:r>
                          <w:r>
                            <w:t>258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919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ZRPKgzAgAAZQQAAA4AAABkcnMvZTJvRG9jLnhtbK1UzY7TMBC+I/EO&#10;lu80aRGrUj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ZRPKgzAgAAZQQAAA4AAAAAAAAAAQAgAAAAHwEAAGRycy9lMm9Eb2MueG1sUEsF&#10;BgAAAAAGAAYAWQEAAMQFAAAAAA==&#10;">
              <v:fill on="f" focussize="0,0"/>
              <v:stroke on="f" weight="0.5pt"/>
              <v:imagedata o:title=""/>
              <o:lock v:ext="edit" aspectratio="f"/>
              <v:textbox inset="0mm,0mm,0mm,0mm" style="mso-fit-shape-to-text:t;">
                <w:txbxContent>
                  <w:p w14:paraId="1EE67B92">
                    <w:pPr>
                      <w:pStyle w:val="2"/>
                    </w:pPr>
                    <w:r>
                      <w:fldChar w:fldCharType="begin"/>
                    </w:r>
                    <w:r>
                      <w:instrText xml:space="preserve"> PAGE  \* MERGEFORMAT </w:instrText>
                    </w:r>
                    <w:r>
                      <w:fldChar w:fldCharType="separate"/>
                    </w:r>
                    <w:r>
                      <w:t>258</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82BB2E">
    <w:pPr>
      <w:spacing w:line="176" w:lineRule="auto"/>
      <w:ind w:left="443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606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5B81A9">
                          <w:pPr>
                            <w:pStyle w:val="2"/>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06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Edhg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EdhgzAgAAYwQAAA4AAAAAAAAAAQAgAAAAHwEAAGRycy9lMm9Eb2MueG1sUEsF&#10;BgAAAAAGAAYAWQEAAMQFAAAAAA==&#10;">
              <v:fill on="f" focussize="0,0"/>
              <v:stroke on="f" weight="0.5pt"/>
              <v:imagedata o:title=""/>
              <o:lock v:ext="edit" aspectratio="f"/>
              <v:textbox inset="0mm,0mm,0mm,0mm" style="mso-fit-shape-to-text:t;">
                <w:txbxContent>
                  <w:p w14:paraId="215B81A9">
                    <w:pPr>
                      <w:pStyle w:val="2"/>
                    </w:pPr>
                    <w:r>
                      <w:fldChar w:fldCharType="begin"/>
                    </w:r>
                    <w:r>
                      <w:instrText xml:space="preserve"> PAGE  \* MERGEFORMAT </w:instrText>
                    </w:r>
                    <w:r>
                      <w:fldChar w:fldCharType="separate"/>
                    </w:r>
                    <w:r>
                      <w:t>67</w:t>
                    </w:r>
                    <w:r>
                      <w:fldChar w:fldCharType="end"/>
                    </w:r>
                  </w:p>
                </w:txbxContent>
              </v:textbox>
            </v:shape>
          </w:pict>
        </mc:Fallback>
      </mc:AlternateContent>
    </w:r>
    <w:r>
      <w:rPr>
        <w:rFonts w:ascii="Times New Roman" w:hAnsi="Times New Roman" w:eastAsia="Times New Roman" w:cs="Times New Roman"/>
        <w:spacing w:val="-1"/>
        <w:sz w:val="18"/>
        <w:szCs w:val="18"/>
      </w:rPr>
      <w:t>48</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35C6CE">
    <w:pPr>
      <w:spacing w:line="176" w:lineRule="auto"/>
      <w:ind w:left="433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616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BE4F55">
                          <w:pPr>
                            <w:pStyle w:val="2"/>
                          </w:pPr>
                          <w:r>
                            <w:fldChar w:fldCharType="begin"/>
                          </w:r>
                          <w:r>
                            <w:instrText xml:space="preserve"> PAGE  \* MERGEFORMAT </w:instrText>
                          </w:r>
                          <w:r>
                            <w:fldChar w:fldCharType="separate"/>
                          </w:r>
                          <w:r>
                            <w:t>68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16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oMpEzAgAAYwQAAA4AAABkcnMvZTJvRG9jLnhtbK1US44TMRDdI3EH&#10;y3vSSUa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JoMpEzAgAAYwQAAA4AAAAAAAAAAQAgAAAAHwEAAGRycy9lMm9Eb2MueG1sUEsF&#10;BgAAAAAGAAYAWQEAAMQFAAAAAA==&#10;">
              <v:fill on="f" focussize="0,0"/>
              <v:stroke on="f" weight="0.5pt"/>
              <v:imagedata o:title=""/>
              <o:lock v:ext="edit" aspectratio="f"/>
              <v:textbox inset="0mm,0mm,0mm,0mm" style="mso-fit-shape-to-text:t;">
                <w:txbxContent>
                  <w:p w14:paraId="41BE4F55">
                    <w:pPr>
                      <w:pStyle w:val="2"/>
                    </w:pPr>
                    <w:r>
                      <w:fldChar w:fldCharType="begin"/>
                    </w:r>
                    <w:r>
                      <w:instrText xml:space="preserve"> PAGE  \* MERGEFORMAT </w:instrText>
                    </w:r>
                    <w:r>
                      <w:fldChar w:fldCharType="separate"/>
                    </w:r>
                    <w:r>
                      <w:t>68</w:t>
                    </w:r>
                    <w:r>
                      <w:fldChar w:fldCharType="end"/>
                    </w:r>
                  </w:p>
                </w:txbxContent>
              </v:textbox>
            </v:shape>
          </w:pict>
        </mc:Fallback>
      </mc:AlternateContent>
    </w:r>
    <w:r>
      <w:rPr>
        <w:rFonts w:ascii="Times New Roman" w:hAnsi="Times New Roman" w:eastAsia="Times New Roman" w:cs="Times New Roman"/>
        <w:spacing w:val="-1"/>
        <w:sz w:val="18"/>
        <w:szCs w:val="18"/>
      </w:rPr>
      <w:t>49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28D330">
    <w:pPr>
      <w:spacing w:line="176" w:lineRule="auto"/>
      <w:ind w:left="437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4425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FB25FD">
                          <w:pPr>
                            <w:pStyle w:val="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42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FB25FD">
                    <w:pPr>
                      <w:pStyle w:val="2"/>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3522F3">
    <w:pPr>
      <w:spacing w:line="176" w:lineRule="auto"/>
      <w:ind w:left="434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626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73D58D">
                          <w:pPr>
                            <w:pStyle w:val="2"/>
                          </w:pPr>
                          <w:r>
                            <w:fldChar w:fldCharType="begin"/>
                          </w:r>
                          <w:r>
                            <w:instrText xml:space="preserve"> PAGE  \* MERGEFORMAT </w:instrText>
                          </w:r>
                          <w:r>
                            <w:fldChar w:fldCharType="separate"/>
                          </w:r>
                          <w:r>
                            <w:t>69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26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UzAgAAY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bJUzAgAAYwQAAA4AAAAAAAAAAQAgAAAAHwEAAGRycy9lMm9Eb2MueG1sUEsF&#10;BgAAAAAGAAYAWQEAAMQFAAAAAA==&#10;">
              <v:fill on="f" focussize="0,0"/>
              <v:stroke on="f" weight="0.5pt"/>
              <v:imagedata o:title=""/>
              <o:lock v:ext="edit" aspectratio="f"/>
              <v:textbox inset="0mm,0mm,0mm,0mm" style="mso-fit-shape-to-text:t;">
                <w:txbxContent>
                  <w:p w14:paraId="1773D58D">
                    <w:pPr>
                      <w:pStyle w:val="2"/>
                    </w:pPr>
                    <w:r>
                      <w:fldChar w:fldCharType="begin"/>
                    </w:r>
                    <w:r>
                      <w:instrText xml:space="preserve"> PAGE  \* MERGEFORMAT </w:instrText>
                    </w:r>
                    <w:r>
                      <w:fldChar w:fldCharType="separate"/>
                    </w:r>
                    <w:r>
                      <w:t>69</w:t>
                    </w:r>
                    <w:r>
                      <w:fldChar w:fldCharType="end"/>
                    </w:r>
                  </w:p>
                </w:txbxContent>
              </v:textbox>
            </v:shape>
          </w:pict>
        </mc:Fallback>
      </mc:AlternateContent>
    </w:r>
    <w:r>
      <w:rPr>
        <w:rFonts w:ascii="Times New Roman" w:hAnsi="Times New Roman" w:eastAsia="Times New Roman" w:cs="Times New Roman"/>
        <w:spacing w:val="-4"/>
        <w:sz w:val="18"/>
        <w:szCs w:val="18"/>
      </w:rPr>
      <w:t>50</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549DE1">
    <w:pPr>
      <w:spacing w:line="176" w:lineRule="auto"/>
      <w:ind w:left="434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637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A9F8EE">
                          <w:pPr>
                            <w:pStyle w:val="2"/>
                          </w:pPr>
                          <w:r>
                            <w:fldChar w:fldCharType="begin"/>
                          </w:r>
                          <w:r>
                            <w:instrText xml:space="preserve"> PAGE  \* MERGEFORMAT </w:instrText>
                          </w:r>
                          <w:r>
                            <w:fldChar w:fldCharType="separate"/>
                          </w:r>
                          <w:r>
                            <w:t>71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37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Fjpk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1f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FjpkzAgAAYwQAAA4AAAAAAAAAAQAgAAAAHwEAAGRycy9lMm9Eb2MueG1sUEsF&#10;BgAAAAAGAAYAWQEAAMQFAAAAAA==&#10;">
              <v:fill on="f" focussize="0,0"/>
              <v:stroke on="f" weight="0.5pt"/>
              <v:imagedata o:title=""/>
              <o:lock v:ext="edit" aspectratio="f"/>
              <v:textbox inset="0mm,0mm,0mm,0mm" style="mso-fit-shape-to-text:t;">
                <w:txbxContent>
                  <w:p w14:paraId="6AA9F8EE">
                    <w:pPr>
                      <w:pStyle w:val="2"/>
                    </w:pPr>
                    <w:r>
                      <w:fldChar w:fldCharType="begin"/>
                    </w:r>
                    <w:r>
                      <w:instrText xml:space="preserve"> PAGE  \* MERGEFORMAT </w:instrText>
                    </w:r>
                    <w:r>
                      <w:fldChar w:fldCharType="separate"/>
                    </w:r>
                    <w:r>
                      <w:t>71</w:t>
                    </w:r>
                    <w:r>
                      <w:fldChar w:fldCharType="end"/>
                    </w:r>
                  </w:p>
                </w:txbxContent>
              </v:textbox>
            </v:shape>
          </w:pict>
        </mc:Fallback>
      </mc:AlternateContent>
    </w:r>
    <w:r>
      <w:rPr>
        <w:rFonts w:ascii="Times New Roman" w:hAnsi="Times New Roman" w:eastAsia="Times New Roman" w:cs="Times New Roman"/>
        <w:spacing w:val="-4"/>
        <w:sz w:val="18"/>
        <w:szCs w:val="18"/>
      </w:rPr>
      <w:t>51</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6D5719">
    <w:pPr>
      <w:spacing w:line="176" w:lineRule="auto"/>
      <w:ind w:left="434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647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293C8D">
                          <w:pPr>
                            <w:pStyle w:val="2"/>
                          </w:pPr>
                          <w:r>
                            <w:fldChar w:fldCharType="begin"/>
                          </w:r>
                          <w:r>
                            <w:instrText xml:space="preserve"> PAGE  \* MERGEFORMAT </w:instrText>
                          </w:r>
                          <w:r>
                            <w:fldChar w:fldCharType="separate"/>
                          </w:r>
                          <w:r>
                            <w:t>72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47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2T0J0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2T0J0zAgAAYwQAAA4AAAAAAAAAAQAgAAAAHwEAAGRycy9lMm9Eb2MueG1sUEsF&#10;BgAAAAAGAAYAWQEAAMQFAAAAAA==&#10;">
              <v:fill on="f" focussize="0,0"/>
              <v:stroke on="f" weight="0.5pt"/>
              <v:imagedata o:title=""/>
              <o:lock v:ext="edit" aspectratio="f"/>
              <v:textbox inset="0mm,0mm,0mm,0mm" style="mso-fit-shape-to-text:t;">
                <w:txbxContent>
                  <w:p w14:paraId="4C293C8D">
                    <w:pPr>
                      <w:pStyle w:val="2"/>
                    </w:pPr>
                    <w:r>
                      <w:fldChar w:fldCharType="begin"/>
                    </w:r>
                    <w:r>
                      <w:instrText xml:space="preserve"> PAGE  \* MERGEFORMAT </w:instrText>
                    </w:r>
                    <w:r>
                      <w:fldChar w:fldCharType="separate"/>
                    </w:r>
                    <w:r>
                      <w:t>72</w:t>
                    </w:r>
                    <w:r>
                      <w:fldChar w:fldCharType="end"/>
                    </w:r>
                  </w:p>
                </w:txbxContent>
              </v:textbox>
            </v:shape>
          </w:pict>
        </mc:Fallback>
      </mc:AlternateContent>
    </w:r>
    <w:r>
      <w:rPr>
        <w:rFonts w:ascii="Times New Roman" w:hAnsi="Times New Roman" w:eastAsia="Times New Roman" w:cs="Times New Roman"/>
        <w:spacing w:val="-4"/>
        <w:sz w:val="18"/>
        <w:szCs w:val="18"/>
      </w:rPr>
      <w:t>52</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E1238A">
    <w:pPr>
      <w:spacing w:line="176" w:lineRule="auto"/>
      <w:ind w:left="434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657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451E22">
                          <w:pPr>
                            <w:pStyle w:val="2"/>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57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YzS4AzAgAAYw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YzS4AzAgAAYwQAAA4AAAAAAAAAAQAgAAAAHwEAAGRycy9lMm9Eb2MueG1sUEsF&#10;BgAAAAAGAAYAWQEAAMQFAAAAAA==&#10;">
              <v:fill on="f" focussize="0,0"/>
              <v:stroke on="f" weight="0.5pt"/>
              <v:imagedata o:title=""/>
              <o:lock v:ext="edit" aspectratio="f"/>
              <v:textbox inset="0mm,0mm,0mm,0mm" style="mso-fit-shape-to-text:t;">
                <w:txbxContent>
                  <w:p w14:paraId="39451E22">
                    <w:pPr>
                      <w:pStyle w:val="2"/>
                    </w:pPr>
                    <w:r>
                      <w:fldChar w:fldCharType="begin"/>
                    </w:r>
                    <w:r>
                      <w:instrText xml:space="preserve"> PAGE  \* MERGEFORMAT </w:instrText>
                    </w:r>
                    <w:r>
                      <w:fldChar w:fldCharType="separate"/>
                    </w:r>
                    <w:r>
                      <w:t>73</w:t>
                    </w:r>
                    <w:r>
                      <w:fldChar w:fldCharType="end"/>
                    </w:r>
                  </w:p>
                </w:txbxContent>
              </v:textbox>
            </v:shape>
          </w:pict>
        </mc:Fallback>
      </mc:AlternateContent>
    </w:r>
    <w:r>
      <w:rPr>
        <w:rFonts w:ascii="Times New Roman" w:hAnsi="Times New Roman" w:eastAsia="Times New Roman" w:cs="Times New Roman"/>
        <w:spacing w:val="-4"/>
        <w:sz w:val="18"/>
        <w:szCs w:val="18"/>
      </w:rPr>
      <w:t>53</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F5E575">
    <w:pPr>
      <w:spacing w:line="176" w:lineRule="auto"/>
      <w:ind w:left="443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667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E3559B">
                          <w:pPr>
                            <w:pStyle w:val="2"/>
                          </w:pPr>
                          <w:r>
                            <w:fldChar w:fldCharType="begin"/>
                          </w:r>
                          <w:r>
                            <w:instrText xml:space="preserve"> PAGE  \* MERGEFORMAT </w:instrText>
                          </w:r>
                          <w:r>
                            <w:fldChar w:fldCharType="separate"/>
                          </w:r>
                          <w:r>
                            <w:t>74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67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xhYO8zAgAAYw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lTYphGx08/vp9+&#10;Ppx+fSM4g0CNCzPE3TtExvadbTE2w3nAYeLdVl6nLxgR+CHv8SKvaCPh6dJ0Mp3mcHH4hg3ws8fr&#10;zof4XlhNklFQj/51srLDJsQ+dAhJ2YxdS6W6HipDmoJevX6b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xhYO8zAgAAYwQAAA4AAAAAAAAAAQAgAAAAHwEAAGRycy9lMm9Eb2MueG1sUEsF&#10;BgAAAAAGAAYAWQEAAMQFAAAAAA==&#10;">
              <v:fill on="f" focussize="0,0"/>
              <v:stroke on="f" weight="0.5pt"/>
              <v:imagedata o:title=""/>
              <o:lock v:ext="edit" aspectratio="f"/>
              <v:textbox inset="0mm,0mm,0mm,0mm" style="mso-fit-shape-to-text:t;">
                <w:txbxContent>
                  <w:p w14:paraId="00E3559B">
                    <w:pPr>
                      <w:pStyle w:val="2"/>
                    </w:pPr>
                    <w:r>
                      <w:fldChar w:fldCharType="begin"/>
                    </w:r>
                    <w:r>
                      <w:instrText xml:space="preserve"> PAGE  \* MERGEFORMAT </w:instrText>
                    </w:r>
                    <w:r>
                      <w:fldChar w:fldCharType="separate"/>
                    </w:r>
                    <w:r>
                      <w:t>74</w:t>
                    </w:r>
                    <w:r>
                      <w:fldChar w:fldCharType="end"/>
                    </w:r>
                  </w:p>
                </w:txbxContent>
              </v:textbox>
            </v:shape>
          </w:pict>
        </mc:Fallback>
      </mc:AlternateContent>
    </w:r>
    <w:r>
      <w:rPr>
        <w:rFonts w:ascii="Times New Roman" w:hAnsi="Times New Roman" w:eastAsia="Times New Roman" w:cs="Times New Roman"/>
        <w:spacing w:val="-4"/>
        <w:sz w:val="18"/>
        <w:szCs w:val="18"/>
      </w:rPr>
      <w:t>54</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3BD3E1">
    <w:pPr>
      <w:spacing w:line="173" w:lineRule="auto"/>
      <w:ind w:left="443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678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7EED8B">
                          <w:pPr>
                            <w:pStyle w:val="2"/>
                          </w:pPr>
                          <w:r>
                            <w:fldChar w:fldCharType="begin"/>
                          </w:r>
                          <w:r>
                            <w:instrText xml:space="preserve"> PAGE  \* MERGEFORMAT </w:instrText>
                          </w:r>
                          <w:r>
                            <w:fldChar w:fldCharType="separate"/>
                          </w:r>
                          <w:r>
                            <w:t>78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78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3Pus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k3PuszAgAAYwQAAA4AAAAAAAAAAQAgAAAAHwEAAGRycy9lMm9Eb2MueG1sUEsF&#10;BgAAAAAGAAYAWQEAAMQFAAAAAA==&#10;">
              <v:fill on="f" focussize="0,0"/>
              <v:stroke on="f" weight="0.5pt"/>
              <v:imagedata o:title=""/>
              <o:lock v:ext="edit" aspectratio="f"/>
              <v:textbox inset="0mm,0mm,0mm,0mm" style="mso-fit-shape-to-text:t;">
                <w:txbxContent>
                  <w:p w14:paraId="307EED8B">
                    <w:pPr>
                      <w:pStyle w:val="2"/>
                    </w:pPr>
                    <w:r>
                      <w:fldChar w:fldCharType="begin"/>
                    </w:r>
                    <w:r>
                      <w:instrText xml:space="preserve"> PAGE  \* MERGEFORMAT </w:instrText>
                    </w:r>
                    <w:r>
                      <w:fldChar w:fldCharType="separate"/>
                    </w:r>
                    <w:r>
                      <w:t>78</w:t>
                    </w:r>
                    <w:r>
                      <w:fldChar w:fldCharType="end"/>
                    </w:r>
                  </w:p>
                </w:txbxContent>
              </v:textbox>
            </v:shape>
          </w:pict>
        </mc:Fallback>
      </mc:AlternateContent>
    </w:r>
    <w:r>
      <w:rPr>
        <w:rFonts w:ascii="Times New Roman" w:hAnsi="Times New Roman" w:eastAsia="Times New Roman" w:cs="Times New Roman"/>
        <w:spacing w:val="-4"/>
        <w:sz w:val="18"/>
        <w:szCs w:val="18"/>
      </w:rPr>
      <w:t>57</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098280">
    <w:pPr>
      <w:spacing w:line="176" w:lineRule="auto"/>
      <w:ind w:left="445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68832"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E46185">
                          <w:pPr>
                            <w:pStyle w:val="2"/>
                          </w:pPr>
                          <w:r>
                            <w:fldChar w:fldCharType="begin"/>
                          </w:r>
                          <w:r>
                            <w:instrText xml:space="preserve"> PAGE  \* MERGEFORMAT </w:instrText>
                          </w:r>
                          <w:r>
                            <w:fldChar w:fldCharType="separate"/>
                          </w:r>
                          <w:r>
                            <w:t>79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88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RkSwgzAgAAY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RkSwgzAgAAYwQAAA4AAAAAAAAAAQAgAAAAHwEAAGRycy9lMm9Eb2MueG1sUEsF&#10;BgAAAAAGAAYAWQEAAMQFAAAAAA==&#10;">
              <v:fill on="f" focussize="0,0"/>
              <v:stroke on="f" weight="0.5pt"/>
              <v:imagedata o:title=""/>
              <o:lock v:ext="edit" aspectratio="f"/>
              <v:textbox inset="0mm,0mm,0mm,0mm" style="mso-fit-shape-to-text:t;">
                <w:txbxContent>
                  <w:p w14:paraId="52E46185">
                    <w:pPr>
                      <w:pStyle w:val="2"/>
                    </w:pPr>
                    <w:r>
                      <w:fldChar w:fldCharType="begin"/>
                    </w:r>
                    <w:r>
                      <w:instrText xml:space="preserve"> PAGE  \* MERGEFORMAT </w:instrText>
                    </w:r>
                    <w:r>
                      <w:fldChar w:fldCharType="separate"/>
                    </w:r>
                    <w:r>
                      <w:t>79</w:t>
                    </w:r>
                    <w:r>
                      <w:fldChar w:fldCharType="end"/>
                    </w:r>
                  </w:p>
                </w:txbxContent>
              </v:textbox>
            </v:shape>
          </w:pict>
        </mc:Fallback>
      </mc:AlternateContent>
    </w:r>
    <w:r>
      <w:rPr>
        <w:rFonts w:ascii="Times New Roman" w:hAnsi="Times New Roman" w:eastAsia="Times New Roman" w:cs="Times New Roman"/>
        <w:spacing w:val="-4"/>
        <w:sz w:val="18"/>
        <w:szCs w:val="18"/>
      </w:rPr>
      <w:t>58</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B9BF59">
    <w:pPr>
      <w:spacing w:line="176" w:lineRule="auto"/>
      <w:ind w:left="433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69856"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105BCD">
                          <w:pPr>
                            <w:pStyle w:val="2"/>
                          </w:pPr>
                          <w:r>
                            <w:fldChar w:fldCharType="begin"/>
                          </w:r>
                          <w:r>
                            <w:instrText xml:space="preserve"> PAGE  \* MERGEFORMAT </w:instrText>
                          </w:r>
                          <w:r>
                            <w:fldChar w:fldCharType="separate"/>
                          </w:r>
                          <w:r>
                            <w:t>81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98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M3Oc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bM3OczAgAAYwQAAA4AAAAAAAAAAQAgAAAAHwEAAGRycy9lMm9Eb2MueG1sUEsF&#10;BgAAAAAGAAYAWQEAAMQFAAAAAA==&#10;">
              <v:fill on="f" focussize="0,0"/>
              <v:stroke on="f" weight="0.5pt"/>
              <v:imagedata o:title=""/>
              <o:lock v:ext="edit" aspectratio="f"/>
              <v:textbox inset="0mm,0mm,0mm,0mm" style="mso-fit-shape-to-text:t;">
                <w:txbxContent>
                  <w:p w14:paraId="3A105BCD">
                    <w:pPr>
                      <w:pStyle w:val="2"/>
                    </w:pPr>
                    <w:r>
                      <w:fldChar w:fldCharType="begin"/>
                    </w:r>
                    <w:r>
                      <w:instrText xml:space="preserve"> PAGE  \* MERGEFORMAT </w:instrText>
                    </w:r>
                    <w:r>
                      <w:fldChar w:fldCharType="separate"/>
                    </w:r>
                    <w:r>
                      <w:t>81</w:t>
                    </w:r>
                    <w:r>
                      <w:fldChar w:fldCharType="end"/>
                    </w:r>
                  </w:p>
                </w:txbxContent>
              </v:textbox>
            </v:shape>
          </w:pict>
        </mc:Fallback>
      </mc:AlternateContent>
    </w:r>
    <w:r>
      <w:rPr>
        <w:rFonts w:ascii="Times New Roman" w:hAnsi="Times New Roman" w:eastAsia="Times New Roman" w:cs="Times New Roman"/>
        <w:spacing w:val="-4"/>
        <w:sz w:val="18"/>
        <w:szCs w:val="18"/>
      </w:rPr>
      <w:t>61</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C07ED5">
    <w:pPr>
      <w:spacing w:line="176" w:lineRule="auto"/>
      <w:ind w:left="433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70880"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69C9D5">
                          <w:pPr>
                            <w:pStyle w:val="2"/>
                          </w:pPr>
                          <w:r>
                            <w:fldChar w:fldCharType="begin"/>
                          </w:r>
                          <w:r>
                            <w:instrText xml:space="preserve"> PAGE  \* MERGEFORMAT </w:instrText>
                          </w:r>
                          <w:r>
                            <w:fldChar w:fldCharType="separate"/>
                          </w:r>
                          <w:r>
                            <w:t>85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708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yFQwzAgAAYw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dTSjRTqPjlx/fL&#10;z4fLr28EZxCotn6OuJ1FZGjemQZtM5x7HEbeTeFU/IIRgR/ynq/yiiYQHi/NJrNZCheHb9gAP3m8&#10;bp0P74VRJBoZdahfKys7bX3oQoeQmE2bTSVlW0OpSZ3R6eu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EyFQwzAgAAYwQAAA4AAAAAAAAAAQAgAAAAHwEAAGRycy9lMm9Eb2MueG1sUEsF&#10;BgAAAAAGAAYAWQEAAMQFAAAAAA==&#10;">
              <v:fill on="f" focussize="0,0"/>
              <v:stroke on="f" weight="0.5pt"/>
              <v:imagedata o:title=""/>
              <o:lock v:ext="edit" aspectratio="f"/>
              <v:textbox inset="0mm,0mm,0mm,0mm" style="mso-fit-shape-to-text:t;">
                <w:txbxContent>
                  <w:p w14:paraId="1D69C9D5">
                    <w:pPr>
                      <w:pStyle w:val="2"/>
                    </w:pPr>
                    <w:r>
                      <w:fldChar w:fldCharType="begin"/>
                    </w:r>
                    <w:r>
                      <w:instrText xml:space="preserve"> PAGE  \* MERGEFORMAT </w:instrText>
                    </w:r>
                    <w:r>
                      <w:fldChar w:fldCharType="separate"/>
                    </w:r>
                    <w:r>
                      <w:t>85</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2B059C">
    <w:pPr>
      <w:spacing w:line="176" w:lineRule="auto"/>
      <w:ind w:left="484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71904"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38E0FD">
                          <w:pPr>
                            <w:pStyle w:val="2"/>
                          </w:pPr>
                          <w:r>
                            <w:fldChar w:fldCharType="begin"/>
                          </w:r>
                          <w:r>
                            <w:instrText xml:space="preserve"> PAGE  \* MERGEFORMAT </w:instrText>
                          </w:r>
                          <w:r>
                            <w:fldChar w:fldCharType="separate"/>
                          </w:r>
                          <w:r>
                            <w:t>92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719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OaguM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OaguMzAgAAYwQAAA4AAAAAAAAAAQAgAAAAHwEAAGRycy9lMm9Eb2MueG1sUEsF&#10;BgAAAAAGAAYAWQEAAMQFAAAAAA==&#10;">
              <v:fill on="f" focussize="0,0"/>
              <v:stroke on="f" weight="0.5pt"/>
              <v:imagedata o:title=""/>
              <o:lock v:ext="edit" aspectratio="f"/>
              <v:textbox inset="0mm,0mm,0mm,0mm" style="mso-fit-shape-to-text:t;">
                <w:txbxContent>
                  <w:p w14:paraId="2F38E0FD">
                    <w:pPr>
                      <w:pStyle w:val="2"/>
                    </w:pPr>
                    <w:r>
                      <w:fldChar w:fldCharType="begin"/>
                    </w:r>
                    <w:r>
                      <w:instrText xml:space="preserve"> PAGE  \* MERGEFORMAT </w:instrText>
                    </w:r>
                    <w:r>
                      <w:fldChar w:fldCharType="separate"/>
                    </w:r>
                    <w:r>
                      <w:t>92</w:t>
                    </w:r>
                    <w:r>
                      <w:fldChar w:fldCharType="end"/>
                    </w:r>
                  </w:p>
                </w:txbxContent>
              </v:textbox>
            </v:shape>
          </w:pict>
        </mc:Fallback>
      </mc:AlternateContent>
    </w:r>
    <w:r>
      <w:rPr>
        <w:rFonts w:ascii="Times New Roman" w:hAnsi="Times New Roman" w:eastAsia="Times New Roman" w:cs="Times New Roman"/>
        <w:spacing w:val="-4"/>
        <w:sz w:val="18"/>
        <w:szCs w:val="18"/>
      </w:rPr>
      <w:t>68</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06A06A">
    <w:pPr>
      <w:spacing w:line="176" w:lineRule="auto"/>
      <w:ind w:left="438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4528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B2A6D3">
                          <w:pPr>
                            <w:pStyle w:val="2"/>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52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1B2A6D3">
                    <w:pPr>
                      <w:pStyle w:val="2"/>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D23AF8">
    <w:pPr>
      <w:spacing w:line="176" w:lineRule="auto"/>
      <w:ind w:left="433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72928"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8765FB">
                          <w:pPr>
                            <w:pStyle w:val="2"/>
                          </w:pPr>
                          <w:r>
                            <w:fldChar w:fldCharType="begin"/>
                          </w:r>
                          <w:r>
                            <w:instrText xml:space="preserve"> PAGE  \* MERGEFORMAT </w:instrText>
                          </w:r>
                          <w:r>
                            <w:fldChar w:fldCharType="separate"/>
                          </w:r>
                          <w:r>
                            <w:t>94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729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qSjhE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3qbphGxU8/vp9+&#10;Ppx+fSM4g0CNCzPE3TtExvadbdE2w3nAYeLdVl6nLxgR+CHv8SKvaCPh6dJ0Mp3mcHH4hg3ws8fr&#10;zof4XlhNklFQj/p1srLDJsQ+dAhJ2YxdS6W6GipDmoJevX6b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qSjhEzAgAAYwQAAA4AAAAAAAAAAQAgAAAAHwEAAGRycy9lMm9Eb2MueG1sUEsF&#10;BgAAAAAGAAYAWQEAAMQFAAAAAA==&#10;">
              <v:fill on="f" focussize="0,0"/>
              <v:stroke on="f" weight="0.5pt"/>
              <v:imagedata o:title=""/>
              <o:lock v:ext="edit" aspectratio="f"/>
              <v:textbox inset="0mm,0mm,0mm,0mm" style="mso-fit-shape-to-text:t;">
                <w:txbxContent>
                  <w:p w14:paraId="0D8765FB">
                    <w:pPr>
                      <w:pStyle w:val="2"/>
                    </w:pPr>
                    <w:r>
                      <w:fldChar w:fldCharType="begin"/>
                    </w:r>
                    <w:r>
                      <w:instrText xml:space="preserve"> PAGE  \* MERGEFORMAT </w:instrText>
                    </w:r>
                    <w:r>
                      <w:fldChar w:fldCharType="separate"/>
                    </w:r>
                    <w:r>
                      <w:t>94</w:t>
                    </w:r>
                    <w:r>
                      <w:fldChar w:fldCharType="end"/>
                    </w:r>
                  </w:p>
                </w:txbxContent>
              </v:textbox>
            </v:shape>
          </w:pict>
        </mc:Fallback>
      </mc:AlternateContent>
    </w:r>
    <w:r>
      <w:rPr>
        <w:rFonts w:ascii="Times New Roman" w:hAnsi="Times New Roman" w:eastAsia="Times New Roman" w:cs="Times New Roman"/>
        <w:spacing w:val="-4"/>
        <w:sz w:val="18"/>
        <w:szCs w:val="18"/>
      </w:rPr>
      <w:t>69</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BD4307">
    <w:pPr>
      <w:spacing w:line="176" w:lineRule="auto"/>
      <w:ind w:left="433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73952" behindDoc="0" locked="0" layoutInCell="1" allowOverlap="1">
              <wp:simplePos x="0" y="0"/>
              <wp:positionH relativeFrom="margin">
                <wp:align>center</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722F73">
                          <w:pPr>
                            <w:pStyle w:val="2"/>
                          </w:pPr>
                          <w:r>
                            <w:fldChar w:fldCharType="begin"/>
                          </w:r>
                          <w:r>
                            <w:instrText xml:space="preserve"> PAGE  \* MERGEFORMAT </w:instrText>
                          </w:r>
                          <w:r>
                            <w:fldChar w:fldCharType="separate"/>
                          </w:r>
                          <w:r>
                            <w:t>95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739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g6Gf4zAgAAYw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g6Gf4zAgAAYwQAAA4AAAAAAAAAAQAgAAAAHwEAAGRycy9lMm9Eb2MueG1sUEsF&#10;BgAAAAAGAAYAWQEAAMQFAAAAAA==&#10;">
              <v:fill on="f" focussize="0,0"/>
              <v:stroke on="f" weight="0.5pt"/>
              <v:imagedata o:title=""/>
              <o:lock v:ext="edit" aspectratio="f"/>
              <v:textbox inset="0mm,0mm,0mm,0mm" style="mso-fit-shape-to-text:t;">
                <w:txbxContent>
                  <w:p w14:paraId="37722F73">
                    <w:pPr>
                      <w:pStyle w:val="2"/>
                    </w:pPr>
                    <w:r>
                      <w:fldChar w:fldCharType="begin"/>
                    </w:r>
                    <w:r>
                      <w:instrText xml:space="preserve"> PAGE  \* MERGEFORMAT </w:instrText>
                    </w:r>
                    <w:r>
                      <w:fldChar w:fldCharType="separate"/>
                    </w:r>
                    <w:r>
                      <w:t>95</w:t>
                    </w:r>
                    <w:r>
                      <w:fldChar w:fldCharType="end"/>
                    </w:r>
                  </w:p>
                </w:txbxContent>
              </v:textbox>
            </v:shape>
          </w:pict>
        </mc:Fallback>
      </mc:AlternateContent>
    </w:r>
    <w:r>
      <w:rPr>
        <w:rFonts w:ascii="Times New Roman" w:hAnsi="Times New Roman" w:eastAsia="Times New Roman" w:cs="Times New Roman"/>
        <w:spacing w:val="-3"/>
        <w:sz w:val="18"/>
        <w:szCs w:val="18"/>
      </w:rPr>
      <w:t>70</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F86A14">
    <w:pPr>
      <w:spacing w:line="176" w:lineRule="auto"/>
      <w:ind w:left="433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74976" behindDoc="0" locked="0" layoutInCell="1" allowOverlap="1">
              <wp:simplePos x="0" y="0"/>
              <wp:positionH relativeFrom="margin">
                <wp:align>center</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CBAD9E">
                          <w:pPr>
                            <w:pStyle w:val="2"/>
                          </w:pPr>
                          <w:r>
                            <w:fldChar w:fldCharType="begin"/>
                          </w:r>
                          <w:r>
                            <w:instrText xml:space="preserve"> PAGE  \* MERGEFORMAT </w:instrText>
                          </w:r>
                          <w:r>
                            <w:fldChar w:fldCharType="separate"/>
                          </w:r>
                          <w:r>
                            <w:t>96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749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Dp+ypgwAgAAYwQAAA4AAAAAAAAAAQAgAAAAHwEAAGRycy9lMm9Eb2MueG1sUEsFBgAA&#10;AAAGAAYAWQEAAMEFAAAAAA==&#10;">
              <v:fill on="f" focussize="0,0"/>
              <v:stroke on="f" weight="0.5pt"/>
              <v:imagedata o:title=""/>
              <o:lock v:ext="edit" aspectratio="f"/>
              <v:textbox inset="0mm,0mm,0mm,0mm" style="mso-fit-shape-to-text:t;">
                <w:txbxContent>
                  <w:p w14:paraId="65CBAD9E">
                    <w:pPr>
                      <w:pStyle w:val="2"/>
                    </w:pPr>
                    <w:r>
                      <w:fldChar w:fldCharType="begin"/>
                    </w:r>
                    <w:r>
                      <w:instrText xml:space="preserve"> PAGE  \* MERGEFORMAT </w:instrText>
                    </w:r>
                    <w:r>
                      <w:fldChar w:fldCharType="separate"/>
                    </w:r>
                    <w:r>
                      <w:t>96</w:t>
                    </w:r>
                    <w:r>
                      <w:fldChar w:fldCharType="end"/>
                    </w:r>
                  </w:p>
                </w:txbxContent>
              </v:textbox>
            </v:shape>
          </w:pict>
        </mc:Fallback>
      </mc:AlternateContent>
    </w:r>
    <w:r>
      <w:rPr>
        <w:rFonts w:ascii="Times New Roman" w:hAnsi="Times New Roman" w:eastAsia="Times New Roman" w:cs="Times New Roman"/>
        <w:spacing w:val="-3"/>
        <w:sz w:val="18"/>
        <w:szCs w:val="18"/>
      </w:rPr>
      <w:t>71</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401F02">
    <w:pPr>
      <w:spacing w:line="176" w:lineRule="auto"/>
      <w:ind w:left="433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76000" behindDoc="0" locked="0" layoutInCell="1" allowOverlap="1">
              <wp:simplePos x="0" y="0"/>
              <wp:positionH relativeFrom="margin">
                <wp:align>center</wp:align>
              </wp:positionH>
              <wp:positionV relativeFrom="paragraph">
                <wp:posOffset>0</wp:posOffset>
              </wp:positionV>
              <wp:extent cx="1828800" cy="182880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BA3B29">
                          <w:pPr>
                            <w:pStyle w:val="2"/>
                          </w:pPr>
                          <w:r>
                            <w:fldChar w:fldCharType="begin"/>
                          </w:r>
                          <w:r>
                            <w:instrText xml:space="preserve"> PAGE  \* MERGEFORMAT </w:instrText>
                          </w:r>
                          <w:r>
                            <w:fldChar w:fldCharType="separate"/>
                          </w:r>
                          <w:r>
                            <w:t>97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760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jWXXczAgAAYwQAAA4AAABkcnMvZTJvRG9jLnhtbK1UzY7TMBC+I/EO&#10;lu80bdGu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v32apwuXDwAlxo5Iomu2GiFdtf2zHam&#10;OIGYM91seMs3NZJvmQ/3zGEYUDCeS7jDUkqDJKa3KKmM+/qv8xiPHsFLSYPhyqnGW6JEftDoHQDD&#10;YLjB2A2GPqhbg2lFO1BLMnHBBTmYpTPqC97QKuaAi2mOTDkNg3kbugHHG+RitUpBB+vqfdVdwORZ&#10;Frb6wfKYJgrp7eoQIGbSOArUqdLrhtlLXerfSRzuP/cp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jWXXczAgAAYwQAAA4AAAAAAAAAAQAgAAAAHwEAAGRycy9lMm9Eb2MueG1sUEsF&#10;BgAAAAAGAAYAWQEAAMQFAAAAAA==&#10;">
              <v:fill on="f" focussize="0,0"/>
              <v:stroke on="f" weight="0.5pt"/>
              <v:imagedata o:title=""/>
              <o:lock v:ext="edit" aspectratio="f"/>
              <v:textbox inset="0mm,0mm,0mm,0mm" style="mso-fit-shape-to-text:t;">
                <w:txbxContent>
                  <w:p w14:paraId="76BA3B29">
                    <w:pPr>
                      <w:pStyle w:val="2"/>
                    </w:pPr>
                    <w:r>
                      <w:fldChar w:fldCharType="begin"/>
                    </w:r>
                    <w:r>
                      <w:instrText xml:space="preserve"> PAGE  \* MERGEFORMAT </w:instrText>
                    </w:r>
                    <w:r>
                      <w:fldChar w:fldCharType="separate"/>
                    </w:r>
                    <w:r>
                      <w:t>97</w:t>
                    </w:r>
                    <w:r>
                      <w:fldChar w:fldCharType="end"/>
                    </w:r>
                  </w:p>
                </w:txbxContent>
              </v:textbox>
            </v:shape>
          </w:pict>
        </mc:Fallback>
      </mc:AlternateContent>
    </w:r>
    <w:r>
      <w:rPr>
        <w:rFonts w:ascii="Times New Roman" w:hAnsi="Times New Roman" w:eastAsia="Times New Roman" w:cs="Times New Roman"/>
        <w:spacing w:val="-3"/>
        <w:sz w:val="18"/>
        <w:szCs w:val="18"/>
      </w:rPr>
      <w:t>72</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04D83">
    <w:pPr>
      <w:spacing w:line="176" w:lineRule="auto"/>
      <w:ind w:left="433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77024" behindDoc="0" locked="0" layoutInCell="1" allowOverlap="1">
              <wp:simplePos x="0" y="0"/>
              <wp:positionH relativeFrom="margin">
                <wp:align>center</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761B58">
                          <w:pPr>
                            <w:pStyle w:val="2"/>
                          </w:pPr>
                          <w:r>
                            <w:fldChar w:fldCharType="begin"/>
                          </w:r>
                          <w:r>
                            <w:instrText xml:space="preserve"> PAGE  \* MERGEFORMAT </w:instrText>
                          </w:r>
                          <w:r>
                            <w:fldChar w:fldCharType="separate"/>
                          </w:r>
                          <w:r>
                            <w:t>98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770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olJw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8olJwzAgAAYwQAAA4AAAAAAAAAAQAgAAAAHwEAAGRycy9lMm9Eb2MueG1sUEsF&#10;BgAAAAAGAAYAWQEAAMQFAAAAAA==&#10;">
              <v:fill on="f" focussize="0,0"/>
              <v:stroke on="f" weight="0.5pt"/>
              <v:imagedata o:title=""/>
              <o:lock v:ext="edit" aspectratio="f"/>
              <v:textbox inset="0mm,0mm,0mm,0mm" style="mso-fit-shape-to-text:t;">
                <w:txbxContent>
                  <w:p w14:paraId="12761B58">
                    <w:pPr>
                      <w:pStyle w:val="2"/>
                    </w:pPr>
                    <w:r>
                      <w:fldChar w:fldCharType="begin"/>
                    </w:r>
                    <w:r>
                      <w:instrText xml:space="preserve"> PAGE  \* MERGEFORMAT </w:instrText>
                    </w:r>
                    <w:r>
                      <w:fldChar w:fldCharType="separate"/>
                    </w:r>
                    <w:r>
                      <w:t>98</w:t>
                    </w:r>
                    <w:r>
                      <w:fldChar w:fldCharType="end"/>
                    </w:r>
                  </w:p>
                </w:txbxContent>
              </v:textbox>
            </v:shape>
          </w:pict>
        </mc:Fallback>
      </mc:AlternateContent>
    </w:r>
    <w:r>
      <w:rPr>
        <w:rFonts w:ascii="Times New Roman" w:hAnsi="Times New Roman" w:eastAsia="Times New Roman" w:cs="Times New Roman"/>
        <w:spacing w:val="-3"/>
        <w:sz w:val="18"/>
        <w:szCs w:val="18"/>
      </w:rPr>
      <w:t>73</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36866D">
    <w:pPr>
      <w:spacing w:line="176" w:lineRule="auto"/>
      <w:ind w:left="433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78048"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C80B9B">
                          <w:pPr>
                            <w:pStyle w:val="2"/>
                          </w:pPr>
                          <w:r>
                            <w:fldChar w:fldCharType="begin"/>
                          </w:r>
                          <w:r>
                            <w:instrText xml:space="preserve"> PAGE  \* MERGEFORMAT </w:instrText>
                          </w:r>
                          <w:r>
                            <w:fldChar w:fldCharType="separate"/>
                          </w:r>
                          <w:r>
                            <w:t>99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780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AA3M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9d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2AA3MzAgAAYwQAAA4AAAAAAAAAAQAgAAAAHwEAAGRycy9lMm9Eb2MueG1sUEsF&#10;BgAAAAAGAAYAWQEAAMQFAAAAAA==&#10;">
              <v:fill on="f" focussize="0,0"/>
              <v:stroke on="f" weight="0.5pt"/>
              <v:imagedata o:title=""/>
              <o:lock v:ext="edit" aspectratio="f"/>
              <v:textbox inset="0mm,0mm,0mm,0mm" style="mso-fit-shape-to-text:t;">
                <w:txbxContent>
                  <w:p w14:paraId="4DC80B9B">
                    <w:pPr>
                      <w:pStyle w:val="2"/>
                    </w:pPr>
                    <w:r>
                      <w:fldChar w:fldCharType="begin"/>
                    </w:r>
                    <w:r>
                      <w:instrText xml:space="preserve"> PAGE  \* MERGEFORMAT </w:instrText>
                    </w:r>
                    <w:r>
                      <w:fldChar w:fldCharType="separate"/>
                    </w:r>
                    <w:r>
                      <w:t>99</w:t>
                    </w:r>
                    <w:r>
                      <w:fldChar w:fldCharType="end"/>
                    </w:r>
                  </w:p>
                </w:txbxContent>
              </v:textbox>
            </v:shape>
          </w:pict>
        </mc:Fallback>
      </mc:AlternateContent>
    </w:r>
    <w:r>
      <w:rPr>
        <w:rFonts w:ascii="Times New Roman" w:hAnsi="Times New Roman" w:eastAsia="Times New Roman" w:cs="Times New Roman"/>
        <w:spacing w:val="-3"/>
        <w:sz w:val="18"/>
        <w:szCs w:val="18"/>
      </w:rPr>
      <w:t>74</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C3EF77">
    <w:pPr>
      <w:spacing w:line="173" w:lineRule="auto"/>
      <w:ind w:left="433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79072" behindDoc="0" locked="0" layoutInCell="1" allowOverlap="1">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A919D3">
                          <w:pPr>
                            <w:pStyle w:val="2"/>
                          </w:pPr>
                          <w:r>
                            <w:fldChar w:fldCharType="begin"/>
                          </w:r>
                          <w:r>
                            <w:instrText xml:space="preserve"> PAGE  \* MERGEFORMAT </w:instrText>
                          </w:r>
                          <w:r>
                            <w:fldChar w:fldCharType="separate"/>
                          </w:r>
                          <w:r>
                            <w:t>100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790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TdpA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DTdpAzAgAAYwQAAA4AAAAAAAAAAQAgAAAAHwEAAGRycy9lMm9Eb2MueG1sUEsF&#10;BgAAAAAGAAYAWQEAAMQFAAAAAA==&#10;">
              <v:fill on="f" focussize="0,0"/>
              <v:stroke on="f" weight="0.5pt"/>
              <v:imagedata o:title=""/>
              <o:lock v:ext="edit" aspectratio="f"/>
              <v:textbox inset="0mm,0mm,0mm,0mm" style="mso-fit-shape-to-text:t;">
                <w:txbxContent>
                  <w:p w14:paraId="70A919D3">
                    <w:pPr>
                      <w:pStyle w:val="2"/>
                    </w:pPr>
                    <w:r>
                      <w:fldChar w:fldCharType="begin"/>
                    </w:r>
                    <w:r>
                      <w:instrText xml:space="preserve"> PAGE  \* MERGEFORMAT </w:instrText>
                    </w:r>
                    <w:r>
                      <w:fldChar w:fldCharType="separate"/>
                    </w:r>
                    <w:r>
                      <w:t>100</w:t>
                    </w:r>
                    <w:r>
                      <w:fldChar w:fldCharType="end"/>
                    </w:r>
                  </w:p>
                </w:txbxContent>
              </v:textbox>
            </v:shape>
          </w:pict>
        </mc:Fallback>
      </mc:AlternateContent>
    </w:r>
    <w:r>
      <w:rPr>
        <w:rFonts w:ascii="Times New Roman" w:hAnsi="Times New Roman" w:eastAsia="Times New Roman" w:cs="Times New Roman"/>
        <w:spacing w:val="-3"/>
        <w:sz w:val="18"/>
        <w:szCs w:val="18"/>
      </w:rPr>
      <w:t>75</w: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FD045F">
    <w:pPr>
      <w:spacing w:line="176" w:lineRule="auto"/>
      <w:ind w:left="433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80096"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08C5A4">
                          <w:pPr>
                            <w:pStyle w:val="2"/>
                          </w:pPr>
                          <w:r>
                            <w:fldChar w:fldCharType="begin"/>
                          </w:r>
                          <w:r>
                            <w:instrText xml:space="preserve"> PAGE  \* MERGEFORMAT </w:instrText>
                          </w:r>
                          <w:r>
                            <w:fldChar w:fldCharType="separate"/>
                          </w:r>
                          <w:r>
                            <w:t>101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800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J74X8zAgAAYw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ryd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J74X8zAgAAYwQAAA4AAAAAAAAAAQAgAAAAHwEAAGRycy9lMm9Eb2MueG1sUEsF&#10;BgAAAAAGAAYAWQEAAMQFAAAAAA==&#10;">
              <v:fill on="f" focussize="0,0"/>
              <v:stroke on="f" weight="0.5pt"/>
              <v:imagedata o:title=""/>
              <o:lock v:ext="edit" aspectratio="f"/>
              <v:textbox inset="0mm,0mm,0mm,0mm" style="mso-fit-shape-to-text:t;">
                <w:txbxContent>
                  <w:p w14:paraId="5108C5A4">
                    <w:pPr>
                      <w:pStyle w:val="2"/>
                    </w:pPr>
                    <w:r>
                      <w:fldChar w:fldCharType="begin"/>
                    </w:r>
                    <w:r>
                      <w:instrText xml:space="preserve"> PAGE  \* MERGEFORMAT </w:instrText>
                    </w:r>
                    <w:r>
                      <w:fldChar w:fldCharType="separate"/>
                    </w:r>
                    <w:r>
                      <w:t>101</w:t>
                    </w:r>
                    <w:r>
                      <w:fldChar w:fldCharType="end"/>
                    </w:r>
                  </w:p>
                </w:txbxContent>
              </v:textbox>
            </v:shape>
          </w:pict>
        </mc:Fallback>
      </mc:AlternateContent>
    </w:r>
    <w:r>
      <w:rPr>
        <w:rFonts w:ascii="Times New Roman" w:hAnsi="Times New Roman" w:eastAsia="Times New Roman" w:cs="Times New Roman"/>
        <w:spacing w:val="-3"/>
        <w:sz w:val="18"/>
        <w:szCs w:val="18"/>
      </w:rPr>
      <w:t>76</w: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2411F2">
    <w:pPr>
      <w:spacing w:line="173" w:lineRule="auto"/>
      <w:ind w:left="433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81120" behindDoc="0" locked="0" layoutInCell="1" allowOverlap="1">
              <wp:simplePos x="0" y="0"/>
              <wp:positionH relativeFrom="margin">
                <wp:align>center</wp:align>
              </wp:positionH>
              <wp:positionV relativeFrom="paragraph">
                <wp:posOffset>0</wp:posOffset>
              </wp:positionV>
              <wp:extent cx="1828800" cy="1828800"/>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F6BC78">
                          <w:pPr>
                            <w:pStyle w:val="2"/>
                          </w:pPr>
                          <w:r>
                            <w:fldChar w:fldCharType="begin"/>
                          </w:r>
                          <w:r>
                            <w:instrText xml:space="preserve"> PAGE  \* MERGEFORMAT </w:instrText>
                          </w:r>
                          <w:r>
                            <w:fldChar w:fldCharType="separate"/>
                          </w:r>
                          <w:r>
                            <w:t>102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811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WFKJQzAgAAYwQAAA4AAABkcnMvZTJvRG9jLnhtbK1UzY7TMBC+I/EO&#10;lu80adFW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t/epO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WFKJQzAgAAYwQAAA4AAAAAAAAAAQAgAAAAHwEAAGRycy9lMm9Eb2MueG1sUEsF&#10;BgAAAAAGAAYAWQEAAMQFAAAAAA==&#10;">
              <v:fill on="f" focussize="0,0"/>
              <v:stroke on="f" weight="0.5pt"/>
              <v:imagedata o:title=""/>
              <o:lock v:ext="edit" aspectratio="f"/>
              <v:textbox inset="0mm,0mm,0mm,0mm" style="mso-fit-shape-to-text:t;">
                <w:txbxContent>
                  <w:p w14:paraId="1BF6BC78">
                    <w:pPr>
                      <w:pStyle w:val="2"/>
                    </w:pPr>
                    <w:r>
                      <w:fldChar w:fldCharType="begin"/>
                    </w:r>
                    <w:r>
                      <w:instrText xml:space="preserve"> PAGE  \* MERGEFORMAT </w:instrText>
                    </w:r>
                    <w:r>
                      <w:fldChar w:fldCharType="separate"/>
                    </w:r>
                    <w:r>
                      <w:t>102</w:t>
                    </w:r>
                    <w:r>
                      <w:fldChar w:fldCharType="end"/>
                    </w:r>
                  </w:p>
                </w:txbxContent>
              </v:textbox>
            </v:shape>
          </w:pict>
        </mc:Fallback>
      </mc:AlternateContent>
    </w:r>
    <w:r>
      <w:rPr>
        <w:rFonts w:ascii="Times New Roman" w:hAnsi="Times New Roman" w:eastAsia="Times New Roman" w:cs="Times New Roman"/>
        <w:spacing w:val="-3"/>
        <w:sz w:val="18"/>
        <w:szCs w:val="18"/>
      </w:rPr>
      <w:t>77</w: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B6E44D">
    <w:pPr>
      <w:spacing w:line="176" w:lineRule="auto"/>
      <w:ind w:left="433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82144" behindDoc="0" locked="0" layoutInCell="1" allowOverlap="1">
              <wp:simplePos x="0" y="0"/>
              <wp:positionH relativeFrom="margin">
                <wp:align>center</wp:align>
              </wp:positionH>
              <wp:positionV relativeFrom="paragraph">
                <wp:posOffset>0</wp:posOffset>
              </wp:positionV>
              <wp:extent cx="1828800" cy="1828800"/>
              <wp:effectExtent l="0" t="0" r="0" b="0"/>
              <wp:wrapNone/>
              <wp:docPr id="57" name="文本框 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2CAB20">
                          <w:pPr>
                            <w:pStyle w:val="2"/>
                          </w:pPr>
                          <w:r>
                            <w:fldChar w:fldCharType="begin"/>
                          </w:r>
                          <w:r>
                            <w:instrText xml:space="preserve"> PAGE  \* MERGEFORMAT </w:instrText>
                          </w:r>
                          <w:r>
                            <w:fldChar w:fldCharType="separate"/>
                          </w:r>
                          <w:r>
                            <w:t>103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821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tv3szAgAAY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ctv3szAgAAYwQAAA4AAAAAAAAAAQAgAAAAHwEAAGRycy9lMm9Eb2MueG1sUEsF&#10;BgAAAAAGAAYAWQEAAMQFAAAAAA==&#10;">
              <v:fill on="f" focussize="0,0"/>
              <v:stroke on="f" weight="0.5pt"/>
              <v:imagedata o:title=""/>
              <o:lock v:ext="edit" aspectratio="f"/>
              <v:textbox inset="0mm,0mm,0mm,0mm" style="mso-fit-shape-to-text:t;">
                <w:txbxContent>
                  <w:p w14:paraId="282CAB20">
                    <w:pPr>
                      <w:pStyle w:val="2"/>
                    </w:pPr>
                    <w:r>
                      <w:fldChar w:fldCharType="begin"/>
                    </w:r>
                    <w:r>
                      <w:instrText xml:space="preserve"> PAGE  \* MERGEFORMAT </w:instrText>
                    </w:r>
                    <w:r>
                      <w:fldChar w:fldCharType="separate"/>
                    </w:r>
                    <w:r>
                      <w:t>103</w:t>
                    </w:r>
                    <w:r>
                      <w:fldChar w:fldCharType="end"/>
                    </w:r>
                  </w:p>
                </w:txbxContent>
              </v:textbox>
            </v:shape>
          </w:pict>
        </mc:Fallback>
      </mc:AlternateContent>
    </w:r>
    <w:r>
      <w:rPr>
        <w:rFonts w:ascii="Times New Roman" w:hAnsi="Times New Roman" w:eastAsia="Times New Roman" w:cs="Times New Roman"/>
        <w:spacing w:val="-3"/>
        <w:sz w:val="18"/>
        <w:szCs w:val="18"/>
      </w:rPr>
      <w:t>78</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EF1E6D">
    <w:pPr>
      <w:spacing w:line="173" w:lineRule="auto"/>
      <w:ind w:left="438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4630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ED295C">
                          <w:pPr>
                            <w:pStyle w:val="2"/>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63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8ED295C">
                    <w:pPr>
                      <w:pStyle w:val="2"/>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BF1B2D">
    <w:pPr>
      <w:spacing w:line="176" w:lineRule="auto"/>
      <w:ind w:left="433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83168" behindDoc="0" locked="0" layoutInCell="1" allowOverlap="1">
              <wp:simplePos x="0" y="0"/>
              <wp:positionH relativeFrom="margin">
                <wp:align>center</wp:align>
              </wp:positionH>
              <wp:positionV relativeFrom="paragraph">
                <wp:posOffset>0</wp:posOffset>
              </wp:positionV>
              <wp:extent cx="1828800" cy="1828800"/>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9D6ADB">
                          <w:pPr>
                            <w:pStyle w:val="2"/>
                          </w:pPr>
                          <w:r>
                            <w:fldChar w:fldCharType="begin"/>
                          </w:r>
                          <w:r>
                            <w:instrText xml:space="preserve"> PAGE  \* MERGEFORMAT </w:instrText>
                          </w:r>
                          <w:r>
                            <w:fldChar w:fldCharType="separate"/>
                          </w:r>
                          <w:r>
                            <w:t>104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831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4ls4k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v32apwuXDwAlxo5IonusdEK7a7tme1M&#10;cQIxZ7re8JZvaiTfMh/umUMz4MEYl3CHpZQGSUxvUVIZ9/Vf5zEeNYKXkgbNlVONWaJEftCoHQDD&#10;YLjB2A2GPqhbg26dYAwtTyYuuCAHs3RGfcEMrWIOuJjmyJTTMJi3oWtwzCAXq1UKOlhX76vuAjrP&#10;srDVD5bHNFFIb1eHADGTxlGgTpVeN/ReqlI/J7G5/9ynqKd/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4ls4kzAgAAYwQAAA4AAAAAAAAAAQAgAAAAHwEAAGRycy9lMm9Eb2MueG1sUEsF&#10;BgAAAAAGAAYAWQEAAMQFAAAAAA==&#10;">
              <v:fill on="f" focussize="0,0"/>
              <v:stroke on="f" weight="0.5pt"/>
              <v:imagedata o:title=""/>
              <o:lock v:ext="edit" aspectratio="f"/>
              <v:textbox inset="0mm,0mm,0mm,0mm" style="mso-fit-shape-to-text:t;">
                <w:txbxContent>
                  <w:p w14:paraId="289D6ADB">
                    <w:pPr>
                      <w:pStyle w:val="2"/>
                    </w:pPr>
                    <w:r>
                      <w:fldChar w:fldCharType="begin"/>
                    </w:r>
                    <w:r>
                      <w:instrText xml:space="preserve"> PAGE  \* MERGEFORMAT </w:instrText>
                    </w:r>
                    <w:r>
                      <w:fldChar w:fldCharType="separate"/>
                    </w:r>
                    <w:r>
                      <w:t>104</w:t>
                    </w:r>
                    <w:r>
                      <w:fldChar w:fldCharType="end"/>
                    </w:r>
                  </w:p>
                </w:txbxContent>
              </v:textbox>
            </v:shape>
          </w:pict>
        </mc:Fallback>
      </mc:AlternateContent>
    </w:r>
    <w:r>
      <w:rPr>
        <w:rFonts w:ascii="Times New Roman" w:hAnsi="Times New Roman" w:eastAsia="Times New Roman" w:cs="Times New Roman"/>
        <w:spacing w:val="-3"/>
        <w:sz w:val="18"/>
        <w:szCs w:val="18"/>
      </w:rPr>
      <w:t>79</w: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E51FE4">
    <w:pPr>
      <w:spacing w:line="176" w:lineRule="auto"/>
      <w:ind w:left="434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84192" behindDoc="0" locked="0" layoutInCell="1" allowOverlap="1">
              <wp:simplePos x="0" y="0"/>
              <wp:positionH relativeFrom="margin">
                <wp:align>center</wp:align>
              </wp:positionH>
              <wp:positionV relativeFrom="paragraph">
                <wp:posOffset>0</wp:posOffset>
              </wp:positionV>
              <wp:extent cx="1828800" cy="1828800"/>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8A5875">
                          <w:pPr>
                            <w:pStyle w:val="2"/>
                          </w:pPr>
                          <w:r>
                            <w:fldChar w:fldCharType="begin"/>
                          </w:r>
                          <w:r>
                            <w:instrText xml:space="preserve"> PAGE  \* MERGEFORMAT </w:instrText>
                          </w:r>
                          <w:r>
                            <w:fldChar w:fldCharType="separate"/>
                          </w:r>
                          <w:r>
                            <w:t>105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841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yNJGYzAgAAYwQAAA4AAABkcnMvZTJvRG9jLnhtbK1UzY7TMBC+I/EO&#10;lu80adGu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9d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yNJGYzAgAAYwQAAA4AAAAAAAAAAQAgAAAAHwEAAGRycy9lMm9Eb2MueG1sUEsF&#10;BgAAAAAGAAYAWQEAAMQFAAAAAA==&#10;">
              <v:fill on="f" focussize="0,0"/>
              <v:stroke on="f" weight="0.5pt"/>
              <v:imagedata o:title=""/>
              <o:lock v:ext="edit" aspectratio="f"/>
              <v:textbox inset="0mm,0mm,0mm,0mm" style="mso-fit-shape-to-text:t;">
                <w:txbxContent>
                  <w:p w14:paraId="558A5875">
                    <w:pPr>
                      <w:pStyle w:val="2"/>
                    </w:pPr>
                    <w:r>
                      <w:fldChar w:fldCharType="begin"/>
                    </w:r>
                    <w:r>
                      <w:instrText xml:space="preserve"> PAGE  \* MERGEFORMAT </w:instrText>
                    </w:r>
                    <w:r>
                      <w:fldChar w:fldCharType="separate"/>
                    </w:r>
                    <w:r>
                      <w:t>105</w:t>
                    </w:r>
                    <w:r>
                      <w:fldChar w:fldCharType="end"/>
                    </w:r>
                  </w:p>
                </w:txbxContent>
              </v:textbox>
            </v:shape>
          </w:pict>
        </mc:Fallback>
      </mc:AlternateContent>
    </w:r>
    <w:r>
      <w:rPr>
        <w:rFonts w:ascii="Times New Roman" w:hAnsi="Times New Roman" w:eastAsia="Times New Roman" w:cs="Times New Roman"/>
        <w:spacing w:val="-5"/>
        <w:sz w:val="18"/>
        <w:szCs w:val="18"/>
      </w:rPr>
      <w:t>80</w: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45A0DC">
    <w:pPr>
      <w:spacing w:line="176" w:lineRule="auto"/>
      <w:ind w:left="434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85216" behindDoc="0" locked="0" layoutInCell="1" allowOverlap="1">
              <wp:simplePos x="0" y="0"/>
              <wp:positionH relativeFrom="margin">
                <wp:align>center</wp:align>
              </wp:positionH>
              <wp:positionV relativeFrom="paragraph">
                <wp:posOffset>0</wp:posOffset>
              </wp:positionV>
              <wp:extent cx="1828800" cy="1828800"/>
              <wp:effectExtent l="0" t="0" r="0" b="0"/>
              <wp:wrapNone/>
              <wp:docPr id="60" name="文本框 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3E8BB9">
                          <w:pPr>
                            <w:pStyle w:val="2"/>
                          </w:pPr>
                          <w:r>
                            <w:fldChar w:fldCharType="begin"/>
                          </w:r>
                          <w:r>
                            <w:instrText xml:space="preserve"> PAGE  \* MERGEFORMAT </w:instrText>
                          </w:r>
                          <w:r>
                            <w:fldChar w:fldCharType="separate"/>
                          </w:r>
                          <w:r>
                            <w:t>106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852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eh/es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Hof3rMQIAAGMEAAAOAAAAAAAAAAEAIAAAAB8BAABkcnMvZTJvRG9jLnhtbFBLBQYA&#10;AAAABgAGAFkBAADCBQAAAAA=&#10;">
              <v:fill on="f" focussize="0,0"/>
              <v:stroke on="f" weight="0.5pt"/>
              <v:imagedata o:title=""/>
              <o:lock v:ext="edit" aspectratio="f"/>
              <v:textbox inset="0mm,0mm,0mm,0mm" style="mso-fit-shape-to-text:t;">
                <w:txbxContent>
                  <w:p w14:paraId="543E8BB9">
                    <w:pPr>
                      <w:pStyle w:val="2"/>
                    </w:pPr>
                    <w:r>
                      <w:fldChar w:fldCharType="begin"/>
                    </w:r>
                    <w:r>
                      <w:instrText xml:space="preserve"> PAGE  \* MERGEFORMAT </w:instrText>
                    </w:r>
                    <w:r>
                      <w:fldChar w:fldCharType="separate"/>
                    </w:r>
                    <w:r>
                      <w:t>106</w:t>
                    </w:r>
                    <w:r>
                      <w:fldChar w:fldCharType="end"/>
                    </w:r>
                  </w:p>
                </w:txbxContent>
              </v:textbox>
            </v:shape>
          </w:pict>
        </mc:Fallback>
      </mc:AlternateContent>
    </w:r>
    <w:r>
      <w:rPr>
        <w:rFonts w:ascii="Times New Roman" w:hAnsi="Times New Roman" w:eastAsia="Times New Roman" w:cs="Times New Roman"/>
        <w:spacing w:val="-5"/>
        <w:sz w:val="18"/>
        <w:szCs w:val="18"/>
      </w:rPr>
      <w:t>81</w: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77CB56">
    <w:pPr>
      <w:spacing w:line="176" w:lineRule="auto"/>
      <w:ind w:left="434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86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61" name="文本框 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CC41CF">
                          <w:pPr>
                            <w:pStyle w:val="2"/>
                          </w:pPr>
                          <w:r>
                            <w:fldChar w:fldCharType="begin"/>
                          </w:r>
                          <w:r>
                            <w:instrText xml:space="preserve"> PAGE  \* MERGEFORMAT </w:instrText>
                          </w:r>
                          <w:r>
                            <w:fldChar w:fldCharType="separate"/>
                          </w:r>
                          <w:r>
                            <w:t>107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86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UJagQ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FCWoEMQIAAGMEAAAOAAAAAAAAAAEAIAAAAB8BAABkcnMvZTJvRG9jLnhtbFBLBQYA&#10;AAAABgAGAFkBAADCBQAAAAA=&#10;">
              <v:fill on="f" focussize="0,0"/>
              <v:stroke on="f" weight="0.5pt"/>
              <v:imagedata o:title=""/>
              <o:lock v:ext="edit" aspectratio="f"/>
              <v:textbox inset="0mm,0mm,0mm,0mm" style="mso-fit-shape-to-text:t;">
                <w:txbxContent>
                  <w:p w14:paraId="25CC41CF">
                    <w:pPr>
                      <w:pStyle w:val="2"/>
                    </w:pPr>
                    <w:r>
                      <w:fldChar w:fldCharType="begin"/>
                    </w:r>
                    <w:r>
                      <w:instrText xml:space="preserve"> PAGE  \* MERGEFORMAT </w:instrText>
                    </w:r>
                    <w:r>
                      <w:fldChar w:fldCharType="separate"/>
                    </w:r>
                    <w:r>
                      <w:t>107</w:t>
                    </w:r>
                    <w:r>
                      <w:fldChar w:fldCharType="end"/>
                    </w:r>
                  </w:p>
                </w:txbxContent>
              </v:textbox>
            </v:shape>
          </w:pict>
        </mc:Fallback>
      </mc:AlternateContent>
    </w:r>
    <w:r>
      <w:rPr>
        <w:rFonts w:ascii="Times New Roman" w:hAnsi="Times New Roman" w:eastAsia="Times New Roman" w:cs="Times New Roman"/>
        <w:spacing w:val="-5"/>
        <w:sz w:val="18"/>
        <w:szCs w:val="18"/>
      </w:rPr>
      <w:t>82</w: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A37A6B">
    <w:pPr>
      <w:spacing w:line="176" w:lineRule="auto"/>
      <w:ind w:left="434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87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BCC282">
                          <w:pPr>
                            <w:pStyle w:val="2"/>
                          </w:pPr>
                          <w:r>
                            <w:fldChar w:fldCharType="begin"/>
                          </w:r>
                          <w:r>
                            <w:instrText xml:space="preserve"> PAGE  \* MERGEFORMAT </w:instrText>
                          </w:r>
                          <w:r>
                            <w:fldChar w:fldCharType="separate"/>
                          </w:r>
                          <w:r>
                            <w:t>108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87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L3o+8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wpMUyj4pfv3y4/&#10;fl1+fiU4g0C1C3PE7RwiY/PWNmib4TzgMPFuSq/TF4wI/JD3fJVXNJHwdGk2nc3GcHH4hg3ws8fr&#10;zof4TlhNkpFTj/q1srLTNsQudAhJ2YzdSKXaGipDapB4/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gvej7zICAABjBAAADgAAAAAAAAABACAAAAAfAQAAZHJzL2Uyb0RvYy54bWxQSwUG&#10;AAAAAAYABgBZAQAAwwUAAAAA&#10;">
              <v:fill on="f" focussize="0,0"/>
              <v:stroke on="f" weight="0.5pt"/>
              <v:imagedata o:title=""/>
              <o:lock v:ext="edit" aspectratio="f"/>
              <v:textbox inset="0mm,0mm,0mm,0mm" style="mso-fit-shape-to-text:t;">
                <w:txbxContent>
                  <w:p w14:paraId="29BCC282">
                    <w:pPr>
                      <w:pStyle w:val="2"/>
                    </w:pPr>
                    <w:r>
                      <w:fldChar w:fldCharType="begin"/>
                    </w:r>
                    <w:r>
                      <w:instrText xml:space="preserve"> PAGE  \* MERGEFORMAT </w:instrText>
                    </w:r>
                    <w:r>
                      <w:fldChar w:fldCharType="separate"/>
                    </w:r>
                    <w:r>
                      <w:t>108</w:t>
                    </w:r>
                    <w:r>
                      <w:fldChar w:fldCharType="end"/>
                    </w:r>
                  </w:p>
                </w:txbxContent>
              </v:textbox>
            </v:shape>
          </w:pict>
        </mc:Fallback>
      </mc:AlternateContent>
    </w:r>
    <w:r>
      <w:rPr>
        <w:rFonts w:ascii="Times New Roman" w:hAnsi="Times New Roman" w:eastAsia="Times New Roman" w:cs="Times New Roman"/>
        <w:spacing w:val="-5"/>
        <w:sz w:val="18"/>
        <w:szCs w:val="18"/>
      </w:rPr>
      <w:t>83</w: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7566FE">
    <w:pPr>
      <w:spacing w:line="176" w:lineRule="auto"/>
      <w:ind w:left="434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88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3" name="文本框 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F81EF3">
                          <w:pPr>
                            <w:pStyle w:val="2"/>
                          </w:pPr>
                          <w:r>
                            <w:fldChar w:fldCharType="begin"/>
                          </w:r>
                          <w:r>
                            <w:instrText xml:space="preserve"> PAGE  \* MERGEFORMAT </w:instrText>
                          </w:r>
                          <w:r>
                            <w:fldChar w:fldCharType="separate"/>
                          </w:r>
                          <w:r>
                            <w:t>109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88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BfNAA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AXzQAMQIAAGMEAAAOAAAAAAAAAAEAIAAAAB8BAABkcnMvZTJvRG9jLnhtbFBLBQYA&#10;AAAABgAGAFkBAADCBQAAAAA=&#10;">
              <v:fill on="f" focussize="0,0"/>
              <v:stroke on="f" weight="0.5pt"/>
              <v:imagedata o:title=""/>
              <o:lock v:ext="edit" aspectratio="f"/>
              <v:textbox inset="0mm,0mm,0mm,0mm" style="mso-fit-shape-to-text:t;">
                <w:txbxContent>
                  <w:p w14:paraId="49F81EF3">
                    <w:pPr>
                      <w:pStyle w:val="2"/>
                    </w:pPr>
                    <w:r>
                      <w:fldChar w:fldCharType="begin"/>
                    </w:r>
                    <w:r>
                      <w:instrText xml:space="preserve"> PAGE  \* MERGEFORMAT </w:instrText>
                    </w:r>
                    <w:r>
                      <w:fldChar w:fldCharType="separate"/>
                    </w:r>
                    <w:r>
                      <w:t>109</w:t>
                    </w:r>
                    <w:r>
                      <w:fldChar w:fldCharType="end"/>
                    </w:r>
                  </w:p>
                </w:txbxContent>
              </v:textbox>
            </v:shape>
          </w:pict>
        </mc:Fallback>
      </mc:AlternateContent>
    </w:r>
    <w:r>
      <w:rPr>
        <w:rFonts w:ascii="Times New Roman" w:hAnsi="Times New Roman" w:eastAsia="Times New Roman" w:cs="Times New Roman"/>
        <w:spacing w:val="-5"/>
        <w:sz w:val="18"/>
        <w:szCs w:val="18"/>
      </w:rPr>
      <w:t>84</w: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96DF1C">
    <w:pPr>
      <w:spacing w:line="176" w:lineRule="auto"/>
      <w:ind w:left="434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89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4" name="文本框 6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42C98F">
                          <w:pPr>
                            <w:pStyle w:val="2"/>
                          </w:pPr>
                          <w:r>
                            <w:fldChar w:fldCharType="begin"/>
                          </w:r>
                          <w:r>
                            <w:instrText xml:space="preserve"> PAGE  \* MERGEFORMAT </w:instrText>
                          </w:r>
                          <w:r>
                            <w:fldChar w:fldCharType="separate"/>
                          </w:r>
                          <w:r>
                            <w:t>110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89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0MQeM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NJYZpVPz04/vp&#10;58Pp1zeCMwjUuDBD3L1DZGzf2RZtM5wHHCbebeV1+oIRgR/yHi/yijYSni5NJ9NpDheHb9gAP3u8&#10;7nyI74XVJBkF9ahfJys7bELsQ4eQlM3YtVSqq6EypAGJ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0MQeMzAgAAYwQAAA4AAAAAAAAAAQAgAAAAHwEAAGRycy9lMm9Eb2MueG1sUEsF&#10;BgAAAAAGAAYAWQEAAMQFAAAAAA==&#10;">
              <v:fill on="f" focussize="0,0"/>
              <v:stroke on="f" weight="0.5pt"/>
              <v:imagedata o:title=""/>
              <o:lock v:ext="edit" aspectratio="f"/>
              <v:textbox inset="0mm,0mm,0mm,0mm" style="mso-fit-shape-to-text:t;">
                <w:txbxContent>
                  <w:p w14:paraId="3342C98F">
                    <w:pPr>
                      <w:pStyle w:val="2"/>
                    </w:pPr>
                    <w:r>
                      <w:fldChar w:fldCharType="begin"/>
                    </w:r>
                    <w:r>
                      <w:instrText xml:space="preserve"> PAGE  \* MERGEFORMAT </w:instrText>
                    </w:r>
                    <w:r>
                      <w:fldChar w:fldCharType="separate"/>
                    </w:r>
                    <w:r>
                      <w:t>110</w:t>
                    </w:r>
                    <w:r>
                      <w:fldChar w:fldCharType="end"/>
                    </w:r>
                  </w:p>
                </w:txbxContent>
              </v:textbox>
            </v:shape>
          </w:pict>
        </mc:Fallback>
      </mc:AlternateContent>
    </w:r>
    <w:r>
      <w:rPr>
        <w:rFonts w:ascii="Times New Roman" w:hAnsi="Times New Roman" w:eastAsia="Times New Roman" w:cs="Times New Roman"/>
        <w:spacing w:val="-5"/>
        <w:sz w:val="18"/>
        <w:szCs w:val="18"/>
      </w:rPr>
      <w:t>85</w: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F5BB6E">
    <w:pPr>
      <w:spacing w:line="176" w:lineRule="auto"/>
      <w:ind w:left="434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90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AB8E7E">
                          <w:pPr>
                            <w:pStyle w:val="2"/>
                          </w:pPr>
                          <w:r>
                            <w:fldChar w:fldCharType="begin"/>
                          </w:r>
                          <w:r>
                            <w:instrText xml:space="preserve"> PAGE  \* MERGEFORMAT </w:instrText>
                          </w:r>
                          <w:r>
                            <w:fldChar w:fldCharType="separate"/>
                          </w:r>
                          <w:r>
                            <w:t>111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90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1gw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1gwzAgAAYwQAAA4AAAAAAAAAAQAgAAAAHwEAAGRycy9lMm9Eb2MueG1sUEsF&#10;BgAAAAAGAAYAWQEAAMQFAAAAAA==&#10;">
              <v:fill on="f" focussize="0,0"/>
              <v:stroke on="f" weight="0.5pt"/>
              <v:imagedata o:title=""/>
              <o:lock v:ext="edit" aspectratio="f"/>
              <v:textbox inset="0mm,0mm,0mm,0mm" style="mso-fit-shape-to-text:t;">
                <w:txbxContent>
                  <w:p w14:paraId="28AB8E7E">
                    <w:pPr>
                      <w:pStyle w:val="2"/>
                    </w:pPr>
                    <w:r>
                      <w:fldChar w:fldCharType="begin"/>
                    </w:r>
                    <w:r>
                      <w:instrText xml:space="preserve"> PAGE  \* MERGEFORMAT </w:instrText>
                    </w:r>
                    <w:r>
                      <w:fldChar w:fldCharType="separate"/>
                    </w:r>
                    <w:r>
                      <w:t>111</w:t>
                    </w:r>
                    <w:r>
                      <w:fldChar w:fldCharType="end"/>
                    </w:r>
                  </w:p>
                </w:txbxContent>
              </v:textbox>
            </v:shape>
          </w:pict>
        </mc:Fallback>
      </mc:AlternateContent>
    </w:r>
    <w:r>
      <w:rPr>
        <w:rFonts w:ascii="Times New Roman" w:hAnsi="Times New Roman" w:eastAsia="Times New Roman" w:cs="Times New Roman"/>
        <w:spacing w:val="-5"/>
        <w:sz w:val="18"/>
        <w:szCs w:val="18"/>
      </w:rPr>
      <w:t>86</w: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878382">
    <w:pPr>
      <w:spacing w:line="176" w:lineRule="auto"/>
      <w:ind w:left="434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91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6" name="文本框 6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42AF56">
                          <w:pPr>
                            <w:pStyle w:val="2"/>
                          </w:pPr>
                          <w:r>
                            <w:fldChar w:fldCharType="begin"/>
                          </w:r>
                          <w:r>
                            <w:instrText xml:space="preserve"> PAGE  \* MERGEFORMAT </w:instrText>
                          </w:r>
                          <w:r>
                            <w:fldChar w:fldCharType="separate"/>
                          </w:r>
                          <w:r>
                            <w:t>112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91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haH+c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CFof5zICAABjBAAADgAAAAAAAAABACAAAAAfAQAAZHJzL2Uyb0RvYy54bWxQSwUG&#10;AAAAAAYABgBZAQAAwwUAAAAA&#10;">
              <v:fill on="f" focussize="0,0"/>
              <v:stroke on="f" weight="0.5pt"/>
              <v:imagedata o:title=""/>
              <o:lock v:ext="edit" aspectratio="f"/>
              <v:textbox inset="0mm,0mm,0mm,0mm" style="mso-fit-shape-to-text:t;">
                <w:txbxContent>
                  <w:p w14:paraId="2A42AF56">
                    <w:pPr>
                      <w:pStyle w:val="2"/>
                    </w:pPr>
                    <w:r>
                      <w:fldChar w:fldCharType="begin"/>
                    </w:r>
                    <w:r>
                      <w:instrText xml:space="preserve"> PAGE  \* MERGEFORMAT </w:instrText>
                    </w:r>
                    <w:r>
                      <w:fldChar w:fldCharType="separate"/>
                    </w:r>
                    <w:r>
                      <w:t>112</w:t>
                    </w:r>
                    <w:r>
                      <w:fldChar w:fldCharType="end"/>
                    </w:r>
                  </w:p>
                </w:txbxContent>
              </v:textbox>
            </v:shape>
          </w:pict>
        </mc:Fallback>
      </mc:AlternateContent>
    </w:r>
    <w:r>
      <w:rPr>
        <w:rFonts w:ascii="Times New Roman" w:hAnsi="Times New Roman" w:eastAsia="Times New Roman" w:cs="Times New Roman"/>
        <w:spacing w:val="-5"/>
        <w:sz w:val="18"/>
        <w:szCs w:val="18"/>
      </w:rPr>
      <w:t>87</w: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4E40C8">
    <w:pPr>
      <w:spacing w:line="176" w:lineRule="auto"/>
      <w:ind w:left="434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92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7" name="文本框 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57913C">
                          <w:pPr>
                            <w:pStyle w:val="2"/>
                          </w:pPr>
                          <w:r>
                            <w:fldChar w:fldCharType="begin"/>
                          </w:r>
                          <w:r>
                            <w:instrText xml:space="preserve"> PAGE  \* MERGEFORMAT </w:instrText>
                          </w:r>
                          <w:r>
                            <w:fldChar w:fldCharType="separate"/>
                          </w:r>
                          <w:r>
                            <w:t>113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92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yiAg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tJYZpVPz04/vp&#10;58Pp1zeCMwjUuDBD3L1DZGzf2RZtM5wHHCbebeV1+oIRgR/yHi/yijYSni5NJ9NpDheHb9gAP3u8&#10;7nyI74XVJBkF9ahfJys7bELsQ4eQlM3YtVSqq6EypAGJ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ryiAgzAgAAYwQAAA4AAAAAAAAAAQAgAAAAHwEAAGRycy9lMm9Eb2MueG1sUEsF&#10;BgAAAAAGAAYAWQEAAMQFAAAAAA==&#10;">
              <v:fill on="f" focussize="0,0"/>
              <v:stroke on="f" weight="0.5pt"/>
              <v:imagedata o:title=""/>
              <o:lock v:ext="edit" aspectratio="f"/>
              <v:textbox inset="0mm,0mm,0mm,0mm" style="mso-fit-shape-to-text:t;">
                <w:txbxContent>
                  <w:p w14:paraId="2657913C">
                    <w:pPr>
                      <w:pStyle w:val="2"/>
                    </w:pPr>
                    <w:r>
                      <w:fldChar w:fldCharType="begin"/>
                    </w:r>
                    <w:r>
                      <w:instrText xml:space="preserve"> PAGE  \* MERGEFORMAT </w:instrText>
                    </w:r>
                    <w:r>
                      <w:fldChar w:fldCharType="separate"/>
                    </w:r>
                    <w:r>
                      <w:t>113</w:t>
                    </w:r>
                    <w:r>
                      <w:fldChar w:fldCharType="end"/>
                    </w:r>
                  </w:p>
                </w:txbxContent>
              </v:textbox>
            </v:shape>
          </w:pict>
        </mc:Fallback>
      </mc:AlternateContent>
    </w:r>
    <w:r>
      <w:rPr>
        <w:rFonts w:ascii="Times New Roman" w:hAnsi="Times New Roman" w:eastAsia="Times New Roman" w:cs="Times New Roman"/>
        <w:spacing w:val="-5"/>
        <w:sz w:val="18"/>
        <w:szCs w:val="18"/>
      </w:rPr>
      <w:t>88</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FBF4A1">
    <w:pPr>
      <w:spacing w:line="176" w:lineRule="auto"/>
      <w:ind w:left="455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4732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E804F0">
                          <w:pPr>
                            <w:pStyle w:val="2"/>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73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BE804F0">
                    <w:pPr>
                      <w:pStyle w:val="2"/>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880C6A">
    <w:pPr>
      <w:spacing w:line="176" w:lineRule="auto"/>
      <w:ind w:left="434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93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68" name="文本框 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4E9370">
                          <w:pPr>
                            <w:pStyle w:val="2"/>
                          </w:pPr>
                          <w:r>
                            <w:fldChar w:fldCharType="begin"/>
                          </w:r>
                          <w:r>
                            <w:instrText xml:space="preserve"> PAGE  \* MERGEFORMAT </w:instrText>
                          </w:r>
                          <w:r>
                            <w:fldChar w:fldCharType="separate"/>
                          </w:r>
                          <w:r>
                            <w:t>114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93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P6hPo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T+oT6MQIAAGMEAAAOAAAAAAAAAAEAIAAAAB8BAABkcnMvZTJvRG9jLnhtbFBLBQYA&#10;AAAABgAGAFkBAADCBQAAAAA=&#10;">
              <v:fill on="f" focussize="0,0"/>
              <v:stroke on="f" weight="0.5pt"/>
              <v:imagedata o:title=""/>
              <o:lock v:ext="edit" aspectratio="f"/>
              <v:textbox inset="0mm,0mm,0mm,0mm" style="mso-fit-shape-to-text:t;">
                <w:txbxContent>
                  <w:p w14:paraId="434E9370">
                    <w:pPr>
                      <w:pStyle w:val="2"/>
                    </w:pPr>
                    <w:r>
                      <w:fldChar w:fldCharType="begin"/>
                    </w:r>
                    <w:r>
                      <w:instrText xml:space="preserve"> PAGE  \* MERGEFORMAT </w:instrText>
                    </w:r>
                    <w:r>
                      <w:fldChar w:fldCharType="separate"/>
                    </w:r>
                    <w:r>
                      <w:t>114</w:t>
                    </w:r>
                    <w:r>
                      <w:fldChar w:fldCharType="end"/>
                    </w:r>
                  </w:p>
                </w:txbxContent>
              </v:textbox>
            </v:shape>
          </w:pict>
        </mc:Fallback>
      </mc:AlternateContent>
    </w:r>
    <w:r>
      <w:rPr>
        <w:rFonts w:ascii="Times New Roman" w:hAnsi="Times New Roman" w:eastAsia="Times New Roman" w:cs="Times New Roman"/>
        <w:spacing w:val="-5"/>
        <w:sz w:val="18"/>
        <w:szCs w:val="18"/>
      </w:rPr>
      <w:t>89</w: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678980">
    <w:pPr>
      <w:spacing w:line="176" w:lineRule="auto"/>
      <w:ind w:left="433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94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69" name="文本框 6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4F777B">
                          <w:pPr>
                            <w:pStyle w:val="2"/>
                          </w:pPr>
                          <w:r>
                            <w:fldChar w:fldCharType="begin"/>
                          </w:r>
                          <w:r>
                            <w:instrText xml:space="preserve"> PAGE  \* MERGEFORMAT </w:instrText>
                          </w:r>
                          <w:r>
                            <w:fldChar w:fldCharType="separate"/>
                          </w:r>
                          <w:r>
                            <w:t>115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94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FSExU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tJYZpVPz04/vp&#10;58Pp1zeCMwjUuDBD3L1DZGzf2RZtM5wHHCbebeV1+oIRgR/yHi/yijYSni5NJ9NpDheHb9gAP3u8&#10;7nyI74XVJBkF9ahfJys7bELsQ4eQlM3YtVSqq6EypAGJ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FSExUzAgAAYwQAAA4AAAAAAAAAAQAgAAAAHwEAAGRycy9lMm9Eb2MueG1sUEsF&#10;BgAAAAAGAAYAWQEAAMQFAAAAAA==&#10;">
              <v:fill on="f" focussize="0,0"/>
              <v:stroke on="f" weight="0.5pt"/>
              <v:imagedata o:title=""/>
              <o:lock v:ext="edit" aspectratio="f"/>
              <v:textbox inset="0mm,0mm,0mm,0mm" style="mso-fit-shape-to-text:t;">
                <w:txbxContent>
                  <w:p w14:paraId="244F777B">
                    <w:pPr>
                      <w:pStyle w:val="2"/>
                    </w:pPr>
                    <w:r>
                      <w:fldChar w:fldCharType="begin"/>
                    </w:r>
                    <w:r>
                      <w:instrText xml:space="preserve"> PAGE  \* MERGEFORMAT </w:instrText>
                    </w:r>
                    <w:r>
                      <w:fldChar w:fldCharType="separate"/>
                    </w:r>
                    <w:r>
                      <w:t>115</w:t>
                    </w:r>
                    <w:r>
                      <w:fldChar w:fldCharType="end"/>
                    </w:r>
                  </w:p>
                </w:txbxContent>
              </v:textbox>
            </v:shape>
          </w:pict>
        </mc:Fallback>
      </mc:AlternateContent>
    </w:r>
    <w:r>
      <w:rPr>
        <w:rFonts w:ascii="Times New Roman" w:hAnsi="Times New Roman" w:eastAsia="Times New Roman" w:cs="Times New Roman"/>
        <w:spacing w:val="-4"/>
        <w:sz w:val="18"/>
        <w:szCs w:val="18"/>
      </w:rPr>
      <w:t>90</w: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97CDEB">
    <w:pPr>
      <w:spacing w:line="176" w:lineRule="auto"/>
      <w:ind w:left="433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95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70" name="文本框 7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147676">
                          <w:pPr>
                            <w:pStyle w:val="2"/>
                          </w:pPr>
                          <w:r>
                            <w:fldChar w:fldCharType="begin"/>
                          </w:r>
                          <w:r>
                            <w:instrText xml:space="preserve"> PAGE  \* MERGEFORMAT </w:instrText>
                          </w:r>
                          <w:r>
                            <w:fldChar w:fldCharType="separate"/>
                          </w:r>
                          <w:r>
                            <w:t>116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95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MWwHM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C0kMUyj4qcf308/&#10;H06/vhGcQaDGhRni7h0iY/vOtmib4TzgMPFuK6/TF4wI/MA6XuQVbSQ8XZpOptMcLg7fsAF+9njd&#10;+RDfC6tJMgrqUb9OVnbYhNiHDiEpm7FrqVRXQ2VIU9Cr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MWwHMzAgAAYwQAAA4AAAAAAAAAAQAgAAAAHwEAAGRycy9lMm9Eb2MueG1sUEsF&#10;BgAAAAAGAAYAWQEAAMQFAAAAAA==&#10;">
              <v:fill on="f" focussize="0,0"/>
              <v:stroke on="f" weight="0.5pt"/>
              <v:imagedata o:title=""/>
              <o:lock v:ext="edit" aspectratio="f"/>
              <v:textbox inset="0mm,0mm,0mm,0mm" style="mso-fit-shape-to-text:t;">
                <w:txbxContent>
                  <w:p w14:paraId="6C147676">
                    <w:pPr>
                      <w:pStyle w:val="2"/>
                    </w:pPr>
                    <w:r>
                      <w:fldChar w:fldCharType="begin"/>
                    </w:r>
                    <w:r>
                      <w:instrText xml:space="preserve"> PAGE  \* MERGEFORMAT </w:instrText>
                    </w:r>
                    <w:r>
                      <w:fldChar w:fldCharType="separate"/>
                    </w:r>
                    <w:r>
                      <w:t>116</w:t>
                    </w:r>
                    <w:r>
                      <w:fldChar w:fldCharType="end"/>
                    </w:r>
                  </w:p>
                </w:txbxContent>
              </v:textbox>
            </v:shape>
          </w:pict>
        </mc:Fallback>
      </mc:AlternateContent>
    </w:r>
    <w:r>
      <w:rPr>
        <w:rFonts w:ascii="Times New Roman" w:hAnsi="Times New Roman" w:eastAsia="Times New Roman" w:cs="Times New Roman"/>
        <w:spacing w:val="-4"/>
        <w:sz w:val="18"/>
        <w:szCs w:val="18"/>
      </w:rPr>
      <w:t>91</w: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C4D0C6">
    <w:pPr>
      <w:spacing w:line="176" w:lineRule="auto"/>
      <w:ind w:left="433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96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71" name="文本框 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3EB142">
                          <w:pPr>
                            <w:pStyle w:val="2"/>
                          </w:pPr>
                          <w:r>
                            <w:fldChar w:fldCharType="begin"/>
                          </w:r>
                          <w:r>
                            <w:instrText xml:space="preserve"> PAGE  \* MERGEFORMAT </w:instrText>
                          </w:r>
                          <w:r>
                            <w:fldChar w:fldCharType="separate"/>
                          </w:r>
                          <w:r>
                            <w:t>117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96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G+V5wzAgAAYwQAAA4AAABkcnMvZTJvRG9jLnhtbK1UzY7TMBC+I/EO&#10;lu80aRFL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1TYphGx08/vp9+&#10;Ppx+fSM4g0CNCzPE3TtExvadbTE2w3nAYeLdVl6nLxgR+CHv8SKvaCPh6dJ0Mp3mcHH4hg3ws8fr&#10;zof4XlhNklFQj/51srLDJsQ+dAhJ2YxdS6W6HipDmoJevX6T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G+V5wzAgAAYwQAAA4AAAAAAAAAAQAgAAAAHwEAAGRycy9lMm9Eb2MueG1sUEsF&#10;BgAAAAAGAAYAWQEAAMQFAAAAAA==&#10;">
              <v:fill on="f" focussize="0,0"/>
              <v:stroke on="f" weight="0.5pt"/>
              <v:imagedata o:title=""/>
              <o:lock v:ext="edit" aspectratio="f"/>
              <v:textbox inset="0mm,0mm,0mm,0mm" style="mso-fit-shape-to-text:t;">
                <w:txbxContent>
                  <w:p w14:paraId="263EB142">
                    <w:pPr>
                      <w:pStyle w:val="2"/>
                    </w:pPr>
                    <w:r>
                      <w:fldChar w:fldCharType="begin"/>
                    </w:r>
                    <w:r>
                      <w:instrText xml:space="preserve"> PAGE  \* MERGEFORMAT </w:instrText>
                    </w:r>
                    <w:r>
                      <w:fldChar w:fldCharType="separate"/>
                    </w:r>
                    <w:r>
                      <w:t>117</w:t>
                    </w:r>
                    <w:r>
                      <w:fldChar w:fldCharType="end"/>
                    </w:r>
                  </w:p>
                </w:txbxContent>
              </v:textbox>
            </v:shape>
          </w:pict>
        </mc:Fallback>
      </mc:AlternateContent>
    </w:r>
    <w:r>
      <w:rPr>
        <w:rFonts w:ascii="Times New Roman" w:hAnsi="Times New Roman" w:eastAsia="Times New Roman" w:cs="Times New Roman"/>
        <w:spacing w:val="-4"/>
        <w:sz w:val="18"/>
        <w:szCs w:val="18"/>
      </w:rPr>
      <w:t>92</w: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1D59EC">
    <w:pPr>
      <w:spacing w:line="176" w:lineRule="auto"/>
      <w:ind w:left="433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97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72" name="文本框 7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CBC402">
                          <w:pPr>
                            <w:pStyle w:val="2"/>
                          </w:pPr>
                          <w:r>
                            <w:fldChar w:fldCharType="begin"/>
                          </w:r>
                          <w:r>
                            <w:instrText xml:space="preserve"> PAGE  \* MERGEFORMAT </w:instrText>
                          </w:r>
                          <w:r>
                            <w:fldChar w:fldCharType="separate"/>
                          </w:r>
                          <w:r>
                            <w:t>118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97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ZAnnc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2E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ZAnnczAgAAYwQAAA4AAAAAAAAAAQAgAAAAHwEAAGRycy9lMm9Eb2MueG1sUEsF&#10;BgAAAAAGAAYAWQEAAMQFAAAAAA==&#10;">
              <v:fill on="f" focussize="0,0"/>
              <v:stroke on="f" weight="0.5pt"/>
              <v:imagedata o:title=""/>
              <o:lock v:ext="edit" aspectratio="f"/>
              <v:textbox inset="0mm,0mm,0mm,0mm" style="mso-fit-shape-to-text:t;">
                <w:txbxContent>
                  <w:p w14:paraId="67CBC402">
                    <w:pPr>
                      <w:pStyle w:val="2"/>
                    </w:pPr>
                    <w:r>
                      <w:fldChar w:fldCharType="begin"/>
                    </w:r>
                    <w:r>
                      <w:instrText xml:space="preserve"> PAGE  \* MERGEFORMAT </w:instrText>
                    </w:r>
                    <w:r>
                      <w:fldChar w:fldCharType="separate"/>
                    </w:r>
                    <w:r>
                      <w:t>118</w:t>
                    </w:r>
                    <w:r>
                      <w:fldChar w:fldCharType="end"/>
                    </w:r>
                  </w:p>
                </w:txbxContent>
              </v:textbox>
            </v:shape>
          </w:pict>
        </mc:Fallback>
      </mc:AlternateContent>
    </w:r>
    <w:r>
      <w:rPr>
        <w:rFonts w:ascii="Times New Roman" w:hAnsi="Times New Roman" w:eastAsia="Times New Roman" w:cs="Times New Roman"/>
        <w:spacing w:val="-4"/>
        <w:sz w:val="18"/>
        <w:szCs w:val="18"/>
      </w:rPr>
      <w:t>93</w: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2C4EFD">
    <w:pPr>
      <w:spacing w:line="176" w:lineRule="auto"/>
      <w:ind w:left="433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98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73" name="文本框 7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C8D1E9">
                          <w:pPr>
                            <w:pStyle w:val="2"/>
                          </w:pPr>
                          <w:r>
                            <w:fldChar w:fldCharType="begin"/>
                          </w:r>
                          <w:r>
                            <w:instrText xml:space="preserve"> PAGE  \* MERGEFORMAT </w:instrText>
                          </w:r>
                          <w:r>
                            <w:fldChar w:fldCharType="separate"/>
                          </w:r>
                          <w:r>
                            <w:t>119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98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oCZg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M0V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ToCZgzAgAAYwQAAA4AAAAAAAAAAQAgAAAAHwEAAGRycy9lMm9Eb2MueG1sUEsF&#10;BgAAAAAGAAYAWQEAAMQFAAAAAA==&#10;">
              <v:fill on="f" focussize="0,0"/>
              <v:stroke on="f" weight="0.5pt"/>
              <v:imagedata o:title=""/>
              <o:lock v:ext="edit" aspectratio="f"/>
              <v:textbox inset="0mm,0mm,0mm,0mm" style="mso-fit-shape-to-text:t;">
                <w:txbxContent>
                  <w:p w14:paraId="5FC8D1E9">
                    <w:pPr>
                      <w:pStyle w:val="2"/>
                    </w:pPr>
                    <w:r>
                      <w:fldChar w:fldCharType="begin"/>
                    </w:r>
                    <w:r>
                      <w:instrText xml:space="preserve"> PAGE  \* MERGEFORMAT </w:instrText>
                    </w:r>
                    <w:r>
                      <w:fldChar w:fldCharType="separate"/>
                    </w:r>
                    <w:r>
                      <w:t>119</w:t>
                    </w:r>
                    <w:r>
                      <w:fldChar w:fldCharType="end"/>
                    </w:r>
                  </w:p>
                </w:txbxContent>
              </v:textbox>
            </v:shape>
          </w:pict>
        </mc:Fallback>
      </mc:AlternateContent>
    </w:r>
    <w:r>
      <w:rPr>
        <w:rFonts w:ascii="Times New Roman" w:hAnsi="Times New Roman" w:eastAsia="Times New Roman" w:cs="Times New Roman"/>
        <w:spacing w:val="-4"/>
        <w:sz w:val="18"/>
        <w:szCs w:val="18"/>
      </w:rPr>
      <w:t>94</w: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696D20">
    <w:pPr>
      <w:spacing w:line="176" w:lineRule="auto"/>
      <w:ind w:left="433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99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74" name="文本框 7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65F8B5">
                          <w:pPr>
                            <w:pStyle w:val="2"/>
                          </w:pPr>
                          <w:r>
                            <w:fldChar w:fldCharType="begin"/>
                          </w:r>
                          <w:r>
                            <w:instrText xml:space="preserve"> PAGE  \* MERGEFORMAT </w:instrText>
                          </w:r>
                          <w:r>
                            <w:fldChar w:fldCharType="separate"/>
                          </w:r>
                          <w:r>
                            <w:t>120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99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fHs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37yi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m7fHszAgAAYwQAAA4AAAAAAAAAAQAgAAAAHwEAAGRycy9lMm9Eb2MueG1sUEsF&#10;BgAAAAAGAAYAWQEAAMQFAAAAAA==&#10;">
              <v:fill on="f" focussize="0,0"/>
              <v:stroke on="f" weight="0.5pt"/>
              <v:imagedata o:title=""/>
              <o:lock v:ext="edit" aspectratio="f"/>
              <v:textbox inset="0mm,0mm,0mm,0mm" style="mso-fit-shape-to-text:t;">
                <w:txbxContent>
                  <w:p w14:paraId="0F65F8B5">
                    <w:pPr>
                      <w:pStyle w:val="2"/>
                    </w:pPr>
                    <w:r>
                      <w:fldChar w:fldCharType="begin"/>
                    </w:r>
                    <w:r>
                      <w:instrText xml:space="preserve"> PAGE  \* MERGEFORMAT </w:instrText>
                    </w:r>
                    <w:r>
                      <w:fldChar w:fldCharType="separate"/>
                    </w:r>
                    <w:r>
                      <w:t>120</w:t>
                    </w:r>
                    <w:r>
                      <w:fldChar w:fldCharType="end"/>
                    </w:r>
                  </w:p>
                </w:txbxContent>
              </v:textbox>
            </v:shape>
          </w:pict>
        </mc:Fallback>
      </mc:AlternateContent>
    </w:r>
    <w:r>
      <w:rPr>
        <w:rFonts w:ascii="Times New Roman" w:hAnsi="Times New Roman" w:eastAsia="Times New Roman" w:cs="Times New Roman"/>
        <w:spacing w:val="-4"/>
        <w:sz w:val="18"/>
        <w:szCs w:val="18"/>
      </w:rPr>
      <w:t>95</w: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F9D775">
    <w:pPr>
      <w:spacing w:line="176" w:lineRule="auto"/>
      <w:ind w:left="433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00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75" name="文本框 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252D59">
                          <w:pPr>
                            <w:pStyle w:val="2"/>
                          </w:pPr>
                          <w:r>
                            <w:fldChar w:fldCharType="begin"/>
                          </w:r>
                          <w:r>
                            <w:instrText xml:space="preserve"> PAGE  \* MERGEFORMAT </w:instrText>
                          </w:r>
                          <w:r>
                            <w:fldChar w:fldCharType="separate"/>
                          </w:r>
                          <w:r>
                            <w:t>121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00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sT65QzAgAAY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sT65QzAgAAYwQAAA4AAAAAAAAAAQAgAAAAHwEAAGRycy9lMm9Eb2MueG1sUEsF&#10;BgAAAAAGAAYAWQEAAMQFAAAAAA==&#10;">
              <v:fill on="f" focussize="0,0"/>
              <v:stroke on="f" weight="0.5pt"/>
              <v:imagedata o:title=""/>
              <o:lock v:ext="edit" aspectratio="f"/>
              <v:textbox inset="0mm,0mm,0mm,0mm" style="mso-fit-shape-to-text:t;">
                <w:txbxContent>
                  <w:p w14:paraId="19252D59">
                    <w:pPr>
                      <w:pStyle w:val="2"/>
                    </w:pPr>
                    <w:r>
                      <w:fldChar w:fldCharType="begin"/>
                    </w:r>
                    <w:r>
                      <w:instrText xml:space="preserve"> PAGE  \* MERGEFORMAT </w:instrText>
                    </w:r>
                    <w:r>
                      <w:fldChar w:fldCharType="separate"/>
                    </w:r>
                    <w:r>
                      <w:t>121</w:t>
                    </w:r>
                    <w:r>
                      <w:fldChar w:fldCharType="end"/>
                    </w:r>
                  </w:p>
                </w:txbxContent>
              </v:textbox>
            </v:shape>
          </w:pict>
        </mc:Fallback>
      </mc:AlternateContent>
    </w:r>
    <w:r>
      <w:rPr>
        <w:rFonts w:ascii="Times New Roman" w:hAnsi="Times New Roman" w:eastAsia="Times New Roman" w:cs="Times New Roman"/>
        <w:spacing w:val="-4"/>
        <w:sz w:val="18"/>
        <w:szCs w:val="18"/>
      </w:rPr>
      <w:t>96</w: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98F37C">
    <w:pPr>
      <w:spacing w:line="176" w:lineRule="auto"/>
      <w:ind w:left="433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01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76" name="文本框 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15A9A9">
                          <w:pPr>
                            <w:pStyle w:val="2"/>
                          </w:pPr>
                          <w:r>
                            <w:fldChar w:fldCharType="begin"/>
                          </w:r>
                          <w:r>
                            <w:instrText xml:space="preserve"> PAGE  \* MERGEFORMAT </w:instrText>
                          </w:r>
                          <w:r>
                            <w:fldChar w:fldCharType="separate"/>
                          </w:r>
                          <w:r>
                            <w:t>122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01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ztIn8zAgAAYwQAAA4AAABkcnMvZTJvRG9jLnhtbK1UzY7TMBC+I/EO&#10;lu80aRGl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bdTSjRTqPjlx/fL&#10;z4fLr28EZxCotn6OuJ1FZGjemQZtM5x7HEbeTeFU/IIRgR/ynq/yiiYQHi/NJrNZCheHb9gAP3m8&#10;bp0P74VRJBoZdahfKys7bX3oQoeQmE2bTSVlW0OpSZ3R6es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ztIn8zAgAAYwQAAA4AAAAAAAAAAQAgAAAAHwEAAGRycy9lMm9Eb2MueG1sUEsF&#10;BgAAAAAGAAYAWQEAAMQFAAAAAA==&#10;">
              <v:fill on="f" focussize="0,0"/>
              <v:stroke on="f" weight="0.5pt"/>
              <v:imagedata o:title=""/>
              <o:lock v:ext="edit" aspectratio="f"/>
              <v:textbox inset="0mm,0mm,0mm,0mm" style="mso-fit-shape-to-text:t;">
                <w:txbxContent>
                  <w:p w14:paraId="1E15A9A9">
                    <w:pPr>
                      <w:pStyle w:val="2"/>
                    </w:pPr>
                    <w:r>
                      <w:fldChar w:fldCharType="begin"/>
                    </w:r>
                    <w:r>
                      <w:instrText xml:space="preserve"> PAGE  \* MERGEFORMAT </w:instrText>
                    </w:r>
                    <w:r>
                      <w:fldChar w:fldCharType="separate"/>
                    </w:r>
                    <w:r>
                      <w:t>122</w:t>
                    </w:r>
                    <w:r>
                      <w:fldChar w:fldCharType="end"/>
                    </w:r>
                  </w:p>
                </w:txbxContent>
              </v:textbox>
            </v:shape>
          </w:pict>
        </mc:Fallback>
      </mc:AlternateContent>
    </w:r>
    <w:r>
      <w:rPr>
        <w:rFonts w:ascii="Times New Roman" w:hAnsi="Times New Roman" w:eastAsia="Times New Roman" w:cs="Times New Roman"/>
        <w:spacing w:val="-4"/>
        <w:sz w:val="18"/>
        <w:szCs w:val="18"/>
      </w:rPr>
      <w:t>97</w: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19ED0F">
    <w:pPr>
      <w:spacing w:line="176" w:lineRule="auto"/>
      <w:ind w:left="433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02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77" name="文本框 7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A8BF4E">
                          <w:pPr>
                            <w:pStyle w:val="2"/>
                          </w:pPr>
                          <w:r>
                            <w:fldChar w:fldCharType="begin"/>
                          </w:r>
                          <w:r>
                            <w:instrText xml:space="preserve"> PAGE  \* MERGEFORMAT </w:instrText>
                          </w:r>
                          <w:r>
                            <w:fldChar w:fldCharType="separate"/>
                          </w:r>
                          <w:r>
                            <w:t>123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02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5FtZAzAgAAYw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fU6KZQsVP37+d&#10;fvw6/fxKcAaBWutniHuwiAzdW9OhbYZzj8PIu6ucil8wIvBD3uNFXtEFwuOl6WQ6zeHi8A0b4GeP&#10;163z4Z0wikSjoA71S7Kyw8aHPnQIidm0WTdSphpKTdqCXr1+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5FtZAzAgAAYwQAAA4AAAAAAAAAAQAgAAAAHwEAAGRycy9lMm9Eb2MueG1sUEsF&#10;BgAAAAAGAAYAWQEAAMQFAAAAAA==&#10;">
              <v:fill on="f" focussize="0,0"/>
              <v:stroke on="f" weight="0.5pt"/>
              <v:imagedata o:title=""/>
              <o:lock v:ext="edit" aspectratio="f"/>
              <v:textbox inset="0mm,0mm,0mm,0mm" style="mso-fit-shape-to-text:t;">
                <w:txbxContent>
                  <w:p w14:paraId="0AA8BF4E">
                    <w:pPr>
                      <w:pStyle w:val="2"/>
                    </w:pPr>
                    <w:r>
                      <w:fldChar w:fldCharType="begin"/>
                    </w:r>
                    <w:r>
                      <w:instrText xml:space="preserve"> PAGE  \* MERGEFORMAT </w:instrText>
                    </w:r>
                    <w:r>
                      <w:fldChar w:fldCharType="separate"/>
                    </w:r>
                    <w:r>
                      <w:t>123</w:t>
                    </w:r>
                    <w:r>
                      <w:fldChar w:fldCharType="end"/>
                    </w:r>
                  </w:p>
                </w:txbxContent>
              </v:textbox>
            </v:shape>
          </w:pict>
        </mc:Fallback>
      </mc:AlternateContent>
    </w:r>
    <w:r>
      <w:rPr>
        <w:rFonts w:ascii="Times New Roman" w:hAnsi="Times New Roman" w:eastAsia="Times New Roman" w:cs="Times New Roman"/>
        <w:spacing w:val="-4"/>
        <w:sz w:val="18"/>
        <w:szCs w:val="18"/>
      </w:rPr>
      <w:t>98</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3811E">
    <w:pPr>
      <w:spacing w:line="176" w:lineRule="auto"/>
      <w:ind w:left="454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4835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050168">
                          <w:pPr>
                            <w:pStyle w:val="2"/>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83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08050168">
                    <w:pPr>
                      <w:pStyle w:val="2"/>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F20CC7">
    <w:pPr>
      <w:spacing w:line="176" w:lineRule="auto"/>
      <w:ind w:left="433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03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78" name="文本框 7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F39339">
                          <w:pPr>
                            <w:pStyle w:val="2"/>
                          </w:pPr>
                          <w:r>
                            <w:fldChar w:fldCharType="begin"/>
                          </w:r>
                          <w:r>
                            <w:instrText xml:space="preserve"> PAGE  \* MERGEFORMAT </w:instrText>
                          </w:r>
                          <w:r>
                            <w:fldChar w:fldCharType="separate"/>
                          </w:r>
                          <w:r>
                            <w:t>124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03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dNuWI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C3qbphGxU8/vp9+&#10;Ppx+fSM4g0CNCzPE3TtExvadbdE2w3nAYeLdVl6nLxgR+CHv8SKvaCPh6dJ0Mp3mcHH4hg3ws8fr&#10;zof4XlhNklFQj/p1srLDJsQ+dAhJ2YxdS6W6GipDmoJevX6T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dNuWIzAgAAYwQAAA4AAAAAAAAAAQAgAAAAHwEAAGRycy9lMm9Eb2MueG1sUEsF&#10;BgAAAAAGAAYAWQEAAMQFAAAAAA==&#10;">
              <v:fill on="f" focussize="0,0"/>
              <v:stroke on="f" weight="0.5pt"/>
              <v:imagedata o:title=""/>
              <o:lock v:ext="edit" aspectratio="f"/>
              <v:textbox inset="0mm,0mm,0mm,0mm" style="mso-fit-shape-to-text:t;">
                <w:txbxContent>
                  <w:p w14:paraId="4DF39339">
                    <w:pPr>
                      <w:pStyle w:val="2"/>
                    </w:pPr>
                    <w:r>
                      <w:fldChar w:fldCharType="begin"/>
                    </w:r>
                    <w:r>
                      <w:instrText xml:space="preserve"> PAGE  \* MERGEFORMAT </w:instrText>
                    </w:r>
                    <w:r>
                      <w:fldChar w:fldCharType="separate"/>
                    </w:r>
                    <w:r>
                      <w:t>124</w:t>
                    </w:r>
                    <w:r>
                      <w:fldChar w:fldCharType="end"/>
                    </w:r>
                  </w:p>
                </w:txbxContent>
              </v:textbox>
            </v:shape>
          </w:pict>
        </mc:Fallback>
      </mc:AlternateContent>
    </w:r>
    <w:r>
      <w:rPr>
        <w:rFonts w:ascii="Times New Roman" w:hAnsi="Times New Roman" w:eastAsia="Times New Roman" w:cs="Times New Roman"/>
        <w:spacing w:val="-4"/>
        <w:sz w:val="18"/>
        <w:szCs w:val="18"/>
      </w:rPr>
      <w:t>99</w: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5CD206">
    <w:pPr>
      <w:spacing w:line="176" w:lineRule="auto"/>
      <w:ind w:left="430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04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79" name="文本框 7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77D66C">
                          <w:pPr>
                            <w:pStyle w:val="2"/>
                          </w:pPr>
                          <w:r>
                            <w:fldChar w:fldCharType="begin"/>
                          </w:r>
                          <w:r>
                            <w:instrText xml:space="preserve"> PAGE  \* MERGEFORMAT </w:instrText>
                          </w:r>
                          <w:r>
                            <w:fldChar w:fldCharType="separate"/>
                          </w:r>
                          <w:r>
                            <w:t>125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04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lLo0zAgAAYwQAAA4AAABkcnMvZTJvRG9jLnhtbK1UzY7TMBC+I/EO&#10;lu80aRFL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hxDCNip++fzv9&#10;+HX6+ZXgDAI1LswQt3GIjO1b26JthvOAw8S7rbxOXzAi8EPe40Ve0UbC06XpZDrN4eLwDRvgZw/X&#10;nQ/xnbCaJKOgHvXrZGWH2xD70CEkZTN2LZXqaqgMaQp69fJV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XlLo0zAgAAYwQAAA4AAAAAAAAAAQAgAAAAHwEAAGRycy9lMm9Eb2MueG1sUEsF&#10;BgAAAAAGAAYAWQEAAMQFAAAAAA==&#10;">
              <v:fill on="f" focussize="0,0"/>
              <v:stroke on="f" weight="0.5pt"/>
              <v:imagedata o:title=""/>
              <o:lock v:ext="edit" aspectratio="f"/>
              <v:textbox inset="0mm,0mm,0mm,0mm" style="mso-fit-shape-to-text:t;">
                <w:txbxContent>
                  <w:p w14:paraId="2177D66C">
                    <w:pPr>
                      <w:pStyle w:val="2"/>
                    </w:pPr>
                    <w:r>
                      <w:fldChar w:fldCharType="begin"/>
                    </w:r>
                    <w:r>
                      <w:instrText xml:space="preserve"> PAGE  \* MERGEFORMAT </w:instrText>
                    </w:r>
                    <w:r>
                      <w:fldChar w:fldCharType="separate"/>
                    </w:r>
                    <w:r>
                      <w:t>125</w:t>
                    </w:r>
                    <w:r>
                      <w:fldChar w:fldCharType="end"/>
                    </w:r>
                  </w:p>
                </w:txbxContent>
              </v:textbox>
            </v:shape>
          </w:pict>
        </mc:Fallback>
      </mc:AlternateContent>
    </w:r>
    <w:r>
      <w:rPr>
        <w:rFonts w:ascii="Times New Roman" w:hAnsi="Times New Roman" w:eastAsia="Times New Roman" w:cs="Times New Roman"/>
        <w:spacing w:val="-7"/>
        <w:sz w:val="18"/>
        <w:szCs w:val="18"/>
      </w:rPr>
      <w:t>100</w: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70745E">
    <w:pPr>
      <w:spacing w:line="176" w:lineRule="auto"/>
      <w:ind w:left="430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05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80" name="文本框 8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31BAB4">
                          <w:pPr>
                            <w:pStyle w:val="2"/>
                          </w:pPr>
                          <w:r>
                            <w:fldChar w:fldCharType="begin"/>
                          </w:r>
                          <w:r>
                            <w:instrText xml:space="preserve"> PAGE  \* MERGEFORMAT </w:instrText>
                          </w:r>
                          <w:r>
                            <w:fldChar w:fldCharType="separate"/>
                          </w:r>
                          <w:r>
                            <w:t>126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05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yWR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ziC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7JZFzICAABjBAAADgAAAAAAAAABACAAAAAfAQAAZHJzL2Uyb0RvYy54bWxQSwUG&#10;AAAAAAYABgBZAQAAwwUAAAAA&#10;">
              <v:fill on="f" focussize="0,0"/>
              <v:stroke on="f" weight="0.5pt"/>
              <v:imagedata o:title=""/>
              <o:lock v:ext="edit" aspectratio="f"/>
              <v:textbox inset="0mm,0mm,0mm,0mm" style="mso-fit-shape-to-text:t;">
                <w:txbxContent>
                  <w:p w14:paraId="1031BAB4">
                    <w:pPr>
                      <w:pStyle w:val="2"/>
                    </w:pPr>
                    <w:r>
                      <w:fldChar w:fldCharType="begin"/>
                    </w:r>
                    <w:r>
                      <w:instrText xml:space="preserve"> PAGE  \* MERGEFORMAT </w:instrText>
                    </w:r>
                    <w:r>
                      <w:fldChar w:fldCharType="separate"/>
                    </w:r>
                    <w:r>
                      <w:t>126</w:t>
                    </w:r>
                    <w:r>
                      <w:fldChar w:fldCharType="end"/>
                    </w:r>
                  </w:p>
                </w:txbxContent>
              </v:textbox>
            </v:shape>
          </w:pict>
        </mc:Fallback>
      </mc:AlternateContent>
    </w:r>
    <w:r>
      <w:rPr>
        <w:rFonts w:ascii="Times New Roman" w:hAnsi="Times New Roman" w:eastAsia="Times New Roman" w:cs="Times New Roman"/>
        <w:spacing w:val="-7"/>
        <w:sz w:val="18"/>
        <w:szCs w:val="18"/>
      </w:rPr>
      <w:t>101</w: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169365">
    <w:pPr>
      <w:spacing w:line="176" w:lineRule="auto"/>
      <w:ind w:left="430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06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81" name="文本框 8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2B2D6C">
                          <w:pPr>
                            <w:pStyle w:val="2"/>
                          </w:pPr>
                          <w:r>
                            <w:fldChar w:fldCharType="begin"/>
                          </w:r>
                          <w:r>
                            <w:instrText xml:space="preserve"> PAGE  \* MERGEFORMAT </w:instrText>
                          </w:r>
                          <w:r>
                            <w:fldChar w:fldCharType="separate"/>
                          </w:r>
                          <w:r>
                            <w:t>127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06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azvg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2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RrO+DICAABjBAAADgAAAAAAAAABACAAAAAfAQAAZHJzL2Uyb0RvYy54bWxQSwUG&#10;AAAAAAYABgBZAQAAwwUAAAAA&#10;">
              <v:fill on="f" focussize="0,0"/>
              <v:stroke on="f" weight="0.5pt"/>
              <v:imagedata o:title=""/>
              <o:lock v:ext="edit" aspectratio="f"/>
              <v:textbox inset="0mm,0mm,0mm,0mm" style="mso-fit-shape-to-text:t;">
                <w:txbxContent>
                  <w:p w14:paraId="7F2B2D6C">
                    <w:pPr>
                      <w:pStyle w:val="2"/>
                    </w:pPr>
                    <w:r>
                      <w:fldChar w:fldCharType="begin"/>
                    </w:r>
                    <w:r>
                      <w:instrText xml:space="preserve"> PAGE  \* MERGEFORMAT </w:instrText>
                    </w:r>
                    <w:r>
                      <w:fldChar w:fldCharType="separate"/>
                    </w:r>
                    <w:r>
                      <w:t>127</w:t>
                    </w:r>
                    <w:r>
                      <w:fldChar w:fldCharType="end"/>
                    </w:r>
                  </w:p>
                </w:txbxContent>
              </v:textbox>
            </v:shape>
          </w:pict>
        </mc:Fallback>
      </mc:AlternateContent>
    </w:r>
    <w:r>
      <w:rPr>
        <w:rFonts w:ascii="Times New Roman" w:hAnsi="Times New Roman" w:eastAsia="Times New Roman" w:cs="Times New Roman"/>
        <w:spacing w:val="-7"/>
        <w:sz w:val="18"/>
        <w:szCs w:val="18"/>
      </w:rPr>
      <w:t>102</w: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001503">
    <w:pPr>
      <w:spacing w:line="176" w:lineRule="auto"/>
      <w:ind w:left="430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07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82" name="文本框 8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00C98A">
                          <w:pPr>
                            <w:pStyle w:val="2"/>
                          </w:pPr>
                          <w:r>
                            <w:fldChar w:fldCharType="begin"/>
                          </w:r>
                          <w:r>
                            <w:instrText xml:space="preserve"> PAGE  \* MERGEFORMAT </w:instrText>
                          </w:r>
                          <w:r>
                            <w:fldChar w:fldCharType="separate"/>
                          </w:r>
                          <w:r>
                            <w:t>128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07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kBxM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zqa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XuQHEzICAABjBAAADgAAAAAAAAABACAAAAAfAQAAZHJzL2Uyb0RvYy54bWxQSwUG&#10;AAAAAAYABgBZAQAAwwUAAAAA&#10;">
              <v:fill on="f" focussize="0,0"/>
              <v:stroke on="f" weight="0.5pt"/>
              <v:imagedata o:title=""/>
              <o:lock v:ext="edit" aspectratio="f"/>
              <v:textbox inset="0mm,0mm,0mm,0mm" style="mso-fit-shape-to-text:t;">
                <w:txbxContent>
                  <w:p w14:paraId="7900C98A">
                    <w:pPr>
                      <w:pStyle w:val="2"/>
                    </w:pPr>
                    <w:r>
                      <w:fldChar w:fldCharType="begin"/>
                    </w:r>
                    <w:r>
                      <w:instrText xml:space="preserve"> PAGE  \* MERGEFORMAT </w:instrText>
                    </w:r>
                    <w:r>
                      <w:fldChar w:fldCharType="separate"/>
                    </w:r>
                    <w:r>
                      <w:t>128</w:t>
                    </w:r>
                    <w:r>
                      <w:fldChar w:fldCharType="end"/>
                    </w:r>
                  </w:p>
                </w:txbxContent>
              </v:textbox>
            </v:shape>
          </w:pict>
        </mc:Fallback>
      </mc:AlternateContent>
    </w:r>
    <w:r>
      <w:rPr>
        <w:rFonts w:ascii="Times New Roman" w:hAnsi="Times New Roman" w:eastAsia="Times New Roman" w:cs="Times New Roman"/>
        <w:spacing w:val="-7"/>
        <w:sz w:val="18"/>
        <w:szCs w:val="18"/>
      </w:rPr>
      <w:t>103</w: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0656ED">
    <w:pPr>
      <w:spacing w:line="176" w:lineRule="auto"/>
      <w:ind w:left="430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08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83" name="文本框 8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3ABDFF">
                          <w:pPr>
                            <w:pStyle w:val="2"/>
                          </w:pPr>
                          <w:r>
                            <w:fldChar w:fldCharType="begin"/>
                          </w:r>
                          <w:r>
                            <w:instrText xml:space="preserve"> PAGE  \* MERGEFORMAT </w:instrText>
                          </w:r>
                          <w:r>
                            <w:fldChar w:fldCharType="separate"/>
                          </w:r>
                          <w:r>
                            <w:t>129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08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MkPw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7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MkPwzAgAAYwQAAA4AAAAAAAAAAQAgAAAAHwEAAGRycy9lMm9Eb2MueG1sUEsF&#10;BgAAAAAGAAYAWQEAAMQFAAAAAA==&#10;">
              <v:fill on="f" focussize="0,0"/>
              <v:stroke on="f" weight="0.5pt"/>
              <v:imagedata o:title=""/>
              <o:lock v:ext="edit" aspectratio="f"/>
              <v:textbox inset="0mm,0mm,0mm,0mm" style="mso-fit-shape-to-text:t;">
                <w:txbxContent>
                  <w:p w14:paraId="773ABDFF">
                    <w:pPr>
                      <w:pStyle w:val="2"/>
                    </w:pPr>
                    <w:r>
                      <w:fldChar w:fldCharType="begin"/>
                    </w:r>
                    <w:r>
                      <w:instrText xml:space="preserve"> PAGE  \* MERGEFORMAT </w:instrText>
                    </w:r>
                    <w:r>
                      <w:fldChar w:fldCharType="separate"/>
                    </w:r>
                    <w:r>
                      <w:t>129</w:t>
                    </w:r>
                    <w:r>
                      <w:fldChar w:fldCharType="end"/>
                    </w:r>
                  </w:p>
                </w:txbxContent>
              </v:textbox>
            </v:shape>
          </w:pict>
        </mc:Fallback>
      </mc:AlternateContent>
    </w:r>
    <w:r>
      <w:rPr>
        <w:rFonts w:ascii="Times New Roman" w:hAnsi="Times New Roman" w:eastAsia="Times New Roman" w:cs="Times New Roman"/>
        <w:spacing w:val="-7"/>
        <w:sz w:val="18"/>
        <w:szCs w:val="18"/>
      </w:rPr>
      <w:t>104</w: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501CFD">
    <w:pPr>
      <w:spacing w:line="176" w:lineRule="auto"/>
      <w:ind w:left="430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09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84" name="文本框 8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95742D">
                          <w:pPr>
                            <w:pStyle w:val="2"/>
                          </w:pPr>
                          <w:r>
                            <w:fldChar w:fldCharType="begin"/>
                          </w:r>
                          <w:r>
                            <w:instrText xml:space="preserve"> PAGE  \* MERGEFORMAT </w:instrText>
                          </w:r>
                          <w:r>
                            <w:fldChar w:fldCharType="separate"/>
                          </w:r>
                          <w:r>
                            <w:t>130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09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f5R8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q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Ef5R8zAgAAYwQAAA4AAAAAAAAAAQAgAAAAHwEAAGRycy9lMm9Eb2MueG1sUEsF&#10;BgAAAAAGAAYAWQEAAMQFAAAAAA==&#10;">
              <v:fill on="f" focussize="0,0"/>
              <v:stroke on="f" weight="0.5pt"/>
              <v:imagedata o:title=""/>
              <o:lock v:ext="edit" aspectratio="f"/>
              <v:textbox inset="0mm,0mm,0mm,0mm" style="mso-fit-shape-to-text:t;">
                <w:txbxContent>
                  <w:p w14:paraId="4695742D">
                    <w:pPr>
                      <w:pStyle w:val="2"/>
                    </w:pPr>
                    <w:r>
                      <w:fldChar w:fldCharType="begin"/>
                    </w:r>
                    <w:r>
                      <w:instrText xml:space="preserve"> PAGE  \* MERGEFORMAT </w:instrText>
                    </w:r>
                    <w:r>
                      <w:fldChar w:fldCharType="separate"/>
                    </w:r>
                    <w:r>
                      <w:t>130</w:t>
                    </w:r>
                    <w:r>
                      <w:fldChar w:fldCharType="end"/>
                    </w:r>
                  </w:p>
                </w:txbxContent>
              </v:textbox>
            </v:shape>
          </w:pict>
        </mc:Fallback>
      </mc:AlternateContent>
    </w:r>
    <w:r>
      <w:rPr>
        <w:rFonts w:ascii="Times New Roman" w:hAnsi="Times New Roman" w:eastAsia="Times New Roman" w:cs="Times New Roman"/>
        <w:spacing w:val="-7"/>
        <w:sz w:val="18"/>
        <w:szCs w:val="18"/>
      </w:rPr>
      <w:t>105</w:t>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B85F52">
    <w:pPr>
      <w:spacing w:line="176" w:lineRule="auto"/>
      <w:ind w:left="430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10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85" name="文本框 8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DB66C8">
                          <w:pPr>
                            <w:pStyle w:val="2"/>
                          </w:pPr>
                          <w:r>
                            <w:fldChar w:fldCharType="begin"/>
                          </w:r>
                          <w:r>
                            <w:instrText xml:space="preserve"> PAGE  \* MERGEFORMAT </w:instrText>
                          </w:r>
                          <w:r>
                            <w:fldChar w:fldCharType="separate"/>
                          </w:r>
                          <w:r>
                            <w:t>131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10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3cvA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7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3cvAzAgAAYwQAAA4AAAAAAAAAAQAgAAAAHwEAAGRycy9lMm9Eb2MueG1sUEsF&#10;BgAAAAAGAAYAWQEAAMQFAAAAAA==&#10;">
              <v:fill on="f" focussize="0,0"/>
              <v:stroke on="f" weight="0.5pt"/>
              <v:imagedata o:title=""/>
              <o:lock v:ext="edit" aspectratio="f"/>
              <v:textbox inset="0mm,0mm,0mm,0mm" style="mso-fit-shape-to-text:t;">
                <w:txbxContent>
                  <w:p w14:paraId="11DB66C8">
                    <w:pPr>
                      <w:pStyle w:val="2"/>
                    </w:pPr>
                    <w:r>
                      <w:fldChar w:fldCharType="begin"/>
                    </w:r>
                    <w:r>
                      <w:instrText xml:space="preserve"> PAGE  \* MERGEFORMAT </w:instrText>
                    </w:r>
                    <w:r>
                      <w:fldChar w:fldCharType="separate"/>
                    </w:r>
                    <w:r>
                      <w:t>131</w:t>
                    </w:r>
                    <w:r>
                      <w:fldChar w:fldCharType="end"/>
                    </w:r>
                  </w:p>
                </w:txbxContent>
              </v:textbox>
            </v:shape>
          </w:pict>
        </mc:Fallback>
      </mc:AlternateContent>
    </w:r>
    <w:r>
      <w:rPr>
        <w:rFonts w:ascii="Times New Roman" w:hAnsi="Times New Roman" w:eastAsia="Times New Roman" w:cs="Times New Roman"/>
        <w:spacing w:val="-7"/>
        <w:sz w:val="18"/>
        <w:szCs w:val="18"/>
      </w:rPr>
      <w:t>106</w: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4644CF">
    <w:pPr>
      <w:spacing w:line="176" w:lineRule="auto"/>
      <w:ind w:left="430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11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86" name="文本框 8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05B04D">
                          <w:pPr>
                            <w:pStyle w:val="2"/>
                          </w:pPr>
                          <w:r>
                            <w:fldChar w:fldCharType="begin"/>
                          </w:r>
                          <w:r>
                            <w:instrText xml:space="preserve"> PAGE  \* MERGEFORMAT </w:instrText>
                          </w:r>
                          <w:r>
                            <w:fldChar w:fldCharType="separate"/>
                          </w:r>
                          <w:r>
                            <w:t>132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11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Juxs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Em7GzICAABjBAAADgAAAAAAAAABACAAAAAfAQAAZHJzL2Uyb0RvYy54bWxQSwUG&#10;AAAAAAYABgBZAQAAwwUAAAAA&#10;">
              <v:fill on="f" focussize="0,0"/>
              <v:stroke on="f" weight="0.5pt"/>
              <v:imagedata o:title=""/>
              <o:lock v:ext="edit" aspectratio="f"/>
              <v:textbox inset="0mm,0mm,0mm,0mm" style="mso-fit-shape-to-text:t;">
                <w:txbxContent>
                  <w:p w14:paraId="7F05B04D">
                    <w:pPr>
                      <w:pStyle w:val="2"/>
                    </w:pPr>
                    <w:r>
                      <w:fldChar w:fldCharType="begin"/>
                    </w:r>
                    <w:r>
                      <w:instrText xml:space="preserve"> PAGE  \* MERGEFORMAT </w:instrText>
                    </w:r>
                    <w:r>
                      <w:fldChar w:fldCharType="separate"/>
                    </w:r>
                    <w:r>
                      <w:t>132</w:t>
                    </w:r>
                    <w:r>
                      <w:fldChar w:fldCharType="end"/>
                    </w:r>
                  </w:p>
                </w:txbxContent>
              </v:textbox>
            </v:shape>
          </w:pict>
        </mc:Fallback>
      </mc:AlternateContent>
    </w:r>
    <w:r>
      <w:rPr>
        <w:rFonts w:ascii="Times New Roman" w:hAnsi="Times New Roman" w:eastAsia="Times New Roman" w:cs="Times New Roman"/>
        <w:spacing w:val="-7"/>
        <w:sz w:val="18"/>
        <w:szCs w:val="18"/>
      </w:rPr>
      <w:t>107</w: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FCA77E">
    <w:pPr>
      <w:spacing w:line="176" w:lineRule="auto"/>
      <w:ind w:left="430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12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7" name="文本框 8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F2C6AA">
                          <w:pPr>
                            <w:pStyle w:val="2"/>
                          </w:pPr>
                          <w:r>
                            <w:fldChar w:fldCharType="begin"/>
                          </w:r>
                          <w:r>
                            <w:instrText xml:space="preserve"> PAGE  \* MERGEFORMAT </w:instrText>
                          </w:r>
                          <w:r>
                            <w:fldChar w:fldCharType="separate"/>
                          </w:r>
                          <w:r>
                            <w:t>133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12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hLPQ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q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bhLPQzAgAAYwQAAA4AAAAAAAAAAQAgAAAAHwEAAGRycy9lMm9Eb2MueG1sUEsF&#10;BgAAAAAGAAYAWQEAAMQFAAAAAA==&#10;">
              <v:fill on="f" focussize="0,0"/>
              <v:stroke on="f" weight="0.5pt"/>
              <v:imagedata o:title=""/>
              <o:lock v:ext="edit" aspectratio="f"/>
              <v:textbox inset="0mm,0mm,0mm,0mm" style="mso-fit-shape-to-text:t;">
                <w:txbxContent>
                  <w:p w14:paraId="1FF2C6AA">
                    <w:pPr>
                      <w:pStyle w:val="2"/>
                    </w:pPr>
                    <w:r>
                      <w:fldChar w:fldCharType="begin"/>
                    </w:r>
                    <w:r>
                      <w:instrText xml:space="preserve"> PAGE  \* MERGEFORMAT </w:instrText>
                    </w:r>
                    <w:r>
                      <w:fldChar w:fldCharType="separate"/>
                    </w:r>
                    <w:r>
                      <w:t>133</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8619E1">
    <w:pPr>
      <w:spacing w:line="176" w:lineRule="auto"/>
      <w:ind w:left="451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4937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0A1365">
                          <w:pPr>
                            <w:pStyle w:val="2"/>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93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440A1365">
                    <w:pPr>
                      <w:pStyle w:val="2"/>
                    </w:pPr>
                    <w:r>
                      <w:fldChar w:fldCharType="begin"/>
                    </w:r>
                    <w:r>
                      <w:instrText xml:space="preserve"> PAGE  \* MERGEFORMAT </w:instrText>
                    </w:r>
                    <w:r>
                      <w:fldChar w:fldCharType="separate"/>
                    </w:r>
                    <w:r>
                      <w:t>16</w:t>
                    </w:r>
                    <w:r>
                      <w:fldChar w:fldCharType="end"/>
                    </w:r>
                  </w:p>
                </w:txbxContent>
              </v:textbox>
            </v:shape>
          </w:pict>
        </mc:Fallback>
      </mc:AlternateConten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322685">
    <w:pPr>
      <w:spacing w:line="176" w:lineRule="auto"/>
      <w:ind w:left="430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13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8" name="文本框 8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99A3A8">
                          <w:pPr>
                            <w:pStyle w:val="2"/>
                          </w:pPr>
                          <w:r>
                            <w:fldChar w:fldCharType="begin"/>
                          </w:r>
                          <w:r>
                            <w:instrText xml:space="preserve"> PAGE  \* MERGEFORMAT </w:instrText>
                          </w:r>
                          <w:r>
                            <w:fldChar w:fldCharType="separate"/>
                          </w:r>
                          <w:r>
                            <w:t>134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13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pIA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zlB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j+kgBjICAABjBAAADgAAAAAAAAABACAAAAAfAQAAZHJzL2Uyb0RvYy54bWxQSwUG&#10;AAAAAAYABgBZAQAAwwUAAAAA&#10;">
              <v:fill on="f" focussize="0,0"/>
              <v:stroke on="f" weight="0.5pt"/>
              <v:imagedata o:title=""/>
              <o:lock v:ext="edit" aspectratio="f"/>
              <v:textbox inset="0mm,0mm,0mm,0mm" style="mso-fit-shape-to-text:t;">
                <w:txbxContent>
                  <w:p w14:paraId="5E99A3A8">
                    <w:pPr>
                      <w:pStyle w:val="2"/>
                    </w:pPr>
                    <w:r>
                      <w:fldChar w:fldCharType="begin"/>
                    </w:r>
                    <w:r>
                      <w:instrText xml:space="preserve"> PAGE  \* MERGEFORMAT </w:instrText>
                    </w:r>
                    <w:r>
                      <w:fldChar w:fldCharType="separate"/>
                    </w:r>
                    <w:r>
                      <w:t>134</w:t>
                    </w:r>
                    <w:r>
                      <w:fldChar w:fldCharType="end"/>
                    </w:r>
                  </w:p>
                </w:txbxContent>
              </v:textbox>
            </v:shape>
          </w:pict>
        </mc:Fallback>
      </mc:AlternateConten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2EF1F1">
    <w:pPr>
      <w:spacing w:line="176" w:lineRule="auto"/>
      <w:ind w:left="430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14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9" name="文本框 8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2D4011">
                          <w:pPr>
                            <w:pStyle w:val="2"/>
                          </w:pPr>
                          <w:r>
                            <w:fldChar w:fldCharType="begin"/>
                          </w:r>
                          <w:r>
                            <w:instrText xml:space="preserve"> PAGE  \* MERGEFORMAT </w:instrText>
                          </w:r>
                          <w:r>
                            <w:fldChar w:fldCharType="separate"/>
                          </w:r>
                          <w:r>
                            <w:t>135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14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1Bt+k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q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1Bt+kzAgAAYwQAAA4AAAAAAAAAAQAgAAAAHwEAAGRycy9lMm9Eb2MueG1sUEsF&#10;BgAAAAAGAAYAWQEAAMQFAAAAAA==&#10;">
              <v:fill on="f" focussize="0,0"/>
              <v:stroke on="f" weight="0.5pt"/>
              <v:imagedata o:title=""/>
              <o:lock v:ext="edit" aspectratio="f"/>
              <v:textbox inset="0mm,0mm,0mm,0mm" style="mso-fit-shape-to-text:t;">
                <w:txbxContent>
                  <w:p w14:paraId="1A2D4011">
                    <w:pPr>
                      <w:pStyle w:val="2"/>
                    </w:pPr>
                    <w:r>
                      <w:fldChar w:fldCharType="begin"/>
                    </w:r>
                    <w:r>
                      <w:instrText xml:space="preserve"> PAGE  \* MERGEFORMAT </w:instrText>
                    </w:r>
                    <w:r>
                      <w:fldChar w:fldCharType="separate"/>
                    </w:r>
                    <w:r>
                      <w:t>135</w:t>
                    </w:r>
                    <w:r>
                      <w:fldChar w:fldCharType="end"/>
                    </w:r>
                  </w:p>
                </w:txbxContent>
              </v:textbox>
            </v:shape>
          </w:pict>
        </mc:Fallback>
      </mc:AlternateContent>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FE66EE">
    <w:pPr>
      <w:spacing w:line="176" w:lineRule="auto"/>
      <w:ind w:left="431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15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0" name="文本框 9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2ABBF0">
                          <w:pPr>
                            <w:pStyle w:val="2"/>
                          </w:pPr>
                          <w:r>
                            <w:fldChar w:fldCharType="begin"/>
                          </w:r>
                          <w:r>
                            <w:instrText xml:space="preserve"> PAGE  \* MERGEFORMAT </w:instrText>
                          </w:r>
                          <w:r>
                            <w:fldChar w:fldCharType="separate"/>
                          </w:r>
                          <w:r>
                            <w:t>136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15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8FZI8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C0kMUyj4qcf308/&#10;H06/vhGcQaDGhRni7h0iY/vOtmib4TzgMPFuK6/TF4wI/MA6XuQVbSQ8XZpOptMcLg7fsAF+9njd&#10;+RDfC6tJMgrqUb9OVnbYhNiHDiEpm7FrqVRXQ2VIU9Cr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8FZI8zAgAAYwQAAA4AAAAAAAAAAQAgAAAAHwEAAGRycy9lMm9Eb2MueG1sUEsF&#10;BgAAAAAGAAYAWQEAAMQFAAAAAA==&#10;">
              <v:fill on="f" focussize="0,0"/>
              <v:stroke on="f" weight="0.5pt"/>
              <v:imagedata o:title=""/>
              <o:lock v:ext="edit" aspectratio="f"/>
              <v:textbox inset="0mm,0mm,0mm,0mm" style="mso-fit-shape-to-text:t;">
                <w:txbxContent>
                  <w:p w14:paraId="132ABBF0">
                    <w:pPr>
                      <w:pStyle w:val="2"/>
                    </w:pPr>
                    <w:r>
                      <w:fldChar w:fldCharType="begin"/>
                    </w:r>
                    <w:r>
                      <w:instrText xml:space="preserve"> PAGE  \* MERGEFORMAT </w:instrText>
                    </w:r>
                    <w:r>
                      <w:fldChar w:fldCharType="separate"/>
                    </w:r>
                    <w:r>
                      <w:t>136</w:t>
                    </w:r>
                    <w:r>
                      <w:fldChar w:fldCharType="end"/>
                    </w:r>
                  </w:p>
                </w:txbxContent>
              </v:textbox>
            </v:shape>
          </w:pict>
        </mc:Fallback>
      </mc:AlternateContent>
    </w: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E6F147">
    <w:pPr>
      <w:spacing w:line="176" w:lineRule="auto"/>
      <w:ind w:left="430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16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91" name="文本框 9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65F615">
                          <w:pPr>
                            <w:pStyle w:val="2"/>
                          </w:pPr>
                          <w:r>
                            <w:fldChar w:fldCharType="begin"/>
                          </w:r>
                          <w:r>
                            <w:instrText xml:space="preserve"> PAGE  \* MERGEFORMAT </w:instrText>
                          </w:r>
                          <w:r>
                            <w:fldChar w:fldCharType="separate"/>
                          </w:r>
                          <w:r>
                            <w:t>137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16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2t82AzAgAAYwQAAA4AAABkcnMvZTJvRG9jLnhtbK1UzY7TMBC+I/EO&#10;lu80aRGrUj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1TYphGx08/vp9+&#10;Ppx+fSM4g0CNCzPE3TtExvadbTE2w3nAYeLdVl6nLxgR+CHv8SKvaCPh6dJ0Mp3mcHH4hg3ws8fr&#10;zof4XlhNklFQj/51srLDJsQ+dAhJ2YxdS6W6HipDmoJevX6T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2t82AzAgAAYwQAAA4AAAAAAAAAAQAgAAAAHwEAAGRycy9lMm9Eb2MueG1sUEsF&#10;BgAAAAAGAAYAWQEAAMQFAAAAAA==&#10;">
              <v:fill on="f" focussize="0,0"/>
              <v:stroke on="f" weight="0.5pt"/>
              <v:imagedata o:title=""/>
              <o:lock v:ext="edit" aspectratio="f"/>
              <v:textbox inset="0mm,0mm,0mm,0mm" style="mso-fit-shape-to-text:t;">
                <w:txbxContent>
                  <w:p w14:paraId="5E65F615">
                    <w:pPr>
                      <w:pStyle w:val="2"/>
                    </w:pPr>
                    <w:r>
                      <w:fldChar w:fldCharType="begin"/>
                    </w:r>
                    <w:r>
                      <w:instrText xml:space="preserve"> PAGE  \* MERGEFORMAT </w:instrText>
                    </w:r>
                    <w:r>
                      <w:fldChar w:fldCharType="separate"/>
                    </w:r>
                    <w:r>
                      <w:t>137</w:t>
                    </w:r>
                    <w:r>
                      <w:fldChar w:fldCharType="end"/>
                    </w:r>
                  </w:p>
                </w:txbxContent>
              </v:textbox>
            </v:shape>
          </w:pict>
        </mc:Fallback>
      </mc:AlternateContent>
    </w: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4323B9">
    <w:pPr>
      <w:spacing w:line="176" w:lineRule="auto"/>
      <w:ind w:left="430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17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2" name="文本框 9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C5E14D">
                          <w:pPr>
                            <w:pStyle w:val="2"/>
                          </w:pPr>
                          <w:r>
                            <w:fldChar w:fldCharType="begin"/>
                          </w:r>
                          <w:r>
                            <w:instrText xml:space="preserve"> PAGE  \* MERGEFORMAT </w:instrText>
                          </w:r>
                          <w:r>
                            <w:fldChar w:fldCharType="separate"/>
                          </w:r>
                          <w:r>
                            <w:t>138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17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pTOos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2E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pTOoszAgAAYwQAAA4AAAAAAAAAAQAgAAAAHwEAAGRycy9lMm9Eb2MueG1sUEsF&#10;BgAAAAAGAAYAWQEAAMQFAAAAAA==&#10;">
              <v:fill on="f" focussize="0,0"/>
              <v:stroke on="f" weight="0.5pt"/>
              <v:imagedata o:title=""/>
              <o:lock v:ext="edit" aspectratio="f"/>
              <v:textbox inset="0mm,0mm,0mm,0mm" style="mso-fit-shape-to-text:t;">
                <w:txbxContent>
                  <w:p w14:paraId="6BC5E14D">
                    <w:pPr>
                      <w:pStyle w:val="2"/>
                    </w:pPr>
                    <w:r>
                      <w:fldChar w:fldCharType="begin"/>
                    </w:r>
                    <w:r>
                      <w:instrText xml:space="preserve"> PAGE  \* MERGEFORMAT </w:instrText>
                    </w:r>
                    <w:r>
                      <w:fldChar w:fldCharType="separate"/>
                    </w:r>
                    <w:r>
                      <w:t>138</w:t>
                    </w:r>
                    <w:r>
                      <w:fldChar w:fldCharType="end"/>
                    </w:r>
                  </w:p>
                </w:txbxContent>
              </v:textbox>
            </v:shape>
          </w:pict>
        </mc:Fallback>
      </mc:AlternateContent>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9BC7F">
    <w:pPr>
      <w:spacing w:line="176" w:lineRule="auto"/>
      <w:ind w:left="430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19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3" name="文本框 9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FA9C31">
                          <w:pPr>
                            <w:pStyle w:val="2"/>
                          </w:pPr>
                          <w:r>
                            <w:fldChar w:fldCharType="begin"/>
                          </w:r>
                          <w:r>
                            <w:instrText xml:space="preserve"> PAGE  \* MERGEFORMAT </w:instrText>
                          </w:r>
                          <w:r>
                            <w:fldChar w:fldCharType="separate"/>
                          </w:r>
                          <w:r>
                            <w:t>139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19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7rWQzAgAAYw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M0V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7rWQzAgAAYwQAAA4AAAAAAAAAAQAgAAAAHwEAAGRycy9lMm9Eb2MueG1sUEsF&#10;BgAAAAAGAAYAWQEAAMQFAAAAAA==&#10;">
              <v:fill on="f" focussize="0,0"/>
              <v:stroke on="f" weight="0.5pt"/>
              <v:imagedata o:title=""/>
              <o:lock v:ext="edit" aspectratio="f"/>
              <v:textbox inset="0mm,0mm,0mm,0mm" style="mso-fit-shape-to-text:t;">
                <w:txbxContent>
                  <w:p w14:paraId="7CFA9C31">
                    <w:pPr>
                      <w:pStyle w:val="2"/>
                    </w:pPr>
                    <w:r>
                      <w:fldChar w:fldCharType="begin"/>
                    </w:r>
                    <w:r>
                      <w:instrText xml:space="preserve"> PAGE  \* MERGEFORMAT </w:instrText>
                    </w:r>
                    <w:r>
                      <w:fldChar w:fldCharType="separate"/>
                    </w:r>
                    <w:r>
                      <w:t>139</w:t>
                    </w:r>
                    <w:r>
                      <w:fldChar w:fldCharType="end"/>
                    </w:r>
                  </w:p>
                </w:txbxContent>
              </v:textbox>
            </v:shape>
          </w:pict>
        </mc:Fallback>
      </mc:AlternateContent>
    </w: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FF8280">
    <w:pPr>
      <w:spacing w:line="176" w:lineRule="auto"/>
      <w:ind w:left="430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20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94" name="文本框 9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17E32C">
                          <w:pPr>
                            <w:pStyle w:val="2"/>
                          </w:pPr>
                          <w:r>
                            <w:fldChar w:fldCharType="begin"/>
                          </w:r>
                          <w:r>
                            <w:instrText xml:space="preserve"> PAGE  \* MERGEFORMAT </w:instrText>
                          </w:r>
                          <w:r>
                            <w:fldChar w:fldCharType="separate"/>
                          </w:r>
                          <w:r>
                            <w:t>140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20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o2IczAgAAYw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37yi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o2IczAgAAYwQAAA4AAAAAAAAAAQAgAAAAHwEAAGRycy9lMm9Eb2MueG1sUEsF&#10;BgAAAAAGAAYAWQEAAMQFAAAAAA==&#10;">
              <v:fill on="f" focussize="0,0"/>
              <v:stroke on="f" weight="0.5pt"/>
              <v:imagedata o:title=""/>
              <o:lock v:ext="edit" aspectratio="f"/>
              <v:textbox inset="0mm,0mm,0mm,0mm" style="mso-fit-shape-to-text:t;">
                <w:txbxContent>
                  <w:p w14:paraId="6D17E32C">
                    <w:pPr>
                      <w:pStyle w:val="2"/>
                    </w:pPr>
                    <w:r>
                      <w:fldChar w:fldCharType="begin"/>
                    </w:r>
                    <w:r>
                      <w:instrText xml:space="preserve"> PAGE  \* MERGEFORMAT </w:instrText>
                    </w:r>
                    <w:r>
                      <w:fldChar w:fldCharType="separate"/>
                    </w:r>
                    <w:r>
                      <w:t>140</w:t>
                    </w:r>
                    <w:r>
                      <w:fldChar w:fldCharType="end"/>
                    </w:r>
                  </w:p>
                </w:txbxContent>
              </v:textbox>
            </v:shape>
          </w:pict>
        </mc:Fallback>
      </mc:AlternateContent>
    </w:r>
    <w:r>
      <w:rPr>
        <w:rFonts w:ascii="Times New Roman" w:hAnsi="Times New Roman" w:eastAsia="Times New Roman" w:cs="Times New Roman"/>
        <w:spacing w:val="-9"/>
        <w:sz w:val="18"/>
        <w:szCs w:val="18"/>
      </w:rPr>
      <w:t>115</w:t>
    </w: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05B66">
    <w:pPr>
      <w:spacing w:line="176" w:lineRule="auto"/>
      <w:ind w:left="430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21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95" name="文本框 9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917528">
                          <w:pPr>
                            <w:pStyle w:val="2"/>
                          </w:pPr>
                          <w:r>
                            <w:fldChar w:fldCharType="begin"/>
                          </w:r>
                          <w:r>
                            <w:instrText xml:space="preserve"> PAGE  \* MERGEFORMAT </w:instrText>
                          </w:r>
                          <w:r>
                            <w:fldChar w:fldCharType="separate"/>
                          </w:r>
                          <w:r>
                            <w:t>141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21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AT2gzAgAAYwQAAA4AAABkcnMvZTJvRG9jLnhtbK1UzY7TMBC+I/EO&#10;lu80adGu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M0VJYZpVPz0/dvp&#10;x6/Tz68EZxCocWGGuAeHyNi+tS3aZjgPOEy828rr9AUjAj/kPV7kFW0kPF2aTqbTHC4O37ABfvZ4&#10;3fkQ3wmrSTIK6lG/TlZ22ITYhw4hKZuxa6lUV0NlSFPQ69d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AT2gzAgAAYwQAAA4AAAAAAAAAAQAgAAAAHwEAAGRycy9lMm9Eb2MueG1sUEsF&#10;BgAAAAAGAAYAWQEAAMQFAAAAAA==&#10;">
              <v:fill on="f" focussize="0,0"/>
              <v:stroke on="f" weight="0.5pt"/>
              <v:imagedata o:title=""/>
              <o:lock v:ext="edit" aspectratio="f"/>
              <v:textbox inset="0mm,0mm,0mm,0mm" style="mso-fit-shape-to-text:t;">
                <w:txbxContent>
                  <w:p w14:paraId="1D917528">
                    <w:pPr>
                      <w:pStyle w:val="2"/>
                    </w:pPr>
                    <w:r>
                      <w:fldChar w:fldCharType="begin"/>
                    </w:r>
                    <w:r>
                      <w:instrText xml:space="preserve"> PAGE  \* MERGEFORMAT </w:instrText>
                    </w:r>
                    <w:r>
                      <w:fldChar w:fldCharType="separate"/>
                    </w:r>
                    <w:r>
                      <w:t>141</w:t>
                    </w:r>
                    <w:r>
                      <w:fldChar w:fldCharType="end"/>
                    </w:r>
                  </w:p>
                </w:txbxContent>
              </v:textbox>
            </v:shape>
          </w:pict>
        </mc:Fallback>
      </mc:AlternateContent>
    </w: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18DF63">
    <w:pPr>
      <w:spacing w:line="176" w:lineRule="auto"/>
      <w:ind w:left="430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22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96" name="文本框 9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5FAB44">
                          <w:pPr>
                            <w:pStyle w:val="2"/>
                          </w:pPr>
                          <w:r>
                            <w:fldChar w:fldCharType="begin"/>
                          </w:r>
                          <w:r>
                            <w:instrText xml:space="preserve"> PAGE  \* MERGEFORMAT </w:instrText>
                          </w:r>
                          <w:r>
                            <w:fldChar w:fldCharType="separate"/>
                          </w:r>
                          <w:r>
                            <w:t>142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22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hoMzAgAAYwQAAA4AAABkcnMvZTJvRG9jLnhtbK1UzY7TMBC+I/EO&#10;lu80aRFVqZ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bdTSjRTqPjlx/fL&#10;z4fLr28EZxCotn6OuJ1FZGjemQZtM5x7HEbeTeFU/IIRgR/ynq/yiiYQHi/NJrNZCheHb9gAP3m8&#10;bp0P74VRJBoZdahfKys7bX3oQoeQmE2bTSVlW0OpSZ3R6es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D+hoMzAgAAYwQAAA4AAAAAAAAAAQAgAAAAHwEAAGRycy9lMm9Eb2MueG1sUEsF&#10;BgAAAAAGAAYAWQEAAMQFAAAAAA==&#10;">
              <v:fill on="f" focussize="0,0"/>
              <v:stroke on="f" weight="0.5pt"/>
              <v:imagedata o:title=""/>
              <o:lock v:ext="edit" aspectratio="f"/>
              <v:textbox inset="0mm,0mm,0mm,0mm" style="mso-fit-shape-to-text:t;">
                <w:txbxContent>
                  <w:p w14:paraId="415FAB44">
                    <w:pPr>
                      <w:pStyle w:val="2"/>
                    </w:pPr>
                    <w:r>
                      <w:fldChar w:fldCharType="begin"/>
                    </w:r>
                    <w:r>
                      <w:instrText xml:space="preserve"> PAGE  \* MERGEFORMAT </w:instrText>
                    </w:r>
                    <w:r>
                      <w:fldChar w:fldCharType="separate"/>
                    </w:r>
                    <w:r>
                      <w:t>142</w:t>
                    </w:r>
                    <w:r>
                      <w:fldChar w:fldCharType="end"/>
                    </w:r>
                  </w:p>
                </w:txbxContent>
              </v:textbox>
            </v:shape>
          </w:pict>
        </mc:Fallback>
      </mc:AlternateContent>
    </w: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9682F7">
    <w:pPr>
      <w:spacing w:line="176" w:lineRule="auto"/>
      <w:ind w:left="430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23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97" name="文本框 9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09A269">
                          <w:pPr>
                            <w:pStyle w:val="2"/>
                          </w:pPr>
                          <w:r>
                            <w:fldChar w:fldCharType="begin"/>
                          </w:r>
                          <w:r>
                            <w:instrText xml:space="preserve"> PAGE  \* MERGEFORMAT </w:instrText>
                          </w:r>
                          <w:r>
                            <w:fldChar w:fldCharType="separate"/>
                          </w:r>
                          <w:r>
                            <w:t>143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23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WEWwzAgAAYwQAAA4AAABkcnMvZTJvRG9jLnhtbK1UzY7TMBC+I/EO&#10;lu80aRFL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37ymxDCNip++fzv9&#10;+HX6+ZXgDAI1LswQt3GIjO1b26JthvOAw8S7rbxOXzAi8EPe40Ve0UbC06XpZDrN4eLwDRvgZw/X&#10;nQ/xnbCaJKOgHvXrZGWH2xD70CEkZTN2LZXqaqgMaQp69fJV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JWEWwzAgAAYwQAAA4AAAAAAAAAAQAgAAAAHwEAAGRycy9lMm9Eb2MueG1sUEsF&#10;BgAAAAAGAAYAWQEAAMQFAAAAAA==&#10;">
              <v:fill on="f" focussize="0,0"/>
              <v:stroke on="f" weight="0.5pt"/>
              <v:imagedata o:title=""/>
              <o:lock v:ext="edit" aspectratio="f"/>
              <v:textbox inset="0mm,0mm,0mm,0mm" style="mso-fit-shape-to-text:t;">
                <w:txbxContent>
                  <w:p w14:paraId="1809A269">
                    <w:pPr>
                      <w:pStyle w:val="2"/>
                    </w:pPr>
                    <w:r>
                      <w:fldChar w:fldCharType="begin"/>
                    </w:r>
                    <w:r>
                      <w:instrText xml:space="preserve"> PAGE  \* MERGEFORMAT </w:instrText>
                    </w:r>
                    <w:r>
                      <w:fldChar w:fldCharType="separate"/>
                    </w:r>
                    <w:r>
                      <w:t>143</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3756FB">
    <w:pPr>
      <w:spacing w:line="176" w:lineRule="auto"/>
      <w:ind w:left="451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50400"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C350CA">
                          <w:pPr>
                            <w:pStyle w:val="2"/>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04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78C350CA">
                    <w:pPr>
                      <w:pStyle w:val="2"/>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D97B0B">
    <w:pPr>
      <w:spacing w:line="176" w:lineRule="auto"/>
      <w:ind w:left="430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24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98" name="文本框 9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EC7793">
                          <w:pPr>
                            <w:pStyle w:val="2"/>
                          </w:pPr>
                          <w:r>
                            <w:fldChar w:fldCharType="begin"/>
                          </w:r>
                          <w:r>
                            <w:instrText xml:space="preserve"> PAGE  \* MERGEFORMAT </w:instrText>
                          </w:r>
                          <w:r>
                            <w:fldChar w:fldCharType="separate"/>
                          </w:r>
                          <w:r>
                            <w:t>144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241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teHZ4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C3qbphGxU8/vp9+&#10;Ppx+fSM4g0CNCzPE3TtExvadbdE2w3nAYeLdVl6nLxgR+CHv8SKvaCPh6dJ0Mp3mcHH4hg3ws8fr&#10;zof4XlhNklFQj/p1srLDJsQ+dAhJ2YxdS6W6GipDmoJevX6T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teHZ4zAgAAYwQAAA4AAAAAAAAAAQAgAAAAHwEAAGRycy9lMm9Eb2MueG1sUEsF&#10;BgAAAAAGAAYAWQEAAMQFAAAAAA==&#10;">
              <v:fill on="f" focussize="0,0"/>
              <v:stroke on="f" weight="0.5pt"/>
              <v:imagedata o:title=""/>
              <o:lock v:ext="edit" aspectratio="f"/>
              <v:textbox inset="0mm,0mm,0mm,0mm" style="mso-fit-shape-to-text:t;">
                <w:txbxContent>
                  <w:p w14:paraId="7CEC7793">
                    <w:pPr>
                      <w:pStyle w:val="2"/>
                    </w:pPr>
                    <w:r>
                      <w:fldChar w:fldCharType="begin"/>
                    </w:r>
                    <w:r>
                      <w:instrText xml:space="preserve"> PAGE  \* MERGEFORMAT </w:instrText>
                    </w:r>
                    <w:r>
                      <w:fldChar w:fldCharType="separate"/>
                    </w:r>
                    <w:r>
                      <w:t>144</w:t>
                    </w:r>
                    <w:r>
                      <w:fldChar w:fldCharType="end"/>
                    </w:r>
                  </w:p>
                </w:txbxContent>
              </v:textbox>
            </v:shape>
          </w:pict>
        </mc:Fallback>
      </mc:AlternateContent>
    </w: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739140">
    <w:pPr>
      <w:spacing w:line="176" w:lineRule="auto"/>
      <w:ind w:left="430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25152" behindDoc="0" locked="0" layoutInCell="1" allowOverlap="1">
              <wp:simplePos x="0" y="0"/>
              <wp:positionH relativeFrom="margin">
                <wp:align>center</wp:align>
              </wp:positionH>
              <wp:positionV relativeFrom="paragraph">
                <wp:posOffset>0</wp:posOffset>
              </wp:positionV>
              <wp:extent cx="1828800" cy="1828800"/>
              <wp:effectExtent l="0" t="0" r="0" b="0"/>
              <wp:wrapNone/>
              <wp:docPr id="99" name="文本框 9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F1E870">
                          <w:pPr>
                            <w:pStyle w:val="2"/>
                          </w:pPr>
                          <w:r>
                            <w:fldChar w:fldCharType="begin"/>
                          </w:r>
                          <w:r>
                            <w:instrText xml:space="preserve"> PAGE  \* MERGEFORMAT </w:instrText>
                          </w:r>
                          <w:r>
                            <w:fldChar w:fldCharType="separate"/>
                          </w:r>
                          <w:r>
                            <w:t>145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251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n2inEzAgAAYw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fU6KZQsVP37+d&#10;fvw6/fxKcAaBWutniHuwiAzdW9OhbYZzj8PIu6ucil8wIvBD3uNFXtEFwuOl6WQ6zeHi8A0b4GeP&#10;163z4Z0wikSjoA71S7Kyw8aHPnQIidm0WTdSphpKTdqCXr1+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n2inEzAgAAYwQAAA4AAAAAAAAAAQAgAAAAHwEAAGRycy9lMm9Eb2MueG1sUEsF&#10;BgAAAAAGAAYAWQEAAMQFAAAAAA==&#10;">
              <v:fill on="f" focussize="0,0"/>
              <v:stroke on="f" weight="0.5pt"/>
              <v:imagedata o:title=""/>
              <o:lock v:ext="edit" aspectratio="f"/>
              <v:textbox inset="0mm,0mm,0mm,0mm" style="mso-fit-shape-to-text:t;">
                <w:txbxContent>
                  <w:p w14:paraId="7DF1E870">
                    <w:pPr>
                      <w:pStyle w:val="2"/>
                    </w:pPr>
                    <w:r>
                      <w:fldChar w:fldCharType="begin"/>
                    </w:r>
                    <w:r>
                      <w:instrText xml:space="preserve"> PAGE  \* MERGEFORMAT </w:instrText>
                    </w:r>
                    <w:r>
                      <w:fldChar w:fldCharType="separate"/>
                    </w:r>
                    <w:r>
                      <w:t>145</w:t>
                    </w:r>
                    <w:r>
                      <w:fldChar w:fldCharType="end"/>
                    </w:r>
                  </w:p>
                </w:txbxContent>
              </v:textbox>
            </v:shape>
          </w:pict>
        </mc:Fallback>
      </mc:AlternateContent>
    </w: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7B3301">
    <w:pPr>
      <w:spacing w:line="176" w:lineRule="auto"/>
      <w:ind w:left="430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261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0" name="文本框 10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B2347E">
                          <w:pPr>
                            <w:pStyle w:val="2"/>
                          </w:pPr>
                          <w:r>
                            <w:fldChar w:fldCharType="begin"/>
                          </w:r>
                          <w:r>
                            <w:instrText xml:space="preserve"> PAGE  \* MERGEFORMAT </w:instrText>
                          </w:r>
                          <w:r>
                            <w:fldChar w:fldCharType="separate"/>
                          </w:r>
                          <w:r>
                            <w:t>146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261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TnCo8x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5wqPMQIAAGUEAAAOAAAAAAAAAAEAIAAAAB8BAABkcnMvZTJvRG9jLnhtbFBLBQYA&#10;AAAABgAGAFkBAADCBQAAAAA=&#10;">
              <v:fill on="f" focussize="0,0"/>
              <v:stroke on="f" weight="0.5pt"/>
              <v:imagedata o:title=""/>
              <o:lock v:ext="edit" aspectratio="f"/>
              <v:textbox inset="0mm,0mm,0mm,0mm" style="mso-fit-shape-to-text:t;">
                <w:txbxContent>
                  <w:p w14:paraId="68B2347E">
                    <w:pPr>
                      <w:pStyle w:val="2"/>
                    </w:pPr>
                    <w:r>
                      <w:fldChar w:fldCharType="begin"/>
                    </w:r>
                    <w:r>
                      <w:instrText xml:space="preserve"> PAGE  \* MERGEFORMAT </w:instrText>
                    </w:r>
                    <w:r>
                      <w:fldChar w:fldCharType="separate"/>
                    </w:r>
                    <w:r>
                      <w:t>146</w:t>
                    </w:r>
                    <w:r>
                      <w:fldChar w:fldCharType="end"/>
                    </w:r>
                  </w:p>
                </w:txbxContent>
              </v:textbox>
            </v:shape>
          </w:pict>
        </mc:Fallback>
      </mc:AlternateContent>
    </w: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5486E8">
    <w:pPr>
      <w:spacing w:line="176" w:lineRule="auto"/>
      <w:ind w:left="444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272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1" name="文本框 10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D1DE15">
                          <w:pPr>
                            <w:pStyle w:val="2"/>
                          </w:pPr>
                          <w:r>
                            <w:fldChar w:fldCharType="begin"/>
                          </w:r>
                          <w:r>
                            <w:instrText xml:space="preserve"> PAGE  \* MERGEFORMAT </w:instrText>
                          </w:r>
                          <w:r>
                            <w:fldChar w:fldCharType="separate"/>
                          </w:r>
                          <w:r>
                            <w:t>147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272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T1uUEzICAABlBAAADgAAAAAAAAABACAAAAAfAQAAZHJzL2Uyb0RvYy54bWxQSwUG&#10;AAAAAAYABgBZAQAAwwUAAAAA&#10;">
              <v:fill on="f" focussize="0,0"/>
              <v:stroke on="f" weight="0.5pt"/>
              <v:imagedata o:title=""/>
              <o:lock v:ext="edit" aspectratio="f"/>
              <v:textbox inset="0mm,0mm,0mm,0mm" style="mso-fit-shape-to-text:t;">
                <w:txbxContent>
                  <w:p w14:paraId="5CD1DE15">
                    <w:pPr>
                      <w:pStyle w:val="2"/>
                    </w:pPr>
                    <w:r>
                      <w:fldChar w:fldCharType="begin"/>
                    </w:r>
                    <w:r>
                      <w:instrText xml:space="preserve"> PAGE  \* MERGEFORMAT </w:instrText>
                    </w:r>
                    <w:r>
                      <w:fldChar w:fldCharType="separate"/>
                    </w:r>
                    <w:r>
                      <w:t>147</w:t>
                    </w:r>
                    <w:r>
                      <w:fldChar w:fldCharType="end"/>
                    </w:r>
                  </w:p>
                </w:txbxContent>
              </v:textbox>
            </v:shape>
          </w:pict>
        </mc:Fallback>
      </mc:AlternateContent>
    </w: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E32B0D">
    <w:pPr>
      <w:spacing w:line="176" w:lineRule="auto"/>
      <w:ind w:left="430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282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2" name="文本框 10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1045DD">
                          <w:pPr>
                            <w:pStyle w:val="2"/>
                          </w:pPr>
                          <w:r>
                            <w:fldChar w:fldCharType="begin"/>
                          </w:r>
                          <w:r>
                            <w:instrText xml:space="preserve"> PAGE  \* MERGEFORMAT </w:instrText>
                          </w:r>
                          <w:r>
                            <w:fldChar w:fldCharType="separate"/>
                          </w:r>
                          <w:r>
                            <w:t>148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282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OZRm0zAgAAZQQAAA4AAAAAAAAAAQAgAAAAHwEAAGRycy9lMm9Eb2MueG1sUEsF&#10;BgAAAAAGAAYAWQEAAMQFAAAAAA==&#10;">
              <v:fill on="f" focussize="0,0"/>
              <v:stroke on="f" weight="0.5pt"/>
              <v:imagedata o:title=""/>
              <o:lock v:ext="edit" aspectratio="f"/>
              <v:textbox inset="0mm,0mm,0mm,0mm" style="mso-fit-shape-to-text:t;">
                <w:txbxContent>
                  <w:p w14:paraId="301045DD">
                    <w:pPr>
                      <w:pStyle w:val="2"/>
                    </w:pPr>
                    <w:r>
                      <w:fldChar w:fldCharType="begin"/>
                    </w:r>
                    <w:r>
                      <w:instrText xml:space="preserve"> PAGE  \* MERGEFORMAT </w:instrText>
                    </w:r>
                    <w:r>
                      <w:fldChar w:fldCharType="separate"/>
                    </w:r>
                    <w:r>
                      <w:t>148</w:t>
                    </w:r>
                    <w:r>
                      <w:fldChar w:fldCharType="end"/>
                    </w:r>
                  </w:p>
                </w:txbxContent>
              </v:textbox>
            </v:shape>
          </w:pict>
        </mc:Fallback>
      </mc:AlternateContent>
    </w:r>
  </w:p>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5482C7">
    <w:pPr>
      <w:spacing w:line="176" w:lineRule="auto"/>
      <w:ind w:left="430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292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3" name="文本框 10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F28B0C">
                          <w:pPr>
                            <w:pStyle w:val="2"/>
                          </w:pPr>
                          <w:r>
                            <w:fldChar w:fldCharType="begin"/>
                          </w:r>
                          <w:r>
                            <w:instrText xml:space="preserve"> PAGE  \* MERGEFORMAT </w:instrText>
                          </w:r>
                          <w:r>
                            <w:fldChar w:fldCharType="separate"/>
                          </w:r>
                          <w:r>
                            <w:t>149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292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YJdjxNAIAAGUEAAAOAAAAAAAAAAEAIAAAAB8BAABkcnMvZTJvRG9jLnhtbFBL&#10;BQYAAAAABgAGAFkBAADFBQAAAAA=&#10;">
              <v:fill on="f" focussize="0,0"/>
              <v:stroke on="f" weight="0.5pt"/>
              <v:imagedata o:title=""/>
              <o:lock v:ext="edit" aspectratio="f"/>
              <v:textbox inset="0mm,0mm,0mm,0mm" style="mso-fit-shape-to-text:t;">
                <w:txbxContent>
                  <w:p w14:paraId="62F28B0C">
                    <w:pPr>
                      <w:pStyle w:val="2"/>
                    </w:pPr>
                    <w:r>
                      <w:fldChar w:fldCharType="begin"/>
                    </w:r>
                    <w:r>
                      <w:instrText xml:space="preserve"> PAGE  \* MERGEFORMAT </w:instrText>
                    </w:r>
                    <w:r>
                      <w:fldChar w:fldCharType="separate"/>
                    </w:r>
                    <w:r>
                      <w:t>149</w:t>
                    </w:r>
                    <w:r>
                      <w:fldChar w:fldCharType="end"/>
                    </w:r>
                  </w:p>
                </w:txbxContent>
              </v:textbox>
            </v:shape>
          </w:pict>
        </mc:Fallback>
      </mc:AlternateContent>
    </w:r>
  </w:p>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8742D9">
    <w:pPr>
      <w:spacing w:line="176" w:lineRule="auto"/>
      <w:ind w:left="430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302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4" name="文本框 10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9861CE">
                          <w:pPr>
                            <w:pStyle w:val="2"/>
                          </w:pPr>
                          <w:r>
                            <w:fldChar w:fldCharType="begin"/>
                          </w:r>
                          <w:r>
                            <w:instrText xml:space="preserve"> PAGE  \* MERGEFORMAT </w:instrText>
                          </w:r>
                          <w:r>
                            <w:fldChar w:fldCharType="separate"/>
                          </w:r>
                          <w:r>
                            <w:t>150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302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sc45Az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sc45AzAgAAZQQAAA4AAAAAAAAAAQAgAAAAHwEAAGRycy9lMm9Eb2MueG1sUEsF&#10;BgAAAAAGAAYAWQEAAMQFAAAAAA==&#10;">
              <v:fill on="f" focussize="0,0"/>
              <v:stroke on="f" weight="0.5pt"/>
              <v:imagedata o:title=""/>
              <o:lock v:ext="edit" aspectratio="f"/>
              <v:textbox inset="0mm,0mm,0mm,0mm" style="mso-fit-shape-to-text:t;">
                <w:txbxContent>
                  <w:p w14:paraId="249861CE">
                    <w:pPr>
                      <w:pStyle w:val="2"/>
                    </w:pPr>
                    <w:r>
                      <w:fldChar w:fldCharType="begin"/>
                    </w:r>
                    <w:r>
                      <w:instrText xml:space="preserve"> PAGE  \* MERGEFORMAT </w:instrText>
                    </w:r>
                    <w:r>
                      <w:fldChar w:fldCharType="separate"/>
                    </w:r>
                    <w:r>
                      <w:t>150</w:t>
                    </w:r>
                    <w:r>
                      <w:fldChar w:fldCharType="end"/>
                    </w:r>
                  </w:p>
                </w:txbxContent>
              </v:textbox>
            </v:shape>
          </w:pict>
        </mc:Fallback>
      </mc:AlternateContent>
    </w:r>
  </w:p>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B2998B">
    <w:pPr>
      <w:spacing w:line="176" w:lineRule="auto"/>
      <w:ind w:left="430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312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E7536D">
                          <w:pPr>
                            <w:pStyle w:val="2"/>
                          </w:pPr>
                          <w:r>
                            <w:fldChar w:fldCharType="begin"/>
                          </w:r>
                          <w:r>
                            <w:instrText xml:space="preserve"> PAGE  \* MERGEFORMAT </w:instrText>
                          </w:r>
                          <w:r>
                            <w:fldChar w:fldCharType="separate"/>
                          </w:r>
                          <w:r>
                            <w:t>151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312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goH0MNAIAAGUEAAAOAAAAAAAAAAEAIAAAAB8BAABkcnMvZTJvRG9jLnhtbFBL&#10;BQYAAAAABgAGAFkBAADFBQAAAAA=&#10;">
              <v:fill on="f" focussize="0,0"/>
              <v:stroke on="f" weight="0.5pt"/>
              <v:imagedata o:title=""/>
              <o:lock v:ext="edit" aspectratio="f"/>
              <v:textbox inset="0mm,0mm,0mm,0mm" style="mso-fit-shape-to-text:t;">
                <w:txbxContent>
                  <w:p w14:paraId="7AE7536D">
                    <w:pPr>
                      <w:pStyle w:val="2"/>
                    </w:pPr>
                    <w:r>
                      <w:fldChar w:fldCharType="begin"/>
                    </w:r>
                    <w:r>
                      <w:instrText xml:space="preserve"> PAGE  \* MERGEFORMAT </w:instrText>
                    </w:r>
                    <w:r>
                      <w:fldChar w:fldCharType="separate"/>
                    </w:r>
                    <w:r>
                      <w:t>151</w:t>
                    </w:r>
                    <w:r>
                      <w:fldChar w:fldCharType="end"/>
                    </w:r>
                  </w:p>
                </w:txbxContent>
              </v:textbox>
            </v:shape>
          </w:pict>
        </mc:Fallback>
      </mc:AlternateContent>
    </w:r>
  </w:p>
</w:ftr>
</file>

<file path=word/footer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FF48C4">
    <w:pPr>
      <w:spacing w:line="176" w:lineRule="auto"/>
      <w:ind w:left="430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323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6" name="文本框 10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52DDE4">
                          <w:pPr>
                            <w:pStyle w:val="2"/>
                          </w:pPr>
                          <w:r>
                            <w:fldChar w:fldCharType="begin"/>
                          </w:r>
                          <w:r>
                            <w:instrText xml:space="preserve"> PAGE  \* MERGEFORMAT </w:instrText>
                          </w:r>
                          <w:r>
                            <w:fldChar w:fldCharType="separate"/>
                          </w:r>
                          <w:r>
                            <w:t>152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323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xir3IzAgAAZQQAAA4AAAAAAAAAAQAgAAAAHwEAAGRycy9lMm9Eb2MueG1sUEsF&#10;BgAAAAAGAAYAWQEAAMQFAAAAAA==&#10;">
              <v:fill on="f" focussize="0,0"/>
              <v:stroke on="f" weight="0.5pt"/>
              <v:imagedata o:title=""/>
              <o:lock v:ext="edit" aspectratio="f"/>
              <v:textbox inset="0mm,0mm,0mm,0mm" style="mso-fit-shape-to-text:t;">
                <w:txbxContent>
                  <w:p w14:paraId="5552DDE4">
                    <w:pPr>
                      <w:pStyle w:val="2"/>
                    </w:pPr>
                    <w:r>
                      <w:fldChar w:fldCharType="begin"/>
                    </w:r>
                    <w:r>
                      <w:instrText xml:space="preserve"> PAGE  \* MERGEFORMAT </w:instrText>
                    </w:r>
                    <w:r>
                      <w:fldChar w:fldCharType="separate"/>
                    </w:r>
                    <w:r>
                      <w:t>152</w:t>
                    </w:r>
                    <w:r>
                      <w:fldChar w:fldCharType="end"/>
                    </w:r>
                  </w:p>
                </w:txbxContent>
              </v:textbox>
            </v:shape>
          </w:pict>
        </mc:Fallback>
      </mc:AlternateContent>
    </w:r>
  </w:p>
</w:ftr>
</file>

<file path=word/footer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27BD76">
    <w:pPr>
      <w:spacing w:line="176" w:lineRule="auto"/>
      <w:ind w:left="430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333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7" name="文本框 10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9CF6C8">
                          <w:pPr>
                            <w:pStyle w:val="2"/>
                          </w:pPr>
                          <w:r>
                            <w:fldChar w:fldCharType="begin"/>
                          </w:r>
                          <w:r>
                            <w:instrText xml:space="preserve"> PAGE  \* MERGEFORMAT </w:instrText>
                          </w:r>
                          <w:r>
                            <w:fldChar w:fldCharType="separate"/>
                          </w:r>
                          <w:r>
                            <w:t>153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333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feMe4zAgAAZQ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feMe4zAgAAZQQAAA4AAAAAAAAAAQAgAAAAHwEAAGRycy9lMm9Eb2MueG1sUEsF&#10;BgAAAAAGAAYAWQEAAMQFAAAAAA==&#10;">
              <v:fill on="f" focussize="0,0"/>
              <v:stroke on="f" weight="0.5pt"/>
              <v:imagedata o:title=""/>
              <o:lock v:ext="edit" aspectratio="f"/>
              <v:textbox inset="0mm,0mm,0mm,0mm" style="mso-fit-shape-to-text:t;">
                <w:txbxContent>
                  <w:p w14:paraId="799CF6C8">
                    <w:pPr>
                      <w:pStyle w:val="2"/>
                    </w:pPr>
                    <w:r>
                      <w:fldChar w:fldCharType="begin"/>
                    </w:r>
                    <w:r>
                      <w:instrText xml:space="preserve"> PAGE  \* MERGEFORMAT </w:instrText>
                    </w:r>
                    <w:r>
                      <w:fldChar w:fldCharType="separate"/>
                    </w:r>
                    <w:r>
                      <w:t>153</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12773D">
    <w:pPr>
      <w:spacing w:line="176" w:lineRule="auto"/>
      <w:ind w:left="451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514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E070AF">
                          <w:pPr>
                            <w:pStyle w:val="2"/>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14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33E070AF">
                    <w:pPr>
                      <w:pStyle w:val="2"/>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er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138A3B">
    <w:pPr>
      <w:spacing w:line="176" w:lineRule="auto"/>
      <w:ind w:left="430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3436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8" name="文本框 10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DF3CFC">
                          <w:pPr>
                            <w:pStyle w:val="2"/>
                          </w:pPr>
                          <w:r>
                            <w:fldChar w:fldCharType="begin"/>
                          </w:r>
                          <w:r>
                            <w:instrText xml:space="preserve"> PAGE  \* MERGEFORMAT </w:instrText>
                          </w:r>
                          <w:r>
                            <w:fldChar w:fldCharType="separate"/>
                          </w:r>
                          <w:r>
                            <w:t>154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343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hHZsDICAABlBAAADgAAAAAAAAABACAAAAAfAQAAZHJzL2Uyb0RvYy54bWxQSwUG&#10;AAAAAAYABgBZAQAAwwUAAAAA&#10;">
              <v:fill on="f" focussize="0,0"/>
              <v:stroke on="f" weight="0.5pt"/>
              <v:imagedata o:title=""/>
              <o:lock v:ext="edit" aspectratio="f"/>
              <v:textbox inset="0mm,0mm,0mm,0mm" style="mso-fit-shape-to-text:t;">
                <w:txbxContent>
                  <w:p w14:paraId="30DF3CFC">
                    <w:pPr>
                      <w:pStyle w:val="2"/>
                    </w:pPr>
                    <w:r>
                      <w:fldChar w:fldCharType="begin"/>
                    </w:r>
                    <w:r>
                      <w:instrText xml:space="preserve"> PAGE  \* MERGEFORMAT </w:instrText>
                    </w:r>
                    <w:r>
                      <w:fldChar w:fldCharType="separate"/>
                    </w:r>
                    <w:r>
                      <w:t>154</w:t>
                    </w:r>
                    <w:r>
                      <w:fldChar w:fldCharType="end"/>
                    </w:r>
                  </w:p>
                </w:txbxContent>
              </v:textbox>
            </v:shape>
          </w:pict>
        </mc:Fallback>
      </mc:AlternateContent>
    </w:r>
  </w:p>
</w:ftr>
</file>

<file path=word/footer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4267A4">
    <w:pPr>
      <w:spacing w:line="176" w:lineRule="auto"/>
      <w:ind w:left="430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3539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9" name="文本框 10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10E355">
                          <w:pPr>
                            <w:pStyle w:val="2"/>
                          </w:pPr>
                          <w:r>
                            <w:fldChar w:fldCharType="begin"/>
                          </w:r>
                          <w:r>
                            <w:instrText xml:space="preserve"> PAGE  \* MERGEFORMAT </w:instrText>
                          </w:r>
                          <w:r>
                            <w:fldChar w:fldCharType="separate"/>
                          </w:r>
                          <w:r>
                            <w:t>155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353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GtRywzAgAAZQ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GtRywzAgAAZQQAAA4AAAAAAAAAAQAgAAAAHwEAAGRycy9lMm9Eb2MueG1sUEsF&#10;BgAAAAAGAAYAWQEAAMQFAAAAAA==&#10;">
              <v:fill on="f" focussize="0,0"/>
              <v:stroke on="f" weight="0.5pt"/>
              <v:imagedata o:title=""/>
              <o:lock v:ext="edit" aspectratio="f"/>
              <v:textbox inset="0mm,0mm,0mm,0mm" style="mso-fit-shape-to-text:t;">
                <w:txbxContent>
                  <w:p w14:paraId="1A10E355">
                    <w:pPr>
                      <w:pStyle w:val="2"/>
                    </w:pPr>
                    <w:r>
                      <w:fldChar w:fldCharType="begin"/>
                    </w:r>
                    <w:r>
                      <w:instrText xml:space="preserve"> PAGE  \* MERGEFORMAT </w:instrText>
                    </w:r>
                    <w:r>
                      <w:fldChar w:fldCharType="separate"/>
                    </w:r>
                    <w:r>
                      <w:t>155</w:t>
                    </w:r>
                    <w:r>
                      <w:fldChar w:fldCharType="end"/>
                    </w:r>
                  </w:p>
                </w:txbxContent>
              </v:textbox>
            </v:shape>
          </w:pict>
        </mc:Fallback>
      </mc:AlternateContent>
    </w:r>
  </w:p>
</w:ftr>
</file>

<file path=word/footer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2065E6">
    <w:pPr>
      <w:spacing w:line="176" w:lineRule="auto"/>
      <w:ind w:left="430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3641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0" name="文本框 1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B755D5">
                          <w:pPr>
                            <w:pStyle w:val="2"/>
                          </w:pPr>
                          <w:r>
                            <w:fldChar w:fldCharType="begin"/>
                          </w:r>
                          <w:r>
                            <w:instrText xml:space="preserve"> PAGE  \* MERGEFORMAT </w:instrText>
                          </w:r>
                          <w:r>
                            <w:fldChar w:fldCharType="separate"/>
                          </w:r>
                          <w:r>
                            <w:t>156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364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jB9lUy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SMH2VTICAABlBAAADgAAAAAAAAABACAAAAAfAQAAZHJzL2Uyb0RvYy54bWxQSwUG&#10;AAAAAAYABgBZAQAAwwUAAAAA&#10;">
              <v:fill on="f" focussize="0,0"/>
              <v:stroke on="f" weight="0.5pt"/>
              <v:imagedata o:title=""/>
              <o:lock v:ext="edit" aspectratio="f"/>
              <v:textbox inset="0mm,0mm,0mm,0mm" style="mso-fit-shape-to-text:t;">
                <w:txbxContent>
                  <w:p w14:paraId="70B755D5">
                    <w:pPr>
                      <w:pStyle w:val="2"/>
                    </w:pPr>
                    <w:r>
                      <w:fldChar w:fldCharType="begin"/>
                    </w:r>
                    <w:r>
                      <w:instrText xml:space="preserve"> PAGE  \* MERGEFORMAT </w:instrText>
                    </w:r>
                    <w:r>
                      <w:fldChar w:fldCharType="separate"/>
                    </w:r>
                    <w:r>
                      <w:t>156</w:t>
                    </w:r>
                    <w:r>
                      <w:fldChar w:fldCharType="end"/>
                    </w:r>
                  </w:p>
                </w:txbxContent>
              </v:textbox>
            </v:shape>
          </w:pict>
        </mc:Fallback>
      </mc:AlternateContent>
    </w:r>
  </w:p>
</w:ftr>
</file>

<file path=word/footer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26C071">
    <w:pPr>
      <w:spacing w:line="176" w:lineRule="auto"/>
      <w:ind w:left="430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374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1" name="文本框 1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6C94DE">
                          <w:pPr>
                            <w:pStyle w:val="2"/>
                          </w:pPr>
                          <w:r>
                            <w:fldChar w:fldCharType="begin"/>
                          </w:r>
                          <w:r>
                            <w:instrText xml:space="preserve"> PAGE  \* MERGEFORMAT </w:instrText>
                          </w:r>
                          <w:r>
                            <w:fldChar w:fldCharType="separate"/>
                          </w:r>
                          <w:r>
                            <w:t>157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374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N9aMkyAgAAZQ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31oyTICAABlBAAADgAAAAAAAAABACAAAAAfAQAAZHJzL2Uyb0RvYy54bWxQSwUG&#10;AAAAAAYABgBZAQAAwwUAAAAA&#10;">
              <v:fill on="f" focussize="0,0"/>
              <v:stroke on="f" weight="0.5pt"/>
              <v:imagedata o:title=""/>
              <o:lock v:ext="edit" aspectratio="f"/>
              <v:textbox inset="0mm,0mm,0mm,0mm" style="mso-fit-shape-to-text:t;">
                <w:txbxContent>
                  <w:p w14:paraId="496C94DE">
                    <w:pPr>
                      <w:pStyle w:val="2"/>
                    </w:pPr>
                    <w:r>
                      <w:fldChar w:fldCharType="begin"/>
                    </w:r>
                    <w:r>
                      <w:instrText xml:space="preserve"> PAGE  \* MERGEFORMAT </w:instrText>
                    </w:r>
                    <w:r>
                      <w:fldChar w:fldCharType="separate"/>
                    </w:r>
                    <w:r>
                      <w:t>157</w:t>
                    </w:r>
                    <w:r>
                      <w:fldChar w:fldCharType="end"/>
                    </w:r>
                  </w:p>
                </w:txbxContent>
              </v:textbox>
            </v:shape>
          </w:pict>
        </mc:Fallback>
      </mc:AlternateContent>
    </w:r>
  </w:p>
</w:ftr>
</file>

<file path=word/footer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D353C9">
    <w:pPr>
      <w:spacing w:line="176" w:lineRule="auto"/>
      <w:ind w:left="430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384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2" name="文本框 1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CD8EF1">
                          <w:pPr>
                            <w:pStyle w:val="2"/>
                          </w:pPr>
                          <w:r>
                            <w:fldChar w:fldCharType="begin"/>
                          </w:r>
                          <w:r>
                            <w:instrText xml:space="preserve"> PAGE  \* MERGEFORMAT </w:instrText>
                          </w:r>
                          <w:r>
                            <w:fldChar w:fldCharType="separate"/>
                          </w:r>
                          <w:r>
                            <w:t>158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384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urcz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urczAgAAZQQAAA4AAAAAAAAAAQAgAAAAHwEAAGRycy9lMm9Eb2MueG1sUEsF&#10;BgAAAAAGAAYAWQEAAMQFAAAAAA==&#10;">
              <v:fill on="f" focussize="0,0"/>
              <v:stroke on="f" weight="0.5pt"/>
              <v:imagedata o:title=""/>
              <o:lock v:ext="edit" aspectratio="f"/>
              <v:textbox inset="0mm,0mm,0mm,0mm" style="mso-fit-shape-to-text:t;">
                <w:txbxContent>
                  <w:p w14:paraId="0CCD8EF1">
                    <w:pPr>
                      <w:pStyle w:val="2"/>
                    </w:pPr>
                    <w:r>
                      <w:fldChar w:fldCharType="begin"/>
                    </w:r>
                    <w:r>
                      <w:instrText xml:space="preserve"> PAGE  \* MERGEFORMAT </w:instrText>
                    </w:r>
                    <w:r>
                      <w:fldChar w:fldCharType="separate"/>
                    </w:r>
                    <w:r>
                      <w:t>158</w:t>
                    </w:r>
                    <w:r>
                      <w:fldChar w:fldCharType="end"/>
                    </w:r>
                  </w:p>
                </w:txbxContent>
              </v:textbox>
            </v:shape>
          </w:pict>
        </mc:Fallback>
      </mc:AlternateContent>
    </w:r>
  </w:p>
</w:ftr>
</file>

<file path=word/footer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D17E9D">
    <w:pPr>
      <w:spacing w:line="176" w:lineRule="auto"/>
      <w:ind w:left="430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394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3" name="文本框 1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030A09">
                          <w:pPr>
                            <w:pStyle w:val="2"/>
                          </w:pPr>
                          <w:r>
                            <w:fldChar w:fldCharType="begin"/>
                          </w:r>
                          <w:r>
                            <w:instrText xml:space="preserve"> PAGE  \* MERGEFORMAT </w:instrText>
                          </w:r>
                          <w:r>
                            <w:fldChar w:fldCharType="separate"/>
                          </w:r>
                          <w:r>
                            <w:t>159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394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DJCsz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QDJCszAgAAZQQAAA4AAAAAAAAAAQAgAAAAHwEAAGRycy9lMm9Eb2MueG1sUEsF&#10;BgAAAAAGAAYAWQEAAMQFAAAAAA==&#10;">
              <v:fill on="f" focussize="0,0"/>
              <v:stroke on="f" weight="0.5pt"/>
              <v:imagedata o:title=""/>
              <o:lock v:ext="edit" aspectratio="f"/>
              <v:textbox inset="0mm,0mm,0mm,0mm" style="mso-fit-shape-to-text:t;">
                <w:txbxContent>
                  <w:p w14:paraId="14030A09">
                    <w:pPr>
                      <w:pStyle w:val="2"/>
                    </w:pPr>
                    <w:r>
                      <w:fldChar w:fldCharType="begin"/>
                    </w:r>
                    <w:r>
                      <w:instrText xml:space="preserve"> PAGE  \* MERGEFORMAT </w:instrText>
                    </w:r>
                    <w:r>
                      <w:fldChar w:fldCharType="separate"/>
                    </w:r>
                    <w:r>
                      <w:t>159</w:t>
                    </w:r>
                    <w:r>
                      <w:fldChar w:fldCharType="end"/>
                    </w:r>
                  </w:p>
                </w:txbxContent>
              </v:textbox>
            </v:shape>
          </w:pict>
        </mc:Fallback>
      </mc:AlternateContent>
    </w:r>
  </w:p>
</w:ftr>
</file>

<file path=word/footer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A3B1C0">
    <w:pPr>
      <w:spacing w:line="176" w:lineRule="auto"/>
      <w:ind w:left="430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405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4" name="文本框 1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FE30DC">
                          <w:pPr>
                            <w:pStyle w:val="2"/>
                          </w:pPr>
                          <w:r>
                            <w:fldChar w:fldCharType="begin"/>
                          </w:r>
                          <w:r>
                            <w:instrText xml:space="preserve"> PAGE  \* MERGEFORMAT </w:instrText>
                          </w:r>
                          <w:r>
                            <w:fldChar w:fldCharType="separate"/>
                          </w:r>
                          <w:r>
                            <w:t>160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405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c6H0o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nOh9KNAIAAGUEAAAOAAAAAAAAAAEAIAAAAB8BAABkcnMvZTJvRG9jLnhtbFBL&#10;BQYAAAAABgAGAFkBAADFBQAAAAA=&#10;">
              <v:fill on="f" focussize="0,0"/>
              <v:stroke on="f" weight="0.5pt"/>
              <v:imagedata o:title=""/>
              <o:lock v:ext="edit" aspectratio="f"/>
              <v:textbox inset="0mm,0mm,0mm,0mm" style="mso-fit-shape-to-text:t;">
                <w:txbxContent>
                  <w:p w14:paraId="12FE30DC">
                    <w:pPr>
                      <w:pStyle w:val="2"/>
                    </w:pPr>
                    <w:r>
                      <w:fldChar w:fldCharType="begin"/>
                    </w:r>
                    <w:r>
                      <w:instrText xml:space="preserve"> PAGE  \* MERGEFORMAT </w:instrText>
                    </w:r>
                    <w:r>
                      <w:fldChar w:fldCharType="separate"/>
                    </w:r>
                    <w:r>
                      <w:t>160</w:t>
                    </w:r>
                    <w:r>
                      <w:fldChar w:fldCharType="end"/>
                    </w:r>
                  </w:p>
                </w:txbxContent>
              </v:textbox>
            </v:shape>
          </w:pict>
        </mc:Fallback>
      </mc:AlternateContent>
    </w:r>
  </w:p>
</w:ftr>
</file>

<file path=word/footer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F4E686">
    <w:pPr>
      <w:spacing w:line="176" w:lineRule="auto"/>
      <w:ind w:left="430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415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5" name="文本框 1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3D0419">
                          <w:pPr>
                            <w:pStyle w:val="2"/>
                          </w:pPr>
                          <w:r>
                            <w:fldChar w:fldCharType="begin"/>
                          </w:r>
                          <w:r>
                            <w:instrText xml:space="preserve"> PAGE  \* MERGEFORMAT </w:instrText>
                          </w:r>
                          <w:r>
                            <w:fldChar w:fldCharType="separate"/>
                          </w:r>
                          <w:r>
                            <w:t>161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415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yGgdY0AgAAZQ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MhoHWNAIAAGUEAAAOAAAAAAAAAAEAIAAAAB8BAABkcnMvZTJvRG9jLnhtbFBL&#10;BQYAAAAABgAGAFkBAADFBQAAAAA=&#10;">
              <v:fill on="f" focussize="0,0"/>
              <v:stroke on="f" weight="0.5pt"/>
              <v:imagedata o:title=""/>
              <o:lock v:ext="edit" aspectratio="f"/>
              <v:textbox inset="0mm,0mm,0mm,0mm" style="mso-fit-shape-to-text:t;">
                <w:txbxContent>
                  <w:p w14:paraId="743D0419">
                    <w:pPr>
                      <w:pStyle w:val="2"/>
                    </w:pPr>
                    <w:r>
                      <w:fldChar w:fldCharType="begin"/>
                    </w:r>
                    <w:r>
                      <w:instrText xml:space="preserve"> PAGE  \* MERGEFORMAT </w:instrText>
                    </w:r>
                    <w:r>
                      <w:fldChar w:fldCharType="separate"/>
                    </w:r>
                    <w:r>
                      <w:t>161</w:t>
                    </w:r>
                    <w:r>
                      <w:fldChar w:fldCharType="end"/>
                    </w:r>
                  </w:p>
                </w:txbxContent>
              </v:textbox>
            </v:shape>
          </w:pict>
        </mc:Fallback>
      </mc:AlternateContent>
    </w:r>
  </w:p>
</w:ftr>
</file>

<file path=word/footer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976DBE">
    <w:pPr>
      <w:spacing w:line="176" w:lineRule="auto"/>
      <w:ind w:left="430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425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6" name="文本框 1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4621DB">
                          <w:pPr>
                            <w:pStyle w:val="2"/>
                          </w:pPr>
                          <w:r>
                            <w:fldChar w:fldCharType="begin"/>
                          </w:r>
                          <w:r>
                            <w:instrText xml:space="preserve"> PAGE  \* MERGEFORMAT </w:instrText>
                          </w:r>
                          <w:r>
                            <w:fldChar w:fldCharType="separate"/>
                          </w:r>
                          <w:r>
                            <w:t>162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425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BEU6gzAgAAZ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BEU6gzAgAAZQQAAA4AAAAAAAAAAQAgAAAAHwEAAGRycy9lMm9Eb2MueG1sUEsF&#10;BgAAAAAGAAYAWQEAAMQFAAAAAA==&#10;">
              <v:fill on="f" focussize="0,0"/>
              <v:stroke on="f" weight="0.5pt"/>
              <v:imagedata o:title=""/>
              <o:lock v:ext="edit" aspectratio="f"/>
              <v:textbox inset="0mm,0mm,0mm,0mm" style="mso-fit-shape-to-text:t;">
                <w:txbxContent>
                  <w:p w14:paraId="294621DB">
                    <w:pPr>
                      <w:pStyle w:val="2"/>
                    </w:pPr>
                    <w:r>
                      <w:fldChar w:fldCharType="begin"/>
                    </w:r>
                    <w:r>
                      <w:instrText xml:space="preserve"> PAGE  \* MERGEFORMAT </w:instrText>
                    </w:r>
                    <w:r>
                      <w:fldChar w:fldCharType="separate"/>
                    </w:r>
                    <w:r>
                      <w:t>162</w:t>
                    </w:r>
                    <w:r>
                      <w:fldChar w:fldCharType="end"/>
                    </w:r>
                  </w:p>
                </w:txbxContent>
              </v:textbox>
            </v:shape>
          </w:pict>
        </mc:Fallback>
      </mc:AlternateContent>
    </w:r>
  </w:p>
</w:ftr>
</file>

<file path=word/footer9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DC9C04">
    <w:pPr>
      <w:spacing w:line="176" w:lineRule="auto"/>
      <w:ind w:left="430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8435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7" name="文本框 1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C58D8F">
                          <w:pPr>
                            <w:pStyle w:val="2"/>
                          </w:pPr>
                          <w:r>
                            <w:fldChar w:fldCharType="begin"/>
                          </w:r>
                          <w:r>
                            <w:instrText xml:space="preserve"> PAGE  \* MERGEFORMAT </w:instrText>
                          </w:r>
                          <w:r>
                            <w:fldChar w:fldCharType="separate"/>
                          </w:r>
                          <w:r>
                            <w:t>163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435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v4zTQ0AgAAZQ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b+M00NAIAAGUEAAAOAAAAAAAAAAEAIAAAAB8BAABkcnMvZTJvRG9jLnhtbFBL&#10;BQYAAAAABgAGAFkBAADFBQAAAAA=&#10;">
              <v:fill on="f" focussize="0,0"/>
              <v:stroke on="f" weight="0.5pt"/>
              <v:imagedata o:title=""/>
              <o:lock v:ext="edit" aspectratio="f"/>
              <v:textbox inset="0mm,0mm,0mm,0mm" style="mso-fit-shape-to-text:t;">
                <w:txbxContent>
                  <w:p w14:paraId="1BC58D8F">
                    <w:pPr>
                      <w:pStyle w:val="2"/>
                    </w:pPr>
                    <w:r>
                      <w:fldChar w:fldCharType="begin"/>
                    </w:r>
                    <w:r>
                      <w:instrText xml:space="preserve"> PAGE  \* MERGEFORMAT </w:instrText>
                    </w:r>
                    <w:r>
                      <w:fldChar w:fldCharType="separate"/>
                    </w:r>
                    <w:r>
                      <w:t>163</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F425A5">
    <w:pPr>
      <w:spacing w:before="48" w:line="219" w:lineRule="auto"/>
      <w:ind w:left="4518"/>
      <w:rPr>
        <w:rFonts w:ascii="宋体" w:hAnsi="宋体" w:eastAsia="宋体" w:cs="宋体"/>
        <w:sz w:val="18"/>
        <w:szCs w:val="18"/>
      </w:rPr>
    </w:pPr>
    <w:r>
      <w:pict>
        <v:shape id="_x0000_s2049" o:spid="_x0000_s2049" style="position:absolute;left:0pt;margin-left:89.85pt;margin-top:56.2pt;height:0.5pt;width:441pt;mso-position-horizontal-relative:page;mso-position-vertical-relative:page;z-index:251659264;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E16DAE">
    <w:pPr>
      <w:spacing w:before="48" w:line="219" w:lineRule="auto"/>
      <w:ind w:left="4620"/>
      <w:rPr>
        <w:rFonts w:ascii="宋体" w:hAnsi="宋体" w:eastAsia="宋体" w:cs="宋体"/>
        <w:sz w:val="18"/>
        <w:szCs w:val="18"/>
      </w:rPr>
    </w:pPr>
    <w:r>
      <w:pict>
        <v:shape id="_x0000_s2066" o:spid="_x0000_s2066" style="position:absolute;left:0pt;margin-left:89.85pt;margin-top:56.2pt;height:0.5pt;width:441pt;mso-position-horizontal-relative:page;mso-position-vertical-relative:page;z-index:251667456;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10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A56AC2">
    <w:pPr>
      <w:spacing w:before="48" w:line="219" w:lineRule="auto"/>
      <w:ind w:left="4660"/>
      <w:rPr>
        <w:rFonts w:ascii="宋体" w:hAnsi="宋体" w:eastAsia="宋体" w:cs="宋体"/>
        <w:sz w:val="18"/>
        <w:szCs w:val="18"/>
      </w:rPr>
    </w:pPr>
    <w:r>
      <w:pict>
        <v:shape id="_x0000_s2161" o:spid="_x0000_s2161" style="position:absolute;left:0pt;margin-left:89.85pt;margin-top:56.2pt;height:0.5pt;width:441pt;mso-position-horizontal-relative:page;mso-position-vertical-relative:page;z-index:251706368;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10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CA8392">
    <w:pPr>
      <w:spacing w:before="48" w:line="219" w:lineRule="auto"/>
      <w:ind w:left="4518"/>
      <w:rPr>
        <w:rFonts w:ascii="宋体" w:hAnsi="宋体" w:eastAsia="宋体" w:cs="宋体"/>
        <w:sz w:val="18"/>
        <w:szCs w:val="18"/>
      </w:rPr>
    </w:pPr>
    <w:r>
      <w:pict>
        <v:shape id="_x0000_s2162" o:spid="_x0000_s2162" style="position:absolute;left:0pt;margin-left:89.85pt;margin-top:56.2pt;height:0.5pt;width:441pt;mso-position-horizontal-relative:page;mso-position-vertical-relative:page;z-index:251659264;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10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0DAEA3">
    <w:pPr>
      <w:spacing w:before="48" w:line="219" w:lineRule="auto"/>
      <w:ind w:left="4660"/>
      <w:rPr>
        <w:rFonts w:ascii="宋体" w:hAnsi="宋体" w:eastAsia="宋体" w:cs="宋体"/>
        <w:sz w:val="18"/>
        <w:szCs w:val="18"/>
      </w:rPr>
    </w:pPr>
    <w:r>
      <w:pict>
        <v:shape id="_x0000_s2163" o:spid="_x0000_s2163" style="position:absolute;left:0pt;margin-left:89.85pt;margin-top:56.2pt;height:0.5pt;width:441pt;mso-position-horizontal-relative:page;mso-position-vertical-relative:page;z-index:251706368;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10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20F99D">
    <w:pPr>
      <w:spacing w:before="48" w:line="219" w:lineRule="auto"/>
      <w:ind w:left="4518"/>
      <w:rPr>
        <w:rFonts w:ascii="宋体" w:hAnsi="宋体" w:eastAsia="宋体" w:cs="宋体"/>
        <w:sz w:val="18"/>
        <w:szCs w:val="18"/>
      </w:rPr>
    </w:pPr>
    <w:r>
      <w:pict>
        <v:shape id="_x0000_s2164" o:spid="_x0000_s2164" style="position:absolute;left:0pt;margin-left:89.85pt;margin-top:56.2pt;height:0.5pt;width:441pt;mso-position-horizontal-relative:page;mso-position-vertical-relative:page;z-index:251659264;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10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FA4F11">
    <w:pPr>
      <w:spacing w:before="48" w:line="219" w:lineRule="auto"/>
      <w:ind w:left="4899"/>
      <w:rPr>
        <w:rFonts w:ascii="宋体" w:hAnsi="宋体" w:eastAsia="宋体" w:cs="宋体"/>
        <w:sz w:val="18"/>
        <w:szCs w:val="18"/>
      </w:rPr>
    </w:pPr>
    <w:r>
      <w:pict>
        <v:shape id="_x0000_s2165" o:spid="_x0000_s2165" style="position:absolute;left:0pt;margin-left:89.85pt;margin-top:56.2pt;height:0.5pt;width:441pt;mso-position-horizontal-relative:page;mso-position-vertical-relative:page;z-index:251709440;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10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5B5677">
    <w:pPr>
      <w:spacing w:before="48" w:line="219" w:lineRule="auto"/>
      <w:ind w:left="4518"/>
      <w:rPr>
        <w:rFonts w:ascii="宋体" w:hAnsi="宋体" w:eastAsia="宋体" w:cs="宋体"/>
        <w:sz w:val="18"/>
        <w:szCs w:val="18"/>
      </w:rPr>
    </w:pPr>
    <w:r>
      <w:pict>
        <v:shape id="_x0000_s2166" o:spid="_x0000_s2166" style="position:absolute;left:0pt;margin-left:89.85pt;margin-top:56.2pt;height:0.5pt;width:441pt;mso-position-horizontal-relative:page;mso-position-vertical-relative:page;z-index:251710464;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10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830CA">
    <w:pPr>
      <w:spacing w:before="48" w:line="219" w:lineRule="auto"/>
      <w:ind w:left="4518"/>
      <w:rPr>
        <w:rFonts w:ascii="宋体" w:hAnsi="宋体" w:eastAsia="宋体" w:cs="宋体"/>
        <w:sz w:val="18"/>
        <w:szCs w:val="18"/>
      </w:rPr>
    </w:pPr>
    <w:r>
      <w:pict>
        <v:shape id="_x0000_s2167" o:spid="_x0000_s2167" style="position:absolute;left:0pt;margin-left:89.85pt;margin-top:56.2pt;height:0.5pt;width:441pt;mso-position-horizontal-relative:page;mso-position-vertical-relative:page;z-index:251711488;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10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DAB8B8">
    <w:pPr>
      <w:spacing w:before="48" w:line="219" w:lineRule="auto"/>
      <w:ind w:left="4518"/>
      <w:rPr>
        <w:rFonts w:ascii="宋体" w:hAnsi="宋体" w:eastAsia="宋体" w:cs="宋体"/>
        <w:sz w:val="18"/>
        <w:szCs w:val="18"/>
      </w:rPr>
    </w:pPr>
    <w:r>
      <w:pict>
        <v:shape id="_x0000_s2168" o:spid="_x0000_s2168" style="position:absolute;left:0pt;margin-left:89.85pt;margin-top:56.2pt;height:0.5pt;width:441pt;mso-position-horizontal-relative:page;mso-position-vertical-relative:page;z-index:251712512;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10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4BEEF0">
    <w:pPr>
      <w:spacing w:before="48" w:line="219" w:lineRule="auto"/>
      <w:ind w:left="4518"/>
      <w:rPr>
        <w:rFonts w:ascii="宋体" w:hAnsi="宋体" w:eastAsia="宋体" w:cs="宋体"/>
        <w:sz w:val="18"/>
        <w:szCs w:val="18"/>
      </w:rPr>
    </w:pPr>
    <w:r>
      <w:pict>
        <v:shape id="_x0000_s2169" o:spid="_x0000_s2169" style="position:absolute;left:0pt;margin-left:89.85pt;margin-top:56.2pt;height:0.5pt;width:441pt;mso-position-horizontal-relative:page;mso-position-vertical-relative:page;z-index:251713536;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10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EE9DA5">
    <w:pPr>
      <w:spacing w:before="48" w:line="219" w:lineRule="auto"/>
      <w:ind w:left="4518"/>
      <w:rPr>
        <w:rFonts w:ascii="宋体" w:hAnsi="宋体" w:eastAsia="宋体" w:cs="宋体"/>
        <w:sz w:val="18"/>
        <w:szCs w:val="18"/>
      </w:rPr>
    </w:pPr>
    <w:r>
      <w:pict>
        <v:shape id="_x0000_s2170" o:spid="_x0000_s2170" style="position:absolute;left:0pt;margin-left:89.85pt;margin-top:56.2pt;height:0.5pt;width:441pt;mso-position-horizontal-relative:page;mso-position-vertical-relative:page;z-index:251659264;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2AB057">
    <w:pPr>
      <w:spacing w:before="48" w:line="219" w:lineRule="auto"/>
      <w:ind w:left="4518"/>
      <w:rPr>
        <w:rFonts w:ascii="宋体" w:hAnsi="宋体" w:eastAsia="宋体" w:cs="宋体"/>
        <w:sz w:val="18"/>
        <w:szCs w:val="18"/>
      </w:rPr>
    </w:pPr>
    <w:r>
      <w:pict>
        <v:shape id="_x0000_s2067" o:spid="_x0000_s2067" style="position:absolute;left:0pt;margin-left:89.85pt;margin-top:56.2pt;height:0.5pt;width:441pt;mso-position-horizontal-relative:page;mso-position-vertical-relative:page;z-index:251668480;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1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931F5B">
    <w:pPr>
      <w:spacing w:before="48" w:line="219" w:lineRule="auto"/>
      <w:ind w:left="4518"/>
      <w:rPr>
        <w:rFonts w:ascii="宋体" w:hAnsi="宋体" w:eastAsia="宋体" w:cs="宋体"/>
        <w:sz w:val="18"/>
        <w:szCs w:val="18"/>
      </w:rPr>
    </w:pPr>
    <w:r>
      <w:pict>
        <v:shape id="_x0000_s2171" o:spid="_x0000_s2171" style="position:absolute;left:0pt;margin-left:89.85pt;margin-top:56.2pt;height:0.5pt;width:441pt;mso-position-horizontal-relative:page;mso-position-vertical-relative:page;z-index:251714560;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1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053EE5">
    <w:pPr>
      <w:spacing w:before="48" w:line="219" w:lineRule="auto"/>
      <w:ind w:left="4518"/>
      <w:rPr>
        <w:rFonts w:ascii="宋体" w:hAnsi="宋体" w:eastAsia="宋体" w:cs="宋体"/>
        <w:sz w:val="18"/>
        <w:szCs w:val="18"/>
      </w:rPr>
    </w:pPr>
    <w:r>
      <w:pict>
        <v:shape id="_x0000_s2172" o:spid="_x0000_s2172" style="position:absolute;left:0pt;margin-left:89.85pt;margin-top:56.2pt;height:0.5pt;width:441pt;mso-position-horizontal-relative:page;mso-position-vertical-relative:page;z-index:251715584;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1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A92FBC">
    <w:pPr>
      <w:spacing w:before="48" w:line="219" w:lineRule="auto"/>
      <w:ind w:left="4518"/>
      <w:rPr>
        <w:rFonts w:ascii="宋体" w:hAnsi="宋体" w:eastAsia="宋体" w:cs="宋体"/>
        <w:sz w:val="18"/>
        <w:szCs w:val="18"/>
      </w:rPr>
    </w:pPr>
    <w:r>
      <w:pict>
        <v:shape id="_x0000_s2173" o:spid="_x0000_s2173" style="position:absolute;left:0pt;margin-left:89.85pt;margin-top:56.2pt;height:0.5pt;width:441pt;mso-position-horizontal-relative:page;mso-position-vertical-relative:page;z-index:251716608;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1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EB4E35">
    <w:pPr>
      <w:spacing w:before="48" w:line="219" w:lineRule="auto"/>
      <w:ind w:left="4518"/>
      <w:rPr>
        <w:rFonts w:ascii="宋体" w:hAnsi="宋体" w:eastAsia="宋体" w:cs="宋体"/>
        <w:sz w:val="18"/>
        <w:szCs w:val="18"/>
      </w:rPr>
    </w:pPr>
    <w:r>
      <w:pict>
        <v:shape id="_x0000_s2174" o:spid="_x0000_s2174" style="position:absolute;left:0pt;margin-left:89.85pt;margin-top:56.2pt;height:0.5pt;width:441pt;mso-position-horizontal-relative:page;mso-position-vertical-relative:page;z-index:251717632;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1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6C0F12">
    <w:pPr>
      <w:spacing w:before="48" w:line="219" w:lineRule="auto"/>
      <w:ind w:left="4518"/>
      <w:rPr>
        <w:rFonts w:ascii="宋体" w:hAnsi="宋体" w:eastAsia="宋体" w:cs="宋体"/>
        <w:sz w:val="18"/>
        <w:szCs w:val="18"/>
      </w:rPr>
    </w:pPr>
    <w:r>
      <w:pict>
        <v:shape id="_x0000_s2175" o:spid="_x0000_s2175" style="position:absolute;left:0pt;margin-left:89.85pt;margin-top:56.2pt;height:0.5pt;width:441pt;mso-position-horizontal-relative:page;mso-position-vertical-relative:page;z-index:251718656;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1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42234D">
    <w:pPr>
      <w:spacing w:before="48" w:line="219" w:lineRule="auto"/>
      <w:ind w:left="4518"/>
      <w:rPr>
        <w:rFonts w:ascii="宋体" w:hAnsi="宋体" w:eastAsia="宋体" w:cs="宋体"/>
        <w:sz w:val="18"/>
        <w:szCs w:val="18"/>
      </w:rPr>
    </w:pPr>
    <w:r>
      <w:pict>
        <v:shape id="_x0000_s2176" o:spid="_x0000_s2176" style="position:absolute;left:0pt;margin-left:89.85pt;margin-top:56.2pt;height:0.5pt;width:441pt;mso-position-horizontal-relative:page;mso-position-vertical-relative:page;z-index:251659264;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1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7F83B4">
    <w:pPr>
      <w:spacing w:before="48" w:line="219" w:lineRule="auto"/>
      <w:ind w:left="4518"/>
      <w:rPr>
        <w:rFonts w:ascii="宋体" w:hAnsi="宋体" w:eastAsia="宋体" w:cs="宋体"/>
        <w:sz w:val="18"/>
        <w:szCs w:val="18"/>
      </w:rPr>
    </w:pPr>
    <w:r>
      <w:pict>
        <v:shape id="_x0000_s2177" o:spid="_x0000_s2177" style="position:absolute;left:0pt;margin-left:89.85pt;margin-top:56.2pt;height:0.5pt;width:441pt;mso-position-horizontal-relative:page;mso-position-vertical-relative:page;z-index:251719680;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1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B223EB">
    <w:pPr>
      <w:spacing w:before="48" w:line="219" w:lineRule="auto"/>
      <w:ind w:left="4518"/>
      <w:rPr>
        <w:rFonts w:ascii="宋体" w:hAnsi="宋体" w:eastAsia="宋体" w:cs="宋体"/>
        <w:sz w:val="18"/>
        <w:szCs w:val="18"/>
      </w:rPr>
    </w:pPr>
    <w:r>
      <w:pict>
        <v:shape id="_x0000_s2178" o:spid="_x0000_s2178" style="position:absolute;left:0pt;margin-left:89.85pt;margin-top:56.2pt;height:0.5pt;width:441pt;mso-position-horizontal-relative:page;mso-position-vertical-relative:page;z-index:251720704;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1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87793F">
    <w:pPr>
      <w:spacing w:before="48" w:line="219" w:lineRule="auto"/>
      <w:ind w:left="4518"/>
      <w:rPr>
        <w:rFonts w:ascii="宋体" w:hAnsi="宋体" w:eastAsia="宋体" w:cs="宋体"/>
        <w:sz w:val="18"/>
        <w:szCs w:val="18"/>
      </w:rPr>
    </w:pPr>
    <w:r>
      <w:pict>
        <v:shape id="_x0000_s2179" o:spid="_x0000_s2179" style="position:absolute;left:0pt;margin-left:89.85pt;margin-top:56.2pt;height:0.5pt;width:441pt;mso-position-horizontal-relative:page;mso-position-vertical-relative:page;z-index:251721728;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1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0ACE06">
    <w:pPr>
      <w:spacing w:before="48" w:line="219" w:lineRule="auto"/>
      <w:ind w:left="4660"/>
      <w:rPr>
        <w:rFonts w:ascii="宋体" w:hAnsi="宋体" w:eastAsia="宋体" w:cs="宋体"/>
        <w:sz w:val="18"/>
        <w:szCs w:val="18"/>
      </w:rPr>
    </w:pPr>
    <w:r>
      <w:pict>
        <v:shape id="_x0000_s2180" o:spid="_x0000_s2180" style="position:absolute;left:0pt;margin-left:89.85pt;margin-top:56.2pt;height:0.5pt;width:441pt;mso-position-horizontal-relative:page;mso-position-vertical-relative:page;z-index:251722752;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D97864">
    <w:pPr>
      <w:spacing w:before="48" w:line="219" w:lineRule="auto"/>
      <w:ind w:left="4518"/>
      <w:rPr>
        <w:rFonts w:ascii="宋体" w:hAnsi="宋体" w:eastAsia="宋体" w:cs="宋体"/>
        <w:sz w:val="18"/>
        <w:szCs w:val="18"/>
      </w:rPr>
    </w:pPr>
    <w:r>
      <w:pict>
        <v:shape id="_x0000_s2068" o:spid="_x0000_s2068" style="position:absolute;left:0pt;margin-left:89.85pt;margin-top:56.2pt;height:0.5pt;width:441pt;mso-position-horizontal-relative:page;mso-position-vertical-relative:page;z-index:251669504;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1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CB6312">
    <w:pPr>
      <w:spacing w:before="48" w:line="219" w:lineRule="auto"/>
      <w:ind w:left="4518"/>
      <w:rPr>
        <w:rFonts w:ascii="宋体" w:hAnsi="宋体" w:eastAsia="宋体" w:cs="宋体"/>
        <w:sz w:val="18"/>
        <w:szCs w:val="18"/>
      </w:rPr>
    </w:pPr>
    <w:r>
      <w:pict>
        <v:shape id="_x0000_s2181" o:spid="_x0000_s2181" style="position:absolute;left:0pt;margin-left:89.85pt;margin-top:56.2pt;height:0.5pt;width:441pt;mso-position-horizontal-relative:page;mso-position-vertical-relative:page;z-index:251718656;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1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1D3944">
    <w:pPr>
      <w:spacing w:before="48" w:line="219" w:lineRule="auto"/>
      <w:ind w:left="4597"/>
      <w:rPr>
        <w:rFonts w:ascii="宋体" w:hAnsi="宋体" w:eastAsia="宋体" w:cs="宋体"/>
        <w:sz w:val="18"/>
        <w:szCs w:val="18"/>
      </w:rPr>
    </w:pPr>
    <w:r>
      <w:pict>
        <v:shape id="_x0000_s2182" o:spid="_x0000_s2182" style="position:absolute;left:0pt;margin-left:89.85pt;margin-top:56.2pt;height:0.5pt;width:441pt;mso-position-horizontal-relative:page;mso-position-vertical-relative:page;z-index:251723776;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1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F735E9">
    <w:pPr>
      <w:spacing w:before="48" w:line="219" w:lineRule="auto"/>
      <w:ind w:left="4518"/>
      <w:rPr>
        <w:rFonts w:ascii="宋体" w:hAnsi="宋体" w:eastAsia="宋体" w:cs="宋体"/>
        <w:sz w:val="18"/>
        <w:szCs w:val="18"/>
      </w:rPr>
    </w:pPr>
    <w:r>
      <w:pict>
        <v:shape id="_x0000_s2183" o:spid="_x0000_s2183" style="position:absolute;left:0pt;margin-left:89.85pt;margin-top:56.2pt;height:0.5pt;width:441pt;mso-position-horizontal-relative:page;mso-position-vertical-relative:page;z-index:251724800;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1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CC660E">
    <w:pPr>
      <w:spacing w:before="48" w:line="219" w:lineRule="auto"/>
      <w:ind w:left="4518"/>
      <w:rPr>
        <w:rFonts w:ascii="宋体" w:hAnsi="宋体" w:eastAsia="宋体" w:cs="宋体"/>
        <w:sz w:val="18"/>
        <w:szCs w:val="18"/>
      </w:rPr>
    </w:pPr>
    <w:r>
      <w:pict>
        <v:shape id="_x0000_s2184" o:spid="_x0000_s2184" style="position:absolute;left:0pt;margin-left:89.85pt;margin-top:56.2pt;height:0.5pt;width:441pt;mso-position-horizontal-relative:page;mso-position-vertical-relative:page;z-index:251725824;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1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00695">
    <w:pPr>
      <w:spacing w:before="48" w:line="219" w:lineRule="auto"/>
      <w:ind w:left="4518"/>
      <w:rPr>
        <w:rFonts w:ascii="宋体" w:hAnsi="宋体" w:eastAsia="宋体" w:cs="宋体"/>
        <w:sz w:val="18"/>
        <w:szCs w:val="18"/>
      </w:rPr>
    </w:pPr>
    <w:r>
      <w:pict>
        <v:shape id="_x0000_s2185" o:spid="_x0000_s2185" style="position:absolute;left:0pt;margin-left:89.85pt;margin-top:56.2pt;height:0.5pt;width:441pt;mso-position-horizontal-relative:page;mso-position-vertical-relative:page;z-index:251724800;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1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F53DE0">
    <w:pPr>
      <w:spacing w:before="48" w:line="219" w:lineRule="auto"/>
      <w:ind w:left="4518"/>
      <w:rPr>
        <w:rFonts w:ascii="宋体" w:hAnsi="宋体" w:eastAsia="宋体" w:cs="宋体"/>
        <w:sz w:val="18"/>
        <w:szCs w:val="18"/>
      </w:rPr>
    </w:pPr>
    <w:r>
      <w:pict>
        <v:shape id="_x0000_s2186" o:spid="_x0000_s2186" style="position:absolute;left:0pt;margin-left:89.85pt;margin-top:56.2pt;height:0.5pt;width:441pt;mso-position-horizontal-relative:page;mso-position-vertical-relative:page;z-index:251727872;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1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800BEC">
    <w:pPr>
      <w:spacing w:before="48" w:line="219" w:lineRule="auto"/>
      <w:ind w:left="4518"/>
      <w:rPr>
        <w:rFonts w:ascii="宋体" w:hAnsi="宋体" w:eastAsia="宋体" w:cs="宋体"/>
        <w:sz w:val="18"/>
        <w:szCs w:val="18"/>
      </w:rPr>
    </w:pPr>
    <w:r>
      <w:pict>
        <v:shape id="_x0000_s2187" o:spid="_x0000_s2187" style="position:absolute;left:0pt;margin-left:89.85pt;margin-top:56.2pt;height:0.5pt;width:441pt;mso-position-horizontal-relative:page;mso-position-vertical-relative:page;z-index:251728896;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1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EEF476">
    <w:pPr>
      <w:spacing w:before="48" w:line="219" w:lineRule="auto"/>
      <w:ind w:left="4518"/>
      <w:rPr>
        <w:rFonts w:ascii="宋体" w:hAnsi="宋体" w:eastAsia="宋体" w:cs="宋体"/>
        <w:sz w:val="18"/>
        <w:szCs w:val="18"/>
      </w:rPr>
    </w:pPr>
    <w:r>
      <w:pict>
        <v:shape id="_x0000_s2188" o:spid="_x0000_s2188" style="position:absolute;left:0pt;margin-left:89.85pt;margin-top:56.2pt;height:0.5pt;width:441pt;mso-position-horizontal-relative:page;mso-position-vertical-relative:page;z-index:251659264;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1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1EE7A9">
    <w:pPr>
      <w:spacing w:before="48" w:line="219" w:lineRule="auto"/>
      <w:ind w:left="4518"/>
      <w:rPr>
        <w:rFonts w:ascii="宋体" w:hAnsi="宋体" w:eastAsia="宋体" w:cs="宋体"/>
        <w:sz w:val="18"/>
        <w:szCs w:val="18"/>
      </w:rPr>
    </w:pPr>
    <w:r>
      <w:pict>
        <v:shape id="_x0000_s2189" o:spid="_x0000_s2189" style="position:absolute;left:0pt;margin-left:89.85pt;margin-top:56.2pt;height:0.5pt;width:441pt;mso-position-horizontal-relative:page;mso-position-vertical-relative:page;z-index:251675648;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1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5958B1">
    <w:pPr>
      <w:spacing w:before="48" w:line="219" w:lineRule="auto"/>
      <w:ind w:left="4518"/>
      <w:rPr>
        <w:rFonts w:ascii="宋体" w:hAnsi="宋体" w:eastAsia="宋体" w:cs="宋体"/>
        <w:sz w:val="18"/>
        <w:szCs w:val="18"/>
      </w:rPr>
    </w:pPr>
    <w:r>
      <w:pict>
        <v:shape id="_x0000_s2190" o:spid="_x0000_s2190" style="position:absolute;left:0pt;margin-left:89.85pt;margin-top:56.2pt;height:0.5pt;width:441pt;mso-position-horizontal-relative:page;mso-position-vertical-relative:page;z-index:251659264;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B0101">
    <w:pPr>
      <w:spacing w:before="48" w:line="219" w:lineRule="auto"/>
      <w:ind w:left="4518"/>
      <w:rPr>
        <w:rFonts w:ascii="宋体" w:hAnsi="宋体" w:eastAsia="宋体" w:cs="宋体"/>
        <w:sz w:val="18"/>
        <w:szCs w:val="18"/>
      </w:rPr>
    </w:pPr>
    <w:r>
      <w:pict>
        <v:shape id="_x0000_s2069" o:spid="_x0000_s2069" style="position:absolute;left:0pt;margin-left:89.85pt;margin-top:56.2pt;height:0.5pt;width:441pt;mso-position-horizontal-relative:page;mso-position-vertical-relative:page;z-index:251670528;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1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798DE4">
    <w:pPr>
      <w:spacing w:before="48" w:line="219" w:lineRule="auto"/>
      <w:ind w:left="4660"/>
      <w:rPr>
        <w:rFonts w:ascii="宋体" w:hAnsi="宋体" w:eastAsia="宋体" w:cs="宋体"/>
        <w:sz w:val="18"/>
        <w:szCs w:val="18"/>
      </w:rPr>
    </w:pPr>
    <w:r>
      <w:pict>
        <v:shape id="_x0000_s2191" o:spid="_x0000_s2191" style="position:absolute;left:0pt;margin-left:89.85pt;margin-top:56.2pt;height:0.5pt;width:441pt;mso-position-horizontal-relative:page;mso-position-vertical-relative:page;z-index:251706368;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1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89B41D">
    <w:pPr>
      <w:spacing w:before="48" w:line="219" w:lineRule="auto"/>
      <w:ind w:left="4518"/>
      <w:rPr>
        <w:rFonts w:ascii="宋体" w:hAnsi="宋体" w:eastAsia="宋体" w:cs="宋体"/>
        <w:sz w:val="18"/>
        <w:szCs w:val="18"/>
      </w:rPr>
    </w:pPr>
    <w:r>
      <w:pict>
        <v:shape id="_x0000_s2192" o:spid="_x0000_s2192" style="position:absolute;left:0pt;margin-left:89.85pt;margin-top:56.2pt;height:0.5pt;width:441pt;mso-position-horizontal-relative:page;mso-position-vertical-relative:page;z-index:251659264;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1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536136">
    <w:pPr>
      <w:spacing w:before="48" w:line="219" w:lineRule="auto"/>
      <w:ind w:left="4518"/>
      <w:rPr>
        <w:rFonts w:ascii="宋体" w:hAnsi="宋体" w:eastAsia="宋体" w:cs="宋体"/>
        <w:sz w:val="18"/>
        <w:szCs w:val="18"/>
      </w:rPr>
    </w:pPr>
    <w:r>
      <w:pict>
        <v:shape id="_x0000_s2193" o:spid="_x0000_s2193" style="position:absolute;left:0pt;margin-left:89.85pt;margin-top:56.2pt;height:0.5pt;width:441pt;mso-position-horizontal-relative:page;mso-position-vertical-relative:page;z-index:251737088;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1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02A752">
    <w:pPr>
      <w:spacing w:before="48" w:line="219" w:lineRule="auto"/>
      <w:ind w:left="4518"/>
      <w:rPr>
        <w:rFonts w:ascii="宋体" w:hAnsi="宋体" w:eastAsia="宋体" w:cs="宋体"/>
        <w:sz w:val="18"/>
        <w:szCs w:val="18"/>
      </w:rPr>
    </w:pPr>
    <w:r>
      <w:pict>
        <v:shape id="_x0000_s2194" o:spid="_x0000_s2194" style="position:absolute;left:0pt;margin-left:89.85pt;margin-top:56.2pt;height:0.5pt;width:441pt;mso-position-horizontal-relative:page;mso-position-vertical-relative:page;z-index:251659264;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F6AC7E">
    <w:pPr>
      <w:spacing w:before="48" w:line="219" w:lineRule="auto"/>
      <w:ind w:left="4518"/>
      <w:rPr>
        <w:rFonts w:ascii="宋体" w:hAnsi="宋体" w:eastAsia="宋体" w:cs="宋体"/>
        <w:sz w:val="18"/>
        <w:szCs w:val="18"/>
      </w:rPr>
    </w:pPr>
    <w:r>
      <w:pict>
        <v:shape id="_x0000_s2070" o:spid="_x0000_s2070" style="position:absolute;left:0pt;margin-left:89.85pt;margin-top:56.2pt;height:0.5pt;width:441pt;mso-position-horizontal-relative:page;mso-position-vertical-relative:page;z-index:251668480;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011F1B">
    <w:pPr>
      <w:spacing w:before="48" w:line="219" w:lineRule="auto"/>
      <w:ind w:left="4618"/>
      <w:rPr>
        <w:rFonts w:ascii="宋体" w:hAnsi="宋体" w:eastAsia="宋体" w:cs="宋体"/>
        <w:sz w:val="18"/>
        <w:szCs w:val="18"/>
      </w:rPr>
    </w:pPr>
    <w:r>
      <w:pict>
        <v:shape id="_x0000_s2071" o:spid="_x0000_s2071" style="position:absolute;left:0pt;margin-left:89.85pt;margin-top:56.2pt;height:0.5pt;width:441pt;mso-position-horizontal-relative:page;mso-position-vertical-relative:page;z-index:251671552;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A15A61">
    <w:pPr>
      <w:spacing w:before="48" w:line="219" w:lineRule="auto"/>
      <w:ind w:left="4630"/>
      <w:rPr>
        <w:rFonts w:ascii="宋体" w:hAnsi="宋体" w:eastAsia="宋体" w:cs="宋体"/>
        <w:sz w:val="18"/>
        <w:szCs w:val="18"/>
      </w:rPr>
    </w:pPr>
    <w:r>
      <w:pict>
        <v:shape id="_x0000_s2072" o:spid="_x0000_s2072" style="position:absolute;left:0pt;margin-left:89.85pt;margin-top:56.2pt;height:0.5pt;width:441pt;mso-position-horizontal-relative:page;mso-position-vertical-relative:page;z-index:251672576;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9E0898">
    <w:pPr>
      <w:spacing w:before="48" w:line="219" w:lineRule="auto"/>
      <w:ind w:left="4518"/>
      <w:rPr>
        <w:rFonts w:ascii="宋体" w:hAnsi="宋体" w:eastAsia="宋体" w:cs="宋体"/>
        <w:sz w:val="18"/>
        <w:szCs w:val="18"/>
      </w:rPr>
    </w:pPr>
    <w:r>
      <mc:AlternateContent>
        <mc:Choice Requires="wps">
          <w:drawing>
            <wp:anchor distT="0" distB="0" distL="114300" distR="114300" simplePos="0" relativeHeight="251742208" behindDoc="0" locked="0" layoutInCell="0" allowOverlap="1">
              <wp:simplePos x="0" y="0"/>
              <wp:positionH relativeFrom="page">
                <wp:posOffset>1141095</wp:posOffset>
              </wp:positionH>
              <wp:positionV relativeFrom="page">
                <wp:posOffset>713740</wp:posOffset>
              </wp:positionV>
              <wp:extent cx="5600700" cy="6350"/>
              <wp:effectExtent l="0" t="0" r="0" b="0"/>
              <wp:wrapNone/>
              <wp:docPr id="1" name="任意多边形 1"/>
              <wp:cNvGraphicFramePr/>
              <a:graphic xmlns:a="http://schemas.openxmlformats.org/drawingml/2006/main">
                <a:graphicData uri="http://schemas.microsoft.com/office/word/2010/wordprocessingShape">
                  <wps:wsp>
                    <wps:cNvSpPr/>
                    <wps:spPr>
                      <a:xfrm>
                        <a:off x="0" y="0"/>
                        <a:ext cx="5600700" cy="6350"/>
                      </a:xfrm>
                      <a:custGeom>
                        <a:avLst/>
                        <a:gdLst/>
                        <a:ahLst/>
                        <a:cxnLst/>
                        <a:pathLst>
                          <a:path w="8820" h="10">
                            <a:moveTo>
                              <a:pt x="0" y="0"/>
                            </a:moveTo>
                            <a:lnTo>
                              <a:pt x="8819" y="0"/>
                            </a:lnTo>
                            <a:lnTo>
                              <a:pt x="8819" y="9"/>
                            </a:lnTo>
                            <a:lnTo>
                              <a:pt x="0" y="9"/>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9.85pt;margin-top:56.2pt;height:0.5pt;width:441pt;mso-position-horizontal-relative:page;mso-position-vertical-relative:page;z-index:251742208;mso-width-relative:page;mso-height-relative:page;" fillcolor="#000000" filled="t" stroked="f" coordsize="8820,10" o:allowincell="f" o:gfxdata="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enuU92AAAAAwBAAAPAAAAAAAAAAEA&#10;IAAAACIAAABkcnMvZG93bnJldi54bWxQSwECFAAUAAAACACHTuJA86C7Jw8CAAB5BAAADgAAAAAA&#10;AAABACAAAAAnAQAAZHJzL2Uyb0RvYy54bWxQSwUGAAAAAAYABgBZAQAAqAUAAAAA&#10;" path="m0,0l8819,0,8819,9,0,9,0,0xe">
              <v:fill on="t" focussize="0,0"/>
              <v:stroke on="f"/>
              <v:imagedata o:title=""/>
              <o:lock v:ext="edit" aspectratio="f"/>
            </v:shape>
          </w:pict>
        </mc:Fallback>
      </mc:AlternateConten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24E995">
    <w:pPr>
      <w:spacing w:before="48" w:line="219" w:lineRule="auto"/>
      <w:ind w:left="4518"/>
      <w:rPr>
        <w:rFonts w:ascii="宋体" w:hAnsi="宋体" w:eastAsia="宋体" w:cs="宋体"/>
        <w:sz w:val="18"/>
        <w:szCs w:val="18"/>
      </w:rPr>
    </w:pPr>
    <w:r>
      <w:pict>
        <v:shape id="_x0000_s2075" o:spid="_x0000_s2075" style="position:absolute;left:0pt;margin-left:89.85pt;margin-top:56.2pt;height:0.5pt;width:441pt;mso-position-horizontal-relative:page;mso-position-vertical-relative:page;z-index:251659264;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A01B54">
    <w:pPr>
      <w:spacing w:before="48" w:line="219" w:lineRule="auto"/>
      <w:ind w:left="5020"/>
      <w:rPr>
        <w:rFonts w:ascii="宋体" w:hAnsi="宋体" w:eastAsia="宋体" w:cs="宋体"/>
        <w:sz w:val="18"/>
        <w:szCs w:val="18"/>
      </w:rPr>
    </w:pPr>
    <w:r>
      <w:pict>
        <v:shape id="_x0000_s2076" o:spid="_x0000_s2076" style="position:absolute;left:0pt;margin-left:89.85pt;margin-top:56.2pt;height:0.5pt;width:441pt;mso-position-horizontal-relative:page;mso-position-vertical-relative:page;z-index:251673600;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F4FD3D">
    <w:pPr>
      <w:spacing w:before="48" w:line="219" w:lineRule="auto"/>
      <w:ind w:left="4518"/>
      <w:rPr>
        <w:rFonts w:ascii="宋体" w:hAnsi="宋体" w:eastAsia="宋体" w:cs="宋体"/>
        <w:sz w:val="18"/>
        <w:szCs w:val="18"/>
      </w:rPr>
    </w:pPr>
    <w:r>
      <w:pict>
        <v:shape id="_x0000_s2051" o:spid="_x0000_s2051" style="position:absolute;left:0pt;margin-left:89.85pt;margin-top:56.2pt;height:0.5pt;width:441pt;mso-position-horizontal-relative:page;mso-position-vertical-relative:page;z-index:251660288;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C69591">
    <w:pPr>
      <w:spacing w:before="48" w:line="219" w:lineRule="auto"/>
      <w:ind w:left="4518"/>
      <w:rPr>
        <w:rFonts w:ascii="宋体" w:hAnsi="宋体" w:eastAsia="宋体" w:cs="宋体"/>
        <w:sz w:val="18"/>
        <w:szCs w:val="18"/>
      </w:rPr>
    </w:pPr>
    <w:r>
      <w:pict>
        <v:shape id="_x0000_s2077" o:spid="_x0000_s2077" style="position:absolute;left:0pt;margin-left:89.85pt;margin-top:56.2pt;height:0.5pt;width:441pt;mso-position-horizontal-relative:page;mso-position-vertical-relative:page;z-index:251674624;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C849DE">
    <w:pPr>
      <w:spacing w:before="48" w:line="219" w:lineRule="auto"/>
      <w:ind w:left="4518"/>
      <w:rPr>
        <w:rFonts w:ascii="宋体" w:hAnsi="宋体" w:eastAsia="宋体" w:cs="宋体"/>
        <w:sz w:val="18"/>
        <w:szCs w:val="18"/>
      </w:rPr>
    </w:pPr>
    <w:r>
      <w:pict>
        <v:shape id="_x0000_s2078" o:spid="_x0000_s2078" style="position:absolute;left:0pt;margin-left:89.85pt;margin-top:56.2pt;height:0.5pt;width:441pt;mso-position-horizontal-relative:page;mso-position-vertical-relative:page;z-index:251675648;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9E7B87">
    <w:pPr>
      <w:spacing w:before="48" w:line="219" w:lineRule="auto"/>
      <w:ind w:left="4518"/>
      <w:rPr>
        <w:rFonts w:ascii="宋体" w:hAnsi="宋体" w:eastAsia="宋体" w:cs="宋体"/>
        <w:sz w:val="18"/>
        <w:szCs w:val="18"/>
      </w:rPr>
    </w:pPr>
    <w:r>
      <w:pict>
        <v:shape id="_x0000_s2079" o:spid="_x0000_s2079" style="position:absolute;left:0pt;margin-left:89.85pt;margin-top:56.2pt;height:0.5pt;width:441pt;mso-position-horizontal-relative:page;mso-position-vertical-relative:page;z-index:251676672;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4C98F2">
    <w:pPr>
      <w:spacing w:before="48" w:line="219" w:lineRule="auto"/>
      <w:ind w:left="4518"/>
      <w:rPr>
        <w:rFonts w:ascii="宋体" w:hAnsi="宋体" w:eastAsia="宋体" w:cs="宋体"/>
        <w:sz w:val="18"/>
        <w:szCs w:val="18"/>
      </w:rPr>
    </w:pPr>
    <w:r>
      <w:pict>
        <v:shape id="_x0000_s2080" o:spid="_x0000_s2080" style="position:absolute;left:0pt;margin-left:89.85pt;margin-top:56.2pt;height:0.5pt;width:441pt;mso-position-horizontal-relative:page;mso-position-vertical-relative:page;z-index:251675648;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709003">
    <w:pPr>
      <w:spacing w:before="48" w:line="219" w:lineRule="auto"/>
      <w:ind w:left="4518"/>
      <w:rPr>
        <w:rFonts w:ascii="宋体" w:hAnsi="宋体" w:eastAsia="宋体" w:cs="宋体"/>
        <w:sz w:val="18"/>
        <w:szCs w:val="18"/>
      </w:rPr>
    </w:pPr>
    <w:r>
      <w:pict>
        <v:shape id="_x0000_s2081" o:spid="_x0000_s2081" style="position:absolute;left:0pt;margin-left:89.85pt;margin-top:56.2pt;height:0.5pt;width:441pt;mso-position-horizontal-relative:page;mso-position-vertical-relative:page;z-index:251676672;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400D19">
    <w:pPr>
      <w:spacing w:before="48" w:line="219" w:lineRule="auto"/>
      <w:ind w:left="4518"/>
      <w:rPr>
        <w:rFonts w:ascii="宋体" w:hAnsi="宋体" w:eastAsia="宋体" w:cs="宋体"/>
        <w:sz w:val="18"/>
        <w:szCs w:val="18"/>
      </w:rPr>
    </w:pPr>
    <w:r>
      <w:pict>
        <v:shape id="_x0000_s2082" o:spid="_x0000_s2082" style="position:absolute;left:0pt;margin-left:89.85pt;margin-top:56.2pt;height:0.5pt;width:441pt;mso-position-horizontal-relative:page;mso-position-vertical-relative:page;z-index:251669504;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D58E7C">
    <w:pPr>
      <w:spacing w:before="48" w:line="219" w:lineRule="auto"/>
      <w:ind w:left="4518"/>
      <w:rPr>
        <w:rFonts w:ascii="宋体" w:hAnsi="宋体" w:eastAsia="宋体" w:cs="宋体"/>
        <w:sz w:val="18"/>
        <w:szCs w:val="18"/>
      </w:rPr>
    </w:pPr>
    <w:r>
      <w:pict>
        <v:shape id="_x0000_s2083" o:spid="_x0000_s2083" style="position:absolute;left:0pt;margin-left:89.85pt;margin-top:56.2pt;height:0.5pt;width:441pt;mso-position-horizontal-relative:page;mso-position-vertical-relative:page;z-index:251675648;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B9F6EC">
    <w:pPr>
      <w:spacing w:before="48" w:line="219" w:lineRule="auto"/>
      <w:ind w:left="4518"/>
      <w:rPr>
        <w:rFonts w:ascii="宋体" w:hAnsi="宋体" w:eastAsia="宋体" w:cs="宋体"/>
        <w:sz w:val="18"/>
        <w:szCs w:val="18"/>
      </w:rPr>
    </w:pPr>
    <w:r>
      <w:pict>
        <v:shape id="_x0000_s2084" o:spid="_x0000_s2084" style="position:absolute;left:0pt;margin-left:89.85pt;margin-top:56.2pt;height:0.5pt;width:441pt;mso-position-horizontal-relative:page;mso-position-vertical-relative:page;z-index:251678720;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25EB05">
    <w:pPr>
      <w:spacing w:before="48" w:line="219" w:lineRule="auto"/>
      <w:ind w:left="4518"/>
      <w:rPr>
        <w:rFonts w:ascii="宋体" w:hAnsi="宋体" w:eastAsia="宋体" w:cs="宋体"/>
        <w:sz w:val="18"/>
        <w:szCs w:val="18"/>
      </w:rPr>
    </w:pPr>
    <w:r>
      <w:pict>
        <v:shape id="_x0000_s2085" o:spid="_x0000_s2085" style="position:absolute;left:0pt;margin-left:89.85pt;margin-top:56.2pt;height:0.5pt;width:441pt;mso-position-horizontal-relative:page;mso-position-vertical-relative:page;z-index:251674624;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055C4F">
    <w:pPr>
      <w:spacing w:before="48" w:line="219" w:lineRule="auto"/>
      <w:ind w:left="4518"/>
      <w:rPr>
        <w:rFonts w:ascii="宋体" w:hAnsi="宋体" w:eastAsia="宋体" w:cs="宋体"/>
        <w:sz w:val="18"/>
        <w:szCs w:val="18"/>
      </w:rPr>
    </w:pPr>
    <w:r>
      <w:pict>
        <v:shape id="_x0000_s2086" o:spid="_x0000_s2086" style="position:absolute;left:0pt;margin-left:89.85pt;margin-top:56.2pt;height:0.5pt;width:441pt;mso-position-horizontal-relative:page;mso-position-vertical-relative:page;z-index:251669504;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4097F6">
    <w:pPr>
      <w:spacing w:before="48" w:line="219" w:lineRule="auto"/>
      <w:ind w:left="4684"/>
      <w:rPr>
        <w:rFonts w:ascii="宋体" w:hAnsi="宋体" w:eastAsia="宋体" w:cs="宋体"/>
        <w:sz w:val="18"/>
        <w:szCs w:val="18"/>
      </w:rPr>
    </w:pPr>
    <w:r>
      <w:pict>
        <v:shape id="_x0000_s2052" o:spid="_x0000_s2052" style="position:absolute;left:0pt;margin-left:89.85pt;margin-top:56.2pt;height:0.5pt;width:441pt;mso-position-horizontal-relative:page;mso-position-vertical-relative:page;z-index:251661312;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5A9042">
    <w:pPr>
      <w:spacing w:before="48" w:line="219" w:lineRule="auto"/>
      <w:ind w:left="4518"/>
      <w:rPr>
        <w:rFonts w:ascii="宋体" w:hAnsi="宋体" w:eastAsia="宋体" w:cs="宋体"/>
        <w:sz w:val="18"/>
        <w:szCs w:val="18"/>
      </w:rPr>
    </w:pPr>
    <w:r>
      <w:pict>
        <v:shape id="_x0000_s2087" o:spid="_x0000_s2087" style="position:absolute;left:0pt;margin-left:89.85pt;margin-top:56.2pt;height:0.5pt;width:441pt;mso-position-horizontal-relative:page;mso-position-vertical-relative:page;z-index:251668480;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1C1FA7">
    <w:pPr>
      <w:spacing w:before="48" w:line="219" w:lineRule="auto"/>
      <w:ind w:left="4518"/>
      <w:rPr>
        <w:rFonts w:ascii="宋体" w:hAnsi="宋体" w:eastAsia="宋体" w:cs="宋体"/>
        <w:sz w:val="18"/>
        <w:szCs w:val="18"/>
      </w:rPr>
    </w:pPr>
    <w:r>
      <w:pict>
        <v:shape id="_x0000_s2088" o:spid="_x0000_s2088" style="position:absolute;left:0pt;margin-left:89.85pt;margin-top:56.2pt;height:0.5pt;width:441pt;mso-position-horizontal-relative:page;mso-position-vertical-relative:page;z-index:251675648;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F0B82B">
    <w:pPr>
      <w:spacing w:before="48" w:line="219" w:lineRule="auto"/>
      <w:ind w:left="4518"/>
      <w:rPr>
        <w:rFonts w:ascii="宋体" w:hAnsi="宋体" w:eastAsia="宋体" w:cs="宋体"/>
        <w:sz w:val="18"/>
        <w:szCs w:val="18"/>
      </w:rPr>
    </w:pPr>
    <w:r>
      <w:pict>
        <v:shape id="_x0000_s2089" o:spid="_x0000_s2089" style="position:absolute;left:0pt;margin-left:89.85pt;margin-top:56.2pt;height:0.5pt;width:441pt;mso-position-horizontal-relative:page;mso-position-vertical-relative:page;z-index:251679744;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444740">
    <w:pPr>
      <w:spacing w:before="48" w:line="219" w:lineRule="auto"/>
      <w:ind w:left="4518"/>
      <w:rPr>
        <w:rFonts w:ascii="宋体" w:hAnsi="宋体" w:eastAsia="宋体" w:cs="宋体"/>
        <w:sz w:val="18"/>
        <w:szCs w:val="18"/>
      </w:rPr>
    </w:pPr>
    <w:r>
      <w:pict>
        <v:shape id="_x0000_s2090" o:spid="_x0000_s2090" style="position:absolute;left:0pt;margin-left:89.85pt;margin-top:56.2pt;height:0.5pt;width:441pt;mso-position-horizontal-relative:page;mso-position-vertical-relative:page;z-index:251680768;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E53481">
    <w:pPr>
      <w:spacing w:before="48" w:line="219" w:lineRule="auto"/>
      <w:ind w:left="4518"/>
      <w:rPr>
        <w:rFonts w:ascii="宋体" w:hAnsi="宋体" w:eastAsia="宋体" w:cs="宋体"/>
        <w:sz w:val="18"/>
        <w:szCs w:val="18"/>
      </w:rPr>
    </w:pPr>
    <w:r>
      <w:pict>
        <v:shape id="_x0000_s2091" o:spid="_x0000_s2091" style="position:absolute;left:0pt;margin-left:89.85pt;margin-top:56.2pt;height:0.5pt;width:441pt;mso-position-horizontal-relative:page;mso-position-vertical-relative:page;z-index:251668480;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238E3A">
    <w:pPr>
      <w:spacing w:before="48" w:line="219" w:lineRule="auto"/>
      <w:ind w:left="4518"/>
      <w:rPr>
        <w:rFonts w:ascii="宋体" w:hAnsi="宋体" w:eastAsia="宋体" w:cs="宋体"/>
        <w:sz w:val="18"/>
        <w:szCs w:val="18"/>
      </w:rPr>
    </w:pPr>
    <w:r>
      <w:pict>
        <v:shape id="_x0000_s2092" o:spid="_x0000_s2092" style="position:absolute;left:0pt;margin-left:89.85pt;margin-top:56.2pt;height:0.5pt;width:441pt;mso-position-horizontal-relative:page;mso-position-vertical-relative:page;z-index:251675648;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52922A">
    <w:pPr>
      <w:spacing w:before="48" w:line="219" w:lineRule="auto"/>
      <w:ind w:left="4518"/>
      <w:rPr>
        <w:rFonts w:ascii="宋体" w:hAnsi="宋体" w:eastAsia="宋体" w:cs="宋体"/>
        <w:sz w:val="18"/>
        <w:szCs w:val="18"/>
      </w:rPr>
    </w:pPr>
    <w:r>
      <w:pict>
        <v:shape id="_x0000_s2093" o:spid="_x0000_s2093" style="position:absolute;left:0pt;margin-left:89.85pt;margin-top:56.2pt;height:0.5pt;width:441pt;mso-position-horizontal-relative:page;mso-position-vertical-relative:page;z-index:251668480;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7E1D59">
    <w:pPr>
      <w:spacing w:before="48" w:line="219" w:lineRule="auto"/>
      <w:ind w:left="4518"/>
      <w:rPr>
        <w:rFonts w:ascii="宋体" w:hAnsi="宋体" w:eastAsia="宋体" w:cs="宋体"/>
        <w:sz w:val="18"/>
        <w:szCs w:val="18"/>
      </w:rPr>
    </w:pPr>
    <w:r>
      <w:pict>
        <v:shape id="_x0000_s2094" o:spid="_x0000_s2094" style="position:absolute;left:0pt;margin-left:89.85pt;margin-top:56.2pt;height:0.5pt;width:441pt;mso-position-horizontal-relative:page;mso-position-vertical-relative:page;z-index:251676672;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D72FFA">
    <w:pPr>
      <w:spacing w:before="48" w:line="219" w:lineRule="auto"/>
      <w:ind w:left="4518"/>
      <w:rPr>
        <w:rFonts w:ascii="宋体" w:hAnsi="宋体" w:eastAsia="宋体" w:cs="宋体"/>
        <w:sz w:val="18"/>
        <w:szCs w:val="18"/>
      </w:rPr>
    </w:pPr>
    <w:r>
      <w:pict>
        <v:shape id="_x0000_s2095" o:spid="_x0000_s2095" style="position:absolute;left:0pt;margin-left:89.85pt;margin-top:56.2pt;height:0.5pt;width:441pt;mso-position-horizontal-relative:page;mso-position-vertical-relative:page;z-index:251681792;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BBF055">
    <w:pPr>
      <w:spacing w:before="48" w:line="219" w:lineRule="auto"/>
      <w:ind w:left="4518"/>
      <w:rPr>
        <w:rFonts w:ascii="宋体" w:hAnsi="宋体" w:eastAsia="宋体" w:cs="宋体"/>
        <w:sz w:val="18"/>
        <w:szCs w:val="18"/>
      </w:rPr>
    </w:pPr>
    <w:r>
      <w:pict>
        <v:shape id="_x0000_s2096" o:spid="_x0000_s2096" style="position:absolute;left:0pt;margin-left:89.85pt;margin-top:56.2pt;height:0.5pt;width:441pt;mso-position-horizontal-relative:page;mso-position-vertical-relative:page;z-index:251678720;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5BD7A0">
    <w:pPr>
      <w:spacing w:before="48" w:line="219" w:lineRule="auto"/>
      <w:ind w:left="4620"/>
      <w:rPr>
        <w:rFonts w:ascii="宋体" w:hAnsi="宋体" w:eastAsia="宋体" w:cs="宋体"/>
        <w:sz w:val="18"/>
        <w:szCs w:val="18"/>
      </w:rPr>
    </w:pPr>
    <w:r>
      <w:pict>
        <v:shape id="_x0000_s2054" o:spid="_x0000_s2054" style="position:absolute;left:0pt;margin-left:89.85pt;margin-top:56.2pt;height:0.5pt;width:441pt;mso-position-horizontal-relative:page;mso-position-vertical-relative:page;z-index:251662336;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82E2FA">
    <w:pPr>
      <w:spacing w:before="48" w:line="219" w:lineRule="auto"/>
      <w:ind w:left="4518"/>
      <w:rPr>
        <w:rFonts w:ascii="宋体" w:hAnsi="宋体" w:eastAsia="宋体" w:cs="宋体"/>
        <w:sz w:val="18"/>
        <w:szCs w:val="18"/>
      </w:rPr>
    </w:pPr>
    <w:r>
      <w:pict>
        <v:shape id="_x0000_s2097" o:spid="_x0000_s2097" style="position:absolute;left:0pt;margin-left:89.85pt;margin-top:56.2pt;height:0.5pt;width:441pt;mso-position-horizontal-relative:page;mso-position-vertical-relative:page;z-index:251675648;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B9F911">
    <w:pPr>
      <w:spacing w:before="48" w:line="219" w:lineRule="auto"/>
      <w:ind w:left="4518"/>
      <w:rPr>
        <w:rFonts w:ascii="宋体" w:hAnsi="宋体" w:eastAsia="宋体" w:cs="宋体"/>
        <w:sz w:val="18"/>
        <w:szCs w:val="18"/>
      </w:rPr>
    </w:pPr>
    <w:r>
      <w:pict>
        <v:shape id="_x0000_s2098" o:spid="_x0000_s2098" style="position:absolute;left:0pt;margin-left:89.85pt;margin-top:56.2pt;height:0.5pt;width:441pt;mso-position-horizontal-relative:page;mso-position-vertical-relative:page;z-index:251678720;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71046F">
    <w:pPr>
      <w:spacing w:before="48" w:line="219" w:lineRule="auto"/>
      <w:ind w:left="4518"/>
      <w:rPr>
        <w:rFonts w:ascii="宋体" w:hAnsi="宋体" w:eastAsia="宋体" w:cs="宋体"/>
        <w:sz w:val="18"/>
        <w:szCs w:val="18"/>
      </w:rPr>
    </w:pPr>
    <w:r>
      <w:pict>
        <v:shape id="_x0000_s2099" o:spid="_x0000_s2099" style="position:absolute;left:0pt;margin-left:89.85pt;margin-top:56.2pt;height:0.5pt;width:441pt;mso-position-horizontal-relative:page;mso-position-vertical-relative:page;z-index:251668480;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65FFEB">
    <w:pPr>
      <w:spacing w:before="48" w:line="219" w:lineRule="auto"/>
      <w:ind w:left="4518"/>
      <w:rPr>
        <w:rFonts w:ascii="宋体" w:hAnsi="宋体" w:eastAsia="宋体" w:cs="宋体"/>
        <w:sz w:val="18"/>
        <w:szCs w:val="18"/>
      </w:rPr>
    </w:pPr>
    <w:r>
      <w:pict>
        <v:shape id="_x0000_s2100" o:spid="_x0000_s2100" style="position:absolute;left:0pt;margin-left:89.85pt;margin-top:56.2pt;height:0.5pt;width:441pt;mso-position-horizontal-relative:page;mso-position-vertical-relative:page;z-index:251675648;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525268">
    <w:pPr>
      <w:spacing w:before="48" w:line="219" w:lineRule="auto"/>
      <w:ind w:left="4518"/>
      <w:rPr>
        <w:rFonts w:ascii="宋体" w:hAnsi="宋体" w:eastAsia="宋体" w:cs="宋体"/>
        <w:sz w:val="18"/>
        <w:szCs w:val="18"/>
      </w:rPr>
    </w:pPr>
    <w:r>
      <w:pict>
        <v:shape id="_x0000_s2101" o:spid="_x0000_s2101" style="position:absolute;left:0pt;margin-left:89.85pt;margin-top:56.2pt;height:0.5pt;width:441pt;mso-position-horizontal-relative:page;mso-position-vertical-relative:page;z-index:251678720;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5A826E">
    <w:pPr>
      <w:spacing w:before="48" w:line="219" w:lineRule="auto"/>
      <w:ind w:left="4518"/>
      <w:rPr>
        <w:rFonts w:ascii="宋体" w:hAnsi="宋体" w:eastAsia="宋体" w:cs="宋体"/>
        <w:sz w:val="18"/>
        <w:szCs w:val="18"/>
      </w:rPr>
    </w:pPr>
    <w:r>
      <w:pict>
        <v:shape id="_x0000_s2102" o:spid="_x0000_s2102" style="position:absolute;left:0pt;margin-left:89.85pt;margin-top:56.2pt;height:0.5pt;width:441pt;mso-position-horizontal-relative:page;mso-position-vertical-relative:page;z-index:251674624;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B2CC5">
    <w:pPr>
      <w:spacing w:before="48" w:line="219" w:lineRule="auto"/>
      <w:ind w:left="4518"/>
      <w:rPr>
        <w:rFonts w:ascii="宋体" w:hAnsi="宋体" w:eastAsia="宋体" w:cs="宋体"/>
        <w:sz w:val="18"/>
        <w:szCs w:val="18"/>
      </w:rPr>
    </w:pPr>
    <w:r>
      <w:pict>
        <v:shape id="_x0000_s2103" o:spid="_x0000_s2103" style="position:absolute;left:0pt;margin-left:89.85pt;margin-top:56.2pt;height:0.5pt;width:441pt;mso-position-horizontal-relative:page;mso-position-vertical-relative:page;z-index:251675648;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49EE46">
    <w:pPr>
      <w:spacing w:before="48" w:line="219" w:lineRule="auto"/>
      <w:ind w:left="4518"/>
      <w:rPr>
        <w:rFonts w:ascii="宋体" w:hAnsi="宋体" w:eastAsia="宋体" w:cs="宋体"/>
        <w:sz w:val="18"/>
        <w:szCs w:val="18"/>
      </w:rPr>
    </w:pPr>
    <w:r>
      <w:pict>
        <v:shape id="_x0000_s2104" o:spid="_x0000_s2104" style="position:absolute;left:0pt;margin-left:89.85pt;margin-top:56.2pt;height:0.5pt;width:441pt;mso-position-horizontal-relative:page;mso-position-vertical-relative:page;z-index:251674624;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D1321D">
    <w:pPr>
      <w:spacing w:before="48" w:line="219" w:lineRule="auto"/>
      <w:ind w:left="4518"/>
      <w:rPr>
        <w:rFonts w:ascii="宋体" w:hAnsi="宋体" w:eastAsia="宋体" w:cs="宋体"/>
        <w:sz w:val="18"/>
        <w:szCs w:val="18"/>
      </w:rPr>
    </w:pPr>
    <w:r>
      <w:pict>
        <v:shape id="_x0000_s2105" o:spid="_x0000_s2105" style="position:absolute;left:0pt;margin-left:89.85pt;margin-top:56.2pt;height:0.5pt;width:441pt;mso-position-horizontal-relative:page;mso-position-vertical-relative:page;z-index:251676672;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C6B944">
    <w:pPr>
      <w:spacing w:before="48" w:line="219" w:lineRule="auto"/>
      <w:ind w:left="4518"/>
      <w:rPr>
        <w:rFonts w:ascii="宋体" w:hAnsi="宋体" w:eastAsia="宋体" w:cs="宋体"/>
        <w:sz w:val="18"/>
        <w:szCs w:val="18"/>
      </w:rPr>
    </w:pPr>
    <w:r>
      <w:pict>
        <v:shape id="_x0000_s2106" o:spid="_x0000_s2106" style="position:absolute;left:0pt;margin-left:89.85pt;margin-top:56.2pt;height:0.5pt;width:441pt;mso-position-horizontal-relative:page;mso-position-vertical-relative:page;z-index:251678720;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F928A0">
    <w:pPr>
      <w:spacing w:before="48" w:line="219" w:lineRule="auto"/>
      <w:ind w:left="4518"/>
      <w:rPr>
        <w:rFonts w:ascii="宋体" w:hAnsi="宋体" w:eastAsia="宋体" w:cs="宋体"/>
        <w:sz w:val="18"/>
        <w:szCs w:val="18"/>
      </w:rPr>
    </w:pPr>
    <w:r>
      <w:pict>
        <v:shape id="_x0000_s2059" o:spid="_x0000_s2059" style="position:absolute;left:0pt;margin-left:89.85pt;margin-top:56.2pt;height:0.5pt;width:441pt;mso-position-horizontal-relative:page;mso-position-vertical-relative:page;z-index:251659264;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2A987F">
    <w:pPr>
      <w:spacing w:before="48" w:line="219" w:lineRule="auto"/>
      <w:ind w:left="4518"/>
      <w:rPr>
        <w:rFonts w:ascii="宋体" w:hAnsi="宋体" w:eastAsia="宋体" w:cs="宋体"/>
        <w:sz w:val="18"/>
        <w:szCs w:val="18"/>
      </w:rPr>
    </w:pPr>
    <w:r>
      <w:pict>
        <v:shape id="_x0000_s2107" o:spid="_x0000_s2107" style="position:absolute;left:0pt;margin-left:89.85pt;margin-top:56.2pt;height:0.5pt;width:441pt;mso-position-horizontal-relative:page;mso-position-vertical-relative:page;z-index:251675648;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ADBC18">
    <w:pPr>
      <w:spacing w:before="48" w:line="219" w:lineRule="auto"/>
      <w:ind w:left="4518"/>
      <w:rPr>
        <w:rFonts w:ascii="宋体" w:hAnsi="宋体" w:eastAsia="宋体" w:cs="宋体"/>
        <w:sz w:val="18"/>
        <w:szCs w:val="18"/>
      </w:rPr>
    </w:pPr>
    <w:r>
      <w:pict>
        <v:shape id="_x0000_s2108" o:spid="_x0000_s2108" style="position:absolute;left:0pt;margin-left:89.85pt;margin-top:56.2pt;height:0.5pt;width:441pt;mso-position-horizontal-relative:page;mso-position-vertical-relative:page;z-index:251668480;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7AE06D">
    <w:pPr>
      <w:spacing w:before="48" w:line="219" w:lineRule="auto"/>
      <w:ind w:left="4518"/>
      <w:rPr>
        <w:rFonts w:ascii="宋体" w:hAnsi="宋体" w:eastAsia="宋体" w:cs="宋体"/>
        <w:sz w:val="18"/>
        <w:szCs w:val="18"/>
      </w:rPr>
    </w:pPr>
    <w:r>
      <w:pict>
        <v:shape id="_x0000_s2109" o:spid="_x0000_s2109" style="position:absolute;left:0pt;margin-left:89.85pt;margin-top:56.2pt;height:0.5pt;width:441pt;mso-position-horizontal-relative:page;mso-position-vertical-relative:page;z-index:251676672;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E515E9">
    <w:pPr>
      <w:spacing w:before="48" w:line="219" w:lineRule="auto"/>
      <w:ind w:left="4518"/>
      <w:rPr>
        <w:rFonts w:ascii="宋体" w:hAnsi="宋体" w:eastAsia="宋体" w:cs="宋体"/>
        <w:sz w:val="18"/>
        <w:szCs w:val="18"/>
      </w:rPr>
    </w:pPr>
    <w:r>
      <w:pict>
        <v:shape id="_x0000_s2110" o:spid="_x0000_s2110" style="position:absolute;left:0pt;margin-left:89.85pt;margin-top:56.2pt;height:0.5pt;width:441pt;mso-position-horizontal-relative:page;mso-position-vertical-relative:page;z-index:251659264;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F80CCF">
    <w:pPr>
      <w:spacing w:before="48" w:line="219" w:lineRule="auto"/>
      <w:ind w:left="4518"/>
      <w:rPr>
        <w:rFonts w:ascii="宋体" w:hAnsi="宋体" w:eastAsia="宋体" w:cs="宋体"/>
        <w:sz w:val="18"/>
        <w:szCs w:val="18"/>
      </w:rPr>
    </w:pPr>
    <w:r>
      <w:pict>
        <v:shape id="_x0000_s2111" o:spid="_x0000_s2111" style="position:absolute;left:0pt;margin-left:89.85pt;margin-top:56.2pt;height:0.5pt;width:441pt;mso-position-horizontal-relative:page;mso-position-vertical-relative:page;z-index:251682816;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E76FD7">
    <w:pPr>
      <w:spacing w:before="48" w:line="219" w:lineRule="auto"/>
      <w:ind w:left="4518"/>
      <w:rPr>
        <w:rFonts w:ascii="宋体" w:hAnsi="宋体" w:eastAsia="宋体" w:cs="宋体"/>
        <w:sz w:val="18"/>
        <w:szCs w:val="18"/>
      </w:rPr>
    </w:pPr>
    <w:r>
      <w:pict>
        <v:shape id="_x0000_s2112" o:spid="_x0000_s2112" style="position:absolute;left:0pt;margin-left:89.85pt;margin-top:56.2pt;height:0.5pt;width:441pt;mso-position-horizontal-relative:page;mso-position-vertical-relative:page;z-index:251683840;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F8AA08">
    <w:pPr>
      <w:spacing w:before="48" w:line="219" w:lineRule="auto"/>
      <w:ind w:left="4518"/>
      <w:rPr>
        <w:rFonts w:ascii="宋体" w:hAnsi="宋体" w:eastAsia="宋体" w:cs="宋体"/>
        <w:sz w:val="18"/>
        <w:szCs w:val="18"/>
      </w:rPr>
    </w:pPr>
    <w:r>
      <w:pict>
        <v:shape id="_x0000_s2113" o:spid="_x0000_s2113" style="position:absolute;left:0pt;margin-left:89.85pt;margin-top:56.2pt;height:0.5pt;width:441pt;mso-position-horizontal-relative:page;mso-position-vertical-relative:page;z-index:251684864;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30AE0D">
    <w:pPr>
      <w:spacing w:before="48" w:line="219" w:lineRule="auto"/>
      <w:ind w:left="4518"/>
      <w:rPr>
        <w:rFonts w:ascii="宋体" w:hAnsi="宋体" w:eastAsia="宋体" w:cs="宋体"/>
        <w:sz w:val="18"/>
        <w:szCs w:val="18"/>
      </w:rPr>
    </w:pPr>
    <w:r>
      <w:pict>
        <v:shape id="_x0000_s2114" o:spid="_x0000_s2114" style="position:absolute;left:0pt;margin-left:89.85pt;margin-top:56.2pt;height:0.5pt;width:441pt;mso-position-horizontal-relative:page;mso-position-vertical-relative:page;z-index:251683840;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CCB836">
    <w:pPr>
      <w:spacing w:before="48" w:line="219" w:lineRule="auto"/>
      <w:ind w:left="4518"/>
      <w:rPr>
        <w:rFonts w:ascii="宋体" w:hAnsi="宋体" w:eastAsia="宋体" w:cs="宋体"/>
        <w:sz w:val="18"/>
        <w:szCs w:val="18"/>
      </w:rPr>
    </w:pPr>
    <w:r>
      <w:pict>
        <v:shape id="_x0000_s2115" o:spid="_x0000_s2115" style="position:absolute;left:0pt;margin-left:89.85pt;margin-top:56.2pt;height:0.5pt;width:441pt;mso-position-horizontal-relative:page;mso-position-vertical-relative:page;z-index:251685888;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7E0ECF">
    <w:pPr>
      <w:spacing w:before="48" w:line="219" w:lineRule="auto"/>
      <w:ind w:left="4518"/>
      <w:rPr>
        <w:rFonts w:ascii="宋体" w:hAnsi="宋体" w:eastAsia="宋体" w:cs="宋体"/>
        <w:sz w:val="18"/>
        <w:szCs w:val="18"/>
      </w:rPr>
    </w:pPr>
    <w:r>
      <w:pict>
        <v:shape id="_x0000_s2116" o:spid="_x0000_s2116" style="position:absolute;left:0pt;margin-left:89.85pt;margin-top:56.2pt;height:0.5pt;width:441pt;mso-position-horizontal-relative:page;mso-position-vertical-relative:page;z-index:251686912;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EF8AB9">
    <w:pPr>
      <w:spacing w:before="48" w:line="219" w:lineRule="auto"/>
      <w:ind w:left="4518"/>
      <w:rPr>
        <w:rFonts w:ascii="宋体" w:hAnsi="宋体" w:eastAsia="宋体" w:cs="宋体"/>
        <w:sz w:val="18"/>
        <w:szCs w:val="18"/>
      </w:rPr>
    </w:pPr>
    <w:r>
      <w:pict>
        <v:shape id="_x0000_s2060" o:spid="_x0000_s2060" style="position:absolute;left:0pt;margin-left:89.85pt;margin-top:56.2pt;height:0.5pt;width:441pt;mso-position-horizontal-relative:page;mso-position-vertical-relative:page;z-index:251663360;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BA6F28">
    <w:pPr>
      <w:spacing w:before="48" w:line="219" w:lineRule="auto"/>
      <w:ind w:left="4518"/>
      <w:rPr>
        <w:rFonts w:ascii="宋体" w:hAnsi="宋体" w:eastAsia="宋体" w:cs="宋体"/>
        <w:sz w:val="18"/>
        <w:szCs w:val="18"/>
      </w:rPr>
    </w:pPr>
    <w:r>
      <w:pict>
        <v:shape id="_x0000_s2117" o:spid="_x0000_s2117" style="position:absolute;left:0pt;margin-left:89.85pt;margin-top:56.2pt;height:0.5pt;width:441pt;mso-position-horizontal-relative:page;mso-position-vertical-relative:page;z-index:251687936;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65E4A3">
    <w:pPr>
      <w:spacing w:before="48" w:line="219" w:lineRule="auto"/>
      <w:ind w:left="4518"/>
      <w:rPr>
        <w:rFonts w:ascii="宋体" w:hAnsi="宋体" w:eastAsia="宋体" w:cs="宋体"/>
        <w:sz w:val="18"/>
        <w:szCs w:val="18"/>
      </w:rPr>
    </w:pPr>
    <w:r>
      <w:pict>
        <v:shape id="_x0000_s2118" o:spid="_x0000_s2118" style="position:absolute;left:0pt;margin-left:89.85pt;margin-top:56.2pt;height:0.5pt;width:441pt;mso-position-horizontal-relative:page;mso-position-vertical-relative:page;z-index:251688960;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38CCA4">
    <w:pPr>
      <w:spacing w:before="48" w:line="219" w:lineRule="auto"/>
      <w:ind w:left="4518"/>
      <w:rPr>
        <w:rFonts w:ascii="宋体" w:hAnsi="宋体" w:eastAsia="宋体" w:cs="宋体"/>
        <w:sz w:val="18"/>
        <w:szCs w:val="18"/>
      </w:rPr>
    </w:pPr>
    <w:r>
      <w:pict>
        <v:shape id="_x0000_s2119" o:spid="_x0000_s2119" style="position:absolute;left:0pt;margin-left:89.85pt;margin-top:56.2pt;height:0.5pt;width:441pt;mso-position-horizontal-relative:page;mso-position-vertical-relative:page;z-index:251689984;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434F9E">
    <w:pPr>
      <w:spacing w:before="48" w:line="219" w:lineRule="auto"/>
      <w:ind w:left="4660"/>
      <w:rPr>
        <w:rFonts w:ascii="宋体" w:hAnsi="宋体" w:eastAsia="宋体" w:cs="宋体"/>
        <w:sz w:val="18"/>
        <w:szCs w:val="18"/>
      </w:rPr>
    </w:pPr>
    <w:r>
      <w:pict>
        <v:shape id="_x0000_s2120" o:spid="_x0000_s2120" style="position:absolute;left:0pt;margin-left:89.85pt;margin-top:56.2pt;height:0.5pt;width:441pt;mso-position-horizontal-relative:page;mso-position-vertical-relative:page;z-index:251691008;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1301D0">
    <w:pPr>
      <w:spacing w:before="48" w:line="219" w:lineRule="auto"/>
      <w:ind w:left="4518"/>
      <w:rPr>
        <w:rFonts w:ascii="宋体" w:hAnsi="宋体" w:eastAsia="宋体" w:cs="宋体"/>
        <w:sz w:val="18"/>
        <w:szCs w:val="18"/>
      </w:rPr>
    </w:pPr>
    <w:r>
      <w:pict>
        <v:shape id="_x0000_s2121" o:spid="_x0000_s2121" style="position:absolute;left:0pt;margin-left:89.85pt;margin-top:56.2pt;height:0.5pt;width:441pt;mso-position-horizontal-relative:page;mso-position-vertical-relative:page;z-index:251692032;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43F476">
    <w:pPr>
      <w:spacing w:before="48" w:line="219" w:lineRule="auto"/>
      <w:ind w:left="4518"/>
      <w:rPr>
        <w:rFonts w:ascii="宋体" w:hAnsi="宋体" w:eastAsia="宋体" w:cs="宋体"/>
        <w:sz w:val="18"/>
        <w:szCs w:val="18"/>
      </w:rPr>
    </w:pPr>
    <w:r>
      <w:pict>
        <v:shape id="_x0000_s2122" o:spid="_x0000_s2122" style="position:absolute;left:0pt;margin-left:89.85pt;margin-top:56.2pt;height:0.5pt;width:441pt;mso-position-horizontal-relative:page;mso-position-vertical-relative:page;z-index:251693056;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58ED92">
    <w:pPr>
      <w:spacing w:before="48" w:line="219" w:lineRule="auto"/>
      <w:ind w:left="4518"/>
      <w:rPr>
        <w:rFonts w:ascii="宋体" w:hAnsi="宋体" w:eastAsia="宋体" w:cs="宋体"/>
        <w:sz w:val="18"/>
        <w:szCs w:val="18"/>
      </w:rPr>
    </w:pPr>
    <w:r>
      <w:pict>
        <v:shape id="_x0000_s2123" o:spid="_x0000_s2123" style="position:absolute;left:0pt;margin-left:89.85pt;margin-top:56.2pt;height:0.5pt;width:441pt;mso-position-horizontal-relative:page;mso-position-vertical-relative:page;z-index:251689984;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4AF9EB">
    <w:pPr>
      <w:spacing w:before="48" w:line="219" w:lineRule="auto"/>
      <w:ind w:left="4518"/>
      <w:rPr>
        <w:rFonts w:ascii="宋体" w:hAnsi="宋体" w:eastAsia="宋体" w:cs="宋体"/>
        <w:sz w:val="18"/>
        <w:szCs w:val="18"/>
      </w:rPr>
    </w:pPr>
    <w:r>
      <w:pict>
        <v:shape id="_x0000_s2124" o:spid="_x0000_s2124" style="position:absolute;left:0pt;margin-left:89.85pt;margin-top:56.2pt;height:0.5pt;width:441pt;mso-position-horizontal-relative:page;mso-position-vertical-relative:page;z-index:251694080;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5CF19">
    <w:pPr>
      <w:spacing w:before="48" w:line="219" w:lineRule="auto"/>
      <w:ind w:left="4518"/>
      <w:rPr>
        <w:rFonts w:ascii="宋体" w:hAnsi="宋体" w:eastAsia="宋体" w:cs="宋体"/>
        <w:sz w:val="18"/>
        <w:szCs w:val="18"/>
      </w:rPr>
    </w:pPr>
    <w:r>
      <w:pict>
        <v:shape id="_x0000_s2125" o:spid="_x0000_s2125" style="position:absolute;left:0pt;margin-left:89.85pt;margin-top:56.2pt;height:0.5pt;width:441pt;mso-position-horizontal-relative:page;mso-position-vertical-relative:page;z-index:251692032;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72D892">
    <w:pPr>
      <w:spacing w:before="48" w:line="219" w:lineRule="auto"/>
      <w:ind w:left="4518"/>
      <w:rPr>
        <w:rFonts w:ascii="宋体" w:hAnsi="宋体" w:eastAsia="宋体" w:cs="宋体"/>
        <w:sz w:val="18"/>
        <w:szCs w:val="18"/>
      </w:rPr>
    </w:pPr>
    <w:r>
      <w:pict>
        <v:shape id="_x0000_s2126" o:spid="_x0000_s2126" style="position:absolute;left:0pt;margin-left:89.85pt;margin-top:56.2pt;height:0.5pt;width:441pt;mso-position-horizontal-relative:page;mso-position-vertical-relative:page;z-index:251693056;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045C0B">
    <w:pPr>
      <w:spacing w:before="48" w:line="219" w:lineRule="auto"/>
      <w:ind w:left="4518"/>
      <w:rPr>
        <w:rFonts w:ascii="宋体" w:hAnsi="宋体" w:eastAsia="宋体" w:cs="宋体"/>
        <w:sz w:val="18"/>
        <w:szCs w:val="18"/>
      </w:rPr>
    </w:pPr>
    <w:r>
      <w:pict>
        <v:shape id="_x0000_s2061" o:spid="_x0000_s2061" style="position:absolute;left:0pt;margin-left:89.85pt;margin-top:56.2pt;height:0.5pt;width:441pt;mso-position-horizontal-relative:page;mso-position-vertical-relative:page;z-index:251659264;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C8733F">
    <w:pPr>
      <w:spacing w:before="48" w:line="219" w:lineRule="auto"/>
      <w:ind w:left="4518"/>
      <w:rPr>
        <w:rFonts w:ascii="宋体" w:hAnsi="宋体" w:eastAsia="宋体" w:cs="宋体"/>
        <w:sz w:val="18"/>
        <w:szCs w:val="18"/>
      </w:rPr>
    </w:pPr>
    <w:r>
      <w:pict>
        <v:shape id="_x0000_s2127" o:spid="_x0000_s2127" style="position:absolute;left:0pt;margin-left:89.85pt;margin-top:56.2pt;height:0.5pt;width:441pt;mso-position-horizontal-relative:page;mso-position-vertical-relative:page;z-index:251695104;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EF6C11">
    <w:pPr>
      <w:spacing w:before="48" w:line="219" w:lineRule="auto"/>
      <w:ind w:left="4518"/>
      <w:rPr>
        <w:rFonts w:ascii="宋体" w:hAnsi="宋体" w:eastAsia="宋体" w:cs="宋体"/>
        <w:sz w:val="18"/>
        <w:szCs w:val="18"/>
      </w:rPr>
    </w:pPr>
    <w:r>
      <w:pict>
        <v:shape id="_x0000_s2128" o:spid="_x0000_s2128" style="position:absolute;left:0pt;margin-left:89.85pt;margin-top:56.2pt;height:0.5pt;width:441pt;mso-position-horizontal-relative:page;mso-position-vertical-relative:page;z-index:251692032;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FC02E3">
    <w:pPr>
      <w:spacing w:before="48" w:line="219" w:lineRule="auto"/>
      <w:ind w:left="4518"/>
      <w:rPr>
        <w:rFonts w:ascii="宋体" w:hAnsi="宋体" w:eastAsia="宋体" w:cs="宋体"/>
        <w:sz w:val="18"/>
        <w:szCs w:val="18"/>
      </w:rPr>
    </w:pPr>
    <w:r>
      <w:pict>
        <v:shape id="_x0000_s2129" o:spid="_x0000_s2129" style="position:absolute;left:0pt;margin-left:89.85pt;margin-top:56.2pt;height:0.5pt;width:441pt;mso-position-horizontal-relative:page;mso-position-vertical-relative:page;z-index:251695104;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8FDC49">
    <w:pPr>
      <w:spacing w:before="48" w:line="219" w:lineRule="auto"/>
      <w:ind w:left="4518"/>
      <w:rPr>
        <w:rFonts w:ascii="宋体" w:hAnsi="宋体" w:eastAsia="宋体" w:cs="宋体"/>
        <w:sz w:val="18"/>
        <w:szCs w:val="18"/>
      </w:rPr>
    </w:pPr>
    <w:r>
      <w:pict>
        <v:shape id="_x0000_s2130" o:spid="_x0000_s2130" style="position:absolute;left:0pt;margin-left:89.85pt;margin-top:56.2pt;height:0.5pt;width:441pt;mso-position-horizontal-relative:page;mso-position-vertical-relative:page;z-index:251688960;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D8A749">
    <w:pPr>
      <w:spacing w:before="48" w:line="219" w:lineRule="auto"/>
      <w:ind w:left="4518"/>
      <w:rPr>
        <w:rFonts w:ascii="宋体" w:hAnsi="宋体" w:eastAsia="宋体" w:cs="宋体"/>
        <w:sz w:val="18"/>
        <w:szCs w:val="18"/>
      </w:rPr>
    </w:pPr>
    <w:r>
      <w:pict>
        <v:shape id="_x0000_s2131" o:spid="_x0000_s2131" style="position:absolute;left:0pt;margin-left:89.85pt;margin-top:56.2pt;height:0.5pt;width:441pt;mso-position-horizontal-relative:page;mso-position-vertical-relative:page;z-index:251686912;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7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DEC4EB">
    <w:pPr>
      <w:spacing w:before="48" w:line="219" w:lineRule="auto"/>
      <w:ind w:left="4518"/>
      <w:rPr>
        <w:rFonts w:ascii="宋体" w:hAnsi="宋体" w:eastAsia="宋体" w:cs="宋体"/>
        <w:sz w:val="18"/>
        <w:szCs w:val="18"/>
      </w:rPr>
    </w:pPr>
    <w:r>
      <w:pict>
        <v:shape id="_x0000_s2132" o:spid="_x0000_s2132" style="position:absolute;left:0pt;margin-left:89.85pt;margin-top:56.2pt;height:0.5pt;width:441pt;mso-position-horizontal-relative:page;mso-position-vertical-relative:page;z-index:251696128;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7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8CD1CD">
    <w:pPr>
      <w:spacing w:before="48" w:line="219" w:lineRule="auto"/>
      <w:ind w:left="4518"/>
      <w:rPr>
        <w:rFonts w:ascii="宋体" w:hAnsi="宋体" w:eastAsia="宋体" w:cs="宋体"/>
        <w:sz w:val="18"/>
        <w:szCs w:val="18"/>
      </w:rPr>
    </w:pPr>
    <w:r>
      <w:pict>
        <v:shape id="_x0000_s2133" o:spid="_x0000_s2133" style="position:absolute;left:0pt;margin-left:89.85pt;margin-top:56.2pt;height:0.5pt;width:441pt;mso-position-horizontal-relative:page;mso-position-vertical-relative:page;z-index:251693056;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7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0FEE12">
    <w:pPr>
      <w:spacing w:before="48" w:line="219" w:lineRule="auto"/>
      <w:ind w:left="4518"/>
      <w:rPr>
        <w:rFonts w:ascii="宋体" w:hAnsi="宋体" w:eastAsia="宋体" w:cs="宋体"/>
        <w:sz w:val="18"/>
        <w:szCs w:val="18"/>
      </w:rPr>
    </w:pPr>
    <w:r>
      <w:pict>
        <v:shape id="_x0000_s2134" o:spid="_x0000_s2134" style="position:absolute;left:0pt;margin-left:89.85pt;margin-top:56.2pt;height:0.5pt;width:441pt;mso-position-horizontal-relative:page;mso-position-vertical-relative:page;z-index:251689984;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7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073D58">
    <w:pPr>
      <w:spacing w:before="48" w:line="219" w:lineRule="auto"/>
      <w:ind w:left="4518"/>
      <w:rPr>
        <w:rFonts w:ascii="宋体" w:hAnsi="宋体" w:eastAsia="宋体" w:cs="宋体"/>
        <w:sz w:val="18"/>
        <w:szCs w:val="18"/>
      </w:rPr>
    </w:pPr>
    <w:r>
      <w:pict>
        <v:shape id="_x0000_s2135" o:spid="_x0000_s2135" style="position:absolute;left:0pt;margin-left:89.85pt;margin-top:56.2pt;height:0.5pt;width:441pt;mso-position-horizontal-relative:page;mso-position-vertical-relative:page;z-index:251695104;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7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116CA0">
    <w:pPr>
      <w:spacing w:before="48" w:line="219" w:lineRule="auto"/>
      <w:ind w:left="4518"/>
      <w:rPr>
        <w:rFonts w:ascii="宋体" w:hAnsi="宋体" w:eastAsia="宋体" w:cs="宋体"/>
        <w:sz w:val="18"/>
        <w:szCs w:val="18"/>
      </w:rPr>
    </w:pPr>
    <w:r>
      <w:pict>
        <v:shape id="_x0000_s2136" o:spid="_x0000_s2136" style="position:absolute;left:0pt;margin-left:89.85pt;margin-top:56.2pt;height:0.5pt;width:441pt;mso-position-horizontal-relative:page;mso-position-vertical-relative:page;z-index:251688960;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6E9DBD">
    <w:pPr>
      <w:spacing w:before="48" w:line="219" w:lineRule="auto"/>
      <w:ind w:left="4518"/>
      <w:rPr>
        <w:rFonts w:ascii="宋体" w:hAnsi="宋体" w:eastAsia="宋体" w:cs="宋体"/>
        <w:sz w:val="18"/>
        <w:szCs w:val="18"/>
      </w:rPr>
    </w:pPr>
    <w:r>
      <w:pict>
        <v:shape id="_x0000_s2064" o:spid="_x0000_s2064" style="position:absolute;left:0pt;margin-left:89.85pt;margin-top:56.2pt;height:0.5pt;width:441pt;mso-position-horizontal-relative:page;mso-position-vertical-relative:page;z-index:251659264;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8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E53F3F">
    <w:pPr>
      <w:spacing w:before="48" w:line="219" w:lineRule="auto"/>
      <w:ind w:left="4518"/>
      <w:rPr>
        <w:rFonts w:ascii="宋体" w:hAnsi="宋体" w:eastAsia="宋体" w:cs="宋体"/>
        <w:sz w:val="18"/>
        <w:szCs w:val="18"/>
      </w:rPr>
    </w:pPr>
    <w:r>
      <w:pict>
        <v:shape id="_x0000_s2137" o:spid="_x0000_s2137" style="position:absolute;left:0pt;margin-left:89.85pt;margin-top:56.2pt;height:0.5pt;width:441pt;mso-position-horizontal-relative:page;mso-position-vertical-relative:page;z-index:251693056;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8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D1758C">
    <w:pPr>
      <w:spacing w:before="48" w:line="219" w:lineRule="auto"/>
      <w:ind w:left="4518"/>
      <w:rPr>
        <w:rFonts w:ascii="宋体" w:hAnsi="宋体" w:eastAsia="宋体" w:cs="宋体"/>
        <w:sz w:val="18"/>
        <w:szCs w:val="18"/>
      </w:rPr>
    </w:pPr>
    <w:r>
      <w:pict>
        <v:shape id="_x0000_s2138" o:spid="_x0000_s2138" style="position:absolute;left:0pt;margin-left:89.85pt;margin-top:56.2pt;height:0.5pt;width:441pt;mso-position-horizontal-relative:page;mso-position-vertical-relative:page;z-index:251689984;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8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D22035">
    <w:pPr>
      <w:spacing w:before="48" w:line="219" w:lineRule="auto"/>
      <w:ind w:left="4518"/>
      <w:rPr>
        <w:rFonts w:ascii="宋体" w:hAnsi="宋体" w:eastAsia="宋体" w:cs="宋体"/>
        <w:sz w:val="18"/>
        <w:szCs w:val="18"/>
      </w:rPr>
    </w:pPr>
    <w:r>
      <w:pict>
        <v:shape id="_x0000_s2139" o:spid="_x0000_s2139" style="position:absolute;left:0pt;margin-left:89.85pt;margin-top:56.2pt;height:0.5pt;width:441pt;mso-position-horizontal-relative:page;mso-position-vertical-relative:page;z-index:251688960;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8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7305B9">
    <w:pPr>
      <w:spacing w:before="48" w:line="219" w:lineRule="auto"/>
      <w:ind w:left="4518"/>
      <w:rPr>
        <w:rFonts w:ascii="宋体" w:hAnsi="宋体" w:eastAsia="宋体" w:cs="宋体"/>
        <w:sz w:val="18"/>
        <w:szCs w:val="18"/>
      </w:rPr>
    </w:pPr>
    <w:r>
      <w:pict>
        <v:shape id="_x0000_s2140" o:spid="_x0000_s2140" style="position:absolute;left:0pt;margin-left:89.85pt;margin-top:56.2pt;height:0.5pt;width:441pt;mso-position-horizontal-relative:page;mso-position-vertical-relative:page;z-index:251687936;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8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5C0FDD">
    <w:pPr>
      <w:spacing w:before="48" w:line="219" w:lineRule="auto"/>
      <w:ind w:left="4518"/>
      <w:rPr>
        <w:rFonts w:ascii="宋体" w:hAnsi="宋体" w:eastAsia="宋体" w:cs="宋体"/>
        <w:sz w:val="18"/>
        <w:szCs w:val="18"/>
      </w:rPr>
    </w:pPr>
    <w:r>
      <w:pict>
        <v:shape id="_x0000_s2141" o:spid="_x0000_s2141" style="position:absolute;left:0pt;margin-left:89.85pt;margin-top:56.2pt;height:0.5pt;width:441pt;mso-position-horizontal-relative:page;mso-position-vertical-relative:page;z-index:251689984;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8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88DA19">
    <w:pPr>
      <w:spacing w:before="48" w:line="219" w:lineRule="auto"/>
      <w:ind w:left="4660"/>
      <w:rPr>
        <w:rFonts w:ascii="宋体" w:hAnsi="宋体" w:eastAsia="宋体" w:cs="宋体"/>
        <w:sz w:val="18"/>
        <w:szCs w:val="18"/>
      </w:rPr>
    </w:pPr>
    <w:r>
      <w:pict>
        <v:shape id="_x0000_s2142" o:spid="_x0000_s2142" style="position:absolute;left:0pt;margin-left:89.85pt;margin-top:56.2pt;height:0.5pt;width:441pt;mso-position-horizontal-relative:page;mso-position-vertical-relative:page;z-index:251697152;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8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6875B0">
    <w:pPr>
      <w:spacing w:before="48" w:line="219" w:lineRule="auto"/>
      <w:ind w:left="4518"/>
      <w:rPr>
        <w:rFonts w:ascii="宋体" w:hAnsi="宋体" w:eastAsia="宋体" w:cs="宋体"/>
        <w:sz w:val="18"/>
        <w:szCs w:val="18"/>
      </w:rPr>
    </w:pPr>
    <w:r>
      <w:pict>
        <v:shape id="_x0000_s2143" o:spid="_x0000_s2143" style="position:absolute;left:0pt;margin-left:89.85pt;margin-top:56.2pt;height:0.5pt;width:441pt;mso-position-horizontal-relative:page;mso-position-vertical-relative:page;z-index:251659264;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8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1E22C8">
    <w:pPr>
      <w:spacing w:before="48" w:line="219" w:lineRule="auto"/>
      <w:ind w:left="4660"/>
      <w:rPr>
        <w:rFonts w:ascii="宋体" w:hAnsi="宋体" w:eastAsia="宋体" w:cs="宋体"/>
        <w:sz w:val="18"/>
        <w:szCs w:val="18"/>
      </w:rPr>
    </w:pPr>
    <w:r>
      <w:pict>
        <v:shape id="_x0000_s2148" o:spid="_x0000_s2148" style="position:absolute;left:0pt;margin-left:89.85pt;margin-top:56.2pt;height:0.5pt;width:441pt;mso-position-horizontal-relative:page;mso-position-vertical-relative:page;z-index:251700224;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8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AFB6E6">
    <w:pPr>
      <w:spacing w:before="48" w:line="219" w:lineRule="auto"/>
      <w:ind w:left="4518"/>
      <w:rPr>
        <w:rFonts w:ascii="宋体" w:hAnsi="宋体" w:eastAsia="宋体" w:cs="宋体"/>
        <w:sz w:val="18"/>
        <w:szCs w:val="18"/>
      </w:rPr>
    </w:pPr>
    <w:r>
      <w:pict>
        <v:shape id="_x0000_s2149" o:spid="_x0000_s2149" style="position:absolute;left:0pt;margin-left:89.85pt;margin-top:56.2pt;height:0.5pt;width:441pt;mso-position-horizontal-relative:page;mso-position-vertical-relative:page;z-index:251660288;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8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80DACB">
    <w:pPr>
      <w:spacing w:before="48" w:line="219" w:lineRule="auto"/>
      <w:ind w:left="4660"/>
      <w:rPr>
        <w:rFonts w:ascii="宋体" w:hAnsi="宋体" w:eastAsia="宋体" w:cs="宋体"/>
        <w:sz w:val="18"/>
        <w:szCs w:val="18"/>
      </w:rPr>
    </w:pPr>
    <w:r>
      <w:pict>
        <v:shape id="_x0000_s2150" o:spid="_x0000_s2150" style="position:absolute;left:0pt;margin-left:89.85pt;margin-top:56.2pt;height:0.5pt;width:441pt;mso-position-horizontal-relative:page;mso-position-vertical-relative:page;z-index:251701248;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BC1ACD">
    <w:pPr>
      <w:spacing w:before="48" w:line="219" w:lineRule="auto"/>
      <w:ind w:left="4620"/>
      <w:rPr>
        <w:rFonts w:ascii="宋体" w:hAnsi="宋体" w:eastAsia="宋体" w:cs="宋体"/>
        <w:sz w:val="18"/>
        <w:szCs w:val="18"/>
      </w:rPr>
    </w:pPr>
    <w:r>
      <w:pict>
        <v:shape id="_x0000_s2065" o:spid="_x0000_s2065" style="position:absolute;left:0pt;margin-left:89.85pt;margin-top:56.2pt;height:0.5pt;width:441pt;mso-position-horizontal-relative:page;mso-position-vertical-relative:page;z-index:251666432;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9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4799B6">
    <w:pPr>
      <w:spacing w:before="48" w:line="219" w:lineRule="auto"/>
      <w:ind w:left="4518"/>
      <w:rPr>
        <w:rFonts w:ascii="宋体" w:hAnsi="宋体" w:eastAsia="宋体" w:cs="宋体"/>
        <w:sz w:val="18"/>
        <w:szCs w:val="18"/>
      </w:rPr>
    </w:pPr>
    <w:r>
      <w:pict>
        <v:shape id="_x0000_s2151" o:spid="_x0000_s2151" style="position:absolute;left:0pt;margin-left:89.85pt;margin-top:56.2pt;height:0.5pt;width:441pt;mso-position-horizontal-relative:page;mso-position-vertical-relative:page;z-index:251659264;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9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8A135B">
    <w:pPr>
      <w:spacing w:before="48" w:line="219" w:lineRule="auto"/>
      <w:ind w:left="4518"/>
      <w:rPr>
        <w:rFonts w:ascii="宋体" w:hAnsi="宋体" w:eastAsia="宋体" w:cs="宋体"/>
        <w:sz w:val="18"/>
        <w:szCs w:val="18"/>
      </w:rPr>
    </w:pPr>
    <w:r>
      <w:pict>
        <v:shape id="_x0000_s2152" o:spid="_x0000_s2152" style="position:absolute;left:0pt;margin-left:89.85pt;margin-top:56.2pt;height:0.5pt;width:441pt;mso-position-horizontal-relative:page;mso-position-vertical-relative:page;z-index:251705344;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9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C11032">
    <w:pPr>
      <w:spacing w:before="48" w:line="219" w:lineRule="auto"/>
      <w:ind w:left="4518"/>
      <w:rPr>
        <w:rFonts w:ascii="宋体" w:hAnsi="宋体" w:eastAsia="宋体" w:cs="宋体"/>
        <w:sz w:val="18"/>
        <w:szCs w:val="18"/>
      </w:rPr>
    </w:pPr>
    <w:r>
      <w:pict>
        <v:shape id="_x0000_s2153" o:spid="_x0000_s2153" style="position:absolute;left:0pt;margin-left:89.85pt;margin-top:56.2pt;height:0.5pt;width:441pt;mso-position-horizontal-relative:page;mso-position-vertical-relative:page;z-index:251683840;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9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CC217F">
    <w:pPr>
      <w:spacing w:before="48" w:line="219" w:lineRule="auto"/>
      <w:ind w:left="4518"/>
      <w:rPr>
        <w:rFonts w:ascii="宋体" w:hAnsi="宋体" w:eastAsia="宋体" w:cs="宋体"/>
        <w:sz w:val="18"/>
        <w:szCs w:val="18"/>
      </w:rPr>
    </w:pPr>
    <w:r>
      <w:pict>
        <v:shape id="_x0000_s2154" o:spid="_x0000_s2154" style="position:absolute;left:0pt;margin-left:89.85pt;margin-top:56.2pt;height:0.5pt;width:441pt;mso-position-horizontal-relative:page;mso-position-vertical-relative:page;z-index:251678720;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9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8F1B00">
    <w:pPr>
      <w:spacing w:before="48" w:line="219" w:lineRule="auto"/>
      <w:ind w:left="4518"/>
      <w:rPr>
        <w:rFonts w:ascii="宋体" w:hAnsi="宋体" w:eastAsia="宋体" w:cs="宋体"/>
        <w:sz w:val="18"/>
        <w:szCs w:val="18"/>
      </w:rPr>
    </w:pPr>
    <w:r>
      <w:pict>
        <v:shape id="_x0000_s2155" o:spid="_x0000_s2155" style="position:absolute;left:0pt;margin-left:89.85pt;margin-top:56.2pt;height:0.5pt;width:441pt;mso-position-horizontal-relative:page;mso-position-vertical-relative:page;z-index:251659264;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9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E6F606">
    <w:pPr>
      <w:spacing w:before="48" w:line="219" w:lineRule="auto"/>
      <w:ind w:left="4660"/>
      <w:rPr>
        <w:rFonts w:ascii="宋体" w:hAnsi="宋体" w:eastAsia="宋体" w:cs="宋体"/>
        <w:sz w:val="18"/>
        <w:szCs w:val="18"/>
      </w:rPr>
    </w:pPr>
    <w:r>
      <w:pict>
        <v:shape id="_x0000_s2156" o:spid="_x0000_s2156" style="position:absolute;left:0pt;margin-left:89.85pt;margin-top:56.2pt;height:0.5pt;width:441pt;mso-position-horizontal-relative:page;mso-position-vertical-relative:page;z-index:251706368;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9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486544">
    <w:pPr>
      <w:spacing w:before="48" w:line="219" w:lineRule="auto"/>
      <w:ind w:left="4518"/>
      <w:rPr>
        <w:rFonts w:ascii="宋体" w:hAnsi="宋体" w:eastAsia="宋体" w:cs="宋体"/>
        <w:sz w:val="18"/>
        <w:szCs w:val="18"/>
      </w:rPr>
    </w:pPr>
    <w:r>
      <w:pict>
        <v:shape id="_x0000_s2157" o:spid="_x0000_s2157" style="position:absolute;left:0pt;margin-left:89.85pt;margin-top:56.2pt;height:0.5pt;width:441pt;mso-position-horizontal-relative:page;mso-position-vertical-relative:page;z-index:251659264;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9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92AD1C">
    <w:pPr>
      <w:spacing w:before="48" w:line="219" w:lineRule="auto"/>
      <w:ind w:left="4660"/>
      <w:rPr>
        <w:rFonts w:ascii="宋体" w:hAnsi="宋体" w:eastAsia="宋体" w:cs="宋体"/>
        <w:sz w:val="18"/>
        <w:szCs w:val="18"/>
      </w:rPr>
    </w:pPr>
    <w:r>
      <w:pict>
        <v:shape id="_x0000_s2158" o:spid="_x0000_s2158" style="position:absolute;left:0pt;margin-left:89.85pt;margin-top:56.2pt;height:0.5pt;width:441pt;mso-position-horizontal-relative:page;mso-position-vertical-relative:page;z-index:251706368;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9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CDCF5E">
    <w:pPr>
      <w:spacing w:before="48" w:line="219" w:lineRule="auto"/>
      <w:ind w:left="4518"/>
      <w:rPr>
        <w:rFonts w:ascii="宋体" w:hAnsi="宋体" w:eastAsia="宋体" w:cs="宋体"/>
        <w:sz w:val="18"/>
        <w:szCs w:val="18"/>
      </w:rPr>
    </w:pPr>
    <w:r>
      <w:pict>
        <v:shape id="_x0000_s2159" o:spid="_x0000_s2159" style="position:absolute;left:0pt;margin-left:89.85pt;margin-top:56.2pt;height:0.5pt;width:441pt;mso-position-horizontal-relative:page;mso-position-vertical-relative:page;z-index:251707392;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header9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E5797F">
    <w:pPr>
      <w:spacing w:before="48" w:line="219" w:lineRule="auto"/>
      <w:ind w:left="4518"/>
      <w:rPr>
        <w:rFonts w:ascii="宋体" w:hAnsi="宋体" w:eastAsia="宋体" w:cs="宋体"/>
        <w:sz w:val="18"/>
        <w:szCs w:val="18"/>
      </w:rPr>
    </w:pPr>
    <w:r>
      <w:pict>
        <v:shape id="_x0000_s2160" o:spid="_x0000_s2160" style="position:absolute;left:0pt;margin-left:89.85pt;margin-top:56.2pt;height:0.5pt;width:441pt;mso-position-horizontal-relative:page;mso-position-vertical-relative:page;z-index:251659264;mso-width-relative:page;mso-height-relative:page;" fillcolor="#000000" filled="t" stroked="f" coordsize="8820,10" o:allowincell="f" path="m0,0l8819,0,8819,9,0,9,0,0xe">
          <v:path/>
          <v:fill on="t" focussize="0,0"/>
          <v:stroke on="f"/>
          <v:imagedata o:title=""/>
          <o:lock v:ext="edit"/>
        </v:shape>
      </w:pict>
    </w:r>
    <w:r>
      <w:rPr>
        <w:rFonts w:ascii="宋体" w:hAnsi="宋体" w:eastAsia="宋体" w:cs="宋体"/>
        <w:spacing w:val="-1"/>
        <w:sz w:val="18"/>
        <w:szCs w:val="18"/>
      </w:rPr>
      <w:t>广西公路工程标准施工招标文件（</w:t>
    </w:r>
    <w:r>
      <w:rPr>
        <w:rFonts w:ascii="Times New Roman" w:hAnsi="Times New Roman" w:eastAsia="Times New Roman" w:cs="Times New Roman"/>
        <w:spacing w:val="-1"/>
        <w:sz w:val="18"/>
        <w:szCs w:val="18"/>
      </w:rPr>
      <w:t>2020</w:t>
    </w:r>
    <w:r>
      <w:rPr>
        <w:rFonts w:ascii="宋体" w:hAnsi="宋体" w:eastAsia="宋体" w:cs="宋体"/>
        <w:spacing w:val="-1"/>
        <w:sz w:val="18"/>
        <w:szCs w:val="18"/>
      </w:rPr>
      <w:t>年电子化版）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0D2513"/>
    <w:multiLevelType w:val="singleLevel"/>
    <w:tmpl w:val="E60D2513"/>
    <w:lvl w:ilvl="0" w:tentative="0">
      <w:start w:val="2"/>
      <w:numFmt w:val="decimal"/>
      <w:suff w:val="nothing"/>
      <w:lvlText w:val="%1、"/>
      <w:lvlJc w:val="left"/>
    </w:lvl>
  </w:abstractNum>
  <w:abstractNum w:abstractNumId="1">
    <w:nsid w:val="E7703812"/>
    <w:multiLevelType w:val="singleLevel"/>
    <w:tmpl w:val="E7703812"/>
    <w:lvl w:ilvl="0" w:tentative="0">
      <w:start w:val="2"/>
      <w:numFmt w:val="decimal"/>
      <w:suff w:val="nothing"/>
      <w:lvlText w:val="（%1）"/>
      <w:lvlJc w:val="left"/>
    </w:lvl>
  </w:abstractNum>
  <w:abstractNum w:abstractNumId="2">
    <w:nsid w:val="2A0B7BA4"/>
    <w:multiLevelType w:val="singleLevel"/>
    <w:tmpl w:val="2A0B7BA4"/>
    <w:lvl w:ilvl="0" w:tentative="0">
      <w:start w:val="1"/>
      <w:numFmt w:val="decimal"/>
      <w:suff w:val="nothing"/>
      <w:lvlText w:val="（%1）"/>
      <w:lvlJc w:val="left"/>
    </w:lvl>
  </w:abstractNum>
  <w:abstractNum w:abstractNumId="3">
    <w:nsid w:val="595524B3"/>
    <w:multiLevelType w:val="singleLevel"/>
    <w:tmpl w:val="595524B3"/>
    <w:lvl w:ilvl="0" w:tentative="0">
      <w:start w:val="1"/>
      <w:numFmt w:val="decimal"/>
      <w:suff w:val="space"/>
      <w:lvlText w:val="%1."/>
      <w:lvlJc w:val="left"/>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5"/>
  <w:displayBackgroundShape w:val="1"/>
  <w:bordersDoNotSurroundHeader w:val="0"/>
  <w:bordersDoNotSurroundFooter w:val="0"/>
  <w:documentProtection w:edit="forms" w:enforcement="1" w:cryptProviderType="rsaFull" w:cryptAlgorithmClass="hash" w:cryptAlgorithmType="typeAny" w:cryptAlgorithmSid="4" w:cryptSpinCount="0" w:hash="bHSbKjHnEwesZxC8+B6U05X8uOI=" w:salt="RAzKEEgzV2C2ZwYWRPjYWA=="/>
  <w:displayHorizontalDrawingGridEvery w:val="1"/>
  <w:displayVerticalDrawingGridEvery w:val="1"/>
  <w:noPunctuationKerning w:val="1"/>
  <w:characterSpacingControl w:val="doNotCompress"/>
  <w:hdrShapeDefaults>
    <o:shapelayout v:ext="edit">
      <o:idmap v:ext="edit" data="2"/>
    </o:shapelayout>
  </w:hdrShapeDefault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1301C31"/>
    <w:rsid w:val="0201522B"/>
    <w:rsid w:val="025D707F"/>
    <w:rsid w:val="033F6A93"/>
    <w:rsid w:val="03A83E9B"/>
    <w:rsid w:val="03AC38D7"/>
    <w:rsid w:val="03D23628"/>
    <w:rsid w:val="046643CE"/>
    <w:rsid w:val="060066F6"/>
    <w:rsid w:val="06053772"/>
    <w:rsid w:val="07600075"/>
    <w:rsid w:val="07722E3A"/>
    <w:rsid w:val="080534DC"/>
    <w:rsid w:val="085835E9"/>
    <w:rsid w:val="085B3326"/>
    <w:rsid w:val="08FE085E"/>
    <w:rsid w:val="09E8190B"/>
    <w:rsid w:val="0B713A9E"/>
    <w:rsid w:val="0B7E1060"/>
    <w:rsid w:val="0B895E17"/>
    <w:rsid w:val="0C6805B7"/>
    <w:rsid w:val="0CB94AFC"/>
    <w:rsid w:val="0D183D8B"/>
    <w:rsid w:val="0DE44C59"/>
    <w:rsid w:val="0E0E499C"/>
    <w:rsid w:val="0F16596B"/>
    <w:rsid w:val="0F303D11"/>
    <w:rsid w:val="102B13C1"/>
    <w:rsid w:val="103C5FE2"/>
    <w:rsid w:val="10533D3B"/>
    <w:rsid w:val="1057106E"/>
    <w:rsid w:val="1184777C"/>
    <w:rsid w:val="11DF756D"/>
    <w:rsid w:val="12390792"/>
    <w:rsid w:val="12AC5BCA"/>
    <w:rsid w:val="131274CC"/>
    <w:rsid w:val="13E76907"/>
    <w:rsid w:val="146E4BD8"/>
    <w:rsid w:val="149C2169"/>
    <w:rsid w:val="15DE72EB"/>
    <w:rsid w:val="15F333DA"/>
    <w:rsid w:val="17932C5C"/>
    <w:rsid w:val="17B640BE"/>
    <w:rsid w:val="17D35071"/>
    <w:rsid w:val="1902182A"/>
    <w:rsid w:val="191B5BE2"/>
    <w:rsid w:val="1A2776E3"/>
    <w:rsid w:val="1C004B3C"/>
    <w:rsid w:val="1C735D50"/>
    <w:rsid w:val="1D5C3464"/>
    <w:rsid w:val="1D8E249F"/>
    <w:rsid w:val="1D992CC6"/>
    <w:rsid w:val="1DA117D6"/>
    <w:rsid w:val="1E4B65BB"/>
    <w:rsid w:val="1EB1558D"/>
    <w:rsid w:val="1ECE699F"/>
    <w:rsid w:val="1FA80990"/>
    <w:rsid w:val="20C20050"/>
    <w:rsid w:val="211219E5"/>
    <w:rsid w:val="21B225A8"/>
    <w:rsid w:val="21E9487C"/>
    <w:rsid w:val="225D0C6F"/>
    <w:rsid w:val="22C447D4"/>
    <w:rsid w:val="24552F85"/>
    <w:rsid w:val="256F44F5"/>
    <w:rsid w:val="261D1FBA"/>
    <w:rsid w:val="26CB18DC"/>
    <w:rsid w:val="275C728B"/>
    <w:rsid w:val="286A05DF"/>
    <w:rsid w:val="294D0D1A"/>
    <w:rsid w:val="296A200A"/>
    <w:rsid w:val="2A0B6CFA"/>
    <w:rsid w:val="2A20167B"/>
    <w:rsid w:val="2B2D7144"/>
    <w:rsid w:val="2C3F2300"/>
    <w:rsid w:val="2C8B2374"/>
    <w:rsid w:val="2D654973"/>
    <w:rsid w:val="2DED6716"/>
    <w:rsid w:val="2E4E5407"/>
    <w:rsid w:val="2EDB62B0"/>
    <w:rsid w:val="2F0F2DE8"/>
    <w:rsid w:val="2F805A94"/>
    <w:rsid w:val="30077F63"/>
    <w:rsid w:val="300D75BC"/>
    <w:rsid w:val="30195570"/>
    <w:rsid w:val="30D156C0"/>
    <w:rsid w:val="3155215F"/>
    <w:rsid w:val="318D51BA"/>
    <w:rsid w:val="33D9135B"/>
    <w:rsid w:val="346A5539"/>
    <w:rsid w:val="34C06933"/>
    <w:rsid w:val="34DF325D"/>
    <w:rsid w:val="367B5207"/>
    <w:rsid w:val="36D12FBD"/>
    <w:rsid w:val="36F75519"/>
    <w:rsid w:val="370536C8"/>
    <w:rsid w:val="37076A9B"/>
    <w:rsid w:val="37621F23"/>
    <w:rsid w:val="378553A6"/>
    <w:rsid w:val="37AE5B51"/>
    <w:rsid w:val="386F1A5B"/>
    <w:rsid w:val="39484EA6"/>
    <w:rsid w:val="396801CB"/>
    <w:rsid w:val="39F71049"/>
    <w:rsid w:val="3BB47CA9"/>
    <w:rsid w:val="3C267A21"/>
    <w:rsid w:val="3C6F136A"/>
    <w:rsid w:val="3D245A43"/>
    <w:rsid w:val="3D522EFB"/>
    <w:rsid w:val="3E2F1CCC"/>
    <w:rsid w:val="3E861193"/>
    <w:rsid w:val="3E9E292D"/>
    <w:rsid w:val="3ECB1DC0"/>
    <w:rsid w:val="3ECF7E9E"/>
    <w:rsid w:val="412B6B07"/>
    <w:rsid w:val="414D1C8C"/>
    <w:rsid w:val="41DD57A1"/>
    <w:rsid w:val="41E64928"/>
    <w:rsid w:val="41F9275B"/>
    <w:rsid w:val="421C37A1"/>
    <w:rsid w:val="42D13297"/>
    <w:rsid w:val="44C26097"/>
    <w:rsid w:val="44D75141"/>
    <w:rsid w:val="454F2AEF"/>
    <w:rsid w:val="45B002FD"/>
    <w:rsid w:val="45F9010E"/>
    <w:rsid w:val="469B1E35"/>
    <w:rsid w:val="46DA1AD6"/>
    <w:rsid w:val="47A45C40"/>
    <w:rsid w:val="48293BBD"/>
    <w:rsid w:val="48566986"/>
    <w:rsid w:val="487145E5"/>
    <w:rsid w:val="48B34604"/>
    <w:rsid w:val="48DD3AFF"/>
    <w:rsid w:val="49AA141C"/>
    <w:rsid w:val="4C4C1867"/>
    <w:rsid w:val="4D3D691B"/>
    <w:rsid w:val="4D930C30"/>
    <w:rsid w:val="4DB42805"/>
    <w:rsid w:val="4DCF7EBB"/>
    <w:rsid w:val="4DE70C26"/>
    <w:rsid w:val="50447942"/>
    <w:rsid w:val="50527440"/>
    <w:rsid w:val="50B909AE"/>
    <w:rsid w:val="51C800EA"/>
    <w:rsid w:val="51DE16DB"/>
    <w:rsid w:val="525E1949"/>
    <w:rsid w:val="52667A9F"/>
    <w:rsid w:val="528F1C9C"/>
    <w:rsid w:val="52A05C45"/>
    <w:rsid w:val="536B6ED5"/>
    <w:rsid w:val="5400427A"/>
    <w:rsid w:val="54372316"/>
    <w:rsid w:val="549C6418"/>
    <w:rsid w:val="54A41EF9"/>
    <w:rsid w:val="54C54D8B"/>
    <w:rsid w:val="54DC7D1A"/>
    <w:rsid w:val="551209F5"/>
    <w:rsid w:val="554645C0"/>
    <w:rsid w:val="55512F2E"/>
    <w:rsid w:val="55D1679A"/>
    <w:rsid w:val="56B23ED5"/>
    <w:rsid w:val="58095D77"/>
    <w:rsid w:val="58A106A5"/>
    <w:rsid w:val="58E24B57"/>
    <w:rsid w:val="59100350"/>
    <w:rsid w:val="593A2AA7"/>
    <w:rsid w:val="597E4CEF"/>
    <w:rsid w:val="599827B6"/>
    <w:rsid w:val="59990339"/>
    <w:rsid w:val="5B097EAE"/>
    <w:rsid w:val="5B191D0A"/>
    <w:rsid w:val="5B7444A4"/>
    <w:rsid w:val="5CDA3267"/>
    <w:rsid w:val="5CF03D17"/>
    <w:rsid w:val="5D025301"/>
    <w:rsid w:val="5D1F7AB5"/>
    <w:rsid w:val="5D594223"/>
    <w:rsid w:val="5E197BBC"/>
    <w:rsid w:val="5E486F56"/>
    <w:rsid w:val="5E9717DF"/>
    <w:rsid w:val="5EF92E59"/>
    <w:rsid w:val="5F400997"/>
    <w:rsid w:val="5F792F33"/>
    <w:rsid w:val="607A3EFB"/>
    <w:rsid w:val="60D4525A"/>
    <w:rsid w:val="61543F63"/>
    <w:rsid w:val="61686204"/>
    <w:rsid w:val="628D4A5B"/>
    <w:rsid w:val="62E25A94"/>
    <w:rsid w:val="63186AAC"/>
    <w:rsid w:val="632F323E"/>
    <w:rsid w:val="63401D75"/>
    <w:rsid w:val="637A5D7B"/>
    <w:rsid w:val="64063AB3"/>
    <w:rsid w:val="64CF5A97"/>
    <w:rsid w:val="64D836A1"/>
    <w:rsid w:val="65105B2E"/>
    <w:rsid w:val="66515005"/>
    <w:rsid w:val="665936D0"/>
    <w:rsid w:val="675610D1"/>
    <w:rsid w:val="67731205"/>
    <w:rsid w:val="67777E0D"/>
    <w:rsid w:val="68447C83"/>
    <w:rsid w:val="685847A6"/>
    <w:rsid w:val="69AF35C7"/>
    <w:rsid w:val="69B22561"/>
    <w:rsid w:val="6A130CD7"/>
    <w:rsid w:val="6DC74E4B"/>
    <w:rsid w:val="6DF6608E"/>
    <w:rsid w:val="6E6E7F8C"/>
    <w:rsid w:val="6EC57DEC"/>
    <w:rsid w:val="6FC254E0"/>
    <w:rsid w:val="6FD9793A"/>
    <w:rsid w:val="6FE82B4B"/>
    <w:rsid w:val="70180580"/>
    <w:rsid w:val="702B176E"/>
    <w:rsid w:val="70AB06C0"/>
    <w:rsid w:val="70E92792"/>
    <w:rsid w:val="717F6AF4"/>
    <w:rsid w:val="720A79B5"/>
    <w:rsid w:val="72DD3318"/>
    <w:rsid w:val="733E6DC5"/>
    <w:rsid w:val="738E4426"/>
    <w:rsid w:val="74123DAE"/>
    <w:rsid w:val="745D34EE"/>
    <w:rsid w:val="74CF4BF0"/>
    <w:rsid w:val="752A5C32"/>
    <w:rsid w:val="764E00D9"/>
    <w:rsid w:val="77660C7B"/>
    <w:rsid w:val="77B30444"/>
    <w:rsid w:val="78CD387E"/>
    <w:rsid w:val="78FF2954"/>
    <w:rsid w:val="78FF5EC9"/>
    <w:rsid w:val="79EB626C"/>
    <w:rsid w:val="7B4C60F3"/>
    <w:rsid w:val="7BC27B79"/>
    <w:rsid w:val="7BD058C6"/>
    <w:rsid w:val="7C137186"/>
    <w:rsid w:val="7D494795"/>
    <w:rsid w:val="7D7A4E9D"/>
    <w:rsid w:val="7D8053CE"/>
    <w:rsid w:val="7DDC0909"/>
    <w:rsid w:val="7F3E014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3">
    <w:name w:val="heading 1"/>
    <w:basedOn w:val="1"/>
    <w:next w:val="1"/>
    <w:qFormat/>
    <w:uiPriority w:val="0"/>
    <w:pPr>
      <w:keepNext/>
      <w:keepLines/>
      <w:spacing w:beforeLines="0" w:beforeAutospacing="0" w:afterLines="0" w:afterAutospacing="0" w:line="360" w:lineRule="auto"/>
      <w:ind w:firstLine="0" w:firstLineChars="0"/>
      <w:jc w:val="center"/>
      <w:outlineLvl w:val="0"/>
    </w:pPr>
    <w:rPr>
      <w:b/>
      <w:kern w:val="44"/>
      <w:sz w:val="32"/>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4">
    <w:name w:val="Body Text"/>
    <w:basedOn w:val="1"/>
    <w:semiHidden/>
    <w:qFormat/>
    <w:uiPriority w:val="0"/>
    <w:rPr>
      <w:rFonts w:ascii="Arial" w:hAnsi="Arial" w:eastAsia="Arial" w:cs="Arial"/>
      <w:sz w:val="21"/>
      <w:szCs w:val="21"/>
      <w:lang w:val="en-US" w:eastAsia="en-US" w:bidi="ar-SA"/>
    </w:rPr>
  </w:style>
  <w:style w:type="paragraph" w:styleId="5">
    <w:name w:val="toc 3"/>
    <w:basedOn w:val="1"/>
    <w:next w:val="1"/>
    <w:qFormat/>
    <w:uiPriority w:val="0"/>
    <w:pPr>
      <w:ind w:left="840" w:leftChars="400"/>
    </w:p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1"/>
    <w:basedOn w:val="1"/>
    <w:next w:val="1"/>
    <w:qFormat/>
    <w:uiPriority w:val="0"/>
  </w:style>
  <w:style w:type="paragraph" w:styleId="8">
    <w:name w:val="toc 2"/>
    <w:basedOn w:val="1"/>
    <w:next w:val="1"/>
    <w:qFormat/>
    <w:uiPriority w:val="0"/>
    <w:pPr>
      <w:ind w:left="420" w:leftChars="200"/>
    </w:pPr>
  </w:style>
  <w:style w:type="table" w:styleId="10">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basedOn w:val="11"/>
    <w:qFormat/>
    <w:uiPriority w:val="0"/>
  </w:style>
  <w:style w:type="character" w:styleId="13">
    <w:name w:val="FollowedHyperlink"/>
    <w:basedOn w:val="11"/>
    <w:qFormat/>
    <w:uiPriority w:val="0"/>
    <w:rPr>
      <w:color w:val="800080"/>
      <w:u w:val="none"/>
    </w:rPr>
  </w:style>
  <w:style w:type="character" w:styleId="14">
    <w:name w:val="Emphasis"/>
    <w:basedOn w:val="11"/>
    <w:qFormat/>
    <w:uiPriority w:val="0"/>
  </w:style>
  <w:style w:type="character" w:styleId="15">
    <w:name w:val="HTML Definition"/>
    <w:basedOn w:val="11"/>
    <w:qFormat/>
    <w:uiPriority w:val="0"/>
  </w:style>
  <w:style w:type="character" w:styleId="16">
    <w:name w:val="HTML Typewriter"/>
    <w:basedOn w:val="11"/>
    <w:qFormat/>
    <w:uiPriority w:val="0"/>
    <w:rPr>
      <w:rFonts w:hint="default" w:ascii="monospace" w:hAnsi="monospace" w:eastAsia="monospace" w:cs="monospace"/>
      <w:sz w:val="20"/>
    </w:rPr>
  </w:style>
  <w:style w:type="character" w:styleId="17">
    <w:name w:val="HTML Acronym"/>
    <w:basedOn w:val="11"/>
    <w:qFormat/>
    <w:uiPriority w:val="0"/>
  </w:style>
  <w:style w:type="character" w:styleId="18">
    <w:name w:val="HTML Variable"/>
    <w:basedOn w:val="11"/>
    <w:qFormat/>
    <w:uiPriority w:val="0"/>
  </w:style>
  <w:style w:type="character" w:styleId="19">
    <w:name w:val="Hyperlink"/>
    <w:basedOn w:val="11"/>
    <w:qFormat/>
    <w:uiPriority w:val="0"/>
    <w:rPr>
      <w:color w:val="0000FF"/>
      <w:u w:val="none"/>
    </w:rPr>
  </w:style>
  <w:style w:type="character" w:styleId="20">
    <w:name w:val="HTML Code"/>
    <w:basedOn w:val="11"/>
    <w:qFormat/>
    <w:uiPriority w:val="0"/>
    <w:rPr>
      <w:rFonts w:ascii="monospace" w:hAnsi="monospace" w:eastAsia="monospace" w:cs="monospace"/>
      <w:sz w:val="20"/>
    </w:rPr>
  </w:style>
  <w:style w:type="character" w:styleId="21">
    <w:name w:val="HTML Cite"/>
    <w:basedOn w:val="11"/>
    <w:qFormat/>
    <w:uiPriority w:val="0"/>
  </w:style>
  <w:style w:type="character" w:styleId="22">
    <w:name w:val="HTML Keyboard"/>
    <w:basedOn w:val="11"/>
    <w:qFormat/>
    <w:uiPriority w:val="0"/>
    <w:rPr>
      <w:rFonts w:hint="default" w:ascii="monospace" w:hAnsi="monospace" w:eastAsia="monospace" w:cs="monospace"/>
      <w:sz w:val="20"/>
    </w:rPr>
  </w:style>
  <w:style w:type="character" w:styleId="23">
    <w:name w:val="HTML Sample"/>
    <w:basedOn w:val="11"/>
    <w:qFormat/>
    <w:uiPriority w:val="0"/>
    <w:rPr>
      <w:rFonts w:hint="default" w:ascii="monospace" w:hAnsi="monospace" w:eastAsia="monospace" w:cs="monospace"/>
    </w:rPr>
  </w:style>
  <w:style w:type="table" w:customStyle="1" w:styleId="24">
    <w:name w:val="Table Normal"/>
    <w:semiHidden/>
    <w:unhideWhenUsed/>
    <w:qFormat/>
    <w:uiPriority w:val="0"/>
    <w:tblPr>
      <w:tblCellMar>
        <w:top w:w="0" w:type="dxa"/>
        <w:left w:w="0" w:type="dxa"/>
        <w:bottom w:w="0" w:type="dxa"/>
        <w:right w:w="0" w:type="dxa"/>
      </w:tblCellMar>
    </w:tblPr>
  </w:style>
  <w:style w:type="paragraph" w:customStyle="1" w:styleId="25">
    <w:name w:val="Table Text"/>
    <w:basedOn w:val="1"/>
    <w:semiHidden/>
    <w:qFormat/>
    <w:uiPriority w:val="0"/>
    <w:rPr>
      <w:rFonts w:ascii="宋体" w:hAnsi="宋体" w:eastAsia="宋体" w:cs="宋体"/>
      <w:sz w:val="20"/>
      <w:szCs w:val="20"/>
      <w:lang w:val="en-US" w:eastAsia="en-US" w:bidi="ar-SA"/>
    </w:rPr>
  </w:style>
  <w:style w:type="character" w:customStyle="1" w:styleId="26">
    <w:name w:val="hover"/>
    <w:basedOn w:val="11"/>
    <w:qFormat/>
    <w:uiPriority w:val="0"/>
  </w:style>
  <w:style w:type="character" w:customStyle="1" w:styleId="27">
    <w:name w:val="hover1"/>
    <w:basedOn w:val="11"/>
    <w:qFormat/>
    <w:uiPriority w:val="0"/>
    <w:rPr>
      <w:color w:val="2590EB"/>
    </w:rPr>
  </w:style>
  <w:style w:type="character" w:customStyle="1" w:styleId="28">
    <w:name w:val="hover2"/>
    <w:basedOn w:val="11"/>
    <w:qFormat/>
    <w:uiPriority w:val="0"/>
    <w:rPr>
      <w:color w:val="2590EB"/>
    </w:rPr>
  </w:style>
  <w:style w:type="character" w:customStyle="1" w:styleId="29">
    <w:name w:val="hover3"/>
    <w:basedOn w:val="11"/>
    <w:qFormat/>
    <w:uiPriority w:val="0"/>
  </w:style>
  <w:style w:type="paragraph" w:customStyle="1" w:styleId="30">
    <w:name w:val="WPSOffice手动目录 1"/>
    <w:qFormat/>
    <w:uiPriority w:val="0"/>
    <w:pPr>
      <w:ind w:leftChars="0"/>
    </w:pPr>
    <w:rPr>
      <w:rFonts w:ascii="Times New Roman" w:hAnsi="Times New Roman" w:eastAsia="宋体" w:cs="Times New Roman"/>
      <w:sz w:val="20"/>
      <w:szCs w:val="20"/>
    </w:rPr>
  </w:style>
  <w:style w:type="paragraph" w:customStyle="1" w:styleId="31">
    <w:name w:val="WPSOffice手动目录 2"/>
    <w:qFormat/>
    <w:uiPriority w:val="0"/>
    <w:pPr>
      <w:ind w:leftChars="200"/>
    </w:pPr>
    <w:rPr>
      <w:rFonts w:ascii="Times New Roman" w:hAnsi="Times New Roman" w:eastAsia="宋体" w:cs="Times New Roman"/>
      <w:sz w:val="20"/>
      <w:szCs w:val="20"/>
    </w:rPr>
  </w:style>
  <w:style w:type="paragraph" w:customStyle="1" w:styleId="32">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9" Type="http://schemas.openxmlformats.org/officeDocument/2006/relationships/header" Target="header42.xml"/><Relationship Id="rId98" Type="http://schemas.openxmlformats.org/officeDocument/2006/relationships/footer" Target="footer53.xml"/><Relationship Id="rId97" Type="http://schemas.openxmlformats.org/officeDocument/2006/relationships/header" Target="header41.xml"/><Relationship Id="rId96" Type="http://schemas.openxmlformats.org/officeDocument/2006/relationships/footer" Target="footer52.xml"/><Relationship Id="rId95" Type="http://schemas.openxmlformats.org/officeDocument/2006/relationships/footer" Target="footer51.xml"/><Relationship Id="rId94" Type="http://schemas.openxmlformats.org/officeDocument/2006/relationships/header" Target="header40.xml"/><Relationship Id="rId93" Type="http://schemas.openxmlformats.org/officeDocument/2006/relationships/footer" Target="footer50.xml"/><Relationship Id="rId92" Type="http://schemas.openxmlformats.org/officeDocument/2006/relationships/header" Target="header39.xml"/><Relationship Id="rId91" Type="http://schemas.openxmlformats.org/officeDocument/2006/relationships/footer" Target="footer49.xml"/><Relationship Id="rId90" Type="http://schemas.openxmlformats.org/officeDocument/2006/relationships/header" Target="header38.xml"/><Relationship Id="rId9" Type="http://schemas.openxmlformats.org/officeDocument/2006/relationships/header" Target="header2.xml"/><Relationship Id="rId89" Type="http://schemas.openxmlformats.org/officeDocument/2006/relationships/footer" Target="footer48.xml"/><Relationship Id="rId88" Type="http://schemas.openxmlformats.org/officeDocument/2006/relationships/header" Target="header37.xml"/><Relationship Id="rId87" Type="http://schemas.openxmlformats.org/officeDocument/2006/relationships/footer" Target="footer47.xml"/><Relationship Id="rId86" Type="http://schemas.openxmlformats.org/officeDocument/2006/relationships/header" Target="header36.xml"/><Relationship Id="rId85" Type="http://schemas.openxmlformats.org/officeDocument/2006/relationships/footer" Target="footer46.xml"/><Relationship Id="rId84" Type="http://schemas.openxmlformats.org/officeDocument/2006/relationships/footer" Target="footer45.xml"/><Relationship Id="rId83" Type="http://schemas.openxmlformats.org/officeDocument/2006/relationships/header" Target="header35.xml"/><Relationship Id="rId82" Type="http://schemas.openxmlformats.org/officeDocument/2006/relationships/footer" Target="footer44.xml"/><Relationship Id="rId81" Type="http://schemas.openxmlformats.org/officeDocument/2006/relationships/header" Target="header34.xml"/><Relationship Id="rId80" Type="http://schemas.openxmlformats.org/officeDocument/2006/relationships/footer" Target="footer43.xml"/><Relationship Id="rId8" Type="http://schemas.openxmlformats.org/officeDocument/2006/relationships/footer" Target="footer3.xml"/><Relationship Id="rId79" Type="http://schemas.openxmlformats.org/officeDocument/2006/relationships/header" Target="header33.xml"/><Relationship Id="rId78" Type="http://schemas.openxmlformats.org/officeDocument/2006/relationships/footer" Target="footer42.xml"/><Relationship Id="rId77" Type="http://schemas.openxmlformats.org/officeDocument/2006/relationships/header" Target="header32.xml"/><Relationship Id="rId76" Type="http://schemas.openxmlformats.org/officeDocument/2006/relationships/footer" Target="footer41.xml"/><Relationship Id="rId75" Type="http://schemas.openxmlformats.org/officeDocument/2006/relationships/header" Target="header31.xml"/><Relationship Id="rId74" Type="http://schemas.openxmlformats.org/officeDocument/2006/relationships/footer" Target="footer40.xml"/><Relationship Id="rId73" Type="http://schemas.openxmlformats.org/officeDocument/2006/relationships/header" Target="header30.xml"/><Relationship Id="rId72" Type="http://schemas.openxmlformats.org/officeDocument/2006/relationships/footer" Target="footer39.xml"/><Relationship Id="rId71" Type="http://schemas.openxmlformats.org/officeDocument/2006/relationships/header" Target="header29.xml"/><Relationship Id="rId70" Type="http://schemas.openxmlformats.org/officeDocument/2006/relationships/footer" Target="footer38.xml"/><Relationship Id="rId7" Type="http://schemas.openxmlformats.org/officeDocument/2006/relationships/footer" Target="footer2.xml"/><Relationship Id="rId69" Type="http://schemas.openxmlformats.org/officeDocument/2006/relationships/header" Target="header28.xml"/><Relationship Id="rId68" Type="http://schemas.openxmlformats.org/officeDocument/2006/relationships/footer" Target="footer37.xml"/><Relationship Id="rId67" Type="http://schemas.openxmlformats.org/officeDocument/2006/relationships/header" Target="header27.xml"/><Relationship Id="rId66" Type="http://schemas.openxmlformats.org/officeDocument/2006/relationships/footer" Target="footer36.xml"/><Relationship Id="rId65" Type="http://schemas.openxmlformats.org/officeDocument/2006/relationships/header" Target="header26.xml"/><Relationship Id="rId64" Type="http://schemas.openxmlformats.org/officeDocument/2006/relationships/footer" Target="footer35.xml"/><Relationship Id="rId63" Type="http://schemas.openxmlformats.org/officeDocument/2006/relationships/header" Target="header25.xml"/><Relationship Id="rId62" Type="http://schemas.openxmlformats.org/officeDocument/2006/relationships/footer" Target="footer34.xml"/><Relationship Id="rId61" Type="http://schemas.openxmlformats.org/officeDocument/2006/relationships/header" Target="header24.xml"/><Relationship Id="rId60" Type="http://schemas.openxmlformats.org/officeDocument/2006/relationships/footer" Target="footer33.xml"/><Relationship Id="rId6" Type="http://schemas.openxmlformats.org/officeDocument/2006/relationships/header" Target="header1.xml"/><Relationship Id="rId59" Type="http://schemas.openxmlformats.org/officeDocument/2006/relationships/header" Target="header23.xml"/><Relationship Id="rId58" Type="http://schemas.openxmlformats.org/officeDocument/2006/relationships/footer" Target="footer32.xml"/><Relationship Id="rId57" Type="http://schemas.openxmlformats.org/officeDocument/2006/relationships/header" Target="header22.xml"/><Relationship Id="rId56" Type="http://schemas.openxmlformats.org/officeDocument/2006/relationships/footer" Target="footer31.xml"/><Relationship Id="rId55" Type="http://schemas.openxmlformats.org/officeDocument/2006/relationships/header" Target="header21.xml"/><Relationship Id="rId54" Type="http://schemas.openxmlformats.org/officeDocument/2006/relationships/footer" Target="footer30.xml"/><Relationship Id="rId53" Type="http://schemas.openxmlformats.org/officeDocument/2006/relationships/header" Target="header20.xml"/><Relationship Id="rId52" Type="http://schemas.openxmlformats.org/officeDocument/2006/relationships/footer" Target="footer29.xml"/><Relationship Id="rId51" Type="http://schemas.openxmlformats.org/officeDocument/2006/relationships/header" Target="header19.xml"/><Relationship Id="rId50" Type="http://schemas.openxmlformats.org/officeDocument/2006/relationships/footer" Target="footer28.xml"/><Relationship Id="rId5" Type="http://schemas.openxmlformats.org/officeDocument/2006/relationships/footer" Target="footer1.xml"/><Relationship Id="rId49" Type="http://schemas.openxmlformats.org/officeDocument/2006/relationships/header" Target="header18.xml"/><Relationship Id="rId48" Type="http://schemas.openxmlformats.org/officeDocument/2006/relationships/footer" Target="footer27.xml"/><Relationship Id="rId47" Type="http://schemas.openxmlformats.org/officeDocument/2006/relationships/header" Target="header17.xml"/><Relationship Id="rId46" Type="http://schemas.openxmlformats.org/officeDocument/2006/relationships/footer" Target="footer26.xml"/><Relationship Id="rId45" Type="http://schemas.openxmlformats.org/officeDocument/2006/relationships/header" Target="header16.xml"/><Relationship Id="rId44" Type="http://schemas.openxmlformats.org/officeDocument/2006/relationships/footer" Target="footer25.xml"/><Relationship Id="rId43" Type="http://schemas.openxmlformats.org/officeDocument/2006/relationships/footer" Target="footer24.xml"/><Relationship Id="rId42" Type="http://schemas.openxmlformats.org/officeDocument/2006/relationships/header" Target="header15.xml"/><Relationship Id="rId41" Type="http://schemas.openxmlformats.org/officeDocument/2006/relationships/footer" Target="footer23.xml"/><Relationship Id="rId40" Type="http://schemas.openxmlformats.org/officeDocument/2006/relationships/header" Target="header14.xml"/><Relationship Id="rId4" Type="http://schemas.openxmlformats.org/officeDocument/2006/relationships/endnotes" Target="endnotes.xml"/><Relationship Id="rId39" Type="http://schemas.openxmlformats.org/officeDocument/2006/relationships/footer" Target="footer22.xml"/><Relationship Id="rId38" Type="http://schemas.openxmlformats.org/officeDocument/2006/relationships/footer" Target="footer21.xml"/><Relationship Id="rId37" Type="http://schemas.openxmlformats.org/officeDocument/2006/relationships/header" Target="header13.xml"/><Relationship Id="rId36" Type="http://schemas.openxmlformats.org/officeDocument/2006/relationships/footer" Target="footer20.xml"/><Relationship Id="rId35" Type="http://schemas.openxmlformats.org/officeDocument/2006/relationships/header" Target="header12.xml"/><Relationship Id="rId34" Type="http://schemas.openxmlformats.org/officeDocument/2006/relationships/footer" Target="footer19.xml"/><Relationship Id="rId33" Type="http://schemas.openxmlformats.org/officeDocument/2006/relationships/header" Target="header11.xml"/><Relationship Id="rId322" Type="http://schemas.openxmlformats.org/officeDocument/2006/relationships/fontTable" Target="fontTable.xml"/><Relationship Id="rId321" Type="http://schemas.openxmlformats.org/officeDocument/2006/relationships/numbering" Target="numbering.xml"/><Relationship Id="rId320" Type="http://schemas.openxmlformats.org/officeDocument/2006/relationships/customXml" Target="../customXml/item1.xml"/><Relationship Id="rId32" Type="http://schemas.openxmlformats.org/officeDocument/2006/relationships/footer" Target="footer18.xml"/><Relationship Id="rId319" Type="http://schemas.openxmlformats.org/officeDocument/2006/relationships/image" Target="media/image8.png"/><Relationship Id="rId318" Type="http://schemas.openxmlformats.org/officeDocument/2006/relationships/image" Target="media/image7.png"/><Relationship Id="rId317" Type="http://schemas.openxmlformats.org/officeDocument/2006/relationships/image" Target="media/image6.png"/><Relationship Id="rId316" Type="http://schemas.openxmlformats.org/officeDocument/2006/relationships/image" Target="media/image5.png"/><Relationship Id="rId315" Type="http://schemas.openxmlformats.org/officeDocument/2006/relationships/image" Target="media/image4.png"/><Relationship Id="rId314" Type="http://schemas.openxmlformats.org/officeDocument/2006/relationships/image" Target="media/image3.jpeg"/><Relationship Id="rId313" Type="http://schemas.openxmlformats.org/officeDocument/2006/relationships/image" Target="media/image2.png"/><Relationship Id="rId312" Type="http://schemas.openxmlformats.org/officeDocument/2006/relationships/image" Target="media/image1.png"/><Relationship Id="rId311" Type="http://schemas.openxmlformats.org/officeDocument/2006/relationships/theme" Target="theme/theme1.xml"/><Relationship Id="rId310" Type="http://schemas.openxmlformats.org/officeDocument/2006/relationships/footer" Target="footer173.xml"/><Relationship Id="rId31" Type="http://schemas.openxmlformats.org/officeDocument/2006/relationships/header" Target="header10.xml"/><Relationship Id="rId309" Type="http://schemas.openxmlformats.org/officeDocument/2006/relationships/footer" Target="footer172.xml"/><Relationship Id="rId308" Type="http://schemas.openxmlformats.org/officeDocument/2006/relationships/header" Target="header133.xml"/><Relationship Id="rId307" Type="http://schemas.openxmlformats.org/officeDocument/2006/relationships/footer" Target="footer171.xml"/><Relationship Id="rId306" Type="http://schemas.openxmlformats.org/officeDocument/2006/relationships/header" Target="header132.xml"/><Relationship Id="rId305" Type="http://schemas.openxmlformats.org/officeDocument/2006/relationships/footer" Target="footer170.xml"/><Relationship Id="rId304" Type="http://schemas.openxmlformats.org/officeDocument/2006/relationships/header" Target="header131.xml"/><Relationship Id="rId303" Type="http://schemas.openxmlformats.org/officeDocument/2006/relationships/footer" Target="footer169.xml"/><Relationship Id="rId302" Type="http://schemas.openxmlformats.org/officeDocument/2006/relationships/footer" Target="footer168.xml"/><Relationship Id="rId301" Type="http://schemas.openxmlformats.org/officeDocument/2006/relationships/header" Target="header130.xml"/><Relationship Id="rId300" Type="http://schemas.openxmlformats.org/officeDocument/2006/relationships/footer" Target="footer167.xml"/><Relationship Id="rId30" Type="http://schemas.openxmlformats.org/officeDocument/2006/relationships/footer" Target="footer17.xml"/><Relationship Id="rId3" Type="http://schemas.openxmlformats.org/officeDocument/2006/relationships/footnotes" Target="footnotes.xml"/><Relationship Id="rId299" Type="http://schemas.openxmlformats.org/officeDocument/2006/relationships/footer" Target="footer166.xml"/><Relationship Id="rId298" Type="http://schemas.openxmlformats.org/officeDocument/2006/relationships/footer" Target="footer165.xml"/><Relationship Id="rId297" Type="http://schemas.openxmlformats.org/officeDocument/2006/relationships/header" Target="header129.xml"/><Relationship Id="rId296" Type="http://schemas.openxmlformats.org/officeDocument/2006/relationships/footer" Target="footer164.xml"/><Relationship Id="rId295" Type="http://schemas.openxmlformats.org/officeDocument/2006/relationships/footer" Target="footer163.xml"/><Relationship Id="rId294" Type="http://schemas.openxmlformats.org/officeDocument/2006/relationships/footer" Target="footer162.xml"/><Relationship Id="rId293" Type="http://schemas.openxmlformats.org/officeDocument/2006/relationships/header" Target="header128.xml"/><Relationship Id="rId292" Type="http://schemas.openxmlformats.org/officeDocument/2006/relationships/footer" Target="footer161.xml"/><Relationship Id="rId291" Type="http://schemas.openxmlformats.org/officeDocument/2006/relationships/header" Target="header127.xml"/><Relationship Id="rId290" Type="http://schemas.openxmlformats.org/officeDocument/2006/relationships/footer" Target="footer160.xml"/><Relationship Id="rId29" Type="http://schemas.openxmlformats.org/officeDocument/2006/relationships/header" Target="header9.xml"/><Relationship Id="rId289" Type="http://schemas.openxmlformats.org/officeDocument/2006/relationships/header" Target="header126.xml"/><Relationship Id="rId288" Type="http://schemas.openxmlformats.org/officeDocument/2006/relationships/footer" Target="footer159.xml"/><Relationship Id="rId287" Type="http://schemas.openxmlformats.org/officeDocument/2006/relationships/header" Target="header125.xml"/><Relationship Id="rId286" Type="http://schemas.openxmlformats.org/officeDocument/2006/relationships/footer" Target="footer158.xml"/><Relationship Id="rId285" Type="http://schemas.openxmlformats.org/officeDocument/2006/relationships/header" Target="header124.xml"/><Relationship Id="rId284" Type="http://schemas.openxmlformats.org/officeDocument/2006/relationships/footer" Target="footer157.xml"/><Relationship Id="rId283" Type="http://schemas.openxmlformats.org/officeDocument/2006/relationships/header" Target="header123.xml"/><Relationship Id="rId282" Type="http://schemas.openxmlformats.org/officeDocument/2006/relationships/footer" Target="footer156.xml"/><Relationship Id="rId281" Type="http://schemas.openxmlformats.org/officeDocument/2006/relationships/header" Target="header122.xml"/><Relationship Id="rId280" Type="http://schemas.openxmlformats.org/officeDocument/2006/relationships/footer" Target="footer155.xml"/><Relationship Id="rId28" Type="http://schemas.openxmlformats.org/officeDocument/2006/relationships/footer" Target="footer16.xml"/><Relationship Id="rId279" Type="http://schemas.openxmlformats.org/officeDocument/2006/relationships/header" Target="header121.xml"/><Relationship Id="rId278" Type="http://schemas.openxmlformats.org/officeDocument/2006/relationships/footer" Target="footer154.xml"/><Relationship Id="rId277" Type="http://schemas.openxmlformats.org/officeDocument/2006/relationships/header" Target="header120.xml"/><Relationship Id="rId276" Type="http://schemas.openxmlformats.org/officeDocument/2006/relationships/footer" Target="footer153.xml"/><Relationship Id="rId275" Type="http://schemas.openxmlformats.org/officeDocument/2006/relationships/header" Target="header119.xml"/><Relationship Id="rId274" Type="http://schemas.openxmlformats.org/officeDocument/2006/relationships/footer" Target="footer152.xml"/><Relationship Id="rId273" Type="http://schemas.openxmlformats.org/officeDocument/2006/relationships/header" Target="header118.xml"/><Relationship Id="rId272" Type="http://schemas.openxmlformats.org/officeDocument/2006/relationships/footer" Target="footer151.xml"/><Relationship Id="rId271" Type="http://schemas.openxmlformats.org/officeDocument/2006/relationships/header" Target="header117.xml"/><Relationship Id="rId270" Type="http://schemas.openxmlformats.org/officeDocument/2006/relationships/footer" Target="footer150.xml"/><Relationship Id="rId27" Type="http://schemas.openxmlformats.org/officeDocument/2006/relationships/header" Target="header8.xml"/><Relationship Id="rId269" Type="http://schemas.openxmlformats.org/officeDocument/2006/relationships/header" Target="header116.xml"/><Relationship Id="rId268" Type="http://schemas.openxmlformats.org/officeDocument/2006/relationships/footer" Target="footer149.xml"/><Relationship Id="rId267" Type="http://schemas.openxmlformats.org/officeDocument/2006/relationships/header" Target="header115.xml"/><Relationship Id="rId266" Type="http://schemas.openxmlformats.org/officeDocument/2006/relationships/footer" Target="footer148.xml"/><Relationship Id="rId265" Type="http://schemas.openxmlformats.org/officeDocument/2006/relationships/header" Target="header114.xml"/><Relationship Id="rId264" Type="http://schemas.openxmlformats.org/officeDocument/2006/relationships/footer" Target="footer147.xml"/><Relationship Id="rId263" Type="http://schemas.openxmlformats.org/officeDocument/2006/relationships/header" Target="header113.xml"/><Relationship Id="rId262" Type="http://schemas.openxmlformats.org/officeDocument/2006/relationships/footer" Target="footer146.xml"/><Relationship Id="rId261" Type="http://schemas.openxmlformats.org/officeDocument/2006/relationships/header" Target="header112.xml"/><Relationship Id="rId260" Type="http://schemas.openxmlformats.org/officeDocument/2006/relationships/footer" Target="footer145.xml"/><Relationship Id="rId26" Type="http://schemas.openxmlformats.org/officeDocument/2006/relationships/footer" Target="footer15.xml"/><Relationship Id="rId259" Type="http://schemas.openxmlformats.org/officeDocument/2006/relationships/header" Target="header111.xml"/><Relationship Id="rId258" Type="http://schemas.openxmlformats.org/officeDocument/2006/relationships/footer" Target="footer144.xml"/><Relationship Id="rId257" Type="http://schemas.openxmlformats.org/officeDocument/2006/relationships/header" Target="header110.xml"/><Relationship Id="rId256" Type="http://schemas.openxmlformats.org/officeDocument/2006/relationships/footer" Target="footer143.xml"/><Relationship Id="rId255" Type="http://schemas.openxmlformats.org/officeDocument/2006/relationships/header" Target="header109.xml"/><Relationship Id="rId254" Type="http://schemas.openxmlformats.org/officeDocument/2006/relationships/footer" Target="footer142.xml"/><Relationship Id="rId253" Type="http://schemas.openxmlformats.org/officeDocument/2006/relationships/header" Target="header108.xml"/><Relationship Id="rId252" Type="http://schemas.openxmlformats.org/officeDocument/2006/relationships/footer" Target="footer141.xml"/><Relationship Id="rId251" Type="http://schemas.openxmlformats.org/officeDocument/2006/relationships/header" Target="header107.xml"/><Relationship Id="rId250" Type="http://schemas.openxmlformats.org/officeDocument/2006/relationships/footer" Target="footer140.xml"/><Relationship Id="rId25" Type="http://schemas.openxmlformats.org/officeDocument/2006/relationships/header" Target="header7.xml"/><Relationship Id="rId249" Type="http://schemas.openxmlformats.org/officeDocument/2006/relationships/header" Target="header106.xml"/><Relationship Id="rId248" Type="http://schemas.openxmlformats.org/officeDocument/2006/relationships/footer" Target="footer139.xml"/><Relationship Id="rId247" Type="http://schemas.openxmlformats.org/officeDocument/2006/relationships/header" Target="header105.xml"/><Relationship Id="rId246" Type="http://schemas.openxmlformats.org/officeDocument/2006/relationships/footer" Target="footer138.xml"/><Relationship Id="rId245" Type="http://schemas.openxmlformats.org/officeDocument/2006/relationships/header" Target="header104.xml"/><Relationship Id="rId244" Type="http://schemas.openxmlformats.org/officeDocument/2006/relationships/footer" Target="footer137.xml"/><Relationship Id="rId243" Type="http://schemas.openxmlformats.org/officeDocument/2006/relationships/footer" Target="footer136.xml"/><Relationship Id="rId242" Type="http://schemas.openxmlformats.org/officeDocument/2006/relationships/footer" Target="footer135.xml"/><Relationship Id="rId241" Type="http://schemas.openxmlformats.org/officeDocument/2006/relationships/header" Target="header103.xml"/><Relationship Id="rId240" Type="http://schemas.openxmlformats.org/officeDocument/2006/relationships/footer" Target="footer134.xml"/><Relationship Id="rId24" Type="http://schemas.openxmlformats.org/officeDocument/2006/relationships/footer" Target="footer14.xml"/><Relationship Id="rId239" Type="http://schemas.openxmlformats.org/officeDocument/2006/relationships/header" Target="header102.xml"/><Relationship Id="rId238" Type="http://schemas.openxmlformats.org/officeDocument/2006/relationships/footer" Target="footer133.xml"/><Relationship Id="rId237" Type="http://schemas.openxmlformats.org/officeDocument/2006/relationships/header" Target="header101.xml"/><Relationship Id="rId236" Type="http://schemas.openxmlformats.org/officeDocument/2006/relationships/footer" Target="footer132.xml"/><Relationship Id="rId235" Type="http://schemas.openxmlformats.org/officeDocument/2006/relationships/header" Target="header100.xml"/><Relationship Id="rId234" Type="http://schemas.openxmlformats.org/officeDocument/2006/relationships/footer" Target="footer131.xml"/><Relationship Id="rId233" Type="http://schemas.openxmlformats.org/officeDocument/2006/relationships/header" Target="header99.xml"/><Relationship Id="rId232" Type="http://schemas.openxmlformats.org/officeDocument/2006/relationships/footer" Target="footer130.xml"/><Relationship Id="rId231" Type="http://schemas.openxmlformats.org/officeDocument/2006/relationships/header" Target="header98.xml"/><Relationship Id="rId230" Type="http://schemas.openxmlformats.org/officeDocument/2006/relationships/footer" Target="footer129.xml"/><Relationship Id="rId23" Type="http://schemas.openxmlformats.org/officeDocument/2006/relationships/header" Target="header6.xml"/><Relationship Id="rId229" Type="http://schemas.openxmlformats.org/officeDocument/2006/relationships/header" Target="header97.xml"/><Relationship Id="rId228" Type="http://schemas.openxmlformats.org/officeDocument/2006/relationships/footer" Target="footer128.xml"/><Relationship Id="rId227" Type="http://schemas.openxmlformats.org/officeDocument/2006/relationships/footer" Target="footer127.xml"/><Relationship Id="rId226" Type="http://schemas.openxmlformats.org/officeDocument/2006/relationships/header" Target="header96.xml"/><Relationship Id="rId225" Type="http://schemas.openxmlformats.org/officeDocument/2006/relationships/footer" Target="footer126.xml"/><Relationship Id="rId224" Type="http://schemas.openxmlformats.org/officeDocument/2006/relationships/header" Target="header95.xml"/><Relationship Id="rId223" Type="http://schemas.openxmlformats.org/officeDocument/2006/relationships/footer" Target="footer125.xml"/><Relationship Id="rId222" Type="http://schemas.openxmlformats.org/officeDocument/2006/relationships/footer" Target="footer124.xml"/><Relationship Id="rId221" Type="http://schemas.openxmlformats.org/officeDocument/2006/relationships/footer" Target="footer123.xml"/><Relationship Id="rId220" Type="http://schemas.openxmlformats.org/officeDocument/2006/relationships/footer" Target="footer122.xml"/><Relationship Id="rId22" Type="http://schemas.openxmlformats.org/officeDocument/2006/relationships/footer" Target="footer13.xml"/><Relationship Id="rId219" Type="http://schemas.openxmlformats.org/officeDocument/2006/relationships/footer" Target="footer121.xml"/><Relationship Id="rId218" Type="http://schemas.openxmlformats.org/officeDocument/2006/relationships/footer" Target="footer120.xml"/><Relationship Id="rId217" Type="http://schemas.openxmlformats.org/officeDocument/2006/relationships/header" Target="header94.xml"/><Relationship Id="rId216" Type="http://schemas.openxmlformats.org/officeDocument/2006/relationships/footer" Target="footer119.xml"/><Relationship Id="rId215" Type="http://schemas.openxmlformats.org/officeDocument/2006/relationships/header" Target="header93.xml"/><Relationship Id="rId214" Type="http://schemas.openxmlformats.org/officeDocument/2006/relationships/footer" Target="footer118.xml"/><Relationship Id="rId213" Type="http://schemas.openxmlformats.org/officeDocument/2006/relationships/header" Target="header92.xml"/><Relationship Id="rId212" Type="http://schemas.openxmlformats.org/officeDocument/2006/relationships/footer" Target="footer117.xml"/><Relationship Id="rId211" Type="http://schemas.openxmlformats.org/officeDocument/2006/relationships/header" Target="header91.xml"/><Relationship Id="rId210" Type="http://schemas.openxmlformats.org/officeDocument/2006/relationships/footer" Target="footer116.xml"/><Relationship Id="rId21" Type="http://schemas.openxmlformats.org/officeDocument/2006/relationships/header" Target="header5.xml"/><Relationship Id="rId209" Type="http://schemas.openxmlformats.org/officeDocument/2006/relationships/footer" Target="footer115.xml"/><Relationship Id="rId208" Type="http://schemas.openxmlformats.org/officeDocument/2006/relationships/header" Target="header90.xml"/><Relationship Id="rId207" Type="http://schemas.openxmlformats.org/officeDocument/2006/relationships/footer" Target="footer114.xml"/><Relationship Id="rId206" Type="http://schemas.openxmlformats.org/officeDocument/2006/relationships/header" Target="header89.xml"/><Relationship Id="rId205" Type="http://schemas.openxmlformats.org/officeDocument/2006/relationships/footer" Target="footer113.xml"/><Relationship Id="rId204" Type="http://schemas.openxmlformats.org/officeDocument/2006/relationships/header" Target="header88.xml"/><Relationship Id="rId203" Type="http://schemas.openxmlformats.org/officeDocument/2006/relationships/footer" Target="footer112.xml"/><Relationship Id="rId202" Type="http://schemas.openxmlformats.org/officeDocument/2006/relationships/header" Target="header87.xml"/><Relationship Id="rId201" Type="http://schemas.openxmlformats.org/officeDocument/2006/relationships/footer" Target="footer111.xml"/><Relationship Id="rId200" Type="http://schemas.openxmlformats.org/officeDocument/2006/relationships/footer" Target="footer110.xml"/><Relationship Id="rId20" Type="http://schemas.openxmlformats.org/officeDocument/2006/relationships/footer" Target="footer12.xml"/><Relationship Id="rId2" Type="http://schemas.openxmlformats.org/officeDocument/2006/relationships/settings" Target="settings.xml"/><Relationship Id="rId199" Type="http://schemas.openxmlformats.org/officeDocument/2006/relationships/header" Target="header86.xml"/><Relationship Id="rId198" Type="http://schemas.openxmlformats.org/officeDocument/2006/relationships/footer" Target="footer109.xml"/><Relationship Id="rId197" Type="http://schemas.openxmlformats.org/officeDocument/2006/relationships/footer" Target="footer108.xml"/><Relationship Id="rId196" Type="http://schemas.openxmlformats.org/officeDocument/2006/relationships/header" Target="header85.xml"/><Relationship Id="rId195" Type="http://schemas.openxmlformats.org/officeDocument/2006/relationships/footer" Target="footer107.xml"/><Relationship Id="rId194" Type="http://schemas.openxmlformats.org/officeDocument/2006/relationships/footer" Target="footer106.xml"/><Relationship Id="rId193" Type="http://schemas.openxmlformats.org/officeDocument/2006/relationships/footer" Target="footer105.xml"/><Relationship Id="rId192" Type="http://schemas.openxmlformats.org/officeDocument/2006/relationships/header" Target="header84.xml"/><Relationship Id="rId191" Type="http://schemas.openxmlformats.org/officeDocument/2006/relationships/footer" Target="footer104.xml"/><Relationship Id="rId190" Type="http://schemas.openxmlformats.org/officeDocument/2006/relationships/header" Target="header83.xml"/><Relationship Id="rId19" Type="http://schemas.openxmlformats.org/officeDocument/2006/relationships/header" Target="header4.xml"/><Relationship Id="rId189" Type="http://schemas.openxmlformats.org/officeDocument/2006/relationships/footer" Target="footer103.xml"/><Relationship Id="rId188" Type="http://schemas.openxmlformats.org/officeDocument/2006/relationships/header" Target="header82.xml"/><Relationship Id="rId187" Type="http://schemas.openxmlformats.org/officeDocument/2006/relationships/footer" Target="footer102.xml"/><Relationship Id="rId186" Type="http://schemas.openxmlformats.org/officeDocument/2006/relationships/header" Target="header81.xml"/><Relationship Id="rId185" Type="http://schemas.openxmlformats.org/officeDocument/2006/relationships/footer" Target="footer101.xml"/><Relationship Id="rId184" Type="http://schemas.openxmlformats.org/officeDocument/2006/relationships/header" Target="header80.xml"/><Relationship Id="rId183" Type="http://schemas.openxmlformats.org/officeDocument/2006/relationships/footer" Target="footer100.xml"/><Relationship Id="rId182" Type="http://schemas.openxmlformats.org/officeDocument/2006/relationships/header" Target="header79.xml"/><Relationship Id="rId181" Type="http://schemas.openxmlformats.org/officeDocument/2006/relationships/footer" Target="footer99.xml"/><Relationship Id="rId180" Type="http://schemas.openxmlformats.org/officeDocument/2006/relationships/header" Target="header78.xml"/><Relationship Id="rId18" Type="http://schemas.openxmlformats.org/officeDocument/2006/relationships/footer" Target="footer11.xml"/><Relationship Id="rId179" Type="http://schemas.openxmlformats.org/officeDocument/2006/relationships/footer" Target="footer98.xml"/><Relationship Id="rId178" Type="http://schemas.openxmlformats.org/officeDocument/2006/relationships/header" Target="header77.xml"/><Relationship Id="rId177" Type="http://schemas.openxmlformats.org/officeDocument/2006/relationships/footer" Target="footer97.xml"/><Relationship Id="rId176" Type="http://schemas.openxmlformats.org/officeDocument/2006/relationships/header" Target="header76.xml"/><Relationship Id="rId175" Type="http://schemas.openxmlformats.org/officeDocument/2006/relationships/footer" Target="footer96.xml"/><Relationship Id="rId174" Type="http://schemas.openxmlformats.org/officeDocument/2006/relationships/header" Target="header75.xml"/><Relationship Id="rId173" Type="http://schemas.openxmlformats.org/officeDocument/2006/relationships/footer" Target="footer95.xml"/><Relationship Id="rId172" Type="http://schemas.openxmlformats.org/officeDocument/2006/relationships/header" Target="header74.xml"/><Relationship Id="rId171" Type="http://schemas.openxmlformats.org/officeDocument/2006/relationships/footer" Target="footer94.xml"/><Relationship Id="rId170" Type="http://schemas.openxmlformats.org/officeDocument/2006/relationships/header" Target="header73.xml"/><Relationship Id="rId17" Type="http://schemas.openxmlformats.org/officeDocument/2006/relationships/footer" Target="footer10.xml"/><Relationship Id="rId169" Type="http://schemas.openxmlformats.org/officeDocument/2006/relationships/footer" Target="footer93.xml"/><Relationship Id="rId168" Type="http://schemas.openxmlformats.org/officeDocument/2006/relationships/header" Target="header72.xml"/><Relationship Id="rId167" Type="http://schemas.openxmlformats.org/officeDocument/2006/relationships/footer" Target="footer92.xml"/><Relationship Id="rId166" Type="http://schemas.openxmlformats.org/officeDocument/2006/relationships/header" Target="header71.xml"/><Relationship Id="rId165" Type="http://schemas.openxmlformats.org/officeDocument/2006/relationships/footer" Target="footer91.xml"/><Relationship Id="rId164" Type="http://schemas.openxmlformats.org/officeDocument/2006/relationships/header" Target="header70.xml"/><Relationship Id="rId163" Type="http://schemas.openxmlformats.org/officeDocument/2006/relationships/footer" Target="footer90.xml"/><Relationship Id="rId162" Type="http://schemas.openxmlformats.org/officeDocument/2006/relationships/header" Target="header69.xml"/><Relationship Id="rId161" Type="http://schemas.openxmlformats.org/officeDocument/2006/relationships/footer" Target="footer89.xml"/><Relationship Id="rId160" Type="http://schemas.openxmlformats.org/officeDocument/2006/relationships/header" Target="header68.xml"/><Relationship Id="rId16" Type="http://schemas.openxmlformats.org/officeDocument/2006/relationships/footer" Target="footer9.xml"/><Relationship Id="rId159" Type="http://schemas.openxmlformats.org/officeDocument/2006/relationships/footer" Target="footer88.xml"/><Relationship Id="rId158" Type="http://schemas.openxmlformats.org/officeDocument/2006/relationships/header" Target="header67.xml"/><Relationship Id="rId157" Type="http://schemas.openxmlformats.org/officeDocument/2006/relationships/footer" Target="footer87.xml"/><Relationship Id="rId156" Type="http://schemas.openxmlformats.org/officeDocument/2006/relationships/header" Target="header66.xml"/><Relationship Id="rId155" Type="http://schemas.openxmlformats.org/officeDocument/2006/relationships/footer" Target="footer86.xml"/><Relationship Id="rId154" Type="http://schemas.openxmlformats.org/officeDocument/2006/relationships/footer" Target="footer85.xml"/><Relationship Id="rId153" Type="http://schemas.openxmlformats.org/officeDocument/2006/relationships/header" Target="header65.xml"/><Relationship Id="rId152" Type="http://schemas.openxmlformats.org/officeDocument/2006/relationships/footer" Target="footer84.xml"/><Relationship Id="rId151" Type="http://schemas.openxmlformats.org/officeDocument/2006/relationships/header" Target="header64.xml"/><Relationship Id="rId150" Type="http://schemas.openxmlformats.org/officeDocument/2006/relationships/footer" Target="footer83.xml"/><Relationship Id="rId15" Type="http://schemas.openxmlformats.org/officeDocument/2006/relationships/footer" Target="footer8.xml"/><Relationship Id="rId149" Type="http://schemas.openxmlformats.org/officeDocument/2006/relationships/header" Target="header63.xml"/><Relationship Id="rId148" Type="http://schemas.openxmlformats.org/officeDocument/2006/relationships/footer" Target="footer82.xml"/><Relationship Id="rId147" Type="http://schemas.openxmlformats.org/officeDocument/2006/relationships/header" Target="header62.xml"/><Relationship Id="rId146" Type="http://schemas.openxmlformats.org/officeDocument/2006/relationships/footer" Target="footer81.xml"/><Relationship Id="rId145" Type="http://schemas.openxmlformats.org/officeDocument/2006/relationships/header" Target="header61.xml"/><Relationship Id="rId144" Type="http://schemas.openxmlformats.org/officeDocument/2006/relationships/footer" Target="footer80.xml"/><Relationship Id="rId143" Type="http://schemas.openxmlformats.org/officeDocument/2006/relationships/header" Target="header60.xml"/><Relationship Id="rId142" Type="http://schemas.openxmlformats.org/officeDocument/2006/relationships/footer" Target="footer79.xml"/><Relationship Id="rId141" Type="http://schemas.openxmlformats.org/officeDocument/2006/relationships/header" Target="header59.xml"/><Relationship Id="rId140" Type="http://schemas.openxmlformats.org/officeDocument/2006/relationships/footer" Target="footer78.xml"/><Relationship Id="rId14" Type="http://schemas.openxmlformats.org/officeDocument/2006/relationships/footer" Target="footer7.xml"/><Relationship Id="rId139" Type="http://schemas.openxmlformats.org/officeDocument/2006/relationships/header" Target="header58.xml"/><Relationship Id="rId138" Type="http://schemas.openxmlformats.org/officeDocument/2006/relationships/footer" Target="footer77.xml"/><Relationship Id="rId137" Type="http://schemas.openxmlformats.org/officeDocument/2006/relationships/header" Target="header57.xml"/><Relationship Id="rId136" Type="http://schemas.openxmlformats.org/officeDocument/2006/relationships/footer" Target="footer76.xml"/><Relationship Id="rId135" Type="http://schemas.openxmlformats.org/officeDocument/2006/relationships/header" Target="header56.xml"/><Relationship Id="rId134" Type="http://schemas.openxmlformats.org/officeDocument/2006/relationships/footer" Target="footer75.xml"/><Relationship Id="rId133" Type="http://schemas.openxmlformats.org/officeDocument/2006/relationships/header" Target="header55.xml"/><Relationship Id="rId132" Type="http://schemas.openxmlformats.org/officeDocument/2006/relationships/footer" Target="footer74.xml"/><Relationship Id="rId131" Type="http://schemas.openxmlformats.org/officeDocument/2006/relationships/header" Target="header54.xml"/><Relationship Id="rId130" Type="http://schemas.openxmlformats.org/officeDocument/2006/relationships/footer" Target="footer73.xml"/><Relationship Id="rId13" Type="http://schemas.openxmlformats.org/officeDocument/2006/relationships/footer" Target="footer6.xml"/><Relationship Id="rId129" Type="http://schemas.openxmlformats.org/officeDocument/2006/relationships/header" Target="header53.xml"/><Relationship Id="rId128" Type="http://schemas.openxmlformats.org/officeDocument/2006/relationships/footer" Target="footer72.xml"/><Relationship Id="rId127" Type="http://schemas.openxmlformats.org/officeDocument/2006/relationships/header" Target="header52.xml"/><Relationship Id="rId126" Type="http://schemas.openxmlformats.org/officeDocument/2006/relationships/footer" Target="footer71.xml"/><Relationship Id="rId125" Type="http://schemas.openxmlformats.org/officeDocument/2006/relationships/header" Target="header51.xml"/><Relationship Id="rId124" Type="http://schemas.openxmlformats.org/officeDocument/2006/relationships/footer" Target="footer70.xml"/><Relationship Id="rId123" Type="http://schemas.openxmlformats.org/officeDocument/2006/relationships/header" Target="header50.xml"/><Relationship Id="rId122" Type="http://schemas.openxmlformats.org/officeDocument/2006/relationships/footer" Target="footer69.xml"/><Relationship Id="rId121" Type="http://schemas.openxmlformats.org/officeDocument/2006/relationships/header" Target="header49.xml"/><Relationship Id="rId120" Type="http://schemas.openxmlformats.org/officeDocument/2006/relationships/footer" Target="footer68.xml"/><Relationship Id="rId12" Type="http://schemas.openxmlformats.org/officeDocument/2006/relationships/footer" Target="footer5.xml"/><Relationship Id="rId119" Type="http://schemas.openxmlformats.org/officeDocument/2006/relationships/header" Target="header48.xml"/><Relationship Id="rId118" Type="http://schemas.openxmlformats.org/officeDocument/2006/relationships/footer" Target="footer67.xml"/><Relationship Id="rId117" Type="http://schemas.openxmlformats.org/officeDocument/2006/relationships/header" Target="header47.xml"/><Relationship Id="rId116" Type="http://schemas.openxmlformats.org/officeDocument/2006/relationships/footer" Target="footer66.xml"/><Relationship Id="rId115" Type="http://schemas.openxmlformats.org/officeDocument/2006/relationships/header" Target="header46.xml"/><Relationship Id="rId114" Type="http://schemas.openxmlformats.org/officeDocument/2006/relationships/footer" Target="footer65.xml"/><Relationship Id="rId113" Type="http://schemas.openxmlformats.org/officeDocument/2006/relationships/header" Target="header45.xml"/><Relationship Id="rId112" Type="http://schemas.openxmlformats.org/officeDocument/2006/relationships/footer" Target="footer64.xml"/><Relationship Id="rId111" Type="http://schemas.openxmlformats.org/officeDocument/2006/relationships/footer" Target="footer63.xml"/><Relationship Id="rId110" Type="http://schemas.openxmlformats.org/officeDocument/2006/relationships/footer" Target="footer62.xml"/><Relationship Id="rId11" Type="http://schemas.openxmlformats.org/officeDocument/2006/relationships/header" Target="header3.xml"/><Relationship Id="rId109" Type="http://schemas.openxmlformats.org/officeDocument/2006/relationships/header" Target="header44.xml"/><Relationship Id="rId108" Type="http://schemas.openxmlformats.org/officeDocument/2006/relationships/footer" Target="footer61.xml"/><Relationship Id="rId107" Type="http://schemas.openxmlformats.org/officeDocument/2006/relationships/footer" Target="footer60.xml"/><Relationship Id="rId106" Type="http://schemas.openxmlformats.org/officeDocument/2006/relationships/footer" Target="footer59.xml"/><Relationship Id="rId105" Type="http://schemas.openxmlformats.org/officeDocument/2006/relationships/header" Target="header43.xml"/><Relationship Id="rId104" Type="http://schemas.openxmlformats.org/officeDocument/2006/relationships/footer" Target="footer58.xml"/><Relationship Id="rId103" Type="http://schemas.openxmlformats.org/officeDocument/2006/relationships/footer" Target="footer57.xml"/><Relationship Id="rId102" Type="http://schemas.openxmlformats.org/officeDocument/2006/relationships/footer" Target="footer56.xml"/><Relationship Id="rId101" Type="http://schemas.openxmlformats.org/officeDocument/2006/relationships/footer" Target="footer55.xml"/><Relationship Id="rId100" Type="http://schemas.openxmlformats.org/officeDocument/2006/relationships/footer" Target="footer54.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2049"/>
    <customShpInfo spid="_x0000_s2051"/>
    <customShpInfo spid="_x0000_s2052"/>
    <customShpInfo spid="_x0000_s2054"/>
    <customShpInfo spid="_x0000_s2059"/>
    <customShpInfo spid="_x0000_s2060"/>
    <customShpInfo spid="_x0000_s2061"/>
    <customShpInfo spid="_x0000_s2064"/>
    <customShpInfo spid="_x0000_s2065"/>
    <customShpInfo spid="_x0000_s2066"/>
    <customShpInfo spid="_x0000_s2067"/>
    <customShpInfo spid="_x0000_s2068"/>
    <customShpInfo spid="_x0000_s2069"/>
    <customShpInfo spid="_x0000_s2070"/>
    <customShpInfo spid="_x0000_s2071"/>
    <customShpInfo spid="_x0000_s2072"/>
    <customShpInfo spid="_x0000_s2075"/>
    <customShpInfo spid="_x0000_s2076"/>
    <customShpInfo spid="_x0000_s2077"/>
    <customShpInfo spid="_x0000_s2078"/>
    <customShpInfo spid="_x0000_s2079"/>
    <customShpInfo spid="_x0000_s2080"/>
    <customShpInfo spid="_x0000_s2081"/>
    <customShpInfo spid="_x0000_s2082"/>
    <customShpInfo spid="_x0000_s2083"/>
    <customShpInfo spid="_x0000_s2084"/>
    <customShpInfo spid="_x0000_s2085"/>
    <customShpInfo spid="_x0000_s2086"/>
    <customShpInfo spid="_x0000_s2087"/>
    <customShpInfo spid="_x0000_s2088"/>
    <customShpInfo spid="_x0000_s2089"/>
    <customShpInfo spid="_x0000_s2090"/>
    <customShpInfo spid="_x0000_s2091"/>
    <customShpInfo spid="_x0000_s2092"/>
    <customShpInfo spid="_x0000_s2093"/>
    <customShpInfo spid="_x0000_s2094"/>
    <customShpInfo spid="_x0000_s2095"/>
    <customShpInfo spid="_x0000_s2096"/>
    <customShpInfo spid="_x0000_s2097"/>
    <customShpInfo spid="_x0000_s2098"/>
    <customShpInfo spid="_x0000_s2099"/>
    <customShpInfo spid="_x0000_s2100"/>
    <customShpInfo spid="_x0000_s2101"/>
    <customShpInfo spid="_x0000_s2102"/>
    <customShpInfo spid="_x0000_s2103"/>
    <customShpInfo spid="_x0000_s2104"/>
    <customShpInfo spid="_x0000_s2105"/>
    <customShpInfo spid="_x0000_s2106"/>
    <customShpInfo spid="_x0000_s2107"/>
    <customShpInfo spid="_x0000_s2108"/>
    <customShpInfo spid="_x0000_s2109"/>
    <customShpInfo spid="_x0000_s2110"/>
    <customShpInfo spid="_x0000_s2111"/>
    <customShpInfo spid="_x0000_s2112"/>
    <customShpInfo spid="_x0000_s2113"/>
    <customShpInfo spid="_x0000_s2114"/>
    <customShpInfo spid="_x0000_s2115"/>
    <customShpInfo spid="_x0000_s2116"/>
    <customShpInfo spid="_x0000_s2117"/>
    <customShpInfo spid="_x0000_s2118"/>
    <customShpInfo spid="_x0000_s2119"/>
    <customShpInfo spid="_x0000_s2120"/>
    <customShpInfo spid="_x0000_s2121"/>
    <customShpInfo spid="_x0000_s2122"/>
    <customShpInfo spid="_x0000_s2123"/>
    <customShpInfo spid="_x0000_s2124"/>
    <customShpInfo spid="_x0000_s2125"/>
    <customShpInfo spid="_x0000_s2126"/>
    <customShpInfo spid="_x0000_s2127"/>
    <customShpInfo spid="_x0000_s2128"/>
    <customShpInfo spid="_x0000_s2129"/>
    <customShpInfo spid="_x0000_s2130"/>
    <customShpInfo spid="_x0000_s2131"/>
    <customShpInfo spid="_x0000_s2132"/>
    <customShpInfo spid="_x0000_s2133"/>
    <customShpInfo spid="_x0000_s2134"/>
    <customShpInfo spid="_x0000_s2135"/>
    <customShpInfo spid="_x0000_s2136"/>
    <customShpInfo spid="_x0000_s2137"/>
    <customShpInfo spid="_x0000_s2138"/>
    <customShpInfo spid="_x0000_s2139"/>
    <customShpInfo spid="_x0000_s2140"/>
    <customShpInfo spid="_x0000_s2141"/>
    <customShpInfo spid="_x0000_s2142"/>
    <customShpInfo spid="_x0000_s2143"/>
    <customShpInfo spid="_x0000_s2148"/>
    <customShpInfo spid="_x0000_s2149"/>
    <customShpInfo spid="_x0000_s2150"/>
    <customShpInfo spid="_x0000_s2151"/>
    <customShpInfo spid="_x0000_s2152"/>
    <customShpInfo spid="_x0000_s2153"/>
    <customShpInfo spid="_x0000_s2154"/>
    <customShpInfo spid="_x0000_s2155"/>
    <customShpInfo spid="_x0000_s2156"/>
    <customShpInfo spid="_x0000_s2157"/>
    <customShpInfo spid="_x0000_s2158"/>
    <customShpInfo spid="_x0000_s2159"/>
    <customShpInfo spid="_x0000_s2160"/>
    <customShpInfo spid="_x0000_s2161"/>
    <customShpInfo spid="_x0000_s2162"/>
    <customShpInfo spid="_x0000_s2163"/>
    <customShpInfo spid="_x0000_s2164"/>
    <customShpInfo spid="_x0000_s2165"/>
    <customShpInfo spid="_x0000_s2166"/>
    <customShpInfo spid="_x0000_s2167"/>
    <customShpInfo spid="_x0000_s2168"/>
    <customShpInfo spid="_x0000_s2169"/>
    <customShpInfo spid="_x0000_s2170"/>
    <customShpInfo spid="_x0000_s2171"/>
    <customShpInfo spid="_x0000_s2172"/>
    <customShpInfo spid="_x0000_s2173"/>
    <customShpInfo spid="_x0000_s2174"/>
    <customShpInfo spid="_x0000_s2175"/>
    <customShpInfo spid="_x0000_s2176"/>
    <customShpInfo spid="_x0000_s2177"/>
    <customShpInfo spid="_x0000_s2178"/>
    <customShpInfo spid="_x0000_s2179"/>
    <customShpInfo spid="_x0000_s2180"/>
    <customShpInfo spid="_x0000_s2181"/>
    <customShpInfo spid="_x0000_s2182"/>
    <customShpInfo spid="_x0000_s2183"/>
    <customShpInfo spid="_x0000_s2184"/>
    <customShpInfo spid="_x0000_s2185"/>
    <customShpInfo spid="_x0000_s2186"/>
    <customShpInfo spid="_x0000_s2187"/>
    <customShpInfo spid="_x0000_s2188"/>
    <customShpInfo spid="_x0000_s2189"/>
    <customShpInfo spid="_x0000_s2190"/>
    <customShpInfo spid="_x0000_s2191"/>
    <customShpInfo spid="_x0000_s2192"/>
    <customShpInfo spid="_x0000_s2193"/>
    <customShpInfo spid="_x0000_s2194"/>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42"/>
    <customShpInfo spid="_x0000_s1043"/>
    <customShpInfo spid="_x0000_s1044"/>
    <customShpInfo spid="_x0000_s1045"/>
    <customShpInfo spid="_x0000_s104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258</Pages>
  <Words>5318</Words>
  <Characters>6554</Characters>
  <TotalTime>9</TotalTime>
  <ScaleCrop>false</ScaleCrop>
  <LinksUpToDate>false</LinksUpToDate>
  <CharactersWithSpaces>7438</CharactersWithSpaces>
  <Application>WPS Office_12.1.0.24657_F1E327BC-269C-435d-A152-05C5408002CA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2025-06-06T16:06:00Z</dcterms:created>
  <dc:creator>Administrator</dc:creator>
  <cp:lastModifiedBy>惠岚</cp:lastModifiedBy>
  <dcterms:modified xsi:type="dcterms:W3CDTF">2026-02-06T09:09:42Z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2025-06-11T15:24:16Z</vt:filetime>
  </property>
  <property fmtid="{D5CDD505-2E9C-101B-9397-08002B2CF9AE}" pid="4" name="KSOTemplateDocerSaveRecord">
    <vt:lpwstr>eyJoZGlkIjoiMmY4MmFjZmQyNWU1YWE4MWMwN2FkOGZjYmM2YWMyZmMiLCJ1c2VySWQiOiI5ODU4MzE2MjMifQ==</vt:lpwstr>
  </property>
  <property fmtid="{D5CDD505-2E9C-101B-9397-08002B2CF9AE}" pid="5" name="KSOProductBuildVer">
    <vt:lpwstr>2052-12.1.0.24657</vt:lpwstr>
  </property>
  <property fmtid="{D5CDD505-2E9C-101B-9397-08002B2CF9AE}" pid="6" name="ICV">
    <vt:lpwstr>F03CE44D5EE948C5B7A28CB9F7B47C0E</vt:lpwstr>
  </property>
</Properties>
</file>